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INTERNAL DISPOSITION TABLE — JK Comments v1</w:t>
      </w:r>
    </w:p>
    <w:p>
      <w:pPr>
        <w:jc w:val="center"/>
      </w:pPr>
      <w:r>
        <w:rPr>
          <w:i/>
          <w:color w:val="555555"/>
        </w:rPr>
        <w:t>BNBL internal negotiation prep · NOT for external circulation · candid working notes · not legal advice</w:t>
      </w:r>
    </w:p>
    <w:p>
      <w:r>
        <w:rPr>
          <w:b/>
          <w:sz w:val="25"/>
        </w:rPr>
        <w:t>Top-line BNBL position (the governing principle)</w:t>
      </w:r>
    </w:p>
    <w:p>
      <w:r>
        <w:rPr>
          <w:b/>
          <w:i w:val="0"/>
        </w:rPr>
        <w:t>BNBL's position is to build NewCo as a BNBL-controlled U.S. commercialization platform — not merely a sales agent, and not an independent owner of BNBL's core HME-DDS™ technology. NewCo should receive meaningful commercial rights, commercially workable protections, and economic upside within BNBL-approved products, partners, and projects in the U.S., while BNBL retains ownership and global control over HME-DDS™ Background IP and core Technical Improvements.</w:t>
      </w:r>
    </w:p>
    <w:p>
      <w:r>
        <w:rPr>
          <w:b w:val="0"/>
          <w:i/>
          <w:color w:val="555555"/>
        </w:rPr>
        <w:t>Status note: this is the TARGET direction, not yet a completed document structure. The current SHA v2 / IP License remain protection-centric (closer to a BNBL arm) with some platform elements; the platform economics (project-level limited exclusivity / ROFN, improvement license-back / compensation, defined commercial upside, objective milestones) are to be BUILT OUT in a later redline AFTER the principles below are locked and aligned in a 3-party call. The only edits made so far are factual-accuracy corrections to the Redline Summary — NO operative position has been changed.</w:t>
      </w:r>
    </w:p>
    <w:p>
      <w:r>
        <w:rPr>
          <w:b w:val="0"/>
          <w:i/>
          <w:color w:val="555555"/>
        </w:rPr>
        <w:t>Sequencing: (1) lock this disposition + 5 principles  -&gt;  (2) 3-party Zoom alignment  -&gt;  (3) SHA / IP License redline  -&gt;  (4) U.S. counsel review. Do not redline the operative SHA / IP License before step 2.</w:t>
      </w:r>
    </w:p>
    <w:p>
      <w:r>
        <w:rPr>
          <w:b w:val="0"/>
          <w:i/>
          <w:color w:val="555555"/>
        </w:rPr>
        <w:t>Legend:  A = Accept (low cost / good governance)   |   B = Conditional / negotiate (staged)   |   C = Hold (BNBL core, not conceded)</w:t>
      </w:r>
    </w:p>
    <w:p>
      <w:r>
        <w:rPr>
          <w:b/>
          <w:sz w:val="21"/>
        </w:rPr>
        <w:t>Terminology guardrail (apply in ALL counsel-facing and external drafts)</w:t>
      </w:r>
    </w:p>
    <w:p>
      <w:r>
        <w:rPr>
          <w:b w:val="0"/>
          <w:i w:val="0"/>
          <w:color w:val="C00000"/>
        </w:rPr>
        <w:t>AVOID as a starting point: 'exclusive Field/Territory', 'full U.S. exclusivity', 'all U.S. HME-DDS rights'. These can become counsel's drafting anchor and push the documents NewCo-ward.</w:t>
      </w:r>
    </w:p>
    <w:p>
      <w:r>
        <w:rPr>
          <w:b w:val="0"/>
          <w:i w:val="0"/>
          <w:color w:val="1E7A34"/>
        </w:rPr>
        <w:t>USE instead: 'product-specific limited exclusivity', 'project-specific commercial protection', 'partner-specific exclusivity', 'milestone-based continuation', and (most freely) 'right of first negotiation (ROFN)'. Externally prefer 'commercially workable protections' over 'investor-readable protections'.</w:t>
      </w:r>
    </w:p>
    <w:p>
      <w:r>
        <w:rPr>
          <w:b/>
          <w:sz w:val="25"/>
        </w:rPr>
        <w:t>Per-comment disposition</w:t>
      </w:r>
    </w:p>
    <w:tbl>
      <w:tblPr>
        <w:tblStyle w:val="TableGrid"/>
        <w:tblW w:type="auto" w:w="0"/>
        <w:tblLook w:firstColumn="1" w:firstRow="1" w:lastColumn="0" w:lastRow="0" w:noHBand="0" w:noVBand="1" w:val="04A0"/>
      </w:tblPr>
      <w:tblGrid>
        <w:gridCol w:w="4320"/>
        <w:gridCol w:w="4320"/>
      </w:tblGrid>
      <w:tr>
        <w:tc>
          <w:tcPr>
            <w:tcW w:type="dxa" w:w="4320"/>
          </w:tcPr>
          <w:p>
            <w:r>
              <w:rPr>
                <w:b/>
                <w:color w:val="C00000"/>
              </w:rPr>
              <w:t>Issue 1  [A / C]</w:t>
            </w:r>
          </w:p>
        </w:tc>
        <w:tc>
          <w:tcPr>
            <w:tcW w:type="dxa" w:w="4320"/>
          </w:tcPr>
          <w:p>
            <w:r>
              <w:t>Minority protections (pre-emptive, ROFR, tag/drag, anti-dilution) missing; 51% is a one-way blocking right; consent could block an A-supported Series A.</w:t>
            </w:r>
          </w:p>
        </w:tc>
      </w:tr>
      <w:tr>
        <w:tc>
          <w:tcPr>
            <w:tcW w:type="dxa" w:w="4320"/>
          </w:tcPr>
          <w:p>
            <w:r>
              <w:rPr>
                <w:b/>
                <w:sz w:val="18"/>
              </w:rPr>
              <w:t>Already in v2?</w:t>
            </w:r>
          </w:p>
        </w:tc>
        <w:tc>
          <w:tcPr>
            <w:tcW w:type="dxa" w:w="4320"/>
          </w:tcPr>
          <w:p>
            <w:r>
              <w:rPr>
                <w:color w:val="555555"/>
              </w:rPr>
              <w:t>Pro-rata participation, ROFR, tag-along and drag-along are ALREADY included in SHA v2 (2.3, 2.4(b), 6.2, 6.3, 6.4). Price-based anti-dilution is NOT included and is generally a Series A investor term, not a founder-level right at this stage.</w:t>
            </w:r>
          </w:p>
        </w:tc>
      </w:tr>
      <w:tr>
        <w:tc>
          <w:tcPr>
            <w:tcW w:type="dxa" w:w="4320"/>
          </w:tcPr>
          <w:p>
            <w:r>
              <w:rPr>
                <w:b/>
                <w:sz w:val="18"/>
              </w:rPr>
              <w:t>BNBL position / counter</w:t>
            </w:r>
          </w:p>
        </w:tc>
        <w:tc>
          <w:tcPr>
            <w:tcW w:type="dxa" w:w="4320"/>
          </w:tcPr>
          <w:p>
            <w:r>
              <w:t>U.S. counsel to confirm whether the existing wording is sufficient (add explicit pre-emptive wording only if counsel wants). KEEP the 51% consent right (C); confirm the wording already allows an A-approved Series A to proceed (5.2 / 2.4(a) drafted that way).</w:t>
            </w:r>
          </w:p>
        </w:tc>
      </w:tr>
      <w:tr>
        <w:tc>
          <w:tcPr>
            <w:tcW w:type="dxa" w:w="4320"/>
          </w:tcPr>
          <w:p>
            <w:r>
              <w:rPr>
                <w:b/>
                <w:sz w:val="18"/>
              </w:rPr>
              <w:t>Stage</w:t>
            </w:r>
          </w:p>
        </w:tc>
        <w:tc>
          <w:tcPr>
            <w:tcW w:type="dxa" w:w="4320"/>
          </w:tcPr>
          <w:p>
            <w:r>
              <w:rPr>
                <w:color w:val="555555"/>
              </w:rPr>
              <w:t>Now</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C00000"/>
              </w:rPr>
              <w:t>Issue 2  [B / C]</w:t>
            </w:r>
          </w:p>
        </w:tc>
        <w:tc>
          <w:tcPr>
            <w:tcW w:type="dxa" w:w="4320"/>
          </w:tcPr>
          <w:p>
            <w:r>
              <w:t>License is non-exclusive + kill-switch on sub-51% + non-sublicensable/non-transferable; wants exclusivity in Field/Territory, termination only on uncured material breach, survival through financings/CoC, sublicensing to distributors/CMOs, Sec. 365(n).</w:t>
            </w:r>
          </w:p>
        </w:tc>
      </w:tr>
      <w:tr>
        <w:tc>
          <w:tcPr>
            <w:tcW w:type="dxa" w:w="4320"/>
          </w:tcPr>
          <w:p>
            <w:r>
              <w:rPr>
                <w:b/>
                <w:sz w:val="18"/>
              </w:rPr>
              <w:t>Already in v2?</w:t>
            </w:r>
          </w:p>
        </w:tc>
        <w:tc>
          <w:tcPr>
            <w:tcW w:type="dxa" w:w="4320"/>
          </w:tcPr>
          <w:p>
            <w:r>
              <w:rPr>
                <w:color w:val="555555"/>
              </w:rPr>
              <w:t>License survives A-approved financing/CoC ALREADY in v2 (5.2).</w:t>
            </w:r>
          </w:p>
        </w:tc>
      </w:tr>
      <w:tr>
        <w:tc>
          <w:tcPr>
            <w:tcW w:type="dxa" w:w="4320"/>
          </w:tcPr>
          <w:p>
            <w:r>
              <w:rPr>
                <w:b/>
                <w:sz w:val="18"/>
              </w:rPr>
              <w:t>BNBL position / counter</w:t>
            </w:r>
          </w:p>
        </w:tc>
        <w:tc>
          <w:tcPr>
            <w:tcW w:type="dxa" w:w="4320"/>
          </w:tcPr>
          <w:p>
            <w:r>
              <w:t>A: carve out sublicensing to BNBL-approved distributors/CMOs; add Bankruptcy Code Sec. 365(n) licensee protection. B (Stage 2): product/project-specific limited exclusivity or ROFN, milestone-based — NOT full Field/Territory exclusivity. C: Background IP ownership stays at BNBL; termination keeps core triggers (unapproved cap-table change, unauthorized use, IP challenge) — may narrow the 'ordinary investor round' edge case at Stage 2.</w:t>
            </w:r>
          </w:p>
        </w:tc>
      </w:tr>
      <w:tr>
        <w:tc>
          <w:tcPr>
            <w:tcW w:type="dxa" w:w="4320"/>
          </w:tcPr>
          <w:p>
            <w:r>
              <w:rPr>
                <w:b/>
                <w:sz w:val="18"/>
              </w:rPr>
              <w:t>Stage</w:t>
            </w:r>
          </w:p>
        </w:tc>
        <w:tc>
          <w:tcPr>
            <w:tcW w:type="dxa" w:w="4320"/>
          </w:tcPr>
          <w:p>
            <w:r>
              <w:rPr>
                <w:color w:val="555555"/>
              </w:rPr>
              <w:t>Stage 2</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C00000"/>
              </w:rPr>
              <w:t>Issue 3  [B / A / C]</w:t>
            </w:r>
          </w:p>
        </w:tc>
        <w:tc>
          <w:tcPr>
            <w:tcW w:type="dxa" w:w="4320"/>
          </w:tcPr>
          <w:p>
            <w:r>
              <w:t>Technical Improvements ASSIGNED to A (broad def) + Commercial Data access very broad; if NewCo funds R&amp;D, value transfers free (transfer-pricing/DEMPE); wants license-back/compensation + no-competitor data carve-out + privacy.</w:t>
            </w:r>
          </w:p>
        </w:tc>
      </w:tr>
      <w:tr>
        <w:tc>
          <w:tcPr>
            <w:tcW w:type="dxa" w:w="4320"/>
          </w:tcPr>
          <w:p>
            <w:r>
              <w:rPr>
                <w:b/>
                <w:sz w:val="18"/>
              </w:rPr>
              <w:t>Already in v2?</w:t>
            </w:r>
          </w:p>
        </w:tc>
        <w:tc>
          <w:tcPr>
            <w:tcW w:type="dxa" w:w="4320"/>
          </w:tcPr>
          <w:p>
            <w:r>
              <w:rPr>
                <w:color w:val="555555"/>
              </w:rPr>
              <w:t>Technical vs Commercial split ALREADY in v2 (5.3); Commercial Data owned by NewCo.</w:t>
            </w:r>
          </w:p>
        </w:tc>
      </w:tr>
      <w:tr>
        <w:tc>
          <w:tcPr>
            <w:tcW w:type="dxa" w:w="4320"/>
          </w:tcPr>
          <w:p>
            <w:r>
              <w:rPr>
                <w:b/>
                <w:sz w:val="18"/>
              </w:rPr>
              <w:t>BNBL position / counter</w:t>
            </w:r>
          </w:p>
        </w:tc>
        <w:tc>
          <w:tcPr>
            <w:tcW w:type="dxa" w:w="4320"/>
          </w:tcPr>
          <w:p>
            <w:r>
              <w:t>C: Technical Improvements remain owned by BNBL. B: if NewCo materially funds development, grant a field/project-limited license-back + arm's-length economic participation (royalty credit / cost-share / milestone participation), subject to transfer-pricing review; NARROW 'Improvements' def to genuinely Background-IP-derived. A: add no-sharing-with-competitors carve-out + purpose/confidentiality limits + customer-data privacy compliance on Commercial Data.</w:t>
            </w:r>
          </w:p>
        </w:tc>
      </w:tr>
      <w:tr>
        <w:tc>
          <w:tcPr>
            <w:tcW w:type="dxa" w:w="4320"/>
          </w:tcPr>
          <w:p>
            <w:r>
              <w:rPr>
                <w:b/>
                <w:sz w:val="18"/>
              </w:rPr>
              <w:t>Stage</w:t>
            </w:r>
          </w:p>
        </w:tc>
        <w:tc>
          <w:tcPr>
            <w:tcW w:type="dxa" w:w="4320"/>
          </w:tcPr>
          <w:p>
            <w:r>
              <w:rPr>
                <w:color w:val="555555"/>
              </w:rPr>
              <w:t>Stage 2 (license-back) / Now (data carve-out)</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C00000"/>
              </w:rPr>
              <w:t>Issue 4  [A / C]</w:t>
            </w:r>
          </w:p>
        </w:tc>
        <w:tc>
          <w:tcPr>
            <w:tcW w:type="dxa" w:w="4320"/>
          </w:tcPr>
          <w:p>
            <w:r>
              <w:t>Non-compete asymmetry: carve-outs let BNBL/affiliates keep competing &amp; licensing in NewCo's U.S. territory; wants mutual non-circumvention/non-solicit; verify Nevada enforceability &amp; consideration. (Also corrected our FTC rationale.)</w:t>
            </w:r>
          </w:p>
        </w:tc>
      </w:tr>
      <w:tr>
        <w:tc>
          <w:tcPr>
            <w:tcW w:type="dxa" w:w="4320"/>
          </w:tcPr>
          <w:p>
            <w:r>
              <w:rPr>
                <w:b/>
                <w:sz w:val="18"/>
              </w:rPr>
              <w:t>Already in v2?</w:t>
            </w:r>
          </w:p>
        </w:tc>
        <w:tc>
          <w:tcPr>
            <w:tcW w:type="dxa" w:w="4320"/>
          </w:tcPr>
          <w:p>
            <w:r>
              <w:rPr>
                <w:color w:val="555555"/>
              </w:rPr>
              <w:t>Covenants reframed in v2 Art. 7; rationale CORRECTED in redline (Ryan v. FTC vacated; NRS 613.195).</w:t>
            </w:r>
          </w:p>
        </w:tc>
      </w:tr>
      <w:tr>
        <w:tc>
          <w:tcPr>
            <w:tcW w:type="dxa" w:w="4320"/>
          </w:tcPr>
          <w:p>
            <w:r>
              <w:rPr>
                <w:b/>
                <w:sz w:val="18"/>
              </w:rPr>
              <w:t>BNBL position / counter</w:t>
            </w:r>
          </w:p>
        </w:tc>
        <w:tc>
          <w:tcPr>
            <w:tcW w:type="dxa" w:w="4320"/>
          </w:tcPr>
          <w:p>
            <w:r>
              <w:t>A but BOUNDED: make non-circumvention / non-solicitation mutual ONLY with respect to NewCo-developed relationships within approved products/projects — EXCLUDING BNBL's pre-existing relationships, HQ-originated relationships, global partners, and separate U.S. collaboration tracks. Confirm consideration + Nevada enforceability with counsel. B: reconcile A's licensing carve-out vs any Stage-2 protection (within any product/project-specific protection granted to NewCo, A's competing/licensing freedom is correspondingly bounded). C: BNBL/affiliates keep general freedom OUTSIDE any granted protection + global business.</w:t>
            </w:r>
          </w:p>
        </w:tc>
      </w:tr>
      <w:tr>
        <w:tc>
          <w:tcPr>
            <w:tcW w:type="dxa" w:w="4320"/>
          </w:tcPr>
          <w:p>
            <w:r>
              <w:rPr>
                <w:b/>
                <w:sz w:val="18"/>
              </w:rPr>
              <w:t>Stage</w:t>
            </w:r>
          </w:p>
        </w:tc>
        <w:tc>
          <w:tcPr>
            <w:tcW w:type="dxa" w:w="4320"/>
          </w:tcPr>
          <w:p>
            <w:r>
              <w:rPr>
                <w:color w:val="555555"/>
              </w:rPr>
              <w:t>Now / Stage 2</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C00000"/>
              </w:rPr>
              <w:t>Issue 5a  [B / A]</w:t>
            </w:r>
          </w:p>
        </w:tc>
        <w:tc>
          <w:tcPr>
            <w:tcW w:type="dxa" w:w="4320"/>
          </w:tcPr>
          <w:p>
            <w:r>
              <w:t>Conflict: JSB chairs/leads NewCo while representing A (licensor/parent) — both sides of every intercompany deal; Kwon's authority limited by 4.6.</w:t>
            </w:r>
          </w:p>
        </w:tc>
      </w:tr>
      <w:tr>
        <w:tc>
          <w:tcPr>
            <w:tcW w:type="dxa" w:w="4320"/>
          </w:tcPr>
          <w:p>
            <w:r>
              <w:rPr>
                <w:b/>
                <w:sz w:val="18"/>
              </w:rPr>
              <w:t>BNBL position / counter</w:t>
            </w:r>
          </w:p>
        </w:tc>
        <w:tc>
          <w:tcPr>
            <w:tcW w:type="dxa" w:w="4320"/>
          </w:tcPr>
          <w:p>
            <w:r>
              <w:t>B: add conflicts/related-party governance LIMITED to intercompany agreements (independent director OR conflicts committee approving IP-License royalty, data, related-party deals); BNBL keeps majority on all else. A: clarify Kwon's operational decision authority and reporting lines in Schedule 1.</w:t>
            </w:r>
          </w:p>
        </w:tc>
      </w:tr>
      <w:tr>
        <w:tc>
          <w:tcPr>
            <w:tcW w:type="dxa" w:w="4320"/>
          </w:tcPr>
          <w:p>
            <w:r>
              <w:rPr>
                <w:b/>
                <w:sz w:val="18"/>
              </w:rPr>
              <w:t>Stage</w:t>
            </w:r>
          </w:p>
        </w:tc>
        <w:tc>
          <w:tcPr>
            <w:tcW w:type="dxa" w:w="4320"/>
          </w:tcPr>
          <w:p>
            <w:r>
              <w:rPr>
                <w:color w:val="555555"/>
              </w:rPr>
              <w:t>Now</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1E7A34"/>
              </w:rPr>
              <w:t>Issue 5b  [A]</w:t>
            </w:r>
          </w:p>
        </w:tc>
        <w:tc>
          <w:tcPr>
            <w:tcW w:type="dxa" w:w="4320"/>
          </w:tcPr>
          <w:p>
            <w:r>
              <w:t>Milestone vesting assessed by Board subject to A approval = A can unilaterally decide B/C vesting; no good-leaver; B/C should have own counsel.</w:t>
            </w:r>
          </w:p>
        </w:tc>
      </w:tr>
      <w:tr>
        <w:tc>
          <w:tcPr>
            <w:tcW w:type="dxa" w:w="4320"/>
          </w:tcPr>
          <w:p>
            <w:r>
              <w:rPr>
                <w:b/>
                <w:sz w:val="18"/>
              </w:rPr>
              <w:t>BNBL position / counter</w:t>
            </w:r>
          </w:p>
        </w:tc>
        <w:tc>
          <w:tcPr>
            <w:tcW w:type="dxa" w:w="4320"/>
          </w:tcPr>
          <w:p>
            <w:r>
              <w:t>A but BOUNDED: make milestone criteria OBJECTIVE and pre-agreed + dispute mechanism; add GOOD-LEAVER protection for ALREADY-VESTED equity and limited pro-rata vesting of the current time-tranche where appropriate — but DO NOT auto-vest unearned milestone tranches on departure (those forfeit except under a Party A-approved CoC + agreed double-trigger). For cause / voluntary resignation: unvested forfeiture stands. Recommend B/C retain their own U.S./KR counsel. Pairs with Refinement 9 &amp; 14.</w:t>
            </w:r>
          </w:p>
        </w:tc>
      </w:tr>
      <w:tr>
        <w:tc>
          <w:tcPr>
            <w:tcW w:type="dxa" w:w="4320"/>
          </w:tcPr>
          <w:p>
            <w:r>
              <w:rPr>
                <w:b/>
                <w:sz w:val="18"/>
              </w:rPr>
              <w:t>Stage</w:t>
            </w:r>
          </w:p>
        </w:tc>
        <w:tc>
          <w:tcPr>
            <w:tcW w:type="dxa" w:w="4320"/>
          </w:tcPr>
          <w:p>
            <w:r>
              <w:rPr>
                <w:color w:val="555555"/>
              </w:rPr>
              <w:t>Now</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C00000"/>
              </w:rPr>
              <w:t>Issue 5c  [A / C]</w:t>
            </w:r>
          </w:p>
        </w:tc>
        <w:tc>
          <w:tcPr>
            <w:tcW w:type="dxa" w:w="4320"/>
          </w:tcPr>
          <w:p>
            <w:r>
              <w:t>4.6 prior-approval list very broad, stacked on 51% + quorum + reserved matters = near-total control; blank threshold; IP-license approval shouldn't catch ordinary customer/distribution deals.</w:t>
            </w:r>
          </w:p>
        </w:tc>
      </w:tr>
      <w:tr>
        <w:tc>
          <w:tcPr>
            <w:tcW w:type="dxa" w:w="4320"/>
          </w:tcPr>
          <w:p>
            <w:r>
              <w:rPr>
                <w:b/>
                <w:sz w:val="18"/>
              </w:rPr>
              <w:t>BNBL position / counter</w:t>
            </w:r>
          </w:p>
        </w:tc>
        <w:tc>
          <w:tcPr>
            <w:tcW w:type="dxa" w:w="4320"/>
          </w:tcPr>
          <w:p>
            <w:r>
              <w:t>A but CONDITIONED: add ordinary-course CARVE-OUT + a workable dollar threshold for 4.6(f); exclude NewCo ordinary-course customer/distribution agreements from the 'IP license' approval trigger ONLY IF they grant no sublicense, no exclusivity, no manufacturing right, no access to the Confidential Technical File, no right to use BNBL Background IP beyond approved products, and no rights affecting BNBL IP. Anything touching IP / exclusivity / manufacturing stays a BNBL approval item. C: keep the 4.6 core list. Note: Series A investors will layer their own protective terms on top.</w:t>
            </w:r>
          </w:p>
        </w:tc>
      </w:tr>
      <w:tr>
        <w:tc>
          <w:tcPr>
            <w:tcW w:type="dxa" w:w="4320"/>
          </w:tcPr>
          <w:p>
            <w:r>
              <w:rPr>
                <w:b/>
                <w:sz w:val="18"/>
              </w:rPr>
              <w:t>Stage</w:t>
            </w:r>
          </w:p>
        </w:tc>
        <w:tc>
          <w:tcPr>
            <w:tcW w:type="dxa" w:w="4320"/>
          </w:tcPr>
          <w:p>
            <w:r>
              <w:rPr>
                <w:color w:val="555555"/>
              </w:rPr>
              <w:t>Now</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1E7A34"/>
              </w:rPr>
              <w:t>Refinement 6  [A]</w:t>
            </w:r>
          </w:p>
        </w:tc>
        <w:tc>
          <w:tcPr>
            <w:tcW w:type="dxa" w:w="4320"/>
          </w:tcPr>
          <w:p>
            <w:r>
              <w:t>83(b): standard. Add that KR-resident founders need BOTH U.S. and KR tax advice; if LLC, profits/capital-interest analysis (Rev. Proc. 93-27) instead.</w:t>
            </w:r>
          </w:p>
        </w:tc>
      </w:tr>
      <w:tr>
        <w:tc>
          <w:tcPr>
            <w:tcW w:type="dxa" w:w="4320"/>
          </w:tcPr>
          <w:p>
            <w:r>
              <w:rPr>
                <w:b/>
                <w:sz w:val="18"/>
              </w:rPr>
              <w:t>BNBL position / counter</w:t>
            </w:r>
          </w:p>
        </w:tc>
        <w:tc>
          <w:tcPr>
            <w:tcW w:type="dxa" w:w="4320"/>
          </w:tcPr>
          <w:p>
            <w:r>
              <w:t>A: accept as counsel/tax items. Flag the 30-day Sec. 83(b) clock to B/C immediately on grant; resolve entity (Corp vs LLC) early as it changes the equity-comp mechanics.</w:t>
            </w:r>
          </w:p>
        </w:tc>
      </w:tr>
      <w:tr>
        <w:tc>
          <w:tcPr>
            <w:tcW w:type="dxa" w:w="4320"/>
          </w:tcPr>
          <w:p>
            <w:r>
              <w:rPr>
                <w:b/>
                <w:sz w:val="18"/>
              </w:rPr>
              <w:t>Stage</w:t>
            </w:r>
          </w:p>
        </w:tc>
        <w:tc>
          <w:tcPr>
            <w:tcW w:type="dxa" w:w="4320"/>
          </w:tcPr>
          <w:p>
            <w:r>
              <w:rPr>
                <w:color w:val="555555"/>
              </w:rPr>
              <w:t>Now</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C00000"/>
              </w:rPr>
              <w:t>Refinement 7  [A / B]</w:t>
            </w:r>
          </w:p>
        </w:tc>
        <w:tc>
          <w:tcPr>
            <w:tcW w:type="dxa" w:w="4320"/>
          </w:tcPr>
          <w:p>
            <w:r>
              <w:t>Royalty: beyond Sec. 482 / KR NTS, factor U.S.-Korea treaty withholding (W-8BEN-E) + get a transfer-pricing benchmarking study; self-dealing optics (A sets the rate it receives).</w:t>
            </w:r>
          </w:p>
        </w:tc>
      </w:tr>
      <w:tr>
        <w:tc>
          <w:tcPr>
            <w:tcW w:type="dxa" w:w="4320"/>
          </w:tcPr>
          <w:p>
            <w:r>
              <w:rPr>
                <w:b/>
                <w:sz w:val="18"/>
              </w:rPr>
              <w:t>BNBL position / counter</w:t>
            </w:r>
          </w:p>
        </w:tc>
        <w:tc>
          <w:tcPr>
            <w:tcW w:type="dxa" w:w="4320"/>
          </w:tcPr>
          <w:p>
            <w:r>
              <w:t>A: commission transfer-pricing study; treaty withholding handled via IP License 4.4. B: consider an independent/conflicts process to approve the rate (ties to 5a). Rate remains an open commercial point.</w:t>
            </w:r>
          </w:p>
        </w:tc>
      </w:tr>
      <w:tr>
        <w:tc>
          <w:tcPr>
            <w:tcW w:type="dxa" w:w="4320"/>
          </w:tcPr>
          <w:p>
            <w:r>
              <w:rPr>
                <w:b/>
                <w:sz w:val="18"/>
              </w:rPr>
              <w:t>Stage</w:t>
            </w:r>
          </w:p>
        </w:tc>
        <w:tc>
          <w:tcPr>
            <w:tcW w:type="dxa" w:w="4320"/>
          </w:tcPr>
          <w:p>
            <w:r>
              <w:rPr>
                <w:color w:val="555555"/>
              </w:rPr>
              <w:t>Now</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1E7A34"/>
              </w:rPr>
              <w:t>Refinement 8  [A]</w:t>
            </w:r>
          </w:p>
        </w:tc>
        <w:tc>
          <w:tcPr>
            <w:tcW w:type="dxa" w:w="4320"/>
          </w:tcPr>
          <w:p>
            <w:r>
              <w:t>Schedule A reference-only is good; gap = how the Confidential Technical File is governed and how NewCo actually accesses the know-how it needs.</w:t>
            </w:r>
          </w:p>
        </w:tc>
      </w:tr>
      <w:tr>
        <w:tc>
          <w:tcPr>
            <w:tcW w:type="dxa" w:w="4320"/>
          </w:tcPr>
          <w:p>
            <w:r>
              <w:rPr>
                <w:b/>
                <w:sz w:val="18"/>
              </w:rPr>
              <w:t>BNBL position / counter</w:t>
            </w:r>
          </w:p>
        </w:tc>
        <w:tc>
          <w:tcPr>
            <w:tcW w:type="dxa" w:w="4320"/>
          </w:tcPr>
          <w:p>
            <w:r>
              <w:t>A: specify access mechanism, custody, and the exact technical package NewCo is entitled to receive to practice the license.</w:t>
            </w:r>
          </w:p>
        </w:tc>
      </w:tr>
      <w:tr>
        <w:tc>
          <w:tcPr>
            <w:tcW w:type="dxa" w:w="4320"/>
          </w:tcPr>
          <w:p>
            <w:r>
              <w:rPr>
                <w:b/>
                <w:sz w:val="18"/>
              </w:rPr>
              <w:t>Stage</w:t>
            </w:r>
          </w:p>
        </w:tc>
        <w:tc>
          <w:tcPr>
            <w:tcW w:type="dxa" w:w="4320"/>
          </w:tcPr>
          <w:p>
            <w:r>
              <w:rPr>
                <w:color w:val="555555"/>
              </w:rPr>
              <w:t>Now</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B06A00"/>
              </w:rPr>
              <w:t>Refinement 9  [B]</w:t>
            </w:r>
          </w:p>
        </w:tc>
        <w:tc>
          <w:tcPr>
            <w:tcW w:type="dxa" w:w="4320"/>
          </w:tcPr>
          <w:p>
            <w:r>
              <w:t>Double-trigger welcome, but conditioning it on A-approved transaction + A-assessed milestones still concentrates control; wants standard double-trigger on involuntary/good-reason termination independent of milestone status.</w:t>
            </w:r>
          </w:p>
        </w:tc>
      </w:tr>
      <w:tr>
        <w:tc>
          <w:tcPr>
            <w:tcW w:type="dxa" w:w="4320"/>
          </w:tcPr>
          <w:p>
            <w:r>
              <w:rPr>
                <w:b/>
                <w:sz w:val="18"/>
              </w:rPr>
              <w:t>BNBL position / counter</w:t>
            </w:r>
          </w:p>
        </w:tc>
        <w:tc>
          <w:tcPr>
            <w:tcW w:type="dxa" w:w="4320"/>
          </w:tcPr>
          <w:p>
            <w:r>
              <w:t>B but BOUNDED: on a Party A-approved change of control, allow standard double-trigger acceleration of the TIME-VESTED portion on involuntary / good-reason termination; do NOT create automatic full acceleration of unearned milestone equity outside an A-approved CoC + agreed double-trigger. Keep the A-approval gate on the CoC itself. Align with Good-Leaver (5b).</w:t>
            </w:r>
          </w:p>
        </w:tc>
      </w:tr>
      <w:tr>
        <w:tc>
          <w:tcPr>
            <w:tcW w:type="dxa" w:w="4320"/>
          </w:tcPr>
          <w:p>
            <w:r>
              <w:rPr>
                <w:b/>
                <w:sz w:val="18"/>
              </w:rPr>
              <w:t>Stage</w:t>
            </w:r>
          </w:p>
        </w:tc>
        <w:tc>
          <w:tcPr>
            <w:tcW w:type="dxa" w:w="4320"/>
          </w:tcPr>
          <w:p>
            <w:r>
              <w:rPr>
                <w:color w:val="555555"/>
              </w:rPr>
              <w:t>Now / Stage 2</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1E7A34"/>
              </w:rPr>
              <w:t>Refinement 10  [A]</w:t>
            </w:r>
          </w:p>
        </w:tc>
        <w:tc>
          <w:tcPr>
            <w:tcW w:type="dxa" w:w="4320"/>
          </w:tcPr>
          <w:p>
            <w:r>
              <w:t>Quorum requiring an A-director lets A freeze the board by not attending; wants anti-deadlock fallback (quorum without A after two adjourned meetings).</w:t>
            </w:r>
          </w:p>
        </w:tc>
      </w:tr>
      <w:tr>
        <w:tc>
          <w:tcPr>
            <w:tcW w:type="dxa" w:w="4320"/>
          </w:tcPr>
          <w:p>
            <w:r>
              <w:rPr>
                <w:b/>
                <w:sz w:val="18"/>
              </w:rPr>
              <w:t>BNBL position / counter</w:t>
            </w:r>
          </w:p>
        </w:tc>
        <w:tc>
          <w:tcPr>
            <w:tcW w:type="dxa" w:w="4320"/>
          </w:tcPr>
          <w:p>
            <w:r>
              <w:t>A but LIMITED: anti-deadlock fallback applies ONLY to ordinary-course matters; NEVER to Reserved Matters / 4.6 (IP, equity, fundraising, JV, exclusivity, material/related-party contracts). Require proper notice + agenda + allow electronic attendance. So operational freeze is prevented without bypassing BNBL consent.</w:t>
            </w:r>
          </w:p>
        </w:tc>
      </w:tr>
      <w:tr>
        <w:tc>
          <w:tcPr>
            <w:tcW w:type="dxa" w:w="4320"/>
          </w:tcPr>
          <w:p>
            <w:r>
              <w:rPr>
                <w:b/>
                <w:sz w:val="18"/>
              </w:rPr>
              <w:t>Stage</w:t>
            </w:r>
          </w:p>
        </w:tc>
        <w:tc>
          <w:tcPr>
            <w:tcW w:type="dxa" w:w="4320"/>
          </w:tcPr>
          <w:p>
            <w:r>
              <w:rPr>
                <w:color w:val="555555"/>
              </w:rPr>
              <w:t>Now</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1E7A34"/>
              </w:rPr>
              <w:t>Refinement 11  [A]</w:t>
            </w:r>
          </w:p>
        </w:tc>
        <w:tc>
          <w:tcPr>
            <w:tcW w:type="dxa" w:w="4320"/>
          </w:tcPr>
          <w:p>
            <w:r>
              <w:t>Confidentiality indefinite categories should match the IP License definitions word-for-word.</w:t>
            </w:r>
          </w:p>
        </w:tc>
      </w:tr>
      <w:tr>
        <w:tc>
          <w:tcPr>
            <w:tcW w:type="dxa" w:w="4320"/>
          </w:tcPr>
          <w:p>
            <w:r>
              <w:rPr>
                <w:b/>
                <w:sz w:val="18"/>
              </w:rPr>
              <w:t>Already in v2?</w:t>
            </w:r>
          </w:p>
        </w:tc>
        <w:tc>
          <w:tcPr>
            <w:tcW w:type="dxa" w:w="4320"/>
          </w:tcPr>
          <w:p>
            <w:r>
              <w:rPr>
                <w:color w:val="555555"/>
              </w:rPr>
              <w:t>Aligned in v2 (5.5 ↔ IP License 6).</w:t>
            </w:r>
          </w:p>
        </w:tc>
      </w:tr>
      <w:tr>
        <w:tc>
          <w:tcPr>
            <w:tcW w:type="dxa" w:w="4320"/>
          </w:tcPr>
          <w:p>
            <w:r>
              <w:rPr>
                <w:b/>
                <w:sz w:val="18"/>
              </w:rPr>
              <w:t>BNBL position / counter</w:t>
            </w:r>
          </w:p>
        </w:tc>
        <w:tc>
          <w:tcPr>
            <w:tcW w:type="dxa" w:w="4320"/>
          </w:tcPr>
          <w:p>
            <w:r>
              <w:t>A: conform the indefinite-protection categories in SHA 5.5 to the IP License word-for-word during the conform pass.</w:t>
            </w:r>
          </w:p>
        </w:tc>
      </w:tr>
      <w:tr>
        <w:tc>
          <w:tcPr>
            <w:tcW w:type="dxa" w:w="4320"/>
          </w:tcPr>
          <w:p>
            <w:r>
              <w:rPr>
                <w:b/>
                <w:sz w:val="18"/>
              </w:rPr>
              <w:t>Stage</w:t>
            </w:r>
          </w:p>
        </w:tc>
        <w:tc>
          <w:tcPr>
            <w:tcW w:type="dxa" w:w="4320"/>
          </w:tcPr>
          <w:p>
            <w:r>
              <w:rPr>
                <w:color w:val="555555"/>
              </w:rPr>
              <w:t>Now</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C00000"/>
              </w:rPr>
              <w:t>Refinement 12  [B / C]</w:t>
            </w:r>
          </w:p>
        </w:tc>
        <w:tc>
          <w:tcPr>
            <w:tcW w:type="dxa" w:w="4320"/>
          </w:tcPr>
          <w:p>
            <w:r>
              <w:t>THE crux: BNBL-approved-only + non-exclusive + A free to license others = NewCo has no independent exclusive field; wants EXCLUSIVE Field-and-Territory + agreed initial product list + 'not unreasonably withheld' additions.</w:t>
            </w:r>
          </w:p>
        </w:tc>
      </w:tr>
      <w:tr>
        <w:tc>
          <w:tcPr>
            <w:tcW w:type="dxa" w:w="4320"/>
          </w:tcPr>
          <w:p>
            <w:r>
              <w:rPr>
                <w:b/>
                <w:sz w:val="18"/>
              </w:rPr>
              <w:t>BNBL position / counter</w:t>
            </w:r>
          </w:p>
        </w:tc>
        <w:tc>
          <w:tcPr>
            <w:tcW w:type="dxa" w:w="4320"/>
          </w:tcPr>
          <w:p>
            <w:r>
              <w:t>B (Stage 2): project/product-level limited exclusivity or ROFN over an AGREED initial product list, milestone-based continuation; Territory = U.S. baseline OK. The 'not-to-be-unreasonably-withheld' standard for additions applies ONLY to items within pre-agreed product categories that (a) do not conflict with BNBL's existing or planned partnerships, (b) require no disclosure of additional Background IP, and (c) create no regulatory, IP, tax, or strategic conflict for BNBL — otherwise BNBL may refuse. C: no blanket all-U.S.-Field exclusivity; no restriction on BNBL's separate U.S. tracks. Internal terms to use: 'approved product/project-specific commercial protection', 'project-based limited exclusivity', 'ROFN', 'milestone-based continuation'.</w:t>
            </w:r>
          </w:p>
        </w:tc>
      </w:tr>
      <w:tr>
        <w:tc>
          <w:tcPr>
            <w:tcW w:type="dxa" w:w="4320"/>
          </w:tcPr>
          <w:p>
            <w:r>
              <w:rPr>
                <w:b/>
                <w:sz w:val="18"/>
              </w:rPr>
              <w:t>Stage</w:t>
            </w:r>
          </w:p>
        </w:tc>
        <w:tc>
          <w:tcPr>
            <w:tcW w:type="dxa" w:w="4320"/>
          </w:tcPr>
          <w:p>
            <w:r>
              <w:rPr>
                <w:color w:val="555555"/>
              </w:rPr>
              <w:t>Stage 2</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C00000"/>
              </w:rPr>
              <w:t>Refinement 13  [A / B]</w:t>
            </w:r>
          </w:p>
        </w:tc>
        <w:tc>
          <w:tcPr>
            <w:tcW w:type="dxa" w:w="4320"/>
          </w:tcPr>
          <w:p>
            <w:r>
              <w:t>(i) A may disclose NewCo Commercial Data to partners/financing sources potentially adverse to NewCo — needs limits; (ii) NewCo bears ALL product liability though A owns/controls the formulation/process that could cause an inherent defect.</w:t>
            </w:r>
          </w:p>
        </w:tc>
      </w:tr>
      <w:tr>
        <w:tc>
          <w:tcPr>
            <w:tcW w:type="dxa" w:w="4320"/>
          </w:tcPr>
          <w:p>
            <w:r>
              <w:rPr>
                <w:b/>
                <w:sz w:val="18"/>
              </w:rPr>
              <w:t>BNBL position / counter</w:t>
            </w:r>
          </w:p>
        </w:tc>
        <w:tc>
          <w:tcPr>
            <w:tcW w:type="dxa" w:w="4320"/>
          </w:tcPr>
          <w:p>
            <w:r>
              <w:t>A: add purpose/confidentiality limits + no-competitor-sharing carve-out + privacy compliance to Commercial Data disclosure. B but NARROWED: A indemnity LIMITED to claims arising from (x) BNBL's breach of express technical specifications, (y) a knowingly defective technical package, or (z) third-party IP infringement attributable to BNBL-owned Background IP — NOT a broad 'inherent formulation defect' indemnity. NewCo remains responsible for manufacturing, QC, labeling, marketing, regulatory submissions, adverse-event reporting, distribution, storage, recalls, and product-liability claims from NewCo operations. Align insurance (additional insured); ensure NewCo holds technical data to defend its own filings. = responsibility separation, not blanket mutual.</w:t>
            </w:r>
          </w:p>
        </w:tc>
      </w:tr>
      <w:tr>
        <w:tc>
          <w:tcPr>
            <w:tcW w:type="dxa" w:w="4320"/>
          </w:tcPr>
          <w:p>
            <w:r>
              <w:rPr>
                <w:b/>
                <w:sz w:val="18"/>
              </w:rPr>
              <w:t>Stage</w:t>
            </w:r>
          </w:p>
        </w:tc>
        <w:tc>
          <w:tcPr>
            <w:tcW w:type="dxa" w:w="4320"/>
          </w:tcPr>
          <w:p>
            <w:r>
              <w:rPr>
                <w:color w:val="555555"/>
              </w:rPr>
              <w:t>Now</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1E7A34"/>
              </w:rPr>
              <w:t>Refinement 14  [A]</w:t>
            </w:r>
          </w:p>
        </w:tc>
        <w:tc>
          <w:tcPr>
            <w:tcW w:type="dxa" w:w="4320"/>
          </w:tcPr>
          <w:p>
            <w:r>
              <w:t>Objective milestones good; ensure illustrative items (LOI/MOU/PoC, BNBL-approved introductions) are genuinely within B/C control and not gated on A discretionary approval, or objectivity is undercut.</w:t>
            </w:r>
          </w:p>
        </w:tc>
      </w:tr>
      <w:tr>
        <w:tc>
          <w:tcPr>
            <w:tcW w:type="dxa" w:w="4320"/>
          </w:tcPr>
          <w:p>
            <w:r>
              <w:rPr>
                <w:b/>
                <w:sz w:val="18"/>
              </w:rPr>
              <w:t>BNBL position / counter</w:t>
            </w:r>
          </w:p>
        </w:tc>
        <w:tc>
          <w:tcPr>
            <w:tcW w:type="dxa" w:w="4320"/>
          </w:tcPr>
          <w:p>
            <w:r>
              <w:t>A: tie vesting to deliverables B/C can achieve without A unilateral sign-off; define assessment cadence + cure/dispute path. Reword Schedule 1-A so 'BNBL-approved' items have an objective approval standard.</w:t>
            </w:r>
          </w:p>
        </w:tc>
      </w:tr>
      <w:tr>
        <w:tc>
          <w:tcPr>
            <w:tcW w:type="dxa" w:w="4320"/>
          </w:tcPr>
          <w:p>
            <w:r>
              <w:rPr>
                <w:b/>
                <w:sz w:val="18"/>
              </w:rPr>
              <w:t>Stage</w:t>
            </w:r>
          </w:p>
        </w:tc>
        <w:tc>
          <w:tcPr>
            <w:tcW w:type="dxa" w:w="4320"/>
          </w:tcPr>
          <w:p>
            <w:r>
              <w:rPr>
                <w:color w:val="555555"/>
              </w:rPr>
              <w:t>Now</w:t>
            </w:r>
          </w:p>
        </w:tc>
      </w:tr>
    </w:tbl>
    <w:p/>
    <w:p>
      <w:r>
        <w:rPr>
          <w:b/>
          <w:sz w:val="25"/>
        </w:rPr>
        <w:t>Cross-check observations (strategic)</w:t>
      </w:r>
    </w:p>
    <w:p>
      <w:r>
        <w:rPr>
          <w:b/>
          <w:sz w:val="21"/>
        </w:rPr>
        <w:t>1. Narrative vs control reality</w:t>
      </w:r>
    </w:p>
    <w:p>
      <w:r>
        <w:rPr>
          <w:b w:val="0"/>
          <w:i w:val="0"/>
        </w:rPr>
        <w:t>Be clear-eyed: operative terms (51% + quorum + reserved matters + 4.6 + A-controlled vesting) give A near-total control. Legitimate for a parent/majority; expect Series A investors to layer their own protective terms on top. Our hybrid stance acknowledges this openly.</w:t>
      </w:r>
    </w:p>
    <w:p>
      <w:r>
        <w:rPr>
          <w:b/>
          <w:sz w:val="21"/>
        </w:rPr>
        <w:t>2. What does NewCo own?</w:t>
      </w:r>
    </w:p>
    <w:p>
      <w:r>
        <w:rPr>
          <w:b w:val="0"/>
          <w:i w:val="0"/>
        </w:rPr>
        <w:t>The decision point — resolved as HYBRID: Stage 1 BNBL platform, Stage 2 project-level exclusivity/license-back so NewCo has defensible, investor-readable value within approved scope, while BNBL keeps Background IP and global control.</w:t>
      </w:r>
    </w:p>
    <w:p>
      <w:r>
        <w:rPr>
          <w:b/>
          <w:sz w:val="21"/>
        </w:rPr>
        <w:t>3. Entity &amp; jurisdiction</w:t>
      </w:r>
    </w:p>
    <w:p>
      <w:r>
        <w:rPr>
          <w:b w:val="0"/>
          <w:i w:val="0"/>
        </w:rPr>
        <w:t>Nevada C-corp IPO is legally possible (Delaware = investor convention, growing DExit trend). INTERNAL CARD: for a BNBL-controlled company with heavy related-party deals, Nevada's director/controller-protective standard may favor BNBL vs Delaware 'entire fairness'. Externally: say 'compare Nevada vs Delaware vs LLC on investor-readiness, tax, governance, related-party' — do NOT push Nevada hard. Decide entity early (drives tax, 83(b)/equity-comp, governance).</w:t>
      </w:r>
    </w:p>
    <w:p>
      <w:r>
        <w:rPr>
          <w:b/>
          <w:sz w:val="21"/>
        </w:rPr>
        <w:t>4. Related-party / transfer pricing</w:t>
      </w:r>
    </w:p>
    <w:p>
      <w:r>
        <w:rPr>
          <w:b w:val="0"/>
          <w:i w:val="0"/>
        </w:rPr>
        <w:t>Royalty + improvement assignment + data-sharing are all KR-parent/U.S.-sub related-party items. Get a transfer-pricing study + conflicts governance so intercompany terms are defensible to IRS, KR NTS, and investors.</w:t>
      </w:r>
    </w:p>
    <w:p>
      <w:r>
        <w:rPr>
          <w:b/>
          <w:sz w:val="21"/>
        </w:rPr>
        <w:t>5. Risk concentrated on B/C</w:t>
      </w:r>
    </w:p>
    <w:p>
      <w:r>
        <w:rPr>
          <w:b w:val="0"/>
          <w:i w:val="0"/>
        </w:rPr>
        <w:t>B/C carry milestone + 83(b) + forfeiture risk with A assessing milestones. Giving objective criteria + good-leaver + their own counsel is fair and de-risks the deal narrative (Issues 5b, 9, 14).</w:t>
      </w:r>
    </w:p>
    <w:p>
      <w:r>
        <w:rPr>
          <w:b/>
          <w:sz w:val="21"/>
        </w:rPr>
        <w:t>6. Cross-border tax</w:t>
      </w:r>
    </w:p>
    <w:p>
      <w:r>
        <w:rPr>
          <w:b w:val="0"/>
          <w:i w:val="0"/>
        </w:rPr>
        <w:t>INBOUND structure: primary U.S. issues = royalty/dividend withholding under U.S.-Korea treaty + transfer pricing (Sec. 482); consider 163(j), anti-hybrid (267A), BEAT (large groups only). JK's correction is right: CFC/Subpart F/GILTI (reportedly renamed NCTI from 2026 — counsel to confirm) are OUTBOUND and generally don't apply to the U.S. sub's own operations; FIRPTA irrelevant absent U.S. real property. KR side: 95% participation exemption may apply (confirm). Engage cross-border tax counsel.</w:t>
      </w:r>
    </w:p>
    <w:p>
      <w:r>
        <w:rPr>
          <w:b/>
          <w:sz w:val="21"/>
        </w:rPr>
        <w:t>7. Conform the documents</w:t>
      </w:r>
    </w:p>
    <w:p>
      <w:r>
        <w:rPr>
          <w:b w:val="0"/>
          <w:i w:val="0"/>
        </w:rPr>
        <w:t>Resolve blanks (4.6(f) threshold, royalty rate, Field/product list, milestone figures); make SHA termination triggers match the IP License EXACTLY; conform all cross-references before execution.</w:t>
      </w:r>
    </w:p>
    <w:p/>
    <w:p>
      <w:r>
        <w:rPr>
          <w:b w:val="0"/>
          <w:i/>
          <w:color w:val="555555"/>
        </w:rPr>
        <w:t>Internal working document — candid notes for BNBL only; reply-email wording (softened terms, no hard Nevada push, no 'exclusive') to be applied separately when drafting the response.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