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BNBL NEGOTIATION PRINCIPLES — U.S. NewCo (HME-DDS™)</w:t>
      </w:r>
    </w:p>
    <w:p>
      <w:pPr>
        <w:jc w:val="center"/>
      </w:pPr>
      <w:r>
        <w:rPr>
          <w:i/>
          <w:color w:val="555555"/>
        </w:rPr>
        <w:t>Internal · to be locked before the 3-party Zoom and the July Vegas counsel meeting · not legal advice</w:t>
      </w:r>
    </w:p>
    <w:p/>
    <w:p>
      <w:r>
        <w:rPr>
          <w:b/>
          <w:sz w:val="23"/>
        </w:rPr>
        <w:t>1.  Core IP ownership</w:t>
      </w:r>
    </w:p>
    <w:p>
      <w:r>
        <w:t>HME-DDS™ Background IP and core Technical Improvements remain owned and globally controlled by BNBL. They are licensed to NewCo, never contributed or assigned.</w:t>
      </w:r>
    </w:p>
    <w:p>
      <w:r>
        <w:rPr>
          <w:b/>
          <w:sz w:val="23"/>
        </w:rPr>
        <w:t>2.  NewCo commercial rights</w:t>
      </w:r>
    </w:p>
    <w:p>
      <w:r>
        <w:t>NewCo receives meaningful U.S. commercial rights, commercially workable protections, and economic upside — but only within pre-agreed or BNBL-approved products, projects, partner-projects, or opportunities.</w:t>
      </w:r>
    </w:p>
    <w:p>
      <w:r>
        <w:rPr>
          <w:b/>
          <w:sz w:val="23"/>
        </w:rPr>
        <w:t>3.  No full U.S. exclusivity</w:t>
      </w:r>
    </w:p>
    <w:p>
      <w:r>
        <w:t>No blanket Field/Territory exclusivity. Only product-, project-, or approved opportunity-specific limited protection, milestone-based continuation, or a right of first negotiation (ROFN). BNBL's separate U.S. and global tracks, and BNBL's own dealings with any partner, remain unrestricted OUTSIDE the specific approved product, project, partner-project, or opportunity for which limited protection has been expressly granted.</w:t>
      </w:r>
    </w:p>
    <w:p>
      <w:r>
        <w:rPr>
          <w:b/>
          <w:sz w:val="23"/>
        </w:rPr>
        <w:t>4.  BNBL control rights</w:t>
      </w:r>
    </w:p>
    <w:p>
      <w:r>
        <w:t>BNBL retains its 51% right, core reserved matters, IP control, and approval over fundraising / JV / exclusivity / M&amp;A. Ordinary-course carve-outs and a workable dollar threshold may be added — provided nothing touching IP, exclusivity, or manufacturing escapes BNBL approval.</w:t>
      </w:r>
    </w:p>
    <w:p>
      <w:r>
        <w:rPr>
          <w:b/>
          <w:sz w:val="23"/>
        </w:rPr>
        <w:t>5.  Fairness protections for B/C</w:t>
      </w:r>
    </w:p>
    <w:p>
      <w:r>
        <w:t>Good-leaver protection for already-vested equity, objective pre-agreed milestones, a dispute path, data confidentiality, and properly limited commercial protections may be added. Unearned milestone equity does not auto-vest. Any acceleration upon a BNBL-approved change of control and agreed double-trigger is limited to the agreed time-vested or pro-rata portion, unless Party A separately approves otherwise in writing.</w:t>
      </w:r>
    </w:p>
    <w:p/>
    <w:p>
      <w:r>
        <w:rPr>
          <w:b/>
        </w:rPr>
        <w:t xml:space="preserve">Terminology guardrail: </w:t>
      </w:r>
      <w:r>
        <w:t>In all counsel-facing and external drafts, avoid 'exclusive Field/Territory' / 'full U.S. exclusivity' / blanket 'partner-specific exclusivity'; use product/project/approved-opportunity-specific limited protection, milestone-based continuation, or ROFN. Externally say 'commercially workable protections'.</w:t>
      </w:r>
    </w:p>
    <w:p/>
    <w:p>
      <w:r>
        <w:rPr>
          <w:b/>
        </w:rPr>
        <w:t xml:space="preserve">Sequence: </w:t>
      </w:r>
      <w:r>
        <w:t>(1) lock these principles  -&gt;  (2) 3-party Zoom alignment  -&gt;  (3) SHA / IP License redline  -&gt;  (4) U.S. counsel review. Do not redline operative documents before step (2).</w:t>
      </w:r>
    </w:p>
    <w:p/>
    <w:p>
      <w:r>
        <w:rPr>
          <w:i/>
          <w:color w:val="555555"/>
        </w:rPr>
        <w:t>Internal working document — BNBL only. Not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