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SHAREHOLDERS AGREEMENT — REDLINE SUMMARY</w:t>
      </w:r>
    </w:p>
    <w:p>
      <w:pPr>
        <w:jc w:val="center"/>
      </w:pPr>
      <w:r>
        <w:t>Original DRAFT v1  vs  Revised v2 (BNBL HQ markup)  |  For U.S. counsel review</w:t>
      </w:r>
    </w:p>
    <w:p>
      <w:r>
        <w:rPr>
          <w:i/>
          <w:color w:val="555555"/>
        </w:rPr>
        <w:t>This summary maps the five issues raised by Party A (BeNatureBioLab / BNBL HQ), plus follow-up legal refinements (revocable→terminable, 51% termination, Technical vs Commercial data, §83(b) tax, arm's-length royalty, Schedule A confidentiality), to the affected articles, with the original language, the proposed revised language, and the rationale. Full text is in Shareholders_Agreement_REVISED_v2_BNBL.docx and IP_License_Agreement_DRAFT_v1_BNBL.docx.</w:t>
      </w:r>
    </w:p>
    <w:p>
      <w:r>
        <w:rPr>
          <w:b/>
          <w:sz w:val="21"/>
        </w:rPr>
        <w:t>Issue 1 — 51% as a right, not an obligation   (Art. 2.4(a))</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“Minimum Control Threshold: Party A shall at all times retain a minimum of 51% of the total issued and outstanding equity of the Company, unless Party A expressly waives this right in writing.”</w:t>
            </w:r>
          </w:p>
        </w:tc>
      </w:tr>
      <w:tr>
        <w:tc>
          <w:tcPr>
            <w:tcW w:type="dxa" w:w="4320"/>
          </w:tcPr>
          <w:p>
            <w:r>
              <w:rPr>
                <w:b/>
                <w:color w:val="C00000"/>
              </w:rPr>
              <w:t>Revised (v2)</w:t>
            </w:r>
          </w:p>
        </w:tc>
        <w:tc>
          <w:tcPr>
            <w:tcW w:type="dxa" w:w="4320"/>
          </w:tcPr>
          <w:p>
            <w:r>
              <w:t>“Party A Right to Maintain Majority Control: Party A shall have the right, but not the obligation, to maintain at least 51%. The Company / other Parties shall not issue equity reducing Party A below 51% without Party A's prior written consent. Party A may, in its sole discretion, decline, waive, or reduce this threshold (including for strategic investment, U.S. partnership, financing, or IPO) with no obligation to maintain any minimum, and with no obligation to make additional contributions to do so.”</w:t>
            </w:r>
          </w:p>
        </w:tc>
      </w:tr>
      <w:tr>
        <w:tc>
          <w:tcPr>
            <w:tcW w:type="dxa" w:w="4320"/>
          </w:tcPr>
          <w:p>
            <w:r>
              <w:rPr>
                <w:b/>
              </w:rPr>
              <w:t>Rationale</w:t>
            </w:r>
          </w:p>
        </w:tc>
        <w:tc>
          <w:tcPr>
            <w:tcW w:type="dxa" w:w="4320"/>
          </w:tcPr>
          <w:p>
            <w:r>
              <w:t>Preserves BNBL control as a protective right while removing any reading that BNBL is bound to hold 51%; leaves room for future strategic/IPO restructuring.</w:t>
            </w:r>
          </w:p>
        </w:tc>
      </w:tr>
    </w:tbl>
    <w:p/>
    <w:p>
      <w:r>
        <w:rPr>
          <w:b/>
          <w:sz w:val="21"/>
        </w:rPr>
        <w:t>Issue 2 — Background IP licensed, not contributed   (Art. 2.1 (form of contribution) &amp; 5.1–5.2)</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2.1 form of contribution for Party A listed “[Cash / IP License / Services]”. 5.2 granted Company a “[non-exclusive/exclusive], royalty-[free/bearing]” license, terminating if A drops below 51%.</w:t>
            </w:r>
          </w:p>
        </w:tc>
      </w:tr>
      <w:tr>
        <w:tc>
          <w:tcPr>
            <w:tcW w:type="dxa" w:w="4320"/>
          </w:tcPr>
          <w:p>
            <w:r>
              <w:rPr>
                <w:b/>
                <w:color w:val="C00000"/>
              </w:rPr>
              <w:t>Revised (v2)</w:t>
            </w:r>
          </w:p>
        </w:tc>
        <w:tc>
          <w:tcPr>
            <w:tcW w:type="dxa" w:w="4320"/>
          </w:tcPr>
          <w:p>
            <w:r>
              <w:t>2.1: BNBL equity is NOT consideration for any IP assignment; contribution is cash/services only; Background IP made available solely under a separate IP License Agreement. 5.1: Background IP (HME-DDS platform, patents, process conditions, formulation know-how) not contributed/assigned. 5.2: limited, non-exclusive, non-transferable, non-sublicensable, royalty-bearing license TERMINABLE ONLY UPON SPECIFIED EVENTS (not revocable at will); field/territory/term governed by a separate IP License Agreement which prevails; terminates on dissolution, on IP License termination per its terms, or on a reduction below 51% that occurs WITHOUT BNBL's prior written approval (continues for BNBL-approved investment / partnership / financing / IPO / restructuring).</w:t>
            </w:r>
          </w:p>
        </w:tc>
      </w:tr>
      <w:tr>
        <w:tc>
          <w:tcPr>
            <w:tcW w:type="dxa" w:w="4320"/>
          </w:tcPr>
          <w:p>
            <w:r>
              <w:rPr>
                <w:b/>
              </w:rPr>
              <w:t>Rationale</w:t>
            </w:r>
          </w:p>
        </w:tc>
        <w:tc>
          <w:tcPr>
            <w:tcW w:type="dxa" w:w="4320"/>
          </w:tcPr>
          <w:p>
            <w:r>
              <w:t>Protects BNBL HQ core assets; keeps IP off the NewCo balance sheet; aligns with separate IP License Agreement to be prepared by BNBL counsel.</w:t>
            </w:r>
          </w:p>
        </w:tc>
      </w:tr>
    </w:tbl>
    <w:p/>
    <w:p>
      <w:r>
        <w:rPr>
          <w:b/>
          <w:sz w:val="21"/>
        </w:rPr>
        <w:t>Issue 3 — Improvements / Foreground IP to BNBL   (Art. 5.3)</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“All intellectual property created … by the Company … after the Effective Date (‘Foreground IP’) shall be owned exclusively by the Company.”</w:t>
            </w:r>
          </w:p>
        </w:tc>
      </w:tr>
      <w:tr>
        <w:tc>
          <w:tcPr>
            <w:tcW w:type="dxa" w:w="4320"/>
          </w:tcPr>
          <w:p>
            <w:r>
              <w:rPr>
                <w:b/>
                <w:color w:val="C00000"/>
              </w:rPr>
              <w:t>Revised (v2)</w:t>
            </w:r>
          </w:p>
        </w:tc>
        <w:tc>
          <w:tcPr>
            <w:tcW w:type="dxa" w:w="4320"/>
          </w:tcPr>
          <w:p>
            <w:r>
              <w:t>5.3(a) Technical Improvements (formulation/process/stability/BA-efficacy data, know-how, derivatives based on or not developable without Background IP) owned exclusively by Party A; Company gets a field/territory license under the IP License Agreement. 5.3(b) Commercial Data (customer lists, sales/distribution data, distributor &amp; market feedback, market-access data) owned by the Company, with Party A holding a perpetual royalty-free access/use right for internal business, regulatory, investment &amp; strategic purposes; regulatory filing data allocated case-by-case. 5.3(c) Independent Foreground IP (independent of Background IP) owned by Company.</w:t>
            </w:r>
          </w:p>
        </w:tc>
      </w:tr>
      <w:tr>
        <w:tc>
          <w:tcPr>
            <w:tcW w:type="dxa" w:w="4320"/>
          </w:tcPr>
          <w:p>
            <w:r>
              <w:rPr>
                <w:b/>
              </w:rPr>
              <w:t>Rationale</w:t>
            </w:r>
          </w:p>
        </w:tc>
        <w:tc>
          <w:tcPr>
            <w:tcW w:type="dxa" w:w="4320"/>
          </w:tcPr>
          <w:p>
            <w:r>
              <w:t>Splits TECHNICAL data (BNBL) from COMMERCIAL data (NewCo + BNBL access) so customer/sales data is not swept into BNBL ownership; clean IP chain of title for due diligence.</w:t>
            </w:r>
          </w:p>
        </w:tc>
      </w:tr>
    </w:tbl>
    <w:p/>
    <w:p>
      <w:r>
        <w:rPr>
          <w:b/>
          <w:sz w:val="21"/>
        </w:rPr>
        <w:t>Issue 4 — Restrictive covenants (scope down non-compete)   (Art. 7 (retitled) — 7.1, 7.1.1, 7.4, 7.5, 7.6)</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Art. 7 broad non-compete: “…participate in any business that competes with the Company's business within [the United States and the Republic of Korea].”</w:t>
            </w:r>
          </w:p>
        </w:tc>
      </w:tr>
      <w:tr>
        <w:tc>
          <w:tcPr>
            <w:tcW w:type="dxa" w:w="4320"/>
          </w:tcPr>
          <w:p>
            <w:r>
              <w:rPr>
                <w:b/>
                <w:color w:val="C00000"/>
              </w:rPr>
              <w:t>Revised (v2)</w:t>
            </w:r>
          </w:p>
        </w:tc>
        <w:tc>
          <w:tcPr>
            <w:tcW w:type="dxa" w:w="4320"/>
          </w:tcPr>
          <w:p>
            <w:r>
              <w:t>Article retitled RESTRICTIVE COVENANTS. Primary reliance shifted to confidentiality, non-solicitation, NON-CIRCUMVENTION (7.4), and IP-protection covenants (7.5: no unauthorized use, no reverse engineering, no IP challenge). 7.1 non-compete narrowed to the agreed FIELD OF USE / TERRITORY and applies 'only to the extent enforceable under applicable law.' 7.1.1 Carve-Outs preserve BNBL &amp; affiliates' existing/future business, partnerships, JVs, licensing in KR/US/elsewhere.</w:t>
            </w:r>
          </w:p>
        </w:tc>
      </w:tr>
      <w:tr>
        <w:tc>
          <w:tcPr>
            <w:tcW w:type="dxa" w:w="4320"/>
          </w:tcPr>
          <w:p>
            <w:r>
              <w:rPr>
                <w:b/>
              </w:rPr>
              <w:t>Rationale</w:t>
            </w:r>
          </w:p>
        </w:tc>
        <w:tc>
          <w:tcPr>
            <w:tcW w:type="dxa" w:w="4320"/>
          </w:tcPr>
          <w:p>
            <w:r>
              <w:t>U.S. non-competes are increasingly unenforceable (state-by-state / FTC scrutiny, cf. NRS Ch. 613). Relying on NDA / non-solicit / non-circumvention / IP-protection is more durable while still protecting BNBL's tech, customers, partners and investors.</w:t>
            </w:r>
          </w:p>
        </w:tc>
      </w:tr>
    </w:tbl>
    <w:p/>
    <w:p>
      <w:r>
        <w:rPr>
          <w:b/>
          <w:sz w:val="21"/>
        </w:rPr>
        <w:t>Issue 5a — Roles &amp; responsibilities   (Art. 4.2 &amp; new Schedule 1)</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Officers listed only as CEO/CFO/Secretary [TBD]; no defined roles.</w:t>
            </w:r>
          </w:p>
        </w:tc>
      </w:tr>
      <w:tr>
        <w:tc>
          <w:tcPr>
            <w:tcW w:type="dxa" w:w="4320"/>
          </w:tcPr>
          <w:p>
            <w:r>
              <w:rPr>
                <w:b/>
                <w:color w:val="C00000"/>
              </w:rPr>
              <w:t>Revised (v2)</w:t>
            </w:r>
          </w:p>
        </w:tc>
        <w:tc>
          <w:tcPr>
            <w:tcW w:type="dxa" w:w="4320"/>
          </w:tcPr>
          <w:p>
            <w:r>
              <w:t>4.2: contemplated titles — Jong-Suep Baek: Chairman &amp; CEO/Board Chair (HQ IP, governance, key decisions); John J. Kwon: President/Head of U.S. Operations &amp; Market Access; Seung-Rock Baek: Director (Strategic BD Lead). Roles/responsibilities/contributions/reporting/milestones detailed in Schedule 1; final titles by mutual agreement.</w:t>
            </w:r>
          </w:p>
        </w:tc>
      </w:tr>
      <w:tr>
        <w:tc>
          <w:tcPr>
            <w:tcW w:type="dxa" w:w="4320"/>
          </w:tcPr>
          <w:p>
            <w:r>
              <w:rPr>
                <w:b/>
              </w:rPr>
              <w:t>Rationale</w:t>
            </w:r>
          </w:p>
        </w:tc>
        <w:tc>
          <w:tcPr>
            <w:tcW w:type="dxa" w:w="4320"/>
          </w:tcPr>
          <w:p>
            <w:r>
              <w:t>Documents each shareholder's role and the basis for their equity — needed for Series A due diligence and U.S. operations.</w:t>
            </w:r>
          </w:p>
        </w:tc>
      </w:tr>
    </w:tbl>
    <w:p/>
    <w:p>
      <w:r>
        <w:rPr>
          <w:b/>
          <w:sz w:val="21"/>
        </w:rPr>
        <w:t>Issue 5b — Milestone-linked vesting   (Art. 3.1(d) (new))</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Vesting was purely time-based (1-yr cliff + 48-mo).</w:t>
            </w:r>
          </w:p>
        </w:tc>
      </w:tr>
      <w:tr>
        <w:tc>
          <w:tcPr>
            <w:tcW w:type="dxa" w:w="4320"/>
          </w:tcPr>
          <w:p>
            <w:r>
              <w:rPr>
                <w:b/>
                <w:color w:val="C00000"/>
              </w:rPr>
              <w:t>Revised (v2)</w:t>
            </w:r>
          </w:p>
        </w:tc>
        <w:tc>
          <w:tcPr>
            <w:tcW w:type="dxa" w:w="4320"/>
          </w:tcPr>
          <w:p>
            <w:r>
              <w:t>Adds a performance/milestone component: vesting of B and C also conditioned on active involvement and achievement of Schedule 1 milestones, assessed by the Board subject to Party A approval (4.6); optional milestone-only tranche.</w:t>
            </w:r>
          </w:p>
        </w:tc>
      </w:tr>
      <w:tr>
        <w:tc>
          <w:tcPr>
            <w:tcW w:type="dxa" w:w="4320"/>
          </w:tcPr>
          <w:p>
            <w:r>
              <w:rPr>
                <w:b/>
              </w:rPr>
              <w:t>Rationale</w:t>
            </w:r>
          </w:p>
        </w:tc>
        <w:tc>
          <w:tcPr>
            <w:tcW w:type="dxa" w:w="4320"/>
          </w:tcPr>
          <w:p>
            <w:r>
              <w:t>Ties equity to actual contribution; strengthens due-diligence narrative without removing the existing time-based structure.</w:t>
            </w:r>
          </w:p>
        </w:tc>
      </w:tr>
    </w:tbl>
    <w:p/>
    <w:p>
      <w:r>
        <w:rPr>
          <w:b/>
          <w:sz w:val="21"/>
        </w:rPr>
        <w:t>Issue 5c — BNBL HQ prior-approval rights   (Art. 4.6 (new))</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Only a 75% supermajority of equity (4.4); no HQ-specific consent.</w:t>
            </w:r>
          </w:p>
        </w:tc>
      </w:tr>
      <w:tr>
        <w:tc>
          <w:tcPr>
            <w:tcW w:type="dxa" w:w="4320"/>
          </w:tcPr>
          <w:p>
            <w:r>
              <w:rPr>
                <w:b/>
                <w:color w:val="C00000"/>
              </w:rPr>
              <w:t>Revised (v2)</w:t>
            </w:r>
          </w:p>
        </w:tc>
        <w:tc>
          <w:tcPr>
            <w:tcW w:type="dxa" w:w="4320"/>
          </w:tcPr>
          <w:p>
            <w:r>
              <w:t>4.6: regardless of title, prior written approval of Party A required for IP licenses, equity issuance/repurchase, fundraising (Series A) / IPO, exclusive arrangements, JV/M&amp;A/asset sale, and contracts above USD $[___].</w:t>
            </w:r>
          </w:p>
        </w:tc>
      </w:tr>
      <w:tr>
        <w:tc>
          <w:tcPr>
            <w:tcW w:type="dxa" w:w="4320"/>
          </w:tcPr>
          <w:p>
            <w:r>
              <w:rPr>
                <w:b/>
              </w:rPr>
              <w:t>Rationale</w:t>
            </w:r>
          </w:p>
        </w:tc>
        <w:tc>
          <w:tcPr>
            <w:tcW w:type="dxa" w:w="4320"/>
          </w:tcPr>
          <w:p>
            <w:r>
              <w:t>Establishes the control structure BNBL needs as parent for its roadmap, Series A diligence, future IPO, and possible separate U.S. partnerships.</w:t>
            </w:r>
          </w:p>
        </w:tc>
      </w:tr>
    </w:tbl>
    <w:p/>
    <w:p>
      <w:r>
        <w:rPr>
          <w:b/>
          <w:sz w:val="21"/>
        </w:rPr>
        <w:t>Refinement 6 — Service-equity tax (Section 83(b))   (Art. 3.4 (new))</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No tax provision.</w:t>
            </w:r>
          </w:p>
        </w:tc>
      </w:tr>
      <w:tr>
        <w:tc>
          <w:tcPr>
            <w:tcW w:type="dxa" w:w="4320"/>
          </w:tcPr>
          <w:p>
            <w:r>
              <w:rPr>
                <w:b/>
                <w:color w:val="C00000"/>
              </w:rPr>
              <w:t>Revised (v2)</w:t>
            </w:r>
          </w:p>
        </w:tc>
        <w:tc>
          <w:tcPr>
            <w:tcW w:type="dxa" w:w="4320"/>
          </w:tcPr>
          <w:p>
            <w:r>
              <w:t>Each vesting equity holder is solely responsible for consulting their own tax advisor on any IRC §83(b) election (generally due within 30 days of restricted-equity transfer); neither BNBL nor the Company is responsible for tax consequences of a failure to elect, and the Company gives no tax advice.</w:t>
            </w:r>
          </w:p>
        </w:tc>
      </w:tr>
      <w:tr>
        <w:tc>
          <w:tcPr>
            <w:tcW w:type="dxa" w:w="4320"/>
          </w:tcPr>
          <w:p>
            <w:r>
              <w:rPr>
                <w:b/>
              </w:rPr>
              <w:t>Rationale</w:t>
            </w:r>
          </w:p>
        </w:tc>
        <w:tc>
          <w:tcPr>
            <w:tcW w:type="dxa" w:w="4320"/>
          </w:tcPr>
          <w:p>
            <w:r>
              <w:t>Allocates U.S. personal tax responsibility to B/C; protects BNBL/Company from §83(b) exposure.</w:t>
            </w:r>
          </w:p>
        </w:tc>
      </w:tr>
    </w:tbl>
    <w:p/>
    <w:p>
      <w:r>
        <w:rPr>
          <w:b/>
          <w:sz w:val="21"/>
        </w:rPr>
        <w:t>Refinement 7 — Royalty on arm's-length basis   (IP License Art. 4.1)</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Royalty rate left blank with no standard.</w:t>
            </w:r>
          </w:p>
        </w:tc>
      </w:tr>
      <w:tr>
        <w:tc>
          <w:tcPr>
            <w:tcW w:type="dxa" w:w="4320"/>
          </w:tcPr>
          <w:p>
            <w:r>
              <w:rPr>
                <w:b/>
                <w:color w:val="C00000"/>
              </w:rPr>
              <w:t>Revised (v2)</w:t>
            </w:r>
          </w:p>
        </w:tc>
        <w:tc>
          <w:tcPr>
            <w:tcW w:type="dxa" w:w="4320"/>
          </w:tcPr>
          <w:p>
            <w:r>
              <w:t>Royalty determined on an ARM'S-LENGTH basis and adjustable by mutual written agreement based on tax / transfer-pricing / regulatory advice, to comply with related-party transfer-pricing requirements (KR parent ↔ US sub).</w:t>
            </w:r>
          </w:p>
        </w:tc>
      </w:tr>
      <w:tr>
        <w:tc>
          <w:tcPr>
            <w:tcW w:type="dxa" w:w="4320"/>
          </w:tcPr>
          <w:p>
            <w:r>
              <w:rPr>
                <w:b/>
              </w:rPr>
              <w:t>Rationale</w:t>
            </w:r>
          </w:p>
        </w:tc>
        <w:tc>
          <w:tcPr>
            <w:tcW w:type="dxa" w:w="4320"/>
          </w:tcPr>
          <w:p>
            <w:r>
              <w:t>Avoids an arbitrary rate that fails transfer-pricing review or investor due diligence (cf. US–Korea tax treaty).</w:t>
            </w:r>
          </w:p>
        </w:tc>
      </w:tr>
    </w:tbl>
    <w:p/>
    <w:p>
      <w:r>
        <w:rPr>
          <w:b/>
          <w:sz w:val="21"/>
        </w:rPr>
        <w:t>Refinement 8 — Schedule A confidentiality   (IP License Schedule A)</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Schedule A invited describing process conditions / formulation know-how / trade secrets.</w:t>
            </w:r>
          </w:p>
        </w:tc>
      </w:tr>
      <w:tr>
        <w:tc>
          <w:tcPr>
            <w:tcW w:type="dxa" w:w="4320"/>
          </w:tcPr>
          <w:p>
            <w:r>
              <w:rPr>
                <w:b/>
                <w:color w:val="C00000"/>
              </w:rPr>
              <w:t>Revised (v2)</w:t>
            </w:r>
          </w:p>
        </w:tc>
        <w:tc>
          <w:tcPr>
            <w:tcW w:type="dxa" w:w="4320"/>
          </w:tcPr>
          <w:p>
            <w:r>
              <w:t>No confidential technical content set out in Schedule A; process conditions, know-how, and trade secrets identified BY REFERENCE ONLY and held in a separately controlled Confidential Technical File, disclosed on a need-to-know basis under the confidentiality terms.</w:t>
            </w:r>
          </w:p>
        </w:tc>
      </w:tr>
      <w:tr>
        <w:tc>
          <w:tcPr>
            <w:tcW w:type="dxa" w:w="4320"/>
          </w:tcPr>
          <w:p>
            <w:r>
              <w:rPr>
                <w:b/>
              </w:rPr>
              <w:t>Rationale</w:t>
            </w:r>
          </w:p>
        </w:tc>
        <w:tc>
          <w:tcPr>
            <w:tcW w:type="dxa" w:w="4320"/>
          </w:tcPr>
          <w:p>
            <w:r>
              <w:t>Writing trade secrets into a circulated contract can destroy trade-secret status; reference-only preserves protection.</w:t>
            </w:r>
          </w:p>
        </w:tc>
      </w:tr>
    </w:tbl>
    <w:p/>
    <w:p>
      <w:r>
        <w:rPr>
          <w:b/>
          <w:sz w:val="21"/>
        </w:rPr>
        <w:t>Refinement 9 — Acceleration vs milestone vesting   (SHA Art. 3.3)</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Acceleration triggered by Change of Control OR termination other than for cause OR all-Parties agreement — could fully vest B/C regardless of milestones.</w:t>
            </w:r>
          </w:p>
        </w:tc>
      </w:tr>
      <w:tr>
        <w:tc>
          <w:tcPr>
            <w:tcW w:type="dxa" w:w="4320"/>
          </w:tcPr>
          <w:p>
            <w:r>
              <w:rPr>
                <w:b/>
                <w:color w:val="C00000"/>
              </w:rPr>
              <w:t>Revised (v2)</w:t>
            </w:r>
          </w:p>
        </w:tc>
        <w:tc>
          <w:tcPr>
            <w:tcW w:type="dxa" w:w="4320"/>
          </w:tcPr>
          <w:p>
            <w:r>
              <w:t>No acceleration of B/C vesting unless Party A approves in writing; Change-of-Control acceleration limited to a Party A-approved transaction and DOUBLE-TRIGGER (approved CoC + role termination/material reduction); does not override milestone conditions in 3.1(d).</w:t>
            </w:r>
          </w:p>
        </w:tc>
      </w:tr>
      <w:tr>
        <w:tc>
          <w:tcPr>
            <w:tcW w:type="dxa" w:w="4320"/>
          </w:tcPr>
          <w:p>
            <w:r>
              <w:rPr>
                <w:b/>
              </w:rPr>
              <w:t>Rationale</w:t>
            </w:r>
          </w:p>
        </w:tc>
        <w:tc>
          <w:tcPr>
            <w:tcW w:type="dxa" w:w="4320"/>
          </w:tcPr>
          <w:p>
            <w:r>
              <w:t>Removes conflict with milestone-linked vesting; prevents B/C from full-vesting on departure without meeting milestones.</w:t>
            </w:r>
          </w:p>
        </w:tc>
      </w:tr>
    </w:tbl>
    <w:p/>
    <w:p>
      <w:r>
        <w:rPr>
          <w:b/>
          <w:sz w:val="21"/>
        </w:rPr>
        <w:t>Refinement 10 — Board quorum / Party A presence   (SHA Art. 4.3)</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Quorum = majority of directors only; no BNBL presence requirement.</w:t>
            </w:r>
          </w:p>
        </w:tc>
      </w:tr>
      <w:tr>
        <w:tc>
          <w:tcPr>
            <w:tcW w:type="dxa" w:w="4320"/>
          </w:tcPr>
          <w:p>
            <w:r>
              <w:rPr>
                <w:b/>
                <w:color w:val="C00000"/>
              </w:rPr>
              <w:t>Revised (v2)</w:t>
            </w:r>
          </w:p>
        </w:tc>
        <w:tc>
          <w:tcPr>
            <w:tcW w:type="dxa" w:w="4320"/>
          </w:tcPr>
          <w:p>
            <w:r>
              <w:t>Quorum also requires at least one Party A-appointed director/manager present; Reserved Matters (4.4) and 4.6 matters require a Party A-appointed director's approval AND Party A's prior written consent.</w:t>
            </w:r>
          </w:p>
        </w:tc>
      </w:tr>
      <w:tr>
        <w:tc>
          <w:tcPr>
            <w:tcW w:type="dxa" w:w="4320"/>
          </w:tcPr>
          <w:p>
            <w:r>
              <w:rPr>
                <w:b/>
              </w:rPr>
              <w:t>Rationale</w:t>
            </w:r>
          </w:p>
        </w:tc>
        <w:tc>
          <w:tcPr>
            <w:tcW w:type="dxa" w:w="4320"/>
          </w:tcPr>
          <w:p>
            <w:r>
              <w:t>Operationally guarantees BNBL is in the room; reinforces 4.6 control structure at the governance level.</w:t>
            </w:r>
          </w:p>
        </w:tc>
      </w:tr>
    </w:tbl>
    <w:p/>
    <w:p>
      <w:r>
        <w:rPr>
          <w:b/>
          <w:sz w:val="21"/>
        </w:rPr>
        <w:t>Refinement 11 — Confidentiality survival   (SHA Art. 5.5 (aligned to IP License Art. 6))</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Flat 5-year survival for all Confidential Information.</w:t>
            </w:r>
          </w:p>
        </w:tc>
      </w:tr>
      <w:tr>
        <w:tc>
          <w:tcPr>
            <w:tcW w:type="dxa" w:w="4320"/>
          </w:tcPr>
          <w:p>
            <w:r>
              <w:rPr>
                <w:b/>
                <w:color w:val="C00000"/>
              </w:rPr>
              <w:t>Revised (v2)</w:t>
            </w:r>
          </w:p>
        </w:tc>
        <w:tc>
          <w:tcPr>
            <w:tcW w:type="dxa" w:w="4320"/>
          </w:tcPr>
          <w:p>
            <w:r>
              <w:t>General Confidential Information: 5 years. Trade secrets, technical know-how, formulations, process conditions, unpublished patent information, and Background IP / Technical Improvements info: indefinite, for so long as non-public or a trade secret.</w:t>
            </w:r>
          </w:p>
        </w:tc>
      </w:tr>
      <w:tr>
        <w:tc>
          <w:tcPr>
            <w:tcW w:type="dxa" w:w="4320"/>
          </w:tcPr>
          <w:p>
            <w:r>
              <w:rPr>
                <w:b/>
              </w:rPr>
              <w:t>Rationale</w:t>
            </w:r>
          </w:p>
        </w:tc>
        <w:tc>
          <w:tcPr>
            <w:tcW w:type="dxa" w:w="4320"/>
          </w:tcPr>
          <w:p>
            <w:r>
              <w:t>Aligns SHA with the IP License; trade secrets must not lapse after a fixed term.</w:t>
            </w:r>
          </w:p>
        </w:tc>
      </w:tr>
    </w:tbl>
    <w:p/>
    <w:p>
      <w:r>
        <w:rPr>
          <w:b/>
          <w:sz w:val="21"/>
        </w:rPr>
        <w:t>Refinement 12 — Field of Use / Territory defined   (SHA Art. 1.7 (new); mirrored in IP License definitions)</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Field/Territory left as blank brackets across Arts. 1.5, 5.2, 7.1.</w:t>
            </w:r>
          </w:p>
        </w:tc>
      </w:tr>
      <w:tr>
        <w:tc>
          <w:tcPr>
            <w:tcW w:type="dxa" w:w="4320"/>
          </w:tcPr>
          <w:p>
            <w:r>
              <w:rPr>
                <w:b/>
                <w:color w:val="C00000"/>
              </w:rPr>
              <w:t>Revised (v2)</w:t>
            </w:r>
          </w:p>
        </w:tc>
        <w:tc>
          <w:tcPr>
            <w:tcW w:type="dxa" w:w="4320"/>
          </w:tcPr>
          <w:p>
            <w:r>
              <w:t>Field of Use = BNBL-approved products/partners/projects only: BD, market access, regulatory coordination, distribution, commercialization in the Territory; manufacturing only via BNBL-approved facilities/processes. Territory = United States unless BNBL approves expansion.</w:t>
            </w:r>
          </w:p>
        </w:tc>
      </w:tr>
      <w:tr>
        <w:tc>
          <w:tcPr>
            <w:tcW w:type="dxa" w:w="4320"/>
          </w:tcPr>
          <w:p>
            <w:r>
              <w:rPr>
                <w:b/>
              </w:rPr>
              <w:t>Rationale</w:t>
            </w:r>
          </w:p>
        </w:tc>
        <w:tc>
          <w:tcPr>
            <w:tcW w:type="dxa" w:w="4320"/>
          </w:tcPr>
          <w:p>
            <w:r>
              <w:t>Central definition prevents the NewCo from constraining BNBL's global HME-DDS business while keeping the NewCo commercially viable.</w:t>
            </w:r>
          </w:p>
        </w:tc>
      </w:tr>
    </w:tbl>
    <w:p/>
    <w:p>
      <w:r>
        <w:rPr>
          <w:b/>
          <w:sz w:val="21"/>
        </w:rPr>
        <w:t>Refinement 13 — Commercial Data disclosure, regulatory data, product liability   (SHA Art. 5.3(b); IP License Arts. 3.2, 3.3, 5.2)</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Commercial Data use limited to 'internal'; regulatory filing data only 'case-by-case'; no explicit product-liability allocation.</w:t>
            </w:r>
          </w:p>
        </w:tc>
      </w:tr>
      <w:tr>
        <w:tc>
          <w:tcPr>
            <w:tcW w:type="dxa" w:w="4320"/>
          </w:tcPr>
          <w:p>
            <w:r>
              <w:rPr>
                <w:b/>
                <w:color w:val="C00000"/>
              </w:rPr>
              <w:t>Revised (v2)</w:t>
            </w:r>
          </w:p>
        </w:tc>
        <w:tc>
          <w:tcPr>
            <w:tcW w:type="dxa" w:w="4320"/>
          </w:tcPr>
          <w:p>
            <w:r>
              <w:t>BNBL may disclose Commercial Data to affiliates, counsel, accountants, investors, partners, regulators, financing sources (under confidentiality); BNBL gets copy/access/use of any regulatory filing relying on its Background IP/Technical Improvements; Licensee solely responsible for product claims, labeling, marketing, submissions, adverse-event reporting, product liability, recalls, U.S.-law compliance (except BNBL breach) + insurance.</w:t>
            </w:r>
          </w:p>
        </w:tc>
      </w:tr>
      <w:tr>
        <w:tc>
          <w:tcPr>
            <w:tcW w:type="dxa" w:w="4320"/>
          </w:tcPr>
          <w:p>
            <w:r>
              <w:rPr>
                <w:b/>
              </w:rPr>
              <w:t>Rationale</w:t>
            </w:r>
          </w:p>
        </w:tc>
        <w:tc>
          <w:tcPr>
            <w:tcW w:type="dxa" w:w="4320"/>
          </w:tcPr>
          <w:p>
            <w:r>
              <w:t>Makes BNBL's data rights usable in real diligence/regulatory contexts and shields BNBL from U.S. product/regulatory liability.</w:t>
            </w:r>
          </w:p>
        </w:tc>
      </w:tr>
    </w:tbl>
    <w:p/>
    <w:p>
      <w:r>
        <w:rPr>
          <w:b/>
          <w:sz w:val="21"/>
        </w:rPr>
        <w:t>Refinement 14 — Schedule 1 milestones concretized   (SHA Schedule 1 / 1-A)</w:t>
      </w:r>
    </w:p>
    <w:tbl>
      <w:tblPr>
        <w:tblStyle w:val="TableGrid"/>
        <w:tblW w:type="auto" w:w="0"/>
        <w:tblLook w:firstColumn="1" w:firstRow="1" w:lastColumn="0" w:lastRow="0" w:noHBand="0" w:noVBand="1" w:val="04A0"/>
      </w:tblPr>
      <w:tblGrid>
        <w:gridCol w:w="4320"/>
        <w:gridCol w:w="4320"/>
      </w:tblGrid>
      <w:tr>
        <w:tc>
          <w:tcPr>
            <w:tcW w:type="dxa" w:w="4320"/>
          </w:tcPr>
          <w:p>
            <w:r>
              <w:rPr>
                <w:b/>
              </w:rPr>
              <w:t>Original (v1)</w:t>
            </w:r>
          </w:p>
        </w:tc>
        <w:tc>
          <w:tcPr>
            <w:tcW w:type="dxa" w:w="4320"/>
          </w:tcPr>
          <w:p>
            <w:r>
              <w:t>Milestones were [TBD] / [e.g.] placeholders.</w:t>
            </w:r>
          </w:p>
        </w:tc>
      </w:tr>
      <w:tr>
        <w:tc>
          <w:tcPr>
            <w:tcW w:type="dxa" w:w="4320"/>
          </w:tcPr>
          <w:p>
            <w:r>
              <w:rPr>
                <w:b/>
                <w:color w:val="C00000"/>
              </w:rPr>
              <w:t>Revised (v2)</w:t>
            </w:r>
          </w:p>
        </w:tc>
        <w:tc>
          <w:tcPr>
            <w:tcW w:type="dxa" w:w="4320"/>
          </w:tcPr>
          <w:p>
            <w:r>
              <w:t>Added illustrative milestone table (3/6/12-month + ongoing) framed as controllable deliverables: incorporation support, EIN/bank/operations, qualified partner lists, BNBL-approved introductions, LOI/MOU/PoC, monthly written updates, quarterly board reports.</w:t>
            </w:r>
          </w:p>
        </w:tc>
      </w:tr>
      <w:tr>
        <w:tc>
          <w:tcPr>
            <w:tcW w:type="dxa" w:w="4320"/>
          </w:tcPr>
          <w:p>
            <w:r>
              <w:rPr>
                <w:b/>
              </w:rPr>
              <w:t>Rationale</w:t>
            </w:r>
          </w:p>
        </w:tc>
        <w:tc>
          <w:tcPr>
            <w:tcW w:type="dxa" w:w="4320"/>
          </w:tcPr>
          <w:p>
            <w:r>
              <w:t>Objective, assessable milestones reduce future vesting disputes.</w:t>
            </w:r>
          </w:p>
        </w:tc>
      </w:tr>
    </w:tbl>
    <w:p/>
    <w:p>
      <w:r>
        <w:rPr>
          <w:b/>
          <w:sz w:val="21"/>
        </w:rPr>
        <w:t>Open items still bracketed (to be confirmed)</w:t>
      </w:r>
    </w:p>
    <w:p>
      <w:r>
        <w:rPr>
          <w:i w:val="0"/>
        </w:rPr>
        <w:t>•  Entity type (Corporation vs LLC)</w:t>
      </w:r>
    </w:p>
    <w:p>
      <w:r>
        <w:rPr>
          <w:i w:val="0"/>
        </w:rPr>
        <w:t>•  Company name</w:t>
      </w:r>
    </w:p>
    <w:p>
      <w:r>
        <w:rPr>
          <w:i w:val="0"/>
        </w:rPr>
        <w:t>•  Capital contribution amounts (USD)</w:t>
      </w:r>
    </w:p>
    <w:p>
      <w:r>
        <w:rPr>
          <w:i w:val="0"/>
        </w:rPr>
        <w:t>•  Field of Use and Territory — baseline definitions included; final scope and approved product/partner/project list to be confirmed</w:t>
      </w:r>
    </w:p>
    <w:p>
      <w:r>
        <w:rPr>
          <w:i w:val="0"/>
        </w:rPr>
        <w:t>•  Board size and seat allocation</w:t>
      </w:r>
    </w:p>
    <w:p>
      <w:r>
        <w:rPr>
          <w:i w:val="0"/>
        </w:rPr>
        <w:t>•  Art. 4.6(f) contract-value threshold</w:t>
      </w:r>
    </w:p>
    <w:p>
      <w:r>
        <w:rPr>
          <w:i w:val="0"/>
        </w:rPr>
        <w:t>•  Royalty rate</w:t>
      </w:r>
    </w:p>
    <w:p>
      <w:r>
        <w:rPr>
          <w:i w:val="0"/>
        </w:rPr>
        <w:t>•  Schedule 1 milestone final figures</w:t>
      </w:r>
    </w:p>
    <w:p/>
    <w:p>
      <w:r>
        <w:rPr>
          <w:i/>
          <w:color w:val="555555"/>
        </w:rPr>
        <w:t>Draft for discussion only; not legal advice. Confirm with Nevada-licensed counsel before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