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SHAREHOLDERS AGREEMENT</w:t>
      </w:r>
    </w:p>
    <w:p>
      <w:pPr>
        <w:jc w:val="center"/>
      </w:pPr>
      <w:r>
        <w:t>of</w:t>
        <w:br/>
        <w:t>[COMPANY NAME], [Corporation / LLC]</w:t>
        <w:br/>
        <w:t>A Nevada [Corporation / Limited Liability Company]</w:t>
        <w:br/>
        <w:br/>
        <w:t>Revised Draft v2 (BNBL markup)  |  Effective Date: May 11, 2026</w:t>
      </w:r>
    </w:p>
    <w:p/>
    <w:p>
      <w:r>
        <w:rPr>
          <w:i w:val="0"/>
        </w:rPr>
        <w:t>PARTIES</w:t>
      </w:r>
    </w:p>
    <w:p>
      <w:r>
        <w:rPr>
          <w:i w:val="0"/>
        </w:rPr>
        <w:t>Party A: BeNatureBioLab Co. Ltd. (Representative: Jong-Suep Baek)</w:t>
      </w:r>
    </w:p>
    <w:p>
      <w:r>
        <w:rPr>
          <w:i w:val="0"/>
        </w:rPr>
        <w:t>Party B: Seung-Rock Baek (Individual)</w:t>
      </w:r>
    </w:p>
    <w:p>
      <w:r>
        <w:rPr>
          <w:i w:val="0"/>
        </w:rPr>
        <w:t>Party C: John J. Kwon (Individual)</w:t>
      </w:r>
    </w:p>
    <w:p>
      <w:r>
        <w:rPr>
          <w:b/>
          <w:i w:val="0"/>
        </w:rPr>
        <w:t>CONFIDENTIAL — FOR EXECUTION PURPOSES ONLY</w:t>
      </w:r>
    </w:p>
    <w:p>
      <w:r>
        <w:rPr>
          <w:i/>
          <w:color w:val="555555"/>
        </w:rPr>
        <w:t>Editor's note: Clauses marked 【REVISED】 / 【NEW】 reflect the five issues raised by Party A (BNBL HQ). Two ancillary documents are referenced and to be executed alongside this Agreement: (i) the IP License Agreement (to be prepared by Party A's counsel) and (ii) Schedule 1 — Roles, Responsibilities &amp; Milestones.</w:t>
      </w:r>
    </w:p>
    <w:p>
      <w:r>
        <w:rPr>
          <w:b/>
          <w:sz w:val="24"/>
        </w:rPr>
        <w:t>RECITALS</w:t>
      </w:r>
    </w:p>
    <w:p>
      <w:r>
        <w:rPr>
          <w:i w:val="0"/>
        </w:rPr>
        <w:t>WHEREAS, the Parties desire to establish a new company under the laws of the State of Nevada to conduct business in the United States in connection with BeNatureBioLab's existing business operations and technology;</w:t>
      </w:r>
    </w:p>
    <w:p>
      <w:r>
        <w:rPr>
          <w:i w:val="0"/>
        </w:rPr>
        <w:t>WHEREAS, the Parties wish to define their respective rights, obligations, ownership interests, and governance arrangements with respect to the Company;</w:t>
      </w:r>
    </w:p>
    <w:p>
      <w:r>
        <w:rPr>
          <w:b/>
          <w:color w:val="C00000"/>
          <w:sz w:val="18"/>
        </w:rPr>
        <w:t>【 NEW 】</w:t>
      </w:r>
    </w:p>
    <w:p>
      <w:r>
        <w:rPr>
          <w:i w:val="0"/>
        </w:rPr>
        <w:t>WHEREAS, the Parties acknowledge that Party A's HME-DDS platform technology, patents, process conditions, and formulation know-how are core proprietary assets of Party A that are not contributed or assigned to the Company, but are made available, if at all, solely under a separate IP License Agreement; and that this Agreement is entered into in contemplation of Party A's long-term roadmap, future Series A financing, and possible initial public offering;</w:t>
      </w:r>
    </w:p>
    <w:p>
      <w:r>
        <w:rPr>
          <w:i w:val="0"/>
        </w:rPr>
        <w:t>NOW, THEREFORE, in consideration of the mutual covenants and agreements set forth herein, and for other good and valuable consideration, the receipt and sufficiency of which are hereby acknowledged, the Parties agree as follows:</w:t>
      </w:r>
    </w:p>
    <w:p>
      <w:r>
        <w:rPr>
          <w:b/>
          <w:sz w:val="24"/>
        </w:rPr>
        <w:t>ARTICLE 1 — INCORPORATION AND GENERAL PROVISIONS</w:t>
      </w:r>
    </w:p>
    <w:p>
      <w:r>
        <w:rPr>
          <w:b/>
          <w:sz w:val="21"/>
        </w:rPr>
        <w:t>1.1  Entity Type and Formation</w:t>
      </w:r>
    </w:p>
    <w:p>
      <w:r>
        <w:rPr>
          <w:i w:val="0"/>
        </w:rPr>
        <w:t>The Parties shall form a [Corporation / Limited Liability Company] (the “Company”) under the laws of the State of Nevada. [Select one: If Corporation, this Agreement is a Shareholders Agreement governed by NRS Chapter 78. If LLC, this Agreement functions as a Members Agreement supplementing the Operating Agreement, governed by NRS Chapter 86.] The Parties shall execute all documents required by the Nevada Secretary of State to complete the formation.</w:t>
      </w:r>
    </w:p>
    <w:p>
      <w:r>
        <w:rPr>
          <w:b/>
          <w:sz w:val="21"/>
        </w:rPr>
        <w:t>1.2  Company Name</w:t>
      </w:r>
    </w:p>
    <w:p>
      <w:r>
        <w:rPr>
          <w:i w:val="0"/>
        </w:rPr>
        <w:t>The name of the Company shall be: [COMPANY NAME] [Corporation / LLC].</w:t>
      </w:r>
    </w:p>
    <w:p>
      <w:r>
        <w:rPr>
          <w:b/>
          <w:sz w:val="21"/>
        </w:rPr>
        <w:t>1.3  Principal Office</w:t>
      </w:r>
    </w:p>
    <w:p>
      <w:r>
        <w:rPr>
          <w:i w:val="0"/>
        </w:rPr>
        <w:t>The principal place of business of the Company shall be located within the State of Nevada at the following address: [Street Address, City, NV ZIP Code].</w:t>
      </w:r>
    </w:p>
    <w:p>
      <w:r>
        <w:rPr>
          <w:b/>
          <w:sz w:val="21"/>
        </w:rPr>
        <w:t>1.4  Registered Agent</w:t>
      </w:r>
    </w:p>
    <w:p>
      <w:r>
        <w:rPr>
          <w:i w:val="0"/>
        </w:rPr>
        <w:t>The Company shall at all times maintain a registered agent with a physical address in the State of Nevada, as required by NRS 86.221 (LLC) or NRS 78.090 (Corporation). The initial registered agent is: [Registered Agent Name], [Nevada Street Address, City, NV ZIP].</w:t>
      </w:r>
    </w:p>
    <w:p>
      <w:r>
        <w:rPr>
          <w:b/>
          <w:sz w:val="21"/>
        </w:rPr>
        <w:t>1.5  Business Purpose</w:t>
      </w:r>
    </w:p>
    <w:p>
      <w:r>
        <w:rPr>
          <w:i w:val="0"/>
        </w:rPr>
        <w:t>The Company is formed to carry on business within the Field of Use and the Territory as defined in Article 1.7, and any other lawful business activities as the Board may determine from time to time, subject to Articles 1.7, 4.4, and 4.6.</w:t>
      </w:r>
    </w:p>
    <w:p>
      <w:r>
        <w:rPr>
          <w:b/>
          <w:sz w:val="21"/>
        </w:rPr>
        <w:t>1.6  Fiscal Year</w:t>
      </w:r>
    </w:p>
    <w:p>
      <w:r>
        <w:rPr>
          <w:i w:val="0"/>
        </w:rPr>
        <w:t>The fiscal year of the Company shall end on December 31 of each calendar year, unless otherwise determined by the Board.</w:t>
      </w:r>
    </w:p>
    <w:p>
      <w:r>
        <w:rPr>
          <w:b/>
          <w:color w:val="C00000"/>
          <w:sz w:val="18"/>
        </w:rPr>
        <w:t>【 NEW — Field of Use &amp; Territory definitions 】</w:t>
      </w:r>
    </w:p>
    <w:p>
      <w:r>
        <w:rPr>
          <w:b/>
          <w:sz w:val="21"/>
        </w:rPr>
        <w:t>1.7  Field of Use and Territory</w:t>
      </w:r>
    </w:p>
    <w:p>
      <w:r>
        <w:rPr>
          <w:i w:val="0"/>
        </w:rPr>
        <w:t>(a)  “Field of Use” means business development, market access, regulatory coordination, distribution, and commercialization in the Territory of food, nutraceutical, cosmetic, and pharmaceutical formulation products or services using the Licensed IP, in each case only with respect to products, partners, and projects approved in writing by Party A. Manufacturing, if any, shall be conducted only through facilities and processes approved in writing by Party A. Any activity outside the Field of Use is reserved to Party A.</w:t>
      </w:r>
    </w:p>
    <w:p>
      <w:r>
        <w:rPr>
          <w:i w:val="0"/>
        </w:rPr>
        <w:t>(b)  “Territory” means the United States of America, unless otherwise approved in writing by Party A. Any activity outside the Territory is reserved to Party A.</w:t>
      </w:r>
    </w:p>
    <w:p>
      <w:r>
        <w:rPr>
          <w:i/>
        </w:rPr>
        <w:t>(c)  The Field of Use and Territory defined in this Section apply throughout this Agreement (including Articles 1.5, 5.2, and 7.1) and shall be mirrored in the IP License Agreement.</w:t>
      </w:r>
    </w:p>
    <w:p>
      <w:r>
        <w:rPr>
          <w:b/>
          <w:sz w:val="24"/>
        </w:rPr>
        <w:t>ARTICLE 2 — CAPITAL CONTRIBUTIONS AND EQUITY OWNERSHIP</w:t>
      </w:r>
    </w:p>
    <w:p>
      <w:r>
        <w:rPr>
          <w:b/>
          <w:sz w:val="21"/>
        </w:rPr>
        <w:t>2.1  Initial Contributions and Equity Interests</w:t>
      </w:r>
    </w:p>
    <w:p>
      <w:r>
        <w:rPr>
          <w:i w:val="0"/>
        </w:rPr>
        <w:t>Upon formation of the Company, each Party shall contribute the following amounts in exchange for the corresponding equity interest: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Party</w:t>
            </w:r>
          </w:p>
        </w:tc>
        <w:tc>
          <w:tcPr>
            <w:tcW w:type="dxa" w:w="2160"/>
          </w:tcPr>
          <w:p>
            <w:r>
              <w:rPr>
                <w:b/>
              </w:rPr>
              <w:t>Contribution Amount</w:t>
            </w:r>
          </w:p>
        </w:tc>
        <w:tc>
          <w:tcPr>
            <w:tcW w:type="dxa" w:w="2160"/>
          </w:tcPr>
          <w:p>
            <w:r>
              <w:rPr>
                <w:b/>
              </w:rPr>
              <w:t>Equity Interest</w:t>
            </w:r>
          </w:p>
        </w:tc>
        <w:tc>
          <w:tcPr>
            <w:tcW w:type="dxa" w:w="2160"/>
          </w:tcPr>
          <w:p>
            <w:r>
              <w:rPr>
                <w:b/>
              </w:rPr>
              <w:t>Form of Contribution</w:t>
            </w:r>
          </w:p>
        </w:tc>
      </w:tr>
      <w:tr>
        <w:tc>
          <w:tcPr>
            <w:tcW w:type="dxa" w:w="2160"/>
          </w:tcPr>
          <w:p>
            <w:r>
              <w:t>Party A — BeNatureBioLab Co. Ltd.</w:t>
            </w:r>
          </w:p>
        </w:tc>
        <w:tc>
          <w:tcPr>
            <w:tcW w:type="dxa" w:w="2160"/>
          </w:tcPr>
          <w:p>
            <w:r>
              <w:t>USD $[________]</w:t>
            </w:r>
          </w:p>
        </w:tc>
        <w:tc>
          <w:tcPr>
            <w:tcW w:type="dxa" w:w="2160"/>
          </w:tcPr>
          <w:p>
            <w:r>
              <w:t>80%</w:t>
            </w:r>
          </w:p>
        </w:tc>
        <w:tc>
          <w:tcPr>
            <w:tcW w:type="dxa" w:w="2160"/>
          </w:tcPr>
          <w:p>
            <w:r>
              <w:t>[Cash and/or Services]</w:t>
            </w:r>
          </w:p>
        </w:tc>
      </w:tr>
      <w:tr>
        <w:tc>
          <w:tcPr>
            <w:tcW w:type="dxa" w:w="2160"/>
          </w:tcPr>
          <w:p>
            <w:r>
              <w:t>Party B — Seung-Rock Baek</w:t>
            </w:r>
          </w:p>
        </w:tc>
        <w:tc>
          <w:tcPr>
            <w:tcW w:type="dxa" w:w="2160"/>
          </w:tcPr>
          <w:p>
            <w:r>
              <w:t>USD $[________]</w:t>
            </w:r>
          </w:p>
        </w:tc>
        <w:tc>
          <w:tcPr>
            <w:tcW w:type="dxa" w:w="2160"/>
          </w:tcPr>
          <w:p>
            <w:r>
              <w:t>10%</w:t>
            </w:r>
          </w:p>
        </w:tc>
        <w:tc>
          <w:tcPr>
            <w:tcW w:type="dxa" w:w="2160"/>
          </w:tcPr>
          <w:p>
            <w:r>
              <w:t>[Cash / Services]</w:t>
            </w:r>
          </w:p>
        </w:tc>
      </w:tr>
      <w:tr>
        <w:tc>
          <w:tcPr>
            <w:tcW w:type="dxa" w:w="2160"/>
          </w:tcPr>
          <w:p>
            <w:r>
              <w:t>Party C — John J. Kwon</w:t>
            </w:r>
          </w:p>
        </w:tc>
        <w:tc>
          <w:tcPr>
            <w:tcW w:type="dxa" w:w="2160"/>
          </w:tcPr>
          <w:p>
            <w:r>
              <w:t>USD $[________]</w:t>
            </w:r>
          </w:p>
        </w:tc>
        <w:tc>
          <w:tcPr>
            <w:tcW w:type="dxa" w:w="2160"/>
          </w:tcPr>
          <w:p>
            <w:r>
              <w:t>10%</w:t>
            </w:r>
          </w:p>
        </w:tc>
        <w:tc>
          <w:tcPr>
            <w:tcW w:type="dxa" w:w="2160"/>
          </w:tcPr>
          <w:p>
            <w:r>
              <w:t>[Cash / Services]</w:t>
            </w:r>
          </w:p>
        </w:tc>
      </w:tr>
    </w:tbl>
    <w:p>
      <w:r>
        <w:rPr>
          <w:b/>
          <w:color w:val="C00000"/>
          <w:sz w:val="18"/>
        </w:rPr>
        <w:t>【 REVISED 】</w:t>
      </w:r>
    </w:p>
    <w:p>
      <w:r>
        <w:rPr>
          <w:i w:val="0"/>
        </w:rPr>
        <w:t>For the avoidance of doubt, Party A's equity interest is not granted in consideration of, and does not include, any assignment, transfer, or contribution of Party A's intellectual property. Party A's Background IP shall remain solely owned by Party A and shall be made available to the Company, if at all, only under the separate IP License Agreement referred to in Article 5.2. Party A's capital contribution shall consist solely of cash and/or services as set out above.</w:t>
      </w:r>
    </w:p>
    <w:p>
      <w:r>
        <w:rPr>
          <w:b/>
          <w:sz w:val="21"/>
        </w:rPr>
        <w:t>2.2  Payment Schedule</w:t>
      </w:r>
    </w:p>
    <w:p>
      <w:r>
        <w:rPr>
          <w:i w:val="0"/>
        </w:rPr>
        <w:t>Each Party shall deliver their respective contribution in full to the Company's designated bank account no later than [30] days following the date of the Company's formation. Failure to deliver a contribution by the due date shall constitute a material breach of this Agreement.</w:t>
      </w:r>
    </w:p>
    <w:p>
      <w:r>
        <w:rPr>
          <w:b/>
          <w:sz w:val="21"/>
        </w:rPr>
        <w:t>2.3  Additional Capital Contributions</w:t>
      </w:r>
    </w:p>
    <w:p>
      <w:r>
        <w:rPr>
          <w:i w:val="0"/>
        </w:rPr>
        <w:t>If the Board determines that additional capital is required for the Company's operations, each Party shall have the right, but not the obligation, to contribute additional capital on a pro-rata basis in proportion to their then-current equity interest (the “Pro-Rata Right”). If any Party elects not to exercise their Pro-Rata Right within [30] days of written notice from the Board, the other Parties may contribute the declined amount, resulting in adjustment of equity interests accordingly.</w:t>
      </w:r>
    </w:p>
    <w:p>
      <w:r>
        <w:rPr>
          <w:b/>
          <w:sz w:val="21"/>
        </w:rPr>
        <w:t>2.4  Anti-Dilution Protection</w:t>
      </w:r>
    </w:p>
    <w:p>
      <w:r>
        <w:rPr>
          <w:i w:val="0"/>
        </w:rPr>
        <w:t>In the event the Company issues new equity interests to third parties, including in connection with any venture capital or external investment, the following provisions shall apply:</w:t>
      </w:r>
    </w:p>
    <w:p>
      <w:r>
        <w:rPr>
          <w:b/>
          <w:color w:val="C00000"/>
          <w:sz w:val="18"/>
        </w:rPr>
        <w:t>【 REVISED — Issue 1 】</w:t>
      </w:r>
    </w:p>
    <w:p>
      <w:r>
        <w:rPr>
          <w:i w:val="0"/>
        </w:rPr>
        <w:t>(a)  Party A Right to Maintain Majority Control (right, not obligation): Party A shall have the right, but not the obligation, to maintain ownership of at least fifty-one percent (51%) of the total issued and outstanding equity of the Company. To give effect to this right, the Company shall not issue, and no other Party shall approve the issuance of, any new equity that would reduce Party A's holding below 51% without Party A's prior written consent. Party A may, in its sole discretion, decline to exercise this right, or waive, reduce, or modify this threshold in whole or in part — including in connection with any strategic investment, U.S. partnership, financing round, or initial public offering — by written notice, with no obligation to maintain any minimum percentage. Nothing in this Agreement shall be construed to require Party A to make any additional capital contribution in order to maintain such threshold.</w:t>
      </w:r>
    </w:p>
    <w:p>
      <w:r>
        <w:rPr>
          <w:i w:val="0"/>
        </w:rPr>
        <w:t>(b)  Pro-Rata Participation Right: Prior to issuing any new equity to a third party, the Company shall offer each of Parties B and C the right to purchase their pro-rata share of the new issuance on the same terms and conditions offered to the third party. Each Party shall have [20] Business Days to exercise this right.</w:t>
      </w:r>
    </w:p>
    <w:p>
      <w:r>
        <w:rPr>
          <w:i w:val="0"/>
        </w:rPr>
        <w:t>(c)  Notice Requirement: The Company shall provide written notice to Parties B and C of any proposed new issuance no less than [30] days in advance, including the proposed terms, valuation, and identity of the proposed investor.</w:t>
      </w:r>
    </w:p>
    <w:p>
      <w:r>
        <w:rPr>
          <w:b/>
          <w:sz w:val="24"/>
        </w:rPr>
        <w:t>ARTICLE 3 — VESTING SCHEDULE</w:t>
      </w:r>
    </w:p>
    <w:p>
      <w:r>
        <w:rPr>
          <w:b/>
          <w:sz w:val="21"/>
        </w:rPr>
        <w:t>3.1  Vesting of Equity Interests</w:t>
      </w:r>
    </w:p>
    <w:p>
      <w:r>
        <w:rPr>
          <w:i w:val="0"/>
        </w:rPr>
        <w:t>To ensure continued commitment of the founding members, the equity interests of Parties B and C shall be subject to a vesting schedule as follows, provided that the relevant Party remains actively involved with the Company:</w:t>
      </w:r>
    </w:p>
    <w:p>
      <w:r>
        <w:rPr>
          <w:i w:val="0"/>
        </w:rPr>
        <w:t>(a)  Cliff: 25% of each Party's equity interest shall vest on the first anniversary of the Effective Date (the “Cliff”).</w:t>
      </w:r>
    </w:p>
    <w:p>
      <w:r>
        <w:rPr>
          <w:i w:val="0"/>
        </w:rPr>
        <w:t>(b)  Monthly Vesting: Following the Cliff, the remaining 75% shall vest in equal monthly installments over the subsequent 36 months.</w:t>
      </w:r>
    </w:p>
    <w:p>
      <w:r>
        <w:rPr>
          <w:i w:val="0"/>
        </w:rPr>
        <w:t>(c)  Full Vesting Period: Full vesting shall occur 48 months from the Effective Date.</w:t>
      </w:r>
    </w:p>
    <w:p>
      <w:r>
        <w:rPr>
          <w:b/>
          <w:color w:val="C00000"/>
          <w:sz w:val="18"/>
        </w:rPr>
        <w:t>【 NEW — Issue 5 (vesting + milestones) 】</w:t>
      </w:r>
    </w:p>
    <w:p>
      <w:r>
        <w:rPr>
          <w:i w:val="0"/>
        </w:rPr>
        <w:t>(d)  Performance / Milestone Component: In addition to the time-based vesting above, vesting of Parties B and C is conditioned upon their continued active involvement in, and material performance of, the roles, responsibilities, and milestones set forth in Schedule 1. The Board, subject to Party A's approval under Article 4.6, shall determine in good faith whether the applicable milestones have been achieved. [Optional: __% of each of Party B's and Party C's equity shall vest only upon achievement of the milestones set out in Schedule 1.]</w:t>
      </w:r>
    </w:p>
    <w:p>
      <w:r>
        <w:rPr>
          <w:b/>
          <w:sz w:val="21"/>
        </w:rPr>
        <w:t>3.2  Unvested Interests Upon Departure</w:t>
      </w:r>
    </w:p>
    <w:p>
      <w:r>
        <w:rPr>
          <w:i w:val="0"/>
        </w:rPr>
        <w:t>If a Party voluntarily withdraws or is removed for cause prior to full vesting, any unvested equity interests shall be forfeited and returned to the Company at no consideration, or at a price determined by the Board in its reasonable discretion. Party A's equity interest is not subject to vesting.</w:t>
      </w:r>
    </w:p>
    <w:p>
      <w:r>
        <w:rPr>
          <w:b/>
          <w:color w:val="C00000"/>
          <w:sz w:val="18"/>
        </w:rPr>
        <w:t>【 REVISED — acceleration aligned with milestone vesting 】</w:t>
      </w:r>
    </w:p>
    <w:p>
      <w:r>
        <w:rPr>
          <w:b/>
          <w:sz w:val="21"/>
        </w:rPr>
        <w:t>3.3  Acceleration</w:t>
      </w:r>
    </w:p>
    <w:p>
      <w:r>
        <w:rPr>
          <w:i w:val="0"/>
        </w:rPr>
        <w:t>Notwithstanding anything to the contrary, no acceleration of vesting of Parties B or C shall occur unless expressly approved in writing by Party A. Acceleration in connection with a Change of Control shall apply only to a transaction that Party A has approved and on terms approved by Party A, and shall be subject to a double trigger: (i) the consummation of a Party A-approved Change of Control, and (ii) the termination of the relevant Party's role, or a material reduction in that role, in connection with such transaction (other than for cause). For the avoidance of doubt, this Section does not override the milestone-based vesting conditions in Section 3.1(d); unvested interests that have not satisfied the applicable milestones shall not accelerate except as approved in writing by Party A.</w:t>
      </w:r>
    </w:p>
    <w:p>
      <w:r>
        <w:rPr>
          <w:b/>
          <w:color w:val="C00000"/>
          <w:sz w:val="18"/>
        </w:rPr>
        <w:t>【 NEW — tax responsibility (Section 83(b)) 】</w:t>
      </w:r>
    </w:p>
    <w:p>
      <w:r>
        <w:rPr>
          <w:b/>
          <w:sz w:val="21"/>
        </w:rPr>
        <w:t>3.4  Tax Treatment of Service Equity</w:t>
      </w:r>
    </w:p>
    <w:p>
      <w:r>
        <w:rPr>
          <w:i w:val="0"/>
        </w:rPr>
        <w:t>Each Party receiving equity interests subject to vesting acknowledges that such interests may be subject to U.S. federal and state income tax. Each such Party shall be solely responsible for consulting his or her own tax advisor regarding any election under Section 83(b) of the U.S. Internal Revenue Code (which generally must be filed within 30 days of the transfer of restricted equity) or any similar tax filing. Neither Party A nor the Company shall be responsible for any tax consequences arising from any such Party's failure to make a timely or proper election, and the Company shall not be obligated to provide tax advice.</w:t>
      </w:r>
    </w:p>
    <w:p>
      <w:r>
        <w:rPr>
          <w:b/>
          <w:sz w:val="24"/>
        </w:rPr>
        <w:t>ARTICLE 4 — MANAGEMENT AND GOVERNANCE</w:t>
      </w:r>
    </w:p>
    <w:p>
      <w:r>
        <w:rPr>
          <w:b/>
          <w:sz w:val="21"/>
        </w:rPr>
        <w:t>4.1  Board of Directors / Managers</w:t>
      </w:r>
    </w:p>
    <w:p>
      <w:r>
        <w:rPr>
          <w:i w:val="0"/>
        </w:rPr>
        <w:t>The Company shall be governed by a Board of Directors (if a Corporation) or Board of Managers (if an LLC) consisting of [3 / 5] members (the “Board”). The initial composition of the Board shall be as follows:</w:t>
      </w:r>
    </w:p>
    <w:p>
      <w:r>
        <w:rPr>
          <w:i w:val="0"/>
        </w:rPr>
        <w:t>(a)  Party A shall have the right to appoint [2] directors/managers (and, for so long as Party A holds a majority of the equity, the right to appoint a majority of the Board);</w:t>
      </w:r>
    </w:p>
    <w:p>
      <w:r>
        <w:rPr>
          <w:i w:val="0"/>
        </w:rPr>
        <w:t>(b)  Party B shall have the right to appoint [1] director/manager;</w:t>
      </w:r>
    </w:p>
    <w:p>
      <w:r>
        <w:rPr>
          <w:i w:val="0"/>
        </w:rPr>
        <w:t>(c)  Party C shall have the right to appoint [1] director/manager (if 5-member Board); OR Parties B and C shall jointly have the right to appoint [1] director/manager.</w:t>
      </w:r>
    </w:p>
    <w:p>
      <w:r>
        <w:rPr>
          <w:i w:val="0"/>
        </w:rPr>
        <w:t>Each Party's right to appoint a director/manager is proportional to their equity interest and shall be adjusted in the event of a material change in equity ownership.</w:t>
      </w:r>
    </w:p>
    <w:p>
      <w:r>
        <w:rPr>
          <w:b/>
          <w:sz w:val="21"/>
        </w:rPr>
        <w:t>4.2  Officers and Roles</w:t>
      </w:r>
    </w:p>
    <w:p>
      <w:r>
        <w:rPr>
          <w:b/>
          <w:color w:val="C00000"/>
          <w:sz w:val="18"/>
        </w:rPr>
        <w:t>【 REVISED — Issue 5 (roles) 】</w:t>
      </w:r>
    </w:p>
    <w:p>
      <w:r>
        <w:rPr>
          <w:i w:val="0"/>
        </w:rPr>
        <w:t>The Board shall appoint the officers of the Company. Subject to confirmation by mutual agreement of the three principals, the initial roles are contemplated as follows:</w:t>
      </w:r>
    </w:p>
    <w:p>
      <w:r>
        <w:rPr>
          <w:i w:val="0"/>
        </w:rPr>
        <w:t>• Jong-Suep Baek (Party A representative): Chairman &amp; CEO / Board Chair — responsible for BNBL HQ IP stewardship, overall governance, and key strategic decisions;</w:t>
      </w:r>
    </w:p>
    <w:p>
      <w:r>
        <w:rPr>
          <w:i w:val="0"/>
        </w:rPr>
        <w:t>• John J. Kwon (Party C): President / Head of U.S. Operations &amp; Market Access — responsible for U.S. operations, partner sourcing, market access, and expert-network development;</w:t>
      </w:r>
    </w:p>
    <w:p>
      <w:r>
        <w:rPr>
          <w:i w:val="0"/>
        </w:rPr>
        <w:t>• Seung-Rock Baek (Party B): Director (Strategic BD Lead) / Director &amp; Strategic Advisor — responsible for Korea–U.S. business development, strategic-partner connection, and related network coordination.</w:t>
      </w:r>
    </w:p>
    <w:p>
      <w:r>
        <w:rPr>
          <w:i w:val="0"/>
        </w:rPr>
        <w:t>The specific roles, responsibilities, performance contributions, reporting obligations, and milestones of each Party are set forth in Schedule 1. Final titles and scope shall be confirmed by mutual agreement of the three principals. Officers serve at the pleasure of the Board and may be removed by a majority Board vote.</w:t>
      </w:r>
    </w:p>
    <w:p>
      <w:r>
        <w:rPr>
          <w:b/>
          <w:sz w:val="21"/>
        </w:rPr>
        <w:t>4.3  Quorum and Ordinary Resolutions</w:t>
      </w:r>
    </w:p>
    <w:p>
      <w:r>
        <w:rPr>
          <w:b/>
          <w:color w:val="C00000"/>
          <w:sz w:val="18"/>
        </w:rPr>
        <w:t>【 REVISED — Party A presence requirement 】</w:t>
      </w:r>
    </w:p>
    <w:p>
      <w:r>
        <w:rPr>
          <w:i w:val="0"/>
        </w:rPr>
        <w:t>A quorum for Board meetings shall require the presence of a majority of the directors/managers then in office, and no Board meeting shall be duly constituted unless at least one (1) director/manager appointed by Party A is present (in person, by proxy, or by electronic means). If a quorum is not present for lack of a Party A-appointed director/manager, the meeting shall be adjourned and re-noticed. Ordinary resolutions require approval by a majority of directors/managers present at a duly convened meeting. For the avoidance of doubt, no resolution concerning any Reserved Matter (Article 4.4) or any matter listed in Article 4.6 shall be valid unless (i) approved by at least one Party A-appointed director/manager and (ii) Party A's prior written consent has been obtained.</w:t>
      </w:r>
    </w:p>
    <w:p>
      <w:r>
        <w:rPr>
          <w:b/>
          <w:sz w:val="21"/>
        </w:rPr>
        <w:t>4.4  Supermajority and Reserved Matters</w:t>
      </w:r>
    </w:p>
    <w:p>
      <w:r>
        <w:rPr>
          <w:i w:val="0"/>
        </w:rPr>
        <w:t>The following matters shall require approval by [75%] of the total issued and outstanding equity interests (not merely directors present), and no such action shall be taken without such approval:</w:t>
      </w:r>
    </w:p>
    <w:p>
      <w:r>
        <w:rPr>
          <w:i w:val="0"/>
        </w:rPr>
        <w:t>(a)  Amendment of the Articles of Incorporation / Organization or Bylaws / Operating Agreement;</w:t>
      </w:r>
    </w:p>
    <w:p>
      <w:r>
        <w:rPr>
          <w:i w:val="0"/>
        </w:rPr>
        <w:t>(b)  Dissolution, merger, or consolidation of the Company;</w:t>
      </w:r>
    </w:p>
    <w:p>
      <w:r>
        <w:rPr>
          <w:i w:val="0"/>
        </w:rPr>
        <w:t>(c)  Borrowing of funds in excess of USD $[50,000] in any single transaction or series of related transactions;</w:t>
      </w:r>
    </w:p>
    <w:p>
      <w:r>
        <w:rPr>
          <w:i w:val="0"/>
        </w:rPr>
        <w:t>(d)  Entry into a new line of business materially different from the Company's current business purpose;</w:t>
      </w:r>
    </w:p>
    <w:p>
      <w:r>
        <w:rPr>
          <w:i w:val="0"/>
        </w:rPr>
        <w:t>(e)  Sale, assignment, or exclusive licensing of any material intellectual property;</w:t>
      </w:r>
    </w:p>
    <w:p>
      <w:r>
        <w:rPr>
          <w:i w:val="0"/>
        </w:rPr>
        <w:t>(f)  Issuance of new equity interests or securities convertible into equity;</w:t>
      </w:r>
    </w:p>
    <w:p>
      <w:r>
        <w:rPr>
          <w:i w:val="0"/>
        </w:rPr>
        <w:t>(g)  Any transaction with a related party in excess of USD $[10,000].</w:t>
      </w:r>
    </w:p>
    <w:p>
      <w:r>
        <w:rPr>
          <w:b/>
          <w:sz w:val="21"/>
        </w:rPr>
        <w:t>4.5  Dividend Policy</w:t>
      </w:r>
    </w:p>
    <w:p>
      <w:r>
        <w:rPr>
          <w:i w:val="0"/>
        </w:rPr>
        <w:t>The Board shall determine whether and when dividends or distributions are declared, taking into account the Company's cash flow, working capital requirements, and growth plans. Subject to applicable law, any distribution shall be made to all Parties in proportion to their then-current equity interests. No distribution shall be made that would render the Company unable to pay its debts as they become due.</w:t>
      </w:r>
    </w:p>
    <w:p>
      <w:r>
        <w:rPr>
          <w:b/>
          <w:color w:val="C00000"/>
          <w:sz w:val="18"/>
        </w:rPr>
        <w:t>【 NEW — Issue 5 (BNBL HQ prior-approval / control structure) 】</w:t>
      </w:r>
    </w:p>
    <w:p>
      <w:r>
        <w:rPr>
          <w:b/>
          <w:sz w:val="21"/>
        </w:rPr>
        <w:t>4.6  Party A (BNBL HQ) Prior Approval Rights</w:t>
      </w:r>
    </w:p>
    <w:p>
      <w:r>
        <w:rPr>
          <w:i w:val="0"/>
        </w:rPr>
        <w:t>Regardless of any Party's title or office, the Company shall not undertake, and no officer, director, or manager shall cause or permit the Company to undertake, any of the following without the prior written approval of Party A:</w:t>
      </w:r>
    </w:p>
    <w:p>
      <w:r>
        <w:rPr>
          <w:i w:val="0"/>
        </w:rPr>
        <w:t>(a)  entering into, amending, or terminating any intellectual property license (including the IP License Agreement) or any agreement affecting Party A's Background IP or Improvements;</w:t>
      </w:r>
    </w:p>
    <w:p>
      <w:r>
        <w:rPr>
          <w:i w:val="0"/>
        </w:rPr>
        <w:t>(b)  any issuance, repurchase, or redemption of equity interests or securities convertible into equity;</w:t>
      </w:r>
    </w:p>
    <w:p>
      <w:r>
        <w:rPr>
          <w:i w:val="0"/>
        </w:rPr>
        <w:t>(c)  any external fundraising or investment, including any Series A or other financing round, or any initial public offering;</w:t>
      </w:r>
    </w:p>
    <w:p>
      <w:r>
        <w:rPr>
          <w:i w:val="0"/>
        </w:rPr>
        <w:t>(d)  entering into any exclusive arrangement (including exclusive distribution, supply, or licensing);</w:t>
      </w:r>
    </w:p>
    <w:p>
      <w:r>
        <w:rPr>
          <w:i w:val="0"/>
        </w:rPr>
        <w:t>(e)  entering into any joint venture, strategic alliance, merger, acquisition, or sale of all or substantially all of the assets of the Company;</w:t>
      </w:r>
    </w:p>
    <w:p>
      <w:r>
        <w:rPr>
          <w:i w:val="0"/>
        </w:rPr>
        <w:t>(f)  entering into any single contract, or series of related contracts, with a value exceeding USD $[________];</w:t>
      </w:r>
    </w:p>
    <w:p>
      <w:r>
        <w:rPr>
          <w:i w:val="0"/>
        </w:rPr>
        <w:t>(g)  any matter listed in Article 4.4.</w:t>
      </w:r>
    </w:p>
    <w:p>
      <w:r>
        <w:rPr>
          <w:i/>
        </w:rPr>
        <w:t>The Parties acknowledge that these approval rights exist to provide the control structure required for Party A's long-term roadmap, Series A due diligence, future IPO, and possible separate U.S. partnerships, and are not intended to limit the roles or contributions of Parties B or C.</w:t>
      </w:r>
    </w:p>
    <w:p>
      <w:r>
        <w:rPr>
          <w:b/>
          <w:sz w:val="24"/>
        </w:rPr>
        <w:t>ARTICLE 5 — INTELLECTUAL PROPERTY</w:t>
      </w:r>
    </w:p>
    <w:p>
      <w:r>
        <w:rPr>
          <w:b/>
          <w:sz w:val="21"/>
        </w:rPr>
        <w:t>5.1  Background IP</w:t>
      </w:r>
    </w:p>
    <w:p>
      <w:r>
        <w:rPr>
          <w:i w:val="0"/>
        </w:rPr>
        <w:t>All intellectual property developed, owned, or controlled by Party A prior to, or independently of, this Agreement (the “Background IP”), including without limitation Party A's HME-DDS platform technology, patents, process conditions, and formulation know-how, shall remain the sole and exclusive property of Party A. The Background IP is not contributed, assigned, or transferred to the Company under this Agreement.</w:t>
      </w:r>
    </w:p>
    <w:p>
      <w:r>
        <w:rPr>
          <w:b/>
          <w:color w:val="C00000"/>
          <w:sz w:val="18"/>
        </w:rPr>
        <w:t>【 REVISED — Issue 2 (license, not contribution) 】</w:t>
      </w:r>
    </w:p>
    <w:p>
      <w:r>
        <w:rPr>
          <w:b/>
          <w:sz w:val="21"/>
        </w:rPr>
        <w:t>5.2  License of Background IP to Company</w:t>
      </w:r>
    </w:p>
    <w:p>
      <w:r>
        <w:rPr>
          <w:i w:val="0"/>
        </w:rPr>
        <w:t>Party A's Background IP shall not be assigned, transferred, or contributed to the Company. Party A shall instead make available to the Company, if at all, a limited, non-exclusive, non-transferable, non-sublicensable, royalty-bearing license, terminable solely upon the events specified in the IP License Agreement, to use specified Background IP solely within the field of use and territory, and for the term, set forth in a separate IP License Agreement to be entered into between Party A and the Company (the “IP License Agreement”). The IP License Agreement shall govern the scope, field of use, territory, royalty, quality control, term, and termination of the license, and shall prevail over this Agreement with respect to the Background IP. The license shall terminate upon dissolution of the Company, upon termination of the IP License Agreement in accordance with its terms, or upon any reduction of Party A's equity below 51% that occurs without Party A's prior written approval; for the avoidance of doubt, the license shall continue in effect where such reduction results from a strategic investment, partnership, financing, initial public offering, or restructuring that Party A has approved. The Parties acknowledge that Party A's HME-DDS platform technology, patents, process conditions, and formulation know-how are core assets of Party A that are licensed, not contributed.</w:t>
      </w:r>
    </w:p>
    <w:p>
      <w:r>
        <w:rPr>
          <w:b/>
          <w:color w:val="C00000"/>
          <w:sz w:val="18"/>
        </w:rPr>
        <w:t>【 REVISED — Issue 3 (Foreground IP / Improvements) 】</w:t>
      </w:r>
    </w:p>
    <w:p>
      <w:r>
        <w:rPr>
          <w:b/>
          <w:sz w:val="21"/>
        </w:rPr>
        <w:t>5.3  Foreground IP and Improvements</w:t>
      </w:r>
    </w:p>
    <w:p>
      <w:r>
        <w:rPr>
          <w:i w:val="0"/>
        </w:rPr>
        <w:t>(a)  Technical Improvements (owned by Party A). Notwithstanding any other provision of this Agreement, all technical intellectual property and technical data — including formulation data, process conditions, stability data, bioavailability/efficacy data, formulation know-how, derivatives, modifications, enhancements, and improvements — that are conceived, developed, or reduced to practice (whether by the Company, any Party, or their respective employees or contractors) and that are based on, derived from, incorporate, or could not have been developed without access to Party A's Background IP (collectively, “Technical Improvements”) shall be owned exclusively by Party A. The Company and each Party hereby assign, and shall cause their personnel to assign, to Party A all right, title, and interest in and to such Technical Improvements, and shall execute all documents reasonably necessary to perfect such ownership. Party A shall grant the Company a license to use such Technical Improvements solely within the Company's field of use and territory under, and on the terms of, the IP License Agreement.</w:t>
      </w:r>
    </w:p>
    <w:p>
      <w:r>
        <w:rPr>
          <w:i w:val="0"/>
        </w:rPr>
        <w:t>(b)  Commercial Data (owned by the Company). Customer lists, sales and distribution data, distributor and market feedback, and market-access data generated by the Company in the ordinary course (collectively, “Commercial Data”) shall be owned by the Company; provided that Party A shall have a perpetual, royalty-free right to access and use such Commercial Data for its business, regulatory, investment, and strategic purposes, including the right to disclose such Commercial Data to Party A's affiliates, legal counsel, accountants, investors, potential strategic partners, regulators, and financing sources, in each case under confidentiality obligations where appropriate. For any regulatory filing that uses, references, or relies on Party A's Background IP or Technical Improvements, Party A shall have a copy of, access to, and the right to use such filing data for its regulatory, investment, and strategic purposes, subject to applicable law; other regulatory filing data shall be allocated on a case-by-case basis as the Parties agree in writing.</w:t>
      </w:r>
    </w:p>
    <w:p>
      <w:r>
        <w:rPr>
          <w:i w:val="0"/>
        </w:rPr>
        <w:t>(c)  Independent Foreground IP. Intellectual property created by the Company after the Effective Date that is neither a Technical Improvement nor Commercial Data and is developed independently of Party A's Background IP (“Independent Foreground IP”) shall be owned by the Company. Each Party agrees to execute any assignments or instruments necessary to perfect the Company's ownership of Independent Foreground IP.</w:t>
      </w:r>
    </w:p>
    <w:p>
      <w:r>
        <w:rPr>
          <w:i/>
        </w:rPr>
        <w:t>The Parties intend this allocation to reduce future disputes and to present a clear IP chain of title for external-investor due diligence.</w:t>
      </w:r>
    </w:p>
    <w:p>
      <w:r>
        <w:rPr>
          <w:b/>
          <w:sz w:val="21"/>
        </w:rPr>
        <w:t>5.4  Party Contributions of IP</w:t>
      </w:r>
    </w:p>
    <w:p>
      <w:r>
        <w:rPr>
          <w:i w:val="0"/>
        </w:rPr>
        <w:t>If any Party contributes pre-existing intellectual property to the Company other than as Background IP licensed under Section 5.2, the terms of such contribution (ownership transfer vs. license, consideration, if any) shall be set forth in a separate written IP Assignment or License Agreement executed by the relevant Party and the Company.</w:t>
      </w:r>
    </w:p>
    <w:p>
      <w:r>
        <w:rPr>
          <w:b/>
          <w:color w:val="C00000"/>
          <w:sz w:val="18"/>
        </w:rPr>
        <w:t>【 REVISED — trade secrets protected indefinitely 】</w:t>
      </w:r>
    </w:p>
    <w:p>
      <w:r>
        <w:rPr>
          <w:b/>
          <w:sz w:val="21"/>
        </w:rPr>
        <w:t>5.5  Confidentiality</w:t>
      </w:r>
    </w:p>
    <w:p>
      <w:r>
        <w:rPr>
          <w:i w:val="0"/>
        </w:rPr>
        <w:t>Each Party agrees to hold in strict confidence all Confidential Information of the other Parties and of the Company. “Confidential Information” means any non-public information relating to the business, technology, finances, customers, or operations of a Party or the Company. Survival: (a) general Confidential Information shall be protected for a period of five (5) years following termination of this Agreement; and (b) trade secrets, technical know-how, formulations, process conditions, unpublished patent information, and information relating to Party A's Background IP and Technical Improvements shall be protected indefinitely, for so long as such information remains non-public or qualifies as a trade secret under applicable law. Confidential Information does not include information that: (i) is or becomes publicly known through no breach of this Agreement; (ii) was rightfully known prior to disclosure; or (iii) is required to be disclosed by law or court order.</w:t>
      </w:r>
    </w:p>
    <w:p>
      <w:r>
        <w:rPr>
          <w:b/>
          <w:sz w:val="24"/>
        </w:rPr>
        <w:t>ARTICLE 6 — TRANSFER RESTRICTIONS</w:t>
      </w:r>
    </w:p>
    <w:p>
      <w:r>
        <w:rPr>
          <w:b/>
          <w:sz w:val="21"/>
        </w:rPr>
        <w:t>6.1  Lock-Up Period</w:t>
      </w:r>
    </w:p>
    <w:p>
      <w:r>
        <w:rPr>
          <w:i w:val="0"/>
        </w:rPr>
        <w:t>No Party may transfer, sell, assign, pledge, hypothecate, or otherwise dispose of all or any portion of their equity interest in the Company during the period commencing on the Effective Date and ending on the second (2nd) anniversary thereof (the “Lock-Up Period”), without the prior written consent of all other Parties. Transfers to wholly owned affiliates or to a revocable living trust for estate planning purposes are permitted during the Lock-Up Period with prior written notice.</w:t>
      </w:r>
    </w:p>
    <w:p>
      <w:r>
        <w:rPr>
          <w:b/>
          <w:sz w:val="21"/>
        </w:rPr>
        <w:t>6.2  Right of First Refusal (ROFR)</w:t>
      </w:r>
    </w:p>
    <w:p>
      <w:r>
        <w:rPr>
          <w:i w:val="0"/>
        </w:rPr>
        <w:t>Following the Lock-Up Period, if any Party (the “Offering Party”) wishes to transfer any or all of their equity interest to a third party, the Offering Party shall first deliver a written notice (the “ROFR Notice”) to the other Parties specifying: (i) the number of interests to be transferred; (ii) the proposed purchase price; (iii) the identity of the proposed transferee; and (iv) all other material terms. Each non-offering Party shall have [30] Business Days to elect to purchase all (but not less than all) of the offered interests at the same price and on the same terms. If multiple Parties exercise the ROFR, they shall purchase pro-rata. If no Party exercises the ROFR within the notice period, the Offering Party may complete the transfer on terms no more favorable than those stated in the ROFR Notice, provided such transfer is completed within [90] days.</w:t>
      </w:r>
    </w:p>
    <w:p>
      <w:r>
        <w:rPr>
          <w:b/>
          <w:sz w:val="21"/>
        </w:rPr>
        <w:t>6.3  Tag-Along Right</w:t>
      </w:r>
    </w:p>
    <w:p>
      <w:r>
        <w:rPr>
          <w:i w:val="0"/>
        </w:rPr>
        <w:t>If Party A proposes to transfer equity interests representing 20% or more of the total issued equity in any single transaction or series of related transactions (a “Tag-Along Sale”), Parties B and C shall each have the right (but not the obligation) to participate by selling a proportionate amount of their own equity interests on the same terms and conditions (including price per unit) as Party A. Party A shall provide written notice no less than [30] days prior to closing. Each minority Party must exercise their Tag-Along Right within [15] Business Days of receipt of such notice.</w:t>
      </w:r>
    </w:p>
    <w:p>
      <w:r>
        <w:rPr>
          <w:b/>
          <w:sz w:val="21"/>
        </w:rPr>
        <w:t>6.4  Drag-Along Right</w:t>
      </w:r>
    </w:p>
    <w:p>
      <w:r>
        <w:rPr>
          <w:i w:val="0"/>
        </w:rPr>
        <w:t>If Party A proposes to sell or transfer equity interests representing 51% or more of the total issued equity to a bona fide third-party purchaser, Party A shall have the right to require Parties B and C to sell their respective equity interests to such purchaser on the same terms and conditions (including price per unit) as Party A (the “Drag-Along Right”). Party A shall provide written notice no less than [45] days prior to the proposed closing. Parties B and C shall execute all documents reasonably required to complete such transaction.</w:t>
      </w:r>
    </w:p>
    <w:p>
      <w:r>
        <w:rPr>
          <w:b/>
          <w:sz w:val="21"/>
        </w:rPr>
        <w:t>6.5  Permitted Transfers</w:t>
      </w:r>
    </w:p>
    <w:p>
      <w:r>
        <w:rPr>
          <w:i w:val="0"/>
        </w:rPr>
        <w:t>Notwithstanding the foregoing, any Party may transfer equity interests to: (i) a wholly-owned subsidiary or affiliate; (ii) a trust for the benefit of such Party or their immediate family; or (iii) the heirs or estate of such Party upon death, provided that: (a) the transferee executes a joinder agreeing to be bound by this Agreement; and (b) written notice is provided to all other Parties at least [10] Business Days prior to such transfer.</w:t>
      </w:r>
    </w:p>
    <w:p>
      <w:r>
        <w:rPr>
          <w:b/>
          <w:sz w:val="24"/>
        </w:rPr>
        <w:t>ARTICLE 7 — RESTRICTIVE COVENANTS</w:t>
      </w:r>
    </w:p>
    <w:p>
      <w:r>
        <w:rPr>
          <w:b/>
          <w:color w:val="C00000"/>
          <w:sz w:val="18"/>
        </w:rPr>
        <w:t>【 REVISED — Issue 4 + Issue 7 (scope down non-compete; rely on confidentiality / non-solicit / non-circumvention) 】</w:t>
      </w:r>
    </w:p>
    <w:p>
      <w:r>
        <w:rPr>
          <w:i/>
        </w:rPr>
        <w:t>The Parties intend the protections in this Article to be achieved primarily through the confidentiality, non-solicitation, non-circumvention, no-reverse-engineering, and IP-protection covenants below, which are the principal safeguards relied upon. The non-compete in Section 7.1 is narrowly scoped and applies only to the extent enforceable under applicable law.</w:t>
      </w:r>
    </w:p>
    <w:p>
      <w:r>
        <w:rPr>
          <w:b/>
          <w:sz w:val="21"/>
        </w:rPr>
        <w:t>7.1  Non-Compete (limited)</w:t>
      </w:r>
    </w:p>
    <w:p>
      <w:r>
        <w:rPr>
          <w:i w:val="0"/>
        </w:rPr>
        <w:t>During the term of this Agreement and for a period of [two (2) years] following the date any Party ceases to hold any equity interest in the Company, such departing Party shall not, directly or indirectly, own, manage, operate, control, be employed by, provide services to, or participate in any business that competes with the Company's business solely within the Field of Use and the Territory, each as defined in Article 1.7. This restriction applies only to the extent enforceable under applicable law and is intended to be the minimum restraint necessary to protect the Company's legitimate interests.</w:t>
      </w:r>
    </w:p>
    <w:p>
      <w:r>
        <w:rPr>
          <w:b/>
          <w:sz w:val="21"/>
        </w:rPr>
        <w:t>7.1.1  Carve-Outs</w:t>
      </w:r>
    </w:p>
    <w:p>
      <w:r>
        <w:rPr>
          <w:i w:val="0"/>
        </w:rPr>
        <w:t>Notwithstanding anything to the contrary, the restrictions in this Article 7 shall not apply to, and shall not restrict in any manner:</w:t>
      </w:r>
    </w:p>
    <w:p>
      <w:r>
        <w:rPr>
          <w:i w:val="0"/>
        </w:rPr>
        <w:t>(a)  the existing and future business, operations, research, products, partnerships, joint ventures, and licensing activities of Party A (BeNatureBioLab Co., Ltd.) and its affiliates, whether in the Republic of Korea, the United States, or any other jurisdiction;</w:t>
      </w:r>
    </w:p>
    <w:p>
      <w:r>
        <w:rPr>
          <w:i w:val="0"/>
        </w:rPr>
        <w:t>(b)  any business of Party A or its affiliates that is outside the Company's defined field of use and/or outside the defined territory;</w:t>
      </w:r>
    </w:p>
    <w:p>
      <w:r>
        <w:rPr>
          <w:i w:val="0"/>
        </w:rPr>
        <w:t>(c)  Party A's ownership, licensing, exploitation, and further development of its Background IP and Improvements.</w:t>
      </w:r>
    </w:p>
    <w:p>
      <w:r>
        <w:rPr>
          <w:i/>
        </w:rPr>
        <w:t>The Parties acknowledge that Party A's group conducts a global business and may pursue separate partnerships, joint ventures, and transactions outside the scope of the Company, and that nothing in this Agreement restricts Party A from doing so.</w:t>
      </w:r>
    </w:p>
    <w:p>
      <w:r>
        <w:rPr>
          <w:b/>
          <w:sz w:val="21"/>
        </w:rPr>
        <w:t>7.2  Non-Solicitation of Employees</w:t>
      </w:r>
    </w:p>
    <w:p>
      <w:r>
        <w:rPr>
          <w:i w:val="0"/>
        </w:rPr>
        <w:t>During the term of this Agreement and for a period of [two (2) years] following the date any Party ceases to hold any equity interest, such departing Party shall not solicit, induce, recruit, or encourage any employee or contractor of the Company to terminate their relationship with the Company.</w:t>
      </w:r>
    </w:p>
    <w:p>
      <w:r>
        <w:rPr>
          <w:b/>
          <w:sz w:val="21"/>
        </w:rPr>
        <w:t>7.3  Non-Solicitation of Customers</w:t>
      </w:r>
    </w:p>
    <w:p>
      <w:r>
        <w:rPr>
          <w:i w:val="0"/>
        </w:rPr>
        <w:t>During the term of this Agreement and for a period of [two (2) years] following departure, no departing Party shall solicit or accept business from any customer or client of the Company with whom such Party had material contact during their involvement with the Company.</w:t>
      </w:r>
    </w:p>
    <w:p>
      <w:r>
        <w:rPr>
          <w:b/>
          <w:sz w:val="21"/>
        </w:rPr>
        <w:t>7.4  Non-Circumvention</w:t>
      </w:r>
    </w:p>
    <w:p>
      <w:r>
        <w:rPr>
          <w:i w:val="0"/>
        </w:rPr>
        <w:t>During the term of this Agreement and for a period of [two (2) years] following departure, no Party shall directly or indirectly circumvent the Company or Party A to deal with, or divert opportunities from, any partner, customer, supplier, distributor, or investor that was introduced through, or developed in connection with, the Company or Party A, in a manner that deprives the Company or Party A of the benefit of such relationship.</w:t>
      </w:r>
    </w:p>
    <w:p>
      <w:r>
        <w:rPr>
          <w:b/>
          <w:sz w:val="21"/>
        </w:rPr>
        <w:t>7.5  Protection of Party A Intellectual Property</w:t>
      </w:r>
    </w:p>
    <w:p>
      <w:r>
        <w:rPr>
          <w:i w:val="0"/>
        </w:rPr>
        <w:t>No Party shall, and each Party shall procure that the Company and its personnel do not: (a) make any unauthorized use, disclosure, or reproduction of Party A's Background IP or Technical Improvements; (b) reverse engineer, decompile, or attempt to derive the underlying know-how, formulations, or process conditions of Party A's Background IP except as expressly permitted under the IP License Agreement; or (c) challenge, or assist any third party in challenging, the validity, ownership, or enforceability of Party A's Background IP or Technical Improvements.</w:t>
      </w:r>
    </w:p>
    <w:p>
      <w:r>
        <w:rPr>
          <w:b/>
          <w:sz w:val="21"/>
        </w:rPr>
        <w:t>7.6  Confidentiality Cross-Reference</w:t>
      </w:r>
    </w:p>
    <w:p>
      <w:r>
        <w:rPr>
          <w:i w:val="0"/>
        </w:rPr>
        <w:t>The confidentiality obligations in Article 5.5 are incorporated into this Article as a primary restrictive covenant and survive in accordance with their terms.</w:t>
      </w:r>
    </w:p>
    <w:p>
      <w:r>
        <w:rPr>
          <w:b/>
          <w:sz w:val="21"/>
        </w:rPr>
        <w:t>7.7  Severability of Restrictions</w:t>
      </w:r>
    </w:p>
    <w:p>
      <w:r>
        <w:rPr>
          <w:i w:val="0"/>
        </w:rPr>
        <w:t>If any restriction in this Article is found by a court of competent jurisdiction to be unenforceable as written, the court is authorized to modify the restriction to the minimum extent necessary to make it enforceable, and the remaining restrictions shall remain in full force.</w:t>
      </w:r>
    </w:p>
    <w:p>
      <w:r>
        <w:rPr>
          <w:b/>
          <w:sz w:val="24"/>
        </w:rPr>
        <w:t>ARTICLE 8 — TERMINATION AND DISSOLUTION</w:t>
      </w:r>
    </w:p>
    <w:p>
      <w:r>
        <w:rPr>
          <w:b/>
          <w:sz w:val="21"/>
        </w:rPr>
        <w:t>8.1  Events of Termination</w:t>
      </w:r>
    </w:p>
    <w:p>
      <w:r>
        <w:rPr>
          <w:i w:val="0"/>
        </w:rPr>
        <w:t>This Agreement shall terminate upon: (a) written agreement of all Parties; (b) dissolution and winding up of the Company under applicable Nevada law; or (c) a Change of Control of the Company, unless all Parties agree in writing to continue this Agreement.</w:t>
      </w:r>
    </w:p>
    <w:p>
      <w:r>
        <w:rPr>
          <w:b/>
          <w:sz w:val="21"/>
        </w:rPr>
        <w:t>8.2  Events of Dissolution</w:t>
      </w:r>
    </w:p>
    <w:p>
      <w:r>
        <w:rPr>
          <w:i w:val="0"/>
        </w:rPr>
        <w:t>The Company may be dissolved upon, subject to the supermajority approval in Article 4.4 and Party A approval under Article 4.6: (a) unanimous written consent of all Parties; (b) bankruptcy or insolvency of the Company; or (c) entry of a court order for dissolution.</w:t>
      </w:r>
    </w:p>
    <w:p>
      <w:r>
        <w:rPr>
          <w:b/>
          <w:sz w:val="21"/>
        </w:rPr>
        <w:t>8.3  Deadlock Resolution</w:t>
      </w:r>
    </w:p>
    <w:p>
      <w:r>
        <w:rPr>
          <w:i w:val="0"/>
        </w:rPr>
        <w:t>In the event of a deadlock (the Board's inability to reach a required majority or supermajority decision on a material matter for more than [60] consecutive days): (a) Step 1 — Good-Faith Negotiation among senior representatives within [15] Business Days; (b) Step 2 — non-binding Mediation in Las Vegas, Nevada if Step 1 fails within [30] days; (c) Step 3 — Buy-Sell Mechanism: any Party holding 50% or more of equity may trigger a buy-sell by delivering written notice specifying a per-unit price, and the non-triggering Party/Parties shall have [30] days to either purchase the triggering Party's interest or sell their own at the stated price; (d) Step 4 — binding Arbitration under Article 11.2 if the buy-sell cannot resolve the deadlock.</w:t>
      </w:r>
    </w:p>
    <w:p>
      <w:r>
        <w:rPr>
          <w:b/>
          <w:sz w:val="21"/>
        </w:rPr>
        <w:t>8.4  Death or Incapacity of a Party</w:t>
      </w:r>
    </w:p>
    <w:p>
      <w:r>
        <w:rPr>
          <w:i w:val="0"/>
        </w:rPr>
        <w:t>Upon the death or permanent legal incapacity of Party B or Party C, the Company shall have the option (but not the obligation) to purchase the deceased or incapacitated Party's equity interests at fair market value as determined by an independent appraiser mutually agreed (or appointed by the AAA if the Parties cannot agree within [30] days). The Company shall exercise this option within [90] days of the death or judicial declaration of incapacity.</w:t>
      </w:r>
    </w:p>
    <w:p>
      <w:r>
        <w:rPr>
          <w:b/>
          <w:sz w:val="21"/>
        </w:rPr>
        <w:t>8.5  Forced Exit for Cause</w:t>
      </w:r>
    </w:p>
    <w:p>
      <w:r>
        <w:rPr>
          <w:i w:val="0"/>
        </w:rPr>
        <w:t>If any Party materially breaches this Agreement and fails to cure within [30] days of written notice, or is convicted of a felony or crime of moral turpitude, the remaining Parties holding a majority of equity may require such breaching Party to sell all of their equity interests to the Company or the remaining Parties at [80%] of fair market value as determined by an independent appraiser.</w:t>
      </w:r>
    </w:p>
    <w:p>
      <w:r>
        <w:rPr>
          <w:b/>
          <w:sz w:val="24"/>
        </w:rPr>
        <w:t>ARTICLE 9 — REPRESENTATIONS AND WARRANTIES</w:t>
      </w:r>
    </w:p>
    <w:p>
      <w:r>
        <w:rPr>
          <w:b/>
          <w:sz w:val="21"/>
        </w:rPr>
        <w:t>9.1  Representations by All Parties</w:t>
      </w:r>
    </w:p>
    <w:p>
      <w:r>
        <w:rPr>
          <w:i w:val="0"/>
        </w:rPr>
        <w:t>Each Party represents and warrants as of the Effective Date that: (a) Authority — it has full legal capacity, power, and authority to execute and perform this Agreement (and, if an entity, is duly organized and validly existing and has duly authorized execution); (b) No Conflicts — execution and performance does not conflict with any law or agreement binding on it; (c) No Litigation — there is no pending or threatened litigation materially affecting its performance; and (d) No Brokers — it has engaged no broker or finder in connection with the transactions.</w:t>
      </w:r>
    </w:p>
    <w:p>
      <w:r>
        <w:rPr>
          <w:b/>
          <w:sz w:val="21"/>
        </w:rPr>
        <w:t>9.2  Representations by Party A</w:t>
      </w:r>
    </w:p>
    <w:p>
      <w:r>
        <w:rPr>
          <w:i w:val="0"/>
        </w:rPr>
        <w:t>Party A additionally represents and warrants that: (a) it has the right to grant the license to Background IP under the IP License Agreement, and such Background IP does not, to Party A's knowledge, infringe third-party IP rights; and (b) there are no encumbrances, liens, or third-party claims on the Background IP that would prevent the grant of such license.</w:t>
      </w:r>
    </w:p>
    <w:p>
      <w:r>
        <w:rPr>
          <w:b/>
          <w:sz w:val="24"/>
        </w:rPr>
        <w:t>ARTICLE 10 — INDEMNIFICATION</w:t>
      </w:r>
    </w:p>
    <w:p>
      <w:r>
        <w:rPr>
          <w:b/>
          <w:sz w:val="21"/>
        </w:rPr>
        <w:t>10.1  Indemnification by Parties</w:t>
      </w:r>
    </w:p>
    <w:p>
      <w:r>
        <w:rPr>
          <w:i w:val="0"/>
        </w:rPr>
        <w:t>Each Party (an “Indemnifying Party”) shall indemnify, defend, and hold harmless each other Party and the Company, and their respective officers, directors, employees, and agents, from and against any and all losses, damages, liabilities, costs, and expenses (including reasonable attorneys' fees) arising out of or relating to: (i) any material breach by the Indemnifying Party of any representation, warranty, covenant, or obligation; or (ii) the Indemnifying Party's gross negligence or willful misconduct.</w:t>
      </w:r>
    </w:p>
    <w:p>
      <w:r>
        <w:rPr>
          <w:b/>
          <w:sz w:val="21"/>
        </w:rPr>
        <w:t>10.2  Indemnification Procedure</w:t>
      </w:r>
    </w:p>
    <w:p>
      <w:r>
        <w:rPr>
          <w:i w:val="0"/>
        </w:rPr>
        <w:t>The Indemnified Party shall promptly notify the Indemnifying Party in writing of any claim. The Indemnifying Party may assume control of the defense with counsel of its choosing, provided the Indemnified Party may participate at its own expense. The Indemnified Party shall not settle any claim without the Indemnifying Party's prior written consent, not to be unreasonably withheld.</w:t>
      </w:r>
    </w:p>
    <w:p>
      <w:r>
        <w:rPr>
          <w:b/>
          <w:sz w:val="24"/>
        </w:rPr>
        <w:t>ARTICLE 11 — GOVERNING LAW AND DISPUTE RESOLUTION</w:t>
      </w:r>
    </w:p>
    <w:p>
      <w:r>
        <w:rPr>
          <w:b/>
          <w:sz w:val="21"/>
        </w:rPr>
        <w:t>11.1  Governing Law</w:t>
      </w:r>
    </w:p>
    <w:p>
      <w:r>
        <w:rPr>
          <w:i w:val="0"/>
        </w:rPr>
        <w:t>This Agreement shall be governed by the laws of the State of Nevada, U.S.A., without regard to conflict-of-laws principles. NRS Chapter 78 applies if the Company is a Corporation; NRS Chapter 86 applies if an LLC.</w:t>
      </w:r>
    </w:p>
    <w:p>
      <w:r>
        <w:rPr>
          <w:b/>
          <w:sz w:val="21"/>
        </w:rPr>
        <w:t>11.2  Dispute Resolution — Arbitration</w:t>
      </w:r>
    </w:p>
    <w:p>
      <w:r>
        <w:rPr>
          <w:i w:val="0"/>
        </w:rPr>
        <w:t>Any dispute arising out of or relating to this Agreement shall be finally resolved by binding arbitration: (a) Institution — American Arbitration Association (AAA) under its Commercial Arbitration Rules; (b) Seat — Las Vegas, Nevada, U.S.A.; (c) Arbitrators — one (1) for disputes below USD $500,000, three (3) for USD $500,000 or above; (d) Language — English (Korean translation at the requesting Party's expense); (e) Judgment on the award may be entered in any court of competent jurisdiction. Any Party may seek emergency injunctive relief from a court in Clark County, Nevada pending arbitration.</w:t>
      </w:r>
    </w:p>
    <w:p>
      <w:r>
        <w:rPr>
          <w:b/>
          <w:sz w:val="21"/>
        </w:rPr>
        <w:t>11.3  Waiver of Jury Trial</w:t>
      </w:r>
    </w:p>
    <w:p>
      <w:r>
        <w:rPr>
          <w:i w:val="0"/>
        </w:rPr>
        <w:t>EACH PARTY HEREBY IRREVOCABLY WAIVES, TO THE FULLEST EXTENT PERMITTED BY APPLICABLE LAW, ANY RIGHT TO A TRIAL BY JURY IN ANY ACTION OR PROCEEDING ARISING OUT OF OR RELATING TO THIS AGREEMENT.</w:t>
      </w:r>
    </w:p>
    <w:p>
      <w:r>
        <w:rPr>
          <w:b/>
          <w:sz w:val="24"/>
        </w:rPr>
        <w:t>ARTICLE 12 — GENERAL PROVISIONS</w:t>
      </w:r>
    </w:p>
    <w:p>
      <w:r>
        <w:rPr>
          <w:b/>
          <w:sz w:val="21"/>
        </w:rPr>
        <w:t>12.1  Notices</w:t>
      </w:r>
    </w:p>
    <w:p>
      <w:r>
        <w:rPr>
          <w:i w:val="0"/>
        </w:rPr>
        <w:t>All notices shall be in writing and deemed duly given when delivered personally, sent by internationally recognized overnight courier, or sent by email with written confirmation of receipt, to the addresses set out below. Party A: [BeNatureBioLab Co. Ltd.] | Attn: Jong-Suep Baek | [Address] | [Email]. Party B: Seung-Rock Baek | [Address] | [Email]. Party C: John J. Kwon | [Address] | [Email].</w:t>
      </w:r>
    </w:p>
    <w:p>
      <w:r>
        <w:rPr>
          <w:b/>
          <w:sz w:val="21"/>
        </w:rPr>
        <w:t>12.2  Entire Agreement</w:t>
      </w:r>
    </w:p>
    <w:p>
      <w:r>
        <w:rPr>
          <w:i w:val="0"/>
        </w:rPr>
        <w:t>This Agreement, together with its exhibits and schedules (including Schedule 1 and, when executed, the IP License Agreement), constitutes the entire agreement among the Parties and supersedes all prior negotiations, understandings, and agreements relating to the subject matter hereof.</w:t>
      </w:r>
    </w:p>
    <w:p>
      <w:r>
        <w:rPr>
          <w:b/>
          <w:sz w:val="21"/>
        </w:rPr>
        <w:t>12.3  Amendments</w:t>
      </w:r>
    </w:p>
    <w:p>
      <w:r>
        <w:rPr>
          <w:i w:val="0"/>
        </w:rPr>
        <w:t>No amendment, modification, or waiver shall be effective unless in writing and duly executed by all Parties.</w:t>
      </w:r>
    </w:p>
    <w:p>
      <w:r>
        <w:rPr>
          <w:b/>
          <w:sz w:val="21"/>
        </w:rPr>
        <w:t>12.4  Severability</w:t>
      </w:r>
    </w:p>
    <w:p>
      <w:r>
        <w:rPr>
          <w:i w:val="0"/>
        </w:rPr>
        <w:t>If any provision is held invalid, illegal, or unenforceable, it shall be modified to the minimum extent necessary to make it enforceable, and the remaining provisions shall continue in full force and effect.</w:t>
      </w:r>
    </w:p>
    <w:p>
      <w:r>
        <w:rPr>
          <w:b/>
          <w:sz w:val="21"/>
        </w:rPr>
        <w:t>12.5  Waiver</w:t>
      </w:r>
    </w:p>
    <w:p>
      <w:r>
        <w:rPr>
          <w:i w:val="0"/>
        </w:rPr>
        <w:t>No failure or delay in exercising any right shall operate as a waiver; no single or partial exercise shall preclude any further exercise.</w:t>
      </w:r>
    </w:p>
    <w:p>
      <w:r>
        <w:rPr>
          <w:b/>
          <w:sz w:val="21"/>
        </w:rPr>
        <w:t>12.6  Counterparts and Electronic Signatures</w:t>
      </w:r>
    </w:p>
    <w:p>
      <w:r>
        <w:rPr>
          <w:i w:val="0"/>
        </w:rPr>
        <w:t>This Agreement may be executed in counterparts, each an original and together one instrument. Electronic signatures (including PDF and DocuSign) shall be valid and binding.</w:t>
      </w:r>
    </w:p>
    <w:p>
      <w:r>
        <w:rPr>
          <w:b/>
          <w:sz w:val="21"/>
        </w:rPr>
        <w:t>12.7  Language</w:t>
      </w:r>
    </w:p>
    <w:p>
      <w:r>
        <w:rPr>
          <w:i w:val="0"/>
        </w:rPr>
        <w:t>This Agreement is executed in English. A Korean translation may be prepared for reference, but in the event of conflict the English version shall prevail.</w:t>
      </w:r>
    </w:p>
    <w:p>
      <w:r>
        <w:rPr>
          <w:b/>
          <w:sz w:val="21"/>
        </w:rPr>
        <w:t>12.8  No Partnership or Agency</w:t>
      </w:r>
    </w:p>
    <w:p>
      <w:r>
        <w:rPr>
          <w:i w:val="0"/>
        </w:rPr>
        <w:t>Nothing herein creates a partnership, joint venture, or agency relationship between the Parties; no Party may bind another except as expressly provided.</w:t>
      </w:r>
    </w:p>
    <w:p>
      <w:r>
        <w:rPr>
          <w:b/>
          <w:sz w:val="21"/>
        </w:rPr>
        <w:t>12.9  Further Assurances</w:t>
      </w:r>
    </w:p>
    <w:p>
      <w:r>
        <w:rPr>
          <w:i w:val="0"/>
        </w:rPr>
        <w:t>Each Party agrees to execute such additional documents and take such further actions as may be reasonably required to carry out the purposes of this Agreement.</w:t>
      </w:r>
    </w:p>
    <w:p>
      <w:r>
        <w:rPr>
          <w:b/>
          <w:sz w:val="24"/>
        </w:rPr>
        <w:t>SIGNATURE PAGE</w:t>
      </w:r>
    </w:p>
    <w:p>
      <w:r>
        <w:rPr>
          <w:i w:val="0"/>
        </w:rPr>
        <w:t>IN WITNESS WHEREOF, the Parties have executed this Shareholders Agreement as of the Effective Date first written above.</w:t>
      </w:r>
    </w:p>
    <w:p/>
    <w:p>
      <w:r>
        <w:rPr>
          <w:i w:val="0"/>
        </w:rPr>
        <w:t>PARTY A — BeNatureBioLab Co. Ltd.</w:t>
        <w:br/>
        <w:t>Authorized Signatory: ______________________   Printed Name: Jong-Suep Baek   Title: Representative Director (CEO)   Date: __________</w:t>
      </w:r>
    </w:p>
    <w:p>
      <w:r>
        <w:rPr>
          <w:i w:val="0"/>
        </w:rPr>
        <w:t>PARTY B — Seung-Rock Baek (Individual)</w:t>
        <w:br/>
        <w:t>Signature: ______________________   Printed Name: Seung-Rock Baek   Date: __________</w:t>
      </w:r>
    </w:p>
    <w:p>
      <w:r>
        <w:rPr>
          <w:i w:val="0"/>
        </w:rPr>
        <w:t>PARTY C — John J. Kwon (Individual)</w:t>
        <w:br/>
        <w:t>Signature: ______________________   Printed Name: John J. Kwon   Date: __________</w:t>
      </w:r>
    </w:p>
    <w:p>
      <w:r>
        <w:br w:type="page"/>
      </w:r>
    </w:p>
    <w:p>
      <w:r>
        <w:rPr>
          <w:b/>
          <w:color w:val="C00000"/>
          <w:sz w:val="18"/>
        </w:rPr>
        <w:t>【 NEW — Issue 5 】</w:t>
      </w:r>
    </w:p>
    <w:p>
      <w:r>
        <w:rPr>
          <w:b/>
          <w:sz w:val="24"/>
        </w:rPr>
        <w:t>SCHEDULE 1 — ROLES, RESPONSIBILITIES &amp; MILESTONES</w:t>
      </w:r>
    </w:p>
    <w:p>
      <w:r>
        <w:rPr>
          <w:i w:val="0"/>
        </w:rPr>
        <w:t>This Schedule 1 forms part of the Shareholders Agreement and sets out the roles, responsibilities, performance contributions, reporting obligations, and vesting milestones of each Party. It is referenced in Articles 3.1(d) and 4.2. Final titles and scope are subject to confirmation by mutual agreement of the three principals.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Party / Principal</w:t>
            </w:r>
          </w:p>
        </w:tc>
        <w:tc>
          <w:tcPr>
            <w:tcW w:type="dxa" w:w="2160"/>
          </w:tcPr>
          <w:p>
            <w:r>
              <w:rPr>
                <w:b/>
              </w:rPr>
              <w:t>Contemplated Title</w:t>
            </w:r>
          </w:p>
        </w:tc>
        <w:tc>
          <w:tcPr>
            <w:tcW w:type="dxa" w:w="2160"/>
          </w:tcPr>
          <w:p>
            <w:r>
              <w:rPr>
                <w:b/>
              </w:rPr>
              <w:t>Primary Responsibilities</w:t>
            </w:r>
          </w:p>
        </w:tc>
        <w:tc>
          <w:tcPr>
            <w:tcW w:type="dxa" w:w="2160"/>
          </w:tcPr>
          <w:p>
            <w:r>
              <w:rPr>
                <w:b/>
              </w:rPr>
              <w:t>Reporting / Milestones</w:t>
            </w:r>
          </w:p>
        </w:tc>
      </w:tr>
      <w:tr>
        <w:tc>
          <w:tcPr>
            <w:tcW w:type="dxa" w:w="2160"/>
          </w:tcPr>
          <w:p>
            <w:r>
              <w:t>Jong-Suep Baek (Party A)</w:t>
            </w:r>
          </w:p>
        </w:tc>
        <w:tc>
          <w:tcPr>
            <w:tcW w:type="dxa" w:w="2160"/>
          </w:tcPr>
          <w:p>
            <w:r>
              <w:t>Chairman &amp; CEO / Board Chair</w:t>
            </w:r>
          </w:p>
        </w:tc>
        <w:tc>
          <w:tcPr>
            <w:tcW w:type="dxa" w:w="2160"/>
          </w:tcPr>
          <w:p>
            <w:r>
              <w:t>BNBL HQ IP stewardship; overall governance; key strategic and reserved-matter decisions (Art 4.6).</w:t>
            </w:r>
          </w:p>
        </w:tc>
        <w:tc>
          <w:tcPr>
            <w:tcW w:type="dxa" w:w="2160"/>
          </w:tcPr>
          <w:p>
            <w:r>
              <w:t>Oversight via Board / BNBL HQ.</w:t>
            </w:r>
          </w:p>
        </w:tc>
      </w:tr>
      <w:tr>
        <w:tc>
          <w:tcPr>
            <w:tcW w:type="dxa" w:w="2160"/>
          </w:tcPr>
          <w:p>
            <w:r>
              <w:t>John J. Kwon (Party C)</w:t>
            </w:r>
          </w:p>
        </w:tc>
        <w:tc>
          <w:tcPr>
            <w:tcW w:type="dxa" w:w="2160"/>
          </w:tcPr>
          <w:p>
            <w:r>
              <w:t>President / Head of U.S. Operations &amp; Market Access</w:t>
            </w:r>
          </w:p>
        </w:tc>
        <w:tc>
          <w:tcPr>
            <w:tcW w:type="dxa" w:w="2160"/>
          </w:tcPr>
          <w:p>
            <w:r>
              <w:t>U.S. operations; partner sourcing; market access; expert-network development.</w:t>
            </w:r>
          </w:p>
        </w:tc>
        <w:tc>
          <w:tcPr>
            <w:tcW w:type="dxa" w:w="2160"/>
          </w:tcPr>
          <w:p>
            <w:r>
              <w:t>Monthly written update; quarterly board report (see milestone table).</w:t>
            </w:r>
          </w:p>
        </w:tc>
      </w:tr>
      <w:tr>
        <w:tc>
          <w:tcPr>
            <w:tcW w:type="dxa" w:w="2160"/>
          </w:tcPr>
          <w:p>
            <w:r>
              <w:t>Seung-Rock Baek (Party B)</w:t>
            </w:r>
          </w:p>
        </w:tc>
        <w:tc>
          <w:tcPr>
            <w:tcW w:type="dxa" w:w="2160"/>
          </w:tcPr>
          <w:p>
            <w:r>
              <w:t>Director (Strategic BD Lead) / Director &amp; Strategic Advisor</w:t>
            </w:r>
          </w:p>
        </w:tc>
        <w:tc>
          <w:tcPr>
            <w:tcW w:type="dxa" w:w="2160"/>
          </w:tcPr>
          <w:p>
            <w:r>
              <w:t>Korea–U.S. business development; strategic-partner connection; network coordination.</w:t>
            </w:r>
          </w:p>
        </w:tc>
        <w:tc>
          <w:tcPr>
            <w:tcW w:type="dxa" w:w="2160"/>
          </w:tcPr>
          <w:p>
            <w:r>
              <w:t>Monthly written update; quarterly board report (see milestone table).</w:t>
            </w:r>
          </w:p>
        </w:tc>
      </w:tr>
    </w:tbl>
    <w:p/>
    <w:p>
      <w:r>
        <w:rPr>
          <w:b/>
          <w:sz w:val="21"/>
        </w:rPr>
        <w:t>Schedule 1-A — Illustrative Milestones (to be finalized by the three principals)</w:t>
      </w:r>
    </w:p>
    <w:p>
      <w:r>
        <w:rPr>
          <w:i/>
        </w:rPr>
        <w:t>Milestones are framed as controllable deliverables (qualified introductions, BNBL-approved meetings, LOI/MOU/PoC, written reports) rather than revenue targets, to enable objective good-faith assessment under Article 3.1(d).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Timeframe</w:t>
            </w:r>
          </w:p>
        </w:tc>
        <w:tc>
          <w:tcPr>
            <w:tcW w:type="dxa" w:w="2880"/>
          </w:tcPr>
          <w:p>
            <w:r>
              <w:rPr>
                <w:b/>
              </w:rPr>
              <w:t>John J. Kwon (U.S. Operations)</w:t>
            </w:r>
          </w:p>
        </w:tc>
        <w:tc>
          <w:tcPr>
            <w:tcW w:type="dxa" w:w="2880"/>
          </w:tcPr>
          <w:p>
            <w:r>
              <w:rPr>
                <w:b/>
              </w:rPr>
              <w:t>Seung-Rock Baek (Strategic BD)</w:t>
            </w:r>
          </w:p>
        </w:tc>
      </w:tr>
      <w:tr>
        <w:tc>
          <w:tcPr>
            <w:tcW w:type="dxa" w:w="2880"/>
          </w:tcPr>
          <w:p>
            <w:r>
              <w:t>By 3 months</w:t>
            </w:r>
          </w:p>
        </w:tc>
        <w:tc>
          <w:tcPr>
            <w:tcW w:type="dxa" w:w="2880"/>
          </w:tcPr>
          <w:p>
            <w:r>
              <w:t>Support U.S. incorporation; EIN, bank account, and basic operating setup in place.</w:t>
            </w:r>
          </w:p>
        </w:tc>
        <w:tc>
          <w:tcPr>
            <w:tcW w:type="dxa" w:w="2880"/>
          </w:tcPr>
          <w:p>
            <w:r>
              <w:t>Deliver prioritized Korea–U.S. BD target list.</w:t>
            </w:r>
          </w:p>
        </w:tc>
      </w:tr>
      <w:tr>
        <w:tc>
          <w:tcPr>
            <w:tcW w:type="dxa" w:w="2880"/>
          </w:tcPr>
          <w:p>
            <w:r>
              <w:t>By 6 months</w:t>
            </w:r>
          </w:p>
        </w:tc>
        <w:tc>
          <w:tcPr>
            <w:tcW w:type="dxa" w:w="2880"/>
          </w:tcPr>
          <w:p>
            <w:r>
              <w:t>Identify 10+ candidate U.S. manufacturing / distribution / regulatory partners.</w:t>
            </w:r>
          </w:p>
        </w:tc>
        <w:tc>
          <w:tcPr>
            <w:tcW w:type="dxa" w:w="2880"/>
          </w:tcPr>
          <w:p>
            <w:r>
              <w:t>Make 5+ qualified strategic-partner introductions (Korea/U.S.).</w:t>
            </w:r>
          </w:p>
        </w:tc>
      </w:tr>
      <w:tr>
        <w:tc>
          <w:tcPr>
            <w:tcW w:type="dxa" w:w="2880"/>
          </w:tcPr>
          <w:p>
            <w:r>
              <w:t>By 12 months</w:t>
            </w:r>
          </w:p>
        </w:tc>
        <w:tc>
          <w:tcPr>
            <w:tcW w:type="dxa" w:w="2880"/>
          </w:tcPr>
          <w:p>
            <w:r>
              <w:t>Connect 1+ BNBL-approved LOI / MOU / PoC.</w:t>
            </w:r>
          </w:p>
        </w:tc>
        <w:tc>
          <w:tcPr>
            <w:tcW w:type="dxa" w:w="2880"/>
          </w:tcPr>
          <w:p>
            <w:r>
              <w:t>Arrange 5+ BNBL-approved BD or investor meetings.</w:t>
            </w:r>
          </w:p>
        </w:tc>
      </w:tr>
      <w:tr>
        <w:tc>
          <w:tcPr>
            <w:tcW w:type="dxa" w:w="2880"/>
          </w:tcPr>
          <w:p>
            <w:r>
              <w:t>Ongoing</w:t>
            </w:r>
          </w:p>
        </w:tc>
        <w:tc>
          <w:tcPr>
            <w:tcW w:type="dxa" w:w="2880"/>
          </w:tcPr>
          <w:p>
            <w:r>
              <w:t>Monthly written update; quarterly board report.</w:t>
            </w:r>
          </w:p>
        </w:tc>
        <w:tc>
          <w:tcPr>
            <w:tcW w:type="dxa" w:w="2880"/>
          </w:tcPr>
          <w:p>
            <w:r>
              <w:t>Monthly written update; quarterly board report.</w:t>
            </w:r>
          </w:p>
        </w:tc>
      </w:tr>
    </w:tbl>
    <w:p/>
    <w:p>
      <w:r>
        <w:rPr>
          <w:i/>
        </w:rPr>
        <w:t>Vesting linkage: Vesting of Parties B and C under Article 3 is conditioned on continued active involvement and achievement of the milestones above, as determined in good faith by the Board subject to Party A's approval under Article 4.6.</w:t>
      </w:r>
    </w:p>
    <w:p/>
    <w:p>
      <w:r>
        <w:rPr>
          <w:i/>
        </w:rPr>
        <w:t>This document is a draft for discussion purposes only and does not constitute legal advice. All parties are strongly encouraged to consult a Nevada-licensed attorney prior to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