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INTERNAL DISPOSITION TABLE — JK Comments v1</w:t>
      </w:r>
    </w:p>
    <w:p>
      <w:pPr>
        <w:jc w:val="center"/>
      </w:pPr>
      <w:r>
        <w:rPr>
          <w:i/>
          <w:color w:val="555555"/>
        </w:rPr>
        <w:t>BNBL internal negotiation prep · NOT for external circulation · candid working notes · not legal advice</w:t>
      </w:r>
    </w:p>
    <w:p>
      <w:r>
        <w:rPr>
          <w:b/>
          <w:sz w:val="25"/>
        </w:rPr>
        <w:t>Top-line BNBL position (the governing principle)</w:t>
      </w:r>
    </w:p>
    <w:p>
      <w:r>
        <w:rPr>
          <w:b/>
          <w:i w:val="0"/>
        </w:rPr>
        <w:t>BNBL's position is to build NewCo as a BNBL-controlled U.S. commercialization platform — not merely a sales agent, and not an independent owner of BNBL's core HME-DDS™ technology. NewCo should receive meaningful commercial rights, commercially workable protections, and economic upside within BNBL-approved products, partners, and projects in the U.S., while BNBL retains ownership and global control over HME-DDS™ Background IP and core Technical Improvements.</w:t>
      </w:r>
    </w:p>
    <w:p>
      <w:r>
        <w:rPr>
          <w:b w:val="0"/>
          <w:i/>
          <w:color w:val="555555"/>
        </w:rPr>
        <w:t>Status note: this is the TARGET direction, not yet a completed document structure. The current SHA v2 / IP License remain protection-centric (closer to a BNBL arm) with some platform elements; the platform economics (project-level limited exclusivity / ROFN, improvement license-back / compensation, defined commercial upside, objective milestones) are to be BUILT OUT in a later redline AFTER the principles below are locked and aligned in a 3-party call. The only edits made so far are factual-accuracy corrections to the Redline Summary — NO operative position has been changed.</w:t>
      </w:r>
    </w:p>
    <w:p>
      <w:r>
        <w:rPr>
          <w:b w:val="0"/>
          <w:i/>
          <w:color w:val="555555"/>
        </w:rPr>
        <w:t>Sequencing: (1) lock this disposition + 5 principles  -&gt;  (2) 3-party Zoom alignment  -&gt;  (3) SHA / IP License redline  -&gt;  (4) U.S. counsel review. Do not redline the operative SHA / IP License before step 2.</w:t>
      </w:r>
    </w:p>
    <w:p>
      <w:r>
        <w:rPr>
          <w:b w:val="0"/>
          <w:i/>
          <w:color w:val="555555"/>
        </w:rPr>
        <w:t>Legend:  A = Accept (low cost / good governance)   |   B = Conditional / negotiate (staged)   |   C = Hold (BNBL core, not conceded)</w:t>
      </w:r>
    </w:p>
    <w:p>
      <w:r>
        <w:rPr>
          <w:b/>
          <w:sz w:val="21"/>
        </w:rPr>
        <w:t>Terminology guardrail (apply in ALL counsel-facing and external drafts)</w:t>
      </w:r>
    </w:p>
    <w:p>
      <w:r>
        <w:rPr>
          <w:b w:val="0"/>
          <w:i w:val="0"/>
          <w:color w:val="C00000"/>
        </w:rPr>
        <w:t>AVOID as a starting point: 'exclusive Field/Territory', 'full U.S. exclusivity', 'all U.S. HME-DDS rights'. These can become counsel's drafting anchor and push the documents NewCo-ward.</w:t>
      </w:r>
    </w:p>
    <w:p>
      <w:r>
        <w:rPr>
          <w:b w:val="0"/>
          <w:i w:val="0"/>
          <w:color w:val="1E7A34"/>
        </w:rPr>
        <w:t>USE instead: 'product-specific limited exclusivity', 'project-specific commercial protection', 'partner-specific exclusivity', 'milestone-based continuation', and (most freely) 'right of first negotiation (ROFN)'. Externally prefer 'commercially workable protections' over 'investor-readable protections'.</w:t>
      </w:r>
    </w:p>
    <w:p>
      <w:r>
        <w:rPr>
          <w:b/>
          <w:sz w:val="25"/>
        </w:rPr>
        <w:t>Per-comment disposition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1  [A / C]</w:t>
            </w:r>
          </w:p>
        </w:tc>
        <w:tc>
          <w:tcPr>
            <w:tcW w:type="dxa" w:w="4320"/>
          </w:tcPr>
          <w:p>
            <w:r>
              <w:t>Minority protections (pre-emptive, ROFR, tag/drag, anti-dilution) missing; 51% is a one-way blocking right; consent could block an A-supported Series 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Already in v2?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Pro-rata participation, ROFR, tag-along and drag-along are ALREADY included in SHA v2 (2.3, 2.4(b), 6.2, 6.3, 6.4). Price-based anti-dilution is NOT included and is generally a Series A investor term, not a founder-level right at this stage.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U.S. counsel to confirm whether the existing wording is sufficient (add explicit pre-emptive wording only if counsel wants). KEEP the 51% consent right (C); confirm the wording already allows an A-approved Series A to proceed (5.2 / 2.4(a) drafted that way).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2  [B / C]</w:t>
            </w:r>
          </w:p>
        </w:tc>
        <w:tc>
          <w:tcPr>
            <w:tcW w:type="dxa" w:w="4320"/>
          </w:tcPr>
          <w:p>
            <w:r>
              <w:t>License is non-exclusive + kill-switch on sub-51% + non-sublicensable/non-transferable; wants exclusivity in Field/Territory, termination only on uncured material breach, survival through financings/CoC, sublicensing to distributors/CMOs, Sec. 365(n).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Already in v2?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License survives A-approved financing/CoC ALREADY in v2 (5.2).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carve out sublicensing to BNBL-approved distributors/CMOs; add Bankruptcy Code Sec. 365(n) licensee protection. B (Stage 2): product/project-specific limited exclusivity or ROFN, milestone-based — NOT full Field/Territory exclusivity. C: Background IP ownership stays at BNBL; termination keeps core triggers (unapproved cap-table change, unauthorized use, IP challenge) — may narrow the 'ordinary investor round' edge case at Stage 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Stage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3  [B / A / C]</w:t>
            </w:r>
          </w:p>
        </w:tc>
        <w:tc>
          <w:tcPr>
            <w:tcW w:type="dxa" w:w="4320"/>
          </w:tcPr>
          <w:p>
            <w:r>
              <w:t>Technical Improvements ASSIGNED to A (broad def) + Commercial Data access very broad; if NewCo funds R&amp;D, value transfers free (transfer-pricing/DEMPE); wants license-back/compensation + no-competitor data carve-out + privacy.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Already in v2?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Technical vs Commercial split ALREADY in v2 (5.3); Commercial Data owned by NewCo.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C: Technical Improvements remain owned by BNBL. B: if NewCo materially funds development, grant a field/project-limited license-back + arm's-length economic participation (royalty credit / cost-share / milestone participation), subject to transfer-pricing review; NARROW 'Improvements' def to genuinely Background-IP-derived. A: add no-sharing-with-competitors carve-out + purpose/confidentiality limits + customer-data privacy compliance on Commercial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Stage 2 (license-back) / Now (data carve-out)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4  [A / C]</w:t>
            </w:r>
          </w:p>
        </w:tc>
        <w:tc>
          <w:tcPr>
            <w:tcW w:type="dxa" w:w="4320"/>
          </w:tcPr>
          <w:p>
            <w:r>
              <w:t>Non-compete asymmetry: carve-outs let BNBL/affiliates keep competing &amp; licensing in NewCo's U.S. territory; wants mutual non-circumvention/non-solicit; verify Nevada enforceability &amp; consideration. (Also corrected our FTC rationale.)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Already in v2?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Covenants reframed in v2 Art. 7; rationale CORRECTED in redline (Ryan v. FTC vacated; NRS 613.195).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make non-circumvention / non-solicitation MUTUAL; confirm consideration + Nevada enforceability with counsel. B: reconcile A's licensing carve-out vs any Stage-2 protection (within any product/project-specific protection granted to NewCo, A's competing/licensing freedom is correspondingly bounded). C: BNBL/affiliates keep general freedom OUTSIDE any granted protection + global business.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 / Stage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5a  [B / A]</w:t>
            </w:r>
          </w:p>
        </w:tc>
        <w:tc>
          <w:tcPr>
            <w:tcW w:type="dxa" w:w="4320"/>
          </w:tcPr>
          <w:p>
            <w:r>
              <w:t>Conflict: JSB chairs/leads NewCo while representing A (licensor/parent) — both sides of every intercompany deal; Kwon's authority limited by 4.6.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B: add conflicts/related-party governance LIMITED to intercompany agreements (independent director OR conflicts committee approving IP-License royalty, data, related-party deals); BNBL keeps majority on all else. A: clarify Kwon's operational decision authority and reporting lines in Schedule 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Issue 5b  [A]</w:t>
            </w:r>
          </w:p>
        </w:tc>
        <w:tc>
          <w:tcPr>
            <w:tcW w:type="dxa" w:w="4320"/>
          </w:tcPr>
          <w:p>
            <w:r>
              <w:t>Milestone vesting assessed by Board subject to A approval = A can unilaterally decide B/C vesting; no good-leaver; B/C should have own counsel.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 (all): make milestone criteria OBJECTIVE and pre-agreed + dispute mechanism; add GOOD-LEAVER vesting (termination without cause, death/disability); recommend B/C retain their own U.S./KR counsel. Pairs with Refinement 9 &amp; 14.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Issue 5c  [A / C]</w:t>
            </w:r>
          </w:p>
        </w:tc>
        <w:tc>
          <w:tcPr>
            <w:tcW w:type="dxa" w:w="4320"/>
          </w:tcPr>
          <w:p>
            <w:r>
              <w:t>4.6 prior-approval list very broad, stacked on 51% + quorum + reserved matters = near-total control; blank threshold; IP-license approval shouldn't catch ordinary customer/distribution deals.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add ordinary-course CARVE-OUT + a workable dollar threshold for 4.6(f); exclude NewCo ordinary-course customer/distribution agreements from the 'IP license' approval trigger. C: keep the 4.6 core list. Note: Series A investors will layer their own protective terms on top.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Refinement 6  [A]</w:t>
            </w:r>
          </w:p>
        </w:tc>
        <w:tc>
          <w:tcPr>
            <w:tcW w:type="dxa" w:w="4320"/>
          </w:tcPr>
          <w:p>
            <w:r>
              <w:t>83(b): standard. Add that KR-resident founders need BOTH U.S. and KR tax advice; if LLC, profits/capital-interest analysis (Rev. Proc. 93-27) instead.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accept as counsel/tax items. Flag the 30-day Sec. 83(b) clock to B/C immediately on grant; resolve entity (Corp vs LLC) early as it changes the equity-comp mechanics.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Refinement 7  [A / B]</w:t>
            </w:r>
          </w:p>
        </w:tc>
        <w:tc>
          <w:tcPr>
            <w:tcW w:type="dxa" w:w="4320"/>
          </w:tcPr>
          <w:p>
            <w:r>
              <w:t>Royalty: beyond Sec. 482 / KR NTS, factor U.S.-Korea treaty withholding (W-8BEN-E) + get a transfer-pricing benchmarking study; self-dealing optics (A sets the rate it receives).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commission transfer-pricing study; treaty withholding handled via IP License 4.4. B: consider an independent/conflicts process to approve the rate (ties to 5a). Rate remains an open commercial point.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Refinement 8  [A]</w:t>
            </w:r>
          </w:p>
        </w:tc>
        <w:tc>
          <w:tcPr>
            <w:tcW w:type="dxa" w:w="4320"/>
          </w:tcPr>
          <w:p>
            <w:r>
              <w:t>Schedule A reference-only is good; gap = how the Confidential Technical File is governed and how NewCo actually accesses the know-how it needs.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specify access mechanism, custody, and the exact technical package NewCo is entitled to receive to practice the license.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B06A00"/>
              </w:rPr>
              <w:t>Refinement 9  [B]</w:t>
            </w:r>
          </w:p>
        </w:tc>
        <w:tc>
          <w:tcPr>
            <w:tcW w:type="dxa" w:w="4320"/>
          </w:tcPr>
          <w:p>
            <w:r>
              <w:t>Double-trigger welcome, but conditioning it on A-approved transaction + A-assessed milestones still concentrates control; wants standard double-trigger on involuntary/good-reason termination independent of milestone status.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B: on an A-approved change of control, allow standard double-trigger acceleration on involuntary / good-reason termination INDEPENDENT of milestone status; align with Good-Leaver (5b). Keep A-approval gate on the CoC itself.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 / Stage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Refinement 10  [A]</w:t>
            </w:r>
          </w:p>
        </w:tc>
        <w:tc>
          <w:tcPr>
            <w:tcW w:type="dxa" w:w="4320"/>
          </w:tcPr>
          <w:p>
            <w:r>
              <w:t>Quorum requiring an A-director lets A freeze the board by not attending; wants anti-deadlock fallback (quorum without A after two adjourned meetings).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 but LIMITED: anti-deadlock fallback applies ONLY to ordinary-course matters; NEVER to Reserved Matters / 4.6 (IP, equity, fundraising, JV, exclusivity, material/related-party contracts). Require proper notice + agenda + allow electronic attendance. So operational freeze is prevented without bypassing BNBL consent.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Refinement 11  [A]</w:t>
            </w:r>
          </w:p>
        </w:tc>
        <w:tc>
          <w:tcPr>
            <w:tcW w:type="dxa" w:w="4320"/>
          </w:tcPr>
          <w:p>
            <w:r>
              <w:t>Confidentiality indefinite categories should match the IP License definitions word-for-word.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Already in v2?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Aligned in v2 (5.5 ↔ IP License 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conform the indefinite-protection categories in SHA 5.5 to the IP License word-for-word during the conform pass.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Refinement 12  [B / C]</w:t>
            </w:r>
          </w:p>
        </w:tc>
        <w:tc>
          <w:tcPr>
            <w:tcW w:type="dxa" w:w="4320"/>
          </w:tcPr>
          <w:p>
            <w:r>
              <w:t>THE crux: BNBL-approved-only + non-exclusive + A free to license others = NewCo has no independent exclusive field; wants EXCLUSIVE Field-and-Territory + agreed initial product list + 'not unreasonably withheld' additions.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B (Stage 2): project/product-level limited exclusivity or ROFN over an AGREED initial product list, milestone-based continuation, 'not-to-be-unreasonably-withheld' standard for additions; Territory = U.S. baseline OK. C: no blanket all-U.S.-Field exclusivity; no restriction on BNBL's separate U.S. tracks. Internal terms to use: 'approved product/project-specific commercial protection', 'project-based limited exclusivity', 'ROFN', 'milestone-based continuation'.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Stage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00000"/>
              </w:rPr>
              <w:t>Refinement 13  [A / B]</w:t>
            </w:r>
          </w:p>
        </w:tc>
        <w:tc>
          <w:tcPr>
            <w:tcW w:type="dxa" w:w="4320"/>
          </w:tcPr>
          <w:p>
            <w:r>
              <w:t>(i) A may disclose NewCo Commercial Data to partners/financing sources potentially adverse to NewCo — needs limits; (ii) NewCo bears ALL product liability though A owns/controls the formulation/process that could cause an inherent defect.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add purpose/confidentiality limits + no-competitor-sharing carve-out + privacy compliance to Commercial Data disclosure. B: add A INDEMNITY for IP / inherent-formulation defects + mutual indemnities (NewCo keeps manufacturing/QC/labeling/marketing/recall); align insurance (additional insured); ensure NewCo holds technical data to defend its own filings. = responsibility separation, not blanket mutual.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7A34"/>
              </w:rPr>
              <w:t>Refinement 14  [A]</w:t>
            </w:r>
          </w:p>
        </w:tc>
        <w:tc>
          <w:tcPr>
            <w:tcW w:type="dxa" w:w="4320"/>
          </w:tcPr>
          <w:p>
            <w:r>
              <w:t>Objective milestones good; ensure illustrative items (LOI/MOU/PoC, BNBL-approved introductions) are genuinely within B/C control and not gated on A discretionary approval, or objectivity is undercut.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BNBL position / counter</w:t>
            </w:r>
          </w:p>
        </w:tc>
        <w:tc>
          <w:tcPr>
            <w:tcW w:type="dxa" w:w="4320"/>
          </w:tcPr>
          <w:p>
            <w:r>
              <w:t>A: tie vesting to deliverables B/C can achieve without A unilateral sign-off; define assessment cadence + cure/dispute path. Reword Schedule 1-A so 'BNBL-approved' items have an objective approval standard.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color w:val="555555"/>
              </w:rPr>
              <w:t>Now</w:t>
            </w:r>
          </w:p>
        </w:tc>
      </w:tr>
    </w:tbl>
    <w:p/>
    <w:p>
      <w:r>
        <w:rPr>
          <w:b/>
          <w:sz w:val="25"/>
        </w:rPr>
        <w:t>Cross-check observations (strategic)</w:t>
      </w:r>
    </w:p>
    <w:p>
      <w:r>
        <w:rPr>
          <w:b/>
          <w:sz w:val="21"/>
        </w:rPr>
        <w:t>1. Narrative vs control reality</w:t>
      </w:r>
    </w:p>
    <w:p>
      <w:r>
        <w:rPr>
          <w:b w:val="0"/>
          <w:i w:val="0"/>
        </w:rPr>
        <w:t>Be clear-eyed: operative terms (51% + quorum + reserved matters + 4.6 + A-controlled vesting) give A near-total control. Legitimate for a parent/majority; expect Series A investors to layer their own protective terms on top. Our hybrid stance acknowledges this openly.</w:t>
      </w:r>
    </w:p>
    <w:p>
      <w:r>
        <w:rPr>
          <w:b/>
          <w:sz w:val="21"/>
        </w:rPr>
        <w:t>2. What does NewCo own?</w:t>
      </w:r>
    </w:p>
    <w:p>
      <w:r>
        <w:rPr>
          <w:b w:val="0"/>
          <w:i w:val="0"/>
        </w:rPr>
        <w:t>The decision point — resolved as HYBRID: Stage 1 BNBL platform, Stage 2 project-level exclusivity/license-back so NewCo has defensible, investor-readable value within approved scope, while BNBL keeps Background IP and global control.</w:t>
      </w:r>
    </w:p>
    <w:p>
      <w:r>
        <w:rPr>
          <w:b/>
          <w:sz w:val="21"/>
        </w:rPr>
        <w:t>3. Entity &amp; jurisdiction</w:t>
      </w:r>
    </w:p>
    <w:p>
      <w:r>
        <w:rPr>
          <w:b w:val="0"/>
          <w:i w:val="0"/>
        </w:rPr>
        <w:t>Nevada C-corp IPO is legally possible (Delaware = investor convention, growing DExit trend). INTERNAL CARD: for a BNBL-controlled company with heavy related-party deals, Nevada's director/controller-protective standard may favor BNBL vs Delaware 'entire fairness'. Externally: say 'compare Nevada vs Delaware vs LLC on investor-readiness, tax, governance, related-party' — do NOT push Nevada hard. Decide entity early (drives tax, 83(b)/equity-comp, governance).</w:t>
      </w:r>
    </w:p>
    <w:p>
      <w:r>
        <w:rPr>
          <w:b/>
          <w:sz w:val="21"/>
        </w:rPr>
        <w:t>4. Related-party / transfer pricing</w:t>
      </w:r>
    </w:p>
    <w:p>
      <w:r>
        <w:rPr>
          <w:b w:val="0"/>
          <w:i w:val="0"/>
        </w:rPr>
        <w:t>Royalty + improvement assignment + data-sharing are all KR-parent/U.S.-sub related-party items. Get a transfer-pricing study + conflicts governance so intercompany terms are defensible to IRS, KR NTS, and investors.</w:t>
      </w:r>
    </w:p>
    <w:p>
      <w:r>
        <w:rPr>
          <w:b/>
          <w:sz w:val="21"/>
        </w:rPr>
        <w:t>5. Risk concentrated on B/C</w:t>
      </w:r>
    </w:p>
    <w:p>
      <w:r>
        <w:rPr>
          <w:b w:val="0"/>
          <w:i w:val="0"/>
        </w:rPr>
        <w:t>B/C carry milestone + 83(b) + forfeiture risk with A assessing milestones. Giving objective criteria + good-leaver + their own counsel is fair and de-risks the deal narrative (Issues 5b, 9, 14).</w:t>
      </w:r>
    </w:p>
    <w:p>
      <w:r>
        <w:rPr>
          <w:b/>
          <w:sz w:val="21"/>
        </w:rPr>
        <w:t>6. Cross-border tax</w:t>
      </w:r>
    </w:p>
    <w:p>
      <w:r>
        <w:rPr>
          <w:b w:val="0"/>
          <w:i w:val="0"/>
        </w:rPr>
        <w:t>INBOUND structure: primary U.S. issues = royalty/dividend withholding under U.S.-Korea treaty + transfer pricing (Sec. 482); consider 163(j), anti-hybrid (267A), BEAT (large groups only). JK's correction is right: CFC/Subpart F/GILTI (reportedly renamed NCTI from 2026 — counsel to confirm) are OUTBOUND and generally don't apply to the U.S. sub's own operations; FIRPTA irrelevant absent U.S. real property. KR side: 95% participation exemption may apply (confirm). Engage cross-border tax counsel.</w:t>
      </w:r>
    </w:p>
    <w:p>
      <w:r>
        <w:rPr>
          <w:b/>
          <w:sz w:val="21"/>
        </w:rPr>
        <w:t>7. Conform the documents</w:t>
      </w:r>
    </w:p>
    <w:p>
      <w:r>
        <w:rPr>
          <w:b w:val="0"/>
          <w:i w:val="0"/>
        </w:rPr>
        <w:t>Resolve blanks (4.6(f) threshold, royalty rate, Field/product list, milestone figures); make SHA termination triggers match the IP License EXACTLY; conform all cross-references before execution.</w:t>
      </w:r>
    </w:p>
    <w:p/>
    <w:p>
      <w:r>
        <w:rPr>
          <w:b w:val="0"/>
          <w:i/>
          <w:color w:val="555555"/>
        </w:rPr>
        <w:t>Internal working document — candid notes for BNBL only; reply-email wording (softened terms, no hard Nevada push, no 'exclusive') to be applied separately when drafting the response.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