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F3B5C"/>
        </w:rPr>
        <w:t xml:space="preserve">3-PARTY ALIGNMENT CALL — AGENDA</w:t>
      </w:r>
    </w:p>
    <w:p>
      <w:pPr>
        <w:jc w:val="center"/>
      </w:pPr>
      <w:r>
        <w:rPr>
          <w:sz w:val="18"/>
          <w:color w:val="555555"/>
        </w:rPr>
        <w:t xml:space="preserve">U.S. NewCo (HME-DDS™) · BNBL · Seung-Rock Baek · John J. Kwon · June 2026 (pre-Vegas)</w:t>
      </w:r>
    </w:p>
    <w:p>
      <w:r>
        <w:rPr>
          <w:b/>
          <w:sz w:val="26"/>
          <w:color w:val="1F3B5C"/>
        </w:rPr>
        <w:t xml:space="preserve">Objective / 목적</w:t>
      </w:r>
    </w:p>
    <w:p>
      <w:r>
        <w:rPr>
          <w:sz w:val="21"/>
        </w:rPr>
        <w:t xml:space="preserve">Align on the big-picture direction so that a U.S. counsel-ready redline can be prepared for the July Vegas meeting. Goal of this call = agreed PRINCIPLES + a list of items to send to U.S. counsel (not final clause drafting).</w:t>
      </w:r>
    </w:p>
    <w:p>
      <w:r>
        <w:rPr>
          <w:sz w:val="21"/>
        </w:rPr>
        <w:t xml:space="preserve">큰 방향을 정렬하여 7월 베가스 변호사 검토용 redline의 토대를 만든다. 이 콜의 목표는 합의된 원칙과 변호사 검토 의뢰 목록(최종 조항 확정 아님).</w:t>
      </w:r>
    </w:p>
    <w:p>
      <w:r>
        <w:rPr>
          <w:b/>
          <w:sz w:val="26"/>
          <w:color w:val="1F3B5C"/>
        </w:rPr>
        <w:t xml:space="preserve">Pre-read / 사전자료</w:t>
      </w:r>
    </w:p>
    <w:p>
      <w:r>
        <w:rPr>
          <w:sz w:val="21"/>
        </w:rPr>
        <w:t xml:space="preserve">Shareholders Agreement v2 · IP License draft · Redline Summary (with JK comments v1)</w:t>
      </w:r>
    </w:p>
    <w:p>
      <w:r>
        <w:rPr>
          <w:b/>
          <w:sz w:val="26"/>
          <w:color w:val="1F3B5C"/>
        </w:rPr>
        <w:t xml:space="preserve">Agenda / 안건</w:t>
      </w:r>
    </w:p>
    <w:p>
      <w:r>
        <w:rPr>
          <w:b/>
          <w:sz w:val="21"/>
        </w:rPr>
        <w:t xml:space="preserve">1. Big-picture structure / 큰 방향 (10 min)</w:t>
      </w:r>
    </w:p>
    <w:p>
      <w:r>
        <w:rPr>
          <w:sz w:val="21"/>
        </w:rPr>
        <w:t xml:space="preserve">NewCo as a BNBL-controlled U.S. commercialization platform — roles of each party; what each side needs from the venture.</w:t>
      </w:r>
    </w:p>
    <w:p>
      <w:r>
        <w:rPr>
          <w:b/>
          <w:sz w:val="21"/>
        </w:rPr>
        <w:t xml:space="preserve">2. IP structure / IP 구조 (15 min)</w:t>
      </w:r>
    </w:p>
    <w:p>
      <w:r>
        <w:rPr>
          <w:sz w:val="21"/>
        </w:rPr>
        <w:t xml:space="preserve">Background IP owned by BNBL and licensed (not contributed); Technical Improvements vs Commercial Data; controlled access to the technical package NewCo needs for its role.</w:t>
      </w:r>
    </w:p>
    <w:p>
      <w:r>
        <w:rPr>
          <w:b/>
          <w:sz w:val="21"/>
        </w:rPr>
        <w:t xml:space="preserve">3. NewCo commercial rights / NewCo 사업권 (15 min)</w:t>
      </w:r>
    </w:p>
    <w:p>
      <w:r>
        <w:rPr>
          <w:sz w:val="21"/>
        </w:rPr>
        <w:t xml:space="preserve">Scope within agreed products / projects / approved opportunities; concept of commercially workable protection (specifics deferred to counsel).</w:t>
      </w:r>
    </w:p>
    <w:p>
      <w:r>
        <w:rPr>
          <w:b/>
          <w:sz w:val="21"/>
        </w:rPr>
        <w:t xml:space="preserve">4. Governance / 거버넌스 (15 min)</w:t>
      </w:r>
    </w:p>
    <w:p>
      <w:r>
        <w:rPr>
          <w:sz w:val="21"/>
        </w:rPr>
        <w:t xml:space="preserve">BNBL approval rights and ordinary-course carve-outs; board composition &amp; quorum; minority protections already in the SHA (pro-rata, ROFR, tag/drag) — confirm sufficiency.</w:t>
      </w:r>
    </w:p>
    <w:p>
      <w:r>
        <w:rPr>
          <w:b/>
          <w:sz w:val="21"/>
        </w:rPr>
        <w:t xml:space="preserve">5. Founders: roles &amp; vesting / 역할·베스팅 (10 min)</w:t>
      </w:r>
    </w:p>
    <w:p>
      <w:r>
        <w:rPr>
          <w:sz w:val="21"/>
        </w:rPr>
        <w:t xml:space="preserve">Roles (Schedule 1); objective milestones + dispute path; good-leaver; B/C own counsel.</w:t>
      </w:r>
    </w:p>
    <w:p>
      <w:r>
        <w:rPr>
          <w:b/>
          <w:sz w:val="21"/>
        </w:rPr>
        <w:t xml:space="preserve">6. Entity &amp; tax / 법인형태·세무 (10 min)</w:t>
      </w:r>
    </w:p>
    <w:p>
      <w:r>
        <w:rPr>
          <w:sz w:val="21"/>
        </w:rPr>
        <w:t xml:space="preserve">Nevada vs Delaware vs LLC — compare on investor-readiness, tax, governance, related-party; transfer-pricing &amp; US–Korea treaty advice.</w:t>
      </w:r>
    </w:p>
    <w:p>
      <w:r>
        <w:rPr>
          <w:b/>
          <w:sz w:val="21"/>
        </w:rPr>
        <w:t xml:space="preserve">7. Next steps / 다음 단계 (5 min)</w:t>
      </w:r>
    </w:p>
    <w:p>
      <w:r>
        <w:rPr>
          <w:sz w:val="21"/>
        </w:rPr>
        <w:t xml:space="preserve">Confirm agreed principles; assign open items (royalty rate, product list, thresholds); engage U.S. counsel; July Vegas counsel meeting + incorporation prep.</w:t>
      </w:r>
    </w:p>
    <w:p>
      <w:r>
        <w:rPr>
          <w:b/>
          <w:sz w:val="26"/>
          <w:color w:val="1F3B5C"/>
        </w:rPr>
        <w:t xml:space="preserve">Target outcomes / 목표 산출물</w:t>
      </w:r>
    </w:p>
    <w:p>
      <w:r>
        <w:rPr>
          <w:sz w:val="21"/>
        </w:rPr>
        <w:t xml:space="preserve">• Agreed big-picture principles (1-page)</w:t>
      </w:r>
    </w:p>
    <w:p>
      <w:r>
        <w:rPr>
          <w:sz w:val="21"/>
        </w:rPr>
        <w:t xml:space="preserve">• List of items for U.S. counsel review</w:t>
      </w:r>
    </w:p>
    <w:p>
      <w:r>
        <w:rPr>
          <w:sz w:val="21"/>
        </w:rPr>
        <w:t xml:space="preserve">• Decision path on entity type</w:t>
      </w:r>
    </w:p>
    <w:p>
      <w:r>
        <w:rPr>
          <w:sz w:val="21"/>
        </w:rPr>
        <w:t xml:space="preserve">• Zoom follow-ups and July Vegas date</w:t>
      </w:r>
    </w:p>
    <w:p>
      <w:pPr>
        <w:jc w:val="center"/>
      </w:pPr>
      <w:r>
        <w:rPr>
          <w:sz w:val="18"/>
          <w:color w:val="555555"/>
        </w:rPr>
        <w:t xml:space="preserve">For discussion purposes only; not legal advice.</w:t>
      </w:r>
    </w:p>
    <w:sectPr>
      <w:pgSz w:w="11906" w:h="16838"/>
      <w:pgMar w:top="1134" w:right="1134" w:bottom="1134" w:left="1134"/>
    </w:sectPr>
  </w:body>
</w:document>
</file>