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존 권 대표님 답장 초안</w:t>
      </w:r>
    </w:p>
    <w:p>
      <w:pPr>
        <w:jc w:val="center"/>
      </w:pPr>
      <w:r>
        <w:rPr>
          <w:i/>
          <w:color w:val="555555"/>
        </w:rPr>
        <w:t>내부 원칙 기반 · 가드레일 적용(‘exclusive’ 회피·commercially workable·Nevada 중립) · 발송 전 [ ] 확인</w:t>
      </w:r>
    </w:p>
    <w:p/>
    <w:p>
      <w:r>
        <w:t>제목: 주주간계약·IP License 코멘트 검토 감사 — 큰 방향과 다음 단계</w:t>
      </w:r>
    </w:p>
    <w:p>
      <w:r>
        <w:t>수신: 존 권(John J. Kwon) 대표님    |    참조: 백승락 대표님</w:t>
      </w:r>
    </w:p>
    <w:p/>
    <w:p>
      <w:r>
        <w:t>존 권 대표님께,</w:t>
      </w:r>
    </w:p>
    <w:p/>
    <w:p>
      <w:r>
        <w:t>안녕하세요, BNBL 백종섭입니다.</w:t>
      </w:r>
    </w:p>
    <w:p/>
    <w:p>
      <w:r>
        <w:t>상세하고 수준 높은 코멘트 감사합니다. 미국 법인·투자자·소수주주 관점에서 짚어주신 부분들이 전체 구조를 다듬는 데 큰 도움이 되었습니다. 특히 IP·데이터·vesting·제조물책임·이전가격 등 실사 관점의 지적은 미국 변호사 검토 단계에서 적극 반영하겠습니다.</w:t>
      </w:r>
    </w:p>
    <w:p/>
    <w:p>
      <w:r>
        <w:t>큰 방향에서는 공감합니다. 저희가 지향하는 구조는 NewCo를 단순 영업대행사도, BNBL 핵심 HME-DDS™ 기술의 독립 소유자도 아닌, BNBL이 주도하는 미국 commercialization platform으로 두는 것입니다. 즉 BNBL은 Background IP와 핵심 기술의 소유·글로벌 통제를 유지하되, NewCo는 합의된 제품·프로젝트·승인된 사업기회 범위 내에서 의미 있는 사업권과 commercially workable한 보호, economic upside를 갖도록 하는 방향입니다.</w:t>
      </w:r>
    </w:p>
    <w:p/>
    <w:p>
      <w:r>
        <w:t>세부 쟁점은 세 사람이 큰 방향을 맞춘 뒤 미국 변호사 검토를 거쳐 확정하는 것이 가장 효율적이라고 보며, 몇 가지만 미리 말씀드립니다.</w:t>
      </w:r>
    </w:p>
    <w:p/>
    <w:p>
      <w:r>
        <w:t>• 독점권 관련: 전체 Field/Territory 독점보다는, 합의된 제품·프로젝트 범위 내에서 NewCo의 사업 안정성을 확보하는 commercially workable한 구조를 함께 논의하면 좋겠습니다. 구체적인 방식과 범위는 큰 방향 정렬 후 변호사 검토 단계에서 정리하는 것이 좋겠습니다.</w:t>
      </w:r>
    </w:p>
    <w:p/>
    <w:p>
      <w:r>
        <w:t>• 소수주주 보호: pro-rata 참여권, ROFR, tag-along, drag-along은 현재 SHA 본문에 이미 반영되어 있습니다. 충분성과 문구는 변호사 검토 시 함께 확인하면 될 것 같습니다. (가격연동 anti-dilution은 통상 Series A 투자 단계에서 다루는 항목으로 이해하고 있습니다.)</w:t>
      </w:r>
    </w:p>
    <w:p/>
    <w:p>
      <w:r>
        <w:t>• 창업자(B/C) 보호: good-leaver 보호, 객관적 milestone 기준과 분쟁 절차는 합리적이라고 보며, 두 분이 각자 미국·한국 세무/법률 자문을 받으시는 것도 환영합니다.</w:t>
      </w:r>
    </w:p>
    <w:p/>
    <w:p>
      <w:r>
        <w:t>• 법인 형태·세무: Nevada / Delaware / LLC는 투자유치·세무·지배구조·관련자거래 관점에서 각각 장단점이 있으니 함께 비교 검토하면 좋겠습니다. 이전가격(transfer pricing) 및 한미 조세조약 부분은 전문 자문을 확보하겠습니다.</w:t>
      </w:r>
    </w:p>
    <w:p/>
    <w:p>
      <w:r>
        <w:t>진행 순서는 ① 세 사람이 큰 방향을 먼저 정렬하고 ② 그에 맞춰 미국 변호사 검토용 redline 초안으로 정리하는 것이 좋겠습니다.</w:t>
      </w:r>
    </w:p>
    <w:p/>
    <w:p>
      <w:r>
        <w:t>이를 위해 먼저 6월 중 줌으로 사전 논의 자리를 가지면 좋겠습니다. 편하신 시간대를 알려주시면 맞추겠습니다. 이후 7월 중순 베가스 방문 일정에 맞춰 변호사 미팅과 현지 법인 설립 준비를 함께 진행하는 데 동의합니다. 변호사 섭외와 두 분 소개 감사드리며, 일정이 잡히는 대로 공유 부탁드립니다.</w:t>
      </w:r>
    </w:p>
    <w:p/>
    <w:p>
      <w:r>
        <w:t>감사합니다.</w:t>
      </w:r>
    </w:p>
    <w:p>
      <w:r>
        <w:t>백종섭 드림</w:t>
      </w:r>
    </w:p>
    <w:p/>
    <w:p>
      <w:r>
        <w:rPr>
          <w:i/>
          <w:color w:val="555555"/>
        </w:rPr>
        <w:t>작성 메모(발송 전 삭제): 본 초안은 ‘full 독점’ 표현을 피하고 commercially workable 보호로 표현, Nevada는 중립 비교로만 언급, 독점 구체안은 의도적으로 defer, 줌은 ‘6월 중’ 범위만 제시. 내부 원칙·대응표와 정합.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