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F4E79"/>
          <w:sz w:val="52"/>
          <w:szCs w:val="52"/>
        </w:rPr>
        <w:t xml:space="preserve">THE LAND REGISTRATION JOURNEY</w:t>
      </w:r>
    </w:p>
    <w:p>
      <w:pPr>
        <w:spacing w:after="240"/>
      </w:pPr>
      <w:r>
        <w:rPr>
          <w:color w:val="595959"/>
          <w:sz w:val="30"/>
          <w:szCs w:val="30"/>
        </w:rPr>
        <w:t xml:space="preserve">From First Application to Land Certificate</w:t>
      </w:r>
    </w:p>
    <w:p>
      <w:pPr>
        <w:pBdr>
          <w:bottom w:val="single" w:color="1F4E79" w:sz="12" w:space="6"/>
        </w:pBdr>
        <w:spacing w:after="240"/>
      </w:pPr>
    </w:p>
    <w:p>
      <w:pPr>
        <w:spacing w:after="140" w:line="276"/>
      </w:pPr>
      <w:r>
        <w:t xml:space="preserve">A complete, end-to-end reference of how a parcel of land moves through the Cameroonian land administration system — covering </w:t>
      </w:r>
      <w:r>
        <w:rPr>
          <w:b/>
          <w:bCs/>
        </w:rPr>
        <w:t xml:space="preserve">every type of registration</w:t>
      </w:r>
      <w:r>
        <w:t xml:space="preserve">, the actors involved, the documents produced at each step, and what happens behind the scenes inside the registry.</w:t>
      </w:r>
    </w:p>
    <w:p>
      <w:pPr>
        <w:spacing w:after="120"/>
      </w:pPr>
    </w:p>
    <w:p>
      <w:pPr>
        <w:spacing w:after="140" w:line="276"/>
      </w:pPr>
      <w:r>
        <w:rPr>
          <w:b/>
          <w:bCs/>
        </w:rPr>
        <w:t xml:space="preserve">Jurisdiction: </w:t>
      </w:r>
      <w:r>
        <w:t xml:space="preserve">Fako Division, South-West Region — MINDCAF (Ministry of State Property, Surveys and Land Tenure)</w:t>
      </w:r>
    </w:p>
    <w:p>
      <w:pPr>
        <w:spacing w:after="140" w:line="276"/>
      </w:pPr>
      <w:r>
        <w:rPr>
          <w:b/>
          <w:bCs/>
        </w:rPr>
        <w:t xml:space="preserve">Legal basis: </w:t>
      </w:r>
      <w:r>
        <w:t xml:space="preserve">Decree No. 76/165 of 27 April 1976, as amended by Decree No. 2005/481 of 16 December 2005; Ordinance No. 74-1 of 6 July 1974</w:t>
      </w:r>
    </w:p>
    <w:p>
      <w:pPr>
        <w:spacing w:after="140" w:line="276"/>
      </w:pPr>
      <w:r>
        <w:rPr>
          <w:b/>
          <w:bCs/>
        </w:rPr>
        <w:t xml:space="preserve">Sources: </w:t>
      </w:r>
      <w:r>
        <w:t xml:space="preserve">Field research at the Divisional Delegation of Land Tenure (Fako) and primary documents (application form, Procès-Verbal de Bornage, Land Certificate), cross-checked against the governing decrees.</w:t>
      </w:r>
    </w:p>
    <w:p>
      <w:pPr>
        <w:spacing w:after="140" w:line="276"/>
      </w:pPr>
      <w:r>
        <w:rPr>
          <w:b/>
          <w:bCs/>
        </w:rPr>
        <w:t xml:space="preserve">Prepared for: </w:t>
      </w:r>
      <w:r>
        <w:t xml:space="preserve">Decentralized Land Registration and Ownership Verification System</w:t>
      </w:r>
    </w:p>
    <w:p>
      <w:pPr>
        <w:spacing w:after="200"/>
      </w:pPr>
    </w:p>
    <w:tbl>
      <w:tblPr>
        <w:tblW w:type="dxa" w:w="9360"/>
        <w:tblBorders>
          <w:top w:val="single" w:color="FFF2CC" w:sz="2"/>
          <w:left w:val="single" w:color="BF9000" w:sz="24"/>
          <w:bottom w:val="single" w:color="FFF2CC" w:sz="2"/>
          <w:right w:val="single" w:color="FFF2CC" w:sz="2"/>
          <w:insideH w:val="single" w:color="auto" w:sz="4"/>
          <w:insideV w:val="single" w:color="auto" w:sz="4"/>
        </w:tblBorders>
      </w:tblPr>
      <w:tblGrid>
        <w:gridCol w:w="9360"/>
      </w:tblGrid>
      <w:tr>
        <w:tc>
          <w:tcPr>
            <w:tcW w:type="dxa" w:w="9360"/>
            <w:shd w:fill="FFF2CC" w:val="clear"/>
            <w:tcMar>
              <w:top w:type="dxa" w:w="100"/>
              <w:left w:type="dxa" w:w="160"/>
              <w:bottom w:type="dxa" w:w="100"/>
              <w:right w:type="dxa" w:w="160"/>
            </w:tcMar>
          </w:tcPr>
          <w:p>
            <w:pPr>
              <w:spacing w:after="60"/>
            </w:pPr>
            <w:r>
              <w:rPr>
                <w:b/>
                <w:bCs/>
                <w:color w:val="BF9000"/>
              </w:rPr>
              <w:t xml:space="preserve">How to read this guide</w:t>
            </w:r>
          </w:p>
          <w:p>
            <w:pPr>
              <w:spacing w:after="40" w:line="264"/>
            </w:pPr>
            <w:r>
              <w:t xml:space="preserve">Sections 1–3 give the big picture and the cast of actors. Section 4 is the </w:t>
            </w:r>
            <w:r>
              <w:rPr>
                <w:b/>
                <w:bCs/>
              </w:rPr>
              <w:t xml:space="preserve">master journey</w:t>
            </w:r>
            <w:r>
              <w:t xml:space="preserve"> — the spine that every registration follows. Sections 5–10 cover each </w:t>
            </w:r>
            <w:r>
              <w:rPr>
                <w:b/>
                <w:bCs/>
              </w:rPr>
              <w:t xml:space="preserve">registration type</w:t>
            </w:r>
            <w:r>
              <w:t xml:space="preserve"> as a variation on that spine. Sections 11–13 cover verification, disputes, and what to encode in software.</w:t>
            </w:r>
          </w:p>
        </w:tc>
      </w:tr>
    </w:tbl>
    <w:p>
      <w:pPr>
        <w:pageBreakBefore/>
      </w:pPr>
    </w:p>
    <w:p>
      <w:pPr>
        <w:pStyle w:val="Heading1"/>
      </w:pPr>
      <w:r>
        <w:t xml:space="preserve">Contents</w:t>
      </w:r>
    </w:p>
    <w:p>
      <w:pPr>
        <w:spacing w:after="70"/>
        <w:ind w:left="200"/>
      </w:pPr>
      <w:r>
        <w:rPr>
          <w:color w:val="595959"/>
        </w:rPr>
        <w:t xml:space="preserve">1.  What the system is really for</w:t>
      </w:r>
    </w:p>
    <w:p>
      <w:pPr>
        <w:spacing w:after="70"/>
        <w:ind w:left="200"/>
      </w:pPr>
      <w:r>
        <w:rPr>
          <w:color w:val="595959"/>
        </w:rPr>
        <w:t xml:space="preserve">2.  The two grand phases (the mental model)</w:t>
      </w:r>
    </w:p>
    <w:p>
      <w:pPr>
        <w:spacing w:after="70"/>
        <w:ind w:left="200"/>
      </w:pPr>
      <w:r>
        <w:rPr>
          <w:color w:val="595959"/>
        </w:rPr>
        <w:t xml:space="preserve">3.  The actors and who signs what</w:t>
      </w:r>
    </w:p>
    <w:p>
      <w:pPr>
        <w:spacing w:after="70"/>
        <w:ind w:left="200"/>
      </w:pPr>
      <w:r>
        <w:rPr>
          <w:color w:val="595959"/>
        </w:rPr>
        <w:t xml:space="preserve">4.  THE MASTER JOURNEY — first registration, step by step</w:t>
      </w:r>
    </w:p>
    <w:p>
      <w:pPr>
        <w:spacing w:after="70"/>
        <w:ind w:left="200"/>
      </w:pPr>
      <w:r>
        <w:rPr>
          <w:color w:val="595959"/>
        </w:rPr>
        <w:t xml:space="preserve">5.  Type A — Direct (first) registration</w:t>
      </w:r>
    </w:p>
    <w:p>
      <w:pPr>
        <w:spacing w:after="70"/>
        <w:ind w:left="200"/>
      </w:pPr>
      <w:r>
        <w:rPr>
          <w:color w:val="595959"/>
        </w:rPr>
        <w:t xml:space="preserve">6.  Type B — Partial alienation (partial transfer / subdivision sale)</w:t>
      </w:r>
    </w:p>
    <w:p>
      <w:pPr>
        <w:spacing w:after="70"/>
        <w:ind w:left="200"/>
      </w:pPr>
      <w:r>
        <w:rPr>
          <w:color w:val="595959"/>
        </w:rPr>
        <w:t xml:space="preserve">7.  Type C — Total alienation (full transfer of a titled parcel)</w:t>
      </w:r>
    </w:p>
    <w:p>
      <w:pPr>
        <w:spacing w:after="70"/>
        <w:ind w:left="200"/>
      </w:pPr>
      <w:r>
        <w:rPr>
          <w:color w:val="595959"/>
        </w:rPr>
        <w:t xml:space="preserve">8.  Type D — Inheritance / succession transfer</w:t>
      </w:r>
    </w:p>
    <w:p>
      <w:pPr>
        <w:spacing w:after="70"/>
        <w:ind w:left="200"/>
      </w:pPr>
      <w:r>
        <w:rPr>
          <w:color w:val="595959"/>
        </w:rPr>
        <w:t xml:space="preserve">9.  Type E — First-category land &amp; concessions</w:t>
      </w:r>
    </w:p>
    <w:p>
      <w:pPr>
        <w:spacing w:after="70"/>
        <w:ind w:left="200"/>
      </w:pPr>
      <w:r>
        <w:rPr>
          <w:color w:val="595959"/>
        </w:rPr>
        <w:t xml:space="preserve">10. Type F — State land allocation &amp; surrendered land</w:t>
      </w:r>
    </w:p>
    <w:p>
      <w:pPr>
        <w:spacing w:after="70"/>
        <w:ind w:left="200"/>
      </w:pPr>
      <w:r>
        <w:rPr>
          <w:color w:val="595959"/>
        </w:rPr>
        <w:t xml:space="preserve">11. Other registry operations (mortgage, partition, re-establishment of limits)</w:t>
      </w:r>
    </w:p>
    <w:p>
      <w:pPr>
        <w:spacing w:after="70"/>
        <w:ind w:left="200"/>
      </w:pPr>
      <w:r>
        <w:rPr>
          <w:color w:val="595959"/>
        </w:rPr>
        <w:t xml:space="preserve">12. Verification — the Certificate of Ownership</w:t>
      </w:r>
    </w:p>
    <w:p>
      <w:pPr>
        <w:spacing w:after="70"/>
        <w:ind w:left="200"/>
      </w:pPr>
      <w:r>
        <w:rPr>
          <w:color w:val="595959"/>
        </w:rPr>
        <w:t xml:space="preserve">13. Queries, oppositions, rejections and disputes</w:t>
      </w:r>
    </w:p>
    <w:p>
      <w:pPr>
        <w:spacing w:after="70"/>
        <w:ind w:left="200"/>
      </w:pPr>
      <w:r>
        <w:rPr>
          <w:color w:val="595959"/>
        </w:rPr>
        <w:t xml:space="preserve">14. What to encode in the system (build notes)</w:t>
      </w:r>
    </w:p>
    <w:p>
      <w:pPr>
        <w:spacing w:after="70"/>
        <w:ind w:left="200"/>
      </w:pPr>
      <w:r>
        <w:rPr>
          <w:color w:val="595959"/>
        </w:rPr>
        <w:t xml:space="preserve">Appendix A — Document catalogue</w:t>
      </w:r>
    </w:p>
    <w:p>
      <w:pPr>
        <w:spacing w:after="70"/>
        <w:ind w:left="200"/>
      </w:pPr>
      <w:r>
        <w:rPr>
          <w:color w:val="595959"/>
        </w:rPr>
        <w:t xml:space="preserve">Appendix B — Timeline summary</w:t>
      </w:r>
    </w:p>
    <w:p>
      <w:pPr>
        <w:pageBreakBefore/>
      </w:pPr>
    </w:p>
    <w:p>
      <w:pPr>
        <w:pStyle w:val="Heading1"/>
      </w:pPr>
      <w:r>
        <w:t xml:space="preserve">1.  What the system is really for</w:t>
      </w:r>
    </w:p>
    <w:p>
      <w:pPr>
        <w:spacing w:after="140" w:line="276"/>
      </w:pPr>
      <w:r>
        <w:t xml:space="preserve">In Cameroon, the </w:t>
      </w:r>
      <w:r>
        <w:rPr>
          <w:b/>
          <w:bCs/>
        </w:rPr>
        <w:t xml:space="preserve">Land Certificate (Titre Foncier)</w:t>
      </w:r>
      <w:r>
        <w:t xml:space="preserve"> is the official, final certification of real-property ownership. By law it is </w:t>
      </w:r>
      <w:r>
        <w:rPr>
          <w:b/>
          <w:bCs/>
        </w:rPr>
        <w:t xml:space="preserve">inattaquable, intangible, et définitif</w:t>
      </w:r>
      <w:r>
        <w:t xml:space="preserve"> — unassailable, indefeasible and final. Registering a right in the special register called the </w:t>
      </w:r>
      <w:r>
        <w:rPr>
          <w:b/>
          <w:bCs/>
        </w:rPr>
        <w:t xml:space="preserve">Livre Foncier (Land Register)</w:t>
      </w:r>
      <w:r>
        <w:t xml:space="preserve"> makes that right enforceable against everyone else (opposable aux tiers).</w:t>
      </w:r>
    </w:p>
    <w:p>
      <w:pPr>
        <w:spacing w:after="140" w:line="276"/>
      </w:pPr>
      <w:r>
        <w:t xml:space="preserve">So the whole machine exists to answer one question with legal certainty: </w:t>
      </w:r>
      <w:r>
        <w:rPr>
          <w:b/>
          <w:bCs/>
        </w:rPr>
        <w:t xml:space="preserve">“who owns this exact piece of ground, and what claims sit on it?”</w:t>
      </w:r>
      <w:r>
        <w:t xml:space="preserve"> Everything in the journey — the survey, the public notice, the commission, the registrar’s signature — is there to make that answer trustworthy and hard to forge.</w:t>
      </w:r>
    </w:p>
    <w:tbl>
      <w:tblPr>
        <w:tblW w:type="dxa" w:w="9360"/>
        <w:tblBorders>
          <w:top w:val="single" w:color="D9E2F3" w:sz="2"/>
          <w:left w:val="single" w:color="1F4E79" w:sz="24"/>
          <w:bottom w:val="single" w:color="D9E2F3" w:sz="2"/>
          <w:right w:val="single" w:color="D9E2F3" w:sz="2"/>
          <w:insideH w:val="single" w:color="auto" w:sz="4"/>
          <w:insideV w:val="single" w:color="auto" w:sz="4"/>
        </w:tblBorders>
      </w:tblPr>
      <w:tblGrid>
        <w:gridCol w:w="9360"/>
      </w:tblGrid>
      <w:tr>
        <w:tc>
          <w:tcPr>
            <w:tcW w:type="dxa" w:w="9360"/>
            <w:shd w:fill="D9E2F3" w:val="clear"/>
            <w:tcMar>
              <w:top w:type="dxa" w:w="100"/>
              <w:left w:type="dxa" w:w="160"/>
              <w:bottom w:type="dxa" w:w="100"/>
              <w:right w:type="dxa" w:w="160"/>
            </w:tcMar>
          </w:tcPr>
          <w:p>
            <w:pPr>
              <w:spacing w:after="60"/>
            </w:pPr>
            <w:r>
              <w:rPr>
                <w:b/>
                <w:bCs/>
                <w:color w:val="1F4E79"/>
              </w:rPr>
              <w:t xml:space="preserve">The single most important fact for your build</w:t>
            </w:r>
          </w:p>
          <w:p>
            <w:pPr>
              <w:spacing w:after="40" w:line="264"/>
            </w:pPr>
            <w:r>
              <w:t xml:space="preserve">There is </w:t>
            </w:r>
            <w:r>
              <w:rPr>
                <w:b/>
                <w:bCs/>
              </w:rPr>
              <w:t xml:space="preserve">no national centralised database</w:t>
            </w:r>
            <w:r>
              <w:t xml:space="preserve"> of land titles today. Each Conservation Foncière is, in the words of the registry, “the last bus stop” — records live as a </w:t>
            </w:r>
            <w:r>
              <w:rPr>
                <w:b/>
                <w:bCs/>
              </w:rPr>
              <w:t xml:space="preserve">mix of paper registers and local computer files</w:t>
            </w:r>
            <w:r>
              <w:t xml:space="preserve">, and older certificates were never digitised. Cross-checking that a parcel was not already registered relies on a </w:t>
            </w:r>
            <w:r>
              <w:rPr>
                <w:b/>
                <w:bCs/>
              </w:rPr>
              <w:t xml:space="preserve">GPS / coordinate system</w:t>
            </w:r>
            <w:r>
              <w:t xml:space="preserve"> and the institutional memory of the office. This fragmentation is the exact gap your system addresses.</w:t>
            </w:r>
          </w:p>
        </w:tc>
      </w:tr>
    </w:tbl>
    <w:p>
      <w:pPr>
        <w:pStyle w:val="Heading1"/>
      </w:pPr>
      <w:r>
        <w:t xml:space="preserve">2.  The two grand phases (the mental model)</w:t>
      </w:r>
    </w:p>
    <w:p>
      <w:pPr>
        <w:spacing w:after="140" w:line="276"/>
      </w:pPr>
      <w:r>
        <w:t xml:space="preserve">No matter how a parcel enters the system, the legal procedure resolves into </w:t>
      </w:r>
      <w:r>
        <w:rPr>
          <w:b/>
          <w:bCs/>
        </w:rPr>
        <w:t xml:space="preserve">two grand phases</w:t>
      </w:r>
      <w:r>
        <w:t xml:space="preserve">. Hold these two in your head and every variation below becomes a small twist on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Phase</w:t>
            </w:r>
          </w:p>
        </w:tc>
        <w:tc>
          <w:tcPr>
            <w:tcW w:type="dxa" w:w="3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Name</w:t>
            </w:r>
          </w:p>
        </w:tc>
        <w:tc>
          <w:tcPr>
            <w:tcW w:type="dxa" w:w="50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What actually happens</w:t>
            </w:r>
          </w:p>
        </w:tc>
      </w:tr>
      <w:tr>
        <w:trPr>
          <w:tblHeader w:val="false"/>
        </w:trPr>
        <w:tc>
          <w:tcPr>
            <w:tcW w:type="dxa" w:w="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I</w:t>
            </w:r>
          </w:p>
        </w:tc>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Establishing the ground truth</w:t>
            </w:r>
          </w:p>
          <w:p>
            <w:pPr>
              <w:spacing w:after="140" w:line="276"/>
            </w:pPr>
            <w:r>
              <w:t xml:space="preserve">(le constat de mise en valeur)</w:t>
            </w:r>
          </w:p>
        </w:tc>
        <w:tc>
          <w:tcPr>
            <w:tcW w:type="dxa" w:w="5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The applicant declares a claim; the State physically goes to the land, confirms occupation/development, marks the boundaries (bornage), and gives the public a chance to object.</w:t>
            </w:r>
          </w:p>
        </w:tc>
      </w:tr>
      <w:tr>
        <w:trPr>
          <w:tblHeader w:val="false"/>
        </w:trPr>
        <w:tc>
          <w:tcPr>
            <w:tcW w:type="dxa" w:w="9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II</w:t>
            </w:r>
          </w:p>
        </w:tc>
        <w:tc>
          <w:tcPr>
            <w:tcW w:type="dxa" w:w="3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Registration &amp; issuing the title</w:t>
            </w:r>
          </w:p>
          <w:p>
            <w:pPr>
              <w:spacing w:after="140" w:line="276"/>
            </w:pPr>
            <w:r>
              <w:t xml:space="preserve">(immatriculation au livre foncier)</w:t>
            </w:r>
          </w:p>
        </w:tc>
        <w:tc>
          <w:tcPr>
            <w:tcW w:type="dxa" w:w="5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Once the ground truth is uncontested, the Conservateur Foncier enters the parcel in the Land Register and issues the Land Certificate. From this moment the parcel legally “exists” as titled property.</w:t>
            </w:r>
          </w:p>
        </w:tc>
      </w:tr>
    </w:tbl>
    <w:p>
      <w:pPr>
        <w:spacing w:after="60"/>
      </w:pPr>
    </w:p>
    <w:p>
      <w:pPr>
        <w:spacing w:after="140" w:line="276"/>
      </w:pPr>
      <w:r>
        <w:t xml:space="preserve">First registration runs both phases in full (~6 months). Transfers of an </w:t>
      </w:r>
      <w:r>
        <w:rPr>
          <w:b/>
          <w:bCs/>
        </w:rPr>
        <w:t xml:space="preserve">already-titled</w:t>
      </w:r>
      <w:r>
        <w:t xml:space="preserve"> parcel (sale, gift, inheritance) skip most of Phase I and live almost entirely in Phase II — which is why they can finish in about a month.</w:t>
      </w:r>
    </w:p>
    <w:p>
      <w:pPr>
        <w:pStyle w:val="Heading1"/>
      </w:pPr>
      <w:r>
        <w:t xml:space="preserve">3.  The actors and who signs what</w:t>
      </w:r>
    </w:p>
    <w:p>
      <w:pPr>
        <w:spacing w:after="140" w:line="276"/>
      </w:pPr>
      <w:r>
        <w:t xml:space="preserve">Decentralization in this system is real and legal: authority is split across distinct offices, and no single official can carry a title from start to finish alone. This separation of duties is the backbone you are reproducing in software through roles and maker-checker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560"/>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Actor</w:t>
            </w:r>
          </w:p>
        </w:tc>
        <w:tc>
          <w:tcPr>
            <w:tcW w:type="dxa" w:w="31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Role in the journey</w:t>
            </w:r>
          </w:p>
        </w:tc>
        <w:tc>
          <w:tcPr>
            <w:tcW w:type="dxa" w:w="35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Signs / produces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Applicant / Requérant</w:t>
            </w:r>
          </w:p>
        </w:tc>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Initiates the claim; pays fees; attends the site visit.</w:t>
            </w:r>
          </w:p>
        </w:tc>
        <w:tc>
          <w:tcPr>
            <w:tcW w:type="dxa" w:w="3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The application (Demande), declarations, signatures on the survey report.</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Sub-Divisional Officer (SDO / Sous-Préfet)</w:t>
            </w:r>
          </w:p>
        </w:tc>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Receives the application for national-domain land; orders public notice; chairs the Consultative Commission.</w:t>
            </w:r>
          </w:p>
        </w:tc>
        <w:tc>
          <w:tcPr>
            <w:tcW w:type="dxa" w:w="3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Récépissé (receipt); public-notice extract; convenes the commission.</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Consultative Commission</w:t>
            </w:r>
          </w:p>
        </w:tc>
        <w:tc>
          <w:tcPr>
            <w:tcW w:type="dxa" w:w="31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The multi-actor body that goes to the land to confirm occupation and witness boundary-marking.</w:t>
            </w:r>
          </w:p>
        </w:tc>
        <w:tc>
          <w:tcPr>
            <w:tcW w:type="dxa" w:w="356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140" w:line="276"/>
            </w:pPr>
            <w:r>
              <w:t xml:space="preserve">Members: SDO (chair), Lands rep (secretary), Surveys/Cadastre rep, Urban-planning rep (if urban), sector rep, </w:t>
            </w:r>
            <w:r>
              <w:rPr>
                <w:b/>
                <w:bCs/>
              </w:rPr>
              <w:t xml:space="preserve">village chief + 2 notables</w:t>
            </w:r>
            <w:r>
              <w:t xml:space="preserve">. Produces the commission’s procès-verbal.</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Sworn Surveyor (Géomètre assermenté, Cadastre)</w:t>
            </w:r>
          </w:p>
        </w:tc>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Physically marks boundaries (bornage) in the presence of neighbours; draws the cadastral plan.</w:t>
            </w:r>
          </w:p>
        </w:tc>
        <w:tc>
          <w:tcPr>
            <w:tcW w:type="dxa" w:w="3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Procès-Verbal de Bornage + boundary plan (5 copies). Co-signed by commission chair, departmental Lands chief, village chief, neighbours.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Divisional / Departmental Delegation of Land Tenure</w:t>
            </w:r>
          </w:p>
        </w:tc>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Assembles and checks the file; forwards it up the chain.</w:t>
            </w:r>
          </w:p>
        </w:tc>
        <w:tc>
          <w:tcPr>
            <w:tcW w:type="dxa" w:w="3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Administrative report; transmission of the dossier to the regional level.</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Regional Delegation of Land Tenure</w:t>
            </w:r>
          </w:p>
        </w:tc>
        <w:tc>
          <w:tcPr>
            <w:tcW w:type="dxa" w:w="31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Registers the file in the regional register; assigns a number; checks regularity; publishes the notice of close-of-survey.</w:t>
            </w:r>
          </w:p>
        </w:tc>
        <w:tc>
          <w:tcPr>
            <w:tcW w:type="dxa" w:w="356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140" w:line="276"/>
            </w:pPr>
            <w:r>
              <w:t xml:space="preserve">Visa on the file; </w:t>
            </w:r>
            <w:r>
              <w:rPr>
                <w:b/>
                <w:bCs/>
              </w:rPr>
              <w:t xml:space="preserve">avis de clôture de bornage</w:t>
            </w:r>
            <w:r>
              <w:t xml:space="preserve"> published in the Bulletin des Avis Domaniaux et Fonciers.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Conservateur Foncier (Land Registrar)</w:t>
            </w:r>
          </w:p>
        </w:tc>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The final authority. Enters the parcel in the Livre Foncier and issues the certificate — only if no opposition stands.</w:t>
            </w:r>
          </w:p>
        </w:tc>
        <w:tc>
          <w:tcPr>
            <w:tcW w:type="dxa" w:w="3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Immatriculation in the Land Register; the Land Certificate (Titre Foncier); the Certificate of Ownership for verifications.</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Notary</w:t>
            </w:r>
          </w:p>
        </w:tc>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Draws up the authentic deed for any transfer of a titled parcel (sale, gift).</w:t>
            </w:r>
          </w:p>
        </w:tc>
        <w:tc>
          <w:tcPr>
            <w:tcW w:type="dxa" w:w="3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Notarial act (acte notarié), transmitted to the Conservateur.</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Receiver (Receveur)</w:t>
            </w:r>
          </w:p>
        </w:tc>
        <w:tc>
          <w:tcPr>
            <w:tcW w:type="dxa" w:w="31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Collects land fees and taxes.</w:t>
            </w:r>
          </w:p>
        </w:tc>
        <w:tc>
          <w:tcPr>
            <w:tcW w:type="dxa" w:w="35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Tax/fee receipts (e.g. the ~15% taxation on a sale price).</w:t>
            </w:r>
          </w:p>
        </w:tc>
      </w:tr>
      <w:tr>
        <w:trPr>
          <w:tblHeader w:val="false"/>
        </w:trPr>
        <w:tc>
          <w:tcPr>
            <w:tcW w:type="dxa" w:w="2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Courts</w:t>
            </w:r>
          </w:p>
        </w:tc>
        <w:tc>
          <w:tcPr>
            <w:tcW w:type="dxa" w:w="31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Resolve disputes that internal mediation cannot; issue inheritance certificates / orders.</w:t>
            </w:r>
          </w:p>
        </w:tc>
        <w:tc>
          <w:tcPr>
            <w:tcW w:type="dxa" w:w="356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140" w:line="276"/>
            </w:pPr>
            <w:r>
              <w:t xml:space="preserve">Inheritance certificate, court orders; can compel the registry to produce a report + cadastral plan.</w:t>
            </w:r>
          </w:p>
        </w:tc>
      </w:tr>
    </w:tbl>
    <w:p>
      <w:pPr>
        <w:pageBreakBefore/>
      </w:pPr>
    </w:p>
    <w:p>
      <w:pPr>
        <w:pStyle w:val="Heading1"/>
      </w:pPr>
      <w:r>
        <w:t xml:space="preserve">4.  THE MASTER JOURNEY — first registration, step by step</w:t>
      </w:r>
    </w:p>
    <w:p>
      <w:pPr>
        <w:spacing w:after="140" w:line="276"/>
      </w:pPr>
      <w:r>
        <w:t xml:space="preserve">This is the full nine-step spine for </w:t>
      </w:r>
      <w:r>
        <w:rPr>
          <w:b/>
          <w:bCs/>
        </w:rPr>
        <w:t xml:space="preserve">direct (first) registration</w:t>
      </w:r>
      <w:r>
        <w:t xml:space="preserve"> of national-domain land occupied or developed </w:t>
      </w:r>
      <w:r>
        <w:rPr>
          <w:b/>
          <w:bCs/>
        </w:rPr>
        <w:t xml:space="preserve">before 5 August 1974</w:t>
      </w:r>
      <w:r>
        <w:t xml:space="preserve">. It is the longest path; every other type trims or branches off it. Legal time-markers from the decree are shown in the right column.</w:t>
      </w:r>
    </w:p>
    <w:p>
      <w:pPr>
        <w:spacing w:after="40"/>
      </w:pPr>
    </w:p>
    <w:p>
      <w:pPr>
        <w:spacing w:after="40" w:before="160"/>
      </w:pPr>
      <w:r>
        <w:rPr>
          <w:b/>
          <w:bCs/>
          <w:color w:val="1F4E79"/>
          <w:sz w:val="26"/>
          <w:szCs w:val="26"/>
        </w:rPr>
        <w:t xml:space="preserve">Step 1  ·  </w:t>
      </w:r>
      <w:r>
        <w:rPr>
          <w:b/>
          <w:bCs/>
          <w:sz w:val="26"/>
          <w:szCs w:val="26"/>
        </w:rPr>
        <w:t xml:space="preserve">Pre-application &amp; eligibility</w:t>
      </w:r>
      <w:r>
        <w:rPr>
          <w:i/>
          <w:iCs/>
          <w:color w:val="595959"/>
          <w:sz w:val="20"/>
          <w:szCs w:val="20"/>
        </w:rPr>
        <w:t xml:space="preserve">     [Day 0]</w:t>
      </w:r>
    </w:p>
    <w:p>
      <w:pPr>
        <w:spacing w:after="140" w:line="276"/>
      </w:pPr>
      <w:r>
        <w:t xml:space="preserve">The applicant confirms they qualify: a Cameroonian (or customary community / member) whose </w:t>
      </w:r>
      <w:r>
        <w:rPr>
          <w:b/>
          <w:bCs/>
        </w:rPr>
        <w:t xml:space="preserve">occupation or exploitation predates 5 August 1974</w:t>
      </w:r>
      <w:r>
        <w:t xml:space="preserve">. For Fako / South-West “second-category” land, a </w:t>
      </w:r>
      <w:r>
        <w:rPr>
          <w:b/>
          <w:bCs/>
        </w:rPr>
        <w:t xml:space="preserve">special ministerial authorization</w:t>
      </w:r>
      <w:r>
        <w:t xml:space="preserve"> is required first.</w:t>
      </w:r>
    </w:p>
    <w:p>
      <w:pPr>
        <w:pStyle w:val="ListParagraph"/>
        <w:numPr>
          <w:ilvl w:val="0"/>
          <w:numId w:val="2"/>
        </w:numPr>
        <w:spacing w:after="80" w:line="276"/>
      </w:pPr>
      <w:r>
        <w:rPr>
          <w:b/>
          <w:bCs/>
        </w:rPr>
        <w:t xml:space="preserve">Collect: </w:t>
      </w:r>
      <w:r>
        <w:t xml:space="preserve">National ID card (compulsory for every procedure), evidence of occupation/development, attestation of ownership, and a preliminary site plan.</w:t>
      </w:r>
    </w:p>
    <w:p>
      <w:pPr>
        <w:spacing w:after="40" w:before="160"/>
      </w:pPr>
      <w:r>
        <w:rPr>
          <w:b/>
          <w:bCs/>
          <w:color w:val="1F4E79"/>
          <w:sz w:val="26"/>
          <w:szCs w:val="26"/>
        </w:rPr>
        <w:t xml:space="preserve">Step 2  ·  </w:t>
      </w:r>
      <w:r>
        <w:rPr>
          <w:b/>
          <w:bCs/>
          <w:sz w:val="26"/>
          <w:szCs w:val="26"/>
        </w:rPr>
        <w:t xml:space="preserve">Lodge the application (Demande de Titre Foncier)</w:t>
      </w:r>
      <w:r>
        <w:rPr>
          <w:i/>
          <w:iCs/>
          <w:color w:val="595959"/>
          <w:sz w:val="20"/>
          <w:szCs w:val="20"/>
        </w:rPr>
        <w:t xml:space="preserve">     [Day 0 → +3 days]</w:t>
      </w:r>
    </w:p>
    <w:p>
      <w:pPr>
        <w:spacing w:after="140" w:line="276"/>
      </w:pPr>
      <w:r>
        <w:t xml:space="preserve">The form is the “Application for Land Certificate over a parcel of developed/occupied National Land (Art. II, Decree 76/165).” It is filed in </w:t>
      </w:r>
      <w:r>
        <w:rPr>
          <w:b/>
          <w:bCs/>
        </w:rPr>
        <w:t xml:space="preserve">4 copies, the original bearing a fiscal stamp (timbre fiscal)</w:t>
      </w:r>
      <w:r>
        <w:t xml:space="preserve">, at the SDO / district office.</w:t>
      </w:r>
    </w:p>
    <w:p>
      <w:pPr>
        <w:spacing w:after="140" w:line="276"/>
      </w:pPr>
      <w:r>
        <w:rPr>
          <w:b/>
          <w:bCs/>
        </w:rPr>
        <w:t xml:space="preserve">Fields the applicant fills: </w:t>
      </w:r>
      <w:r>
        <w:t xml:space="preserve">full name; filiation (son/daughter of… and of…); nationality; date &amp; place of birth; profession; full address; marital status &amp; matrimonial regime; location of the plot (sub-division, division); boundaries N/E/S/W </w:t>
      </w:r>
      <w:r>
        <w:rPr>
          <w:b/>
          <w:bCs/>
        </w:rPr>
        <w:t xml:space="preserve">or</w:t>
      </w:r>
      <w:r>
        <w:t xml:space="preserve"> “see preliminary site plan attached”; existing developments (house, crops); approximate investment value; whether others occupy the land; and a sworn declaration of sole authorship of the development.</w:t>
      </w:r>
    </w:p>
    <w:p>
      <w:pPr>
        <w:pStyle w:val="ListParagraph"/>
        <w:numPr>
          <w:ilvl w:val="0"/>
          <w:numId w:val="2"/>
        </w:numPr>
        <w:spacing w:after="80" w:line="276"/>
      </w:pPr>
      <w:r>
        <w:rPr>
          <w:b/>
          <w:bCs/>
        </w:rPr>
        <w:t xml:space="preserve">Attach: </w:t>
      </w:r>
      <w:r>
        <w:t xml:space="preserve">preliminary site plan (4 copies); land-acquisition agreement if any (3 certified true copies); ID; tax stamp.</w:t>
      </w:r>
    </w:p>
    <w:p>
      <w:pPr>
        <w:spacing w:after="140" w:line="276"/>
      </w:pPr>
      <w:r>
        <w:t xml:space="preserve">The office issues an </w:t>
      </w:r>
      <w:r>
        <w:rPr>
          <w:b/>
          <w:bCs/>
        </w:rPr>
        <w:t xml:space="preserve">acknowledgement receipt (récépissé)</w:t>
      </w:r>
      <w:r>
        <w:t xml:space="preserve"> — claimable after ~3 days — carrying the file’s reference/tracking number.</w:t>
      </w:r>
    </w:p>
    <w:p>
      <w:pPr>
        <w:spacing w:after="40" w:before="160"/>
      </w:pPr>
      <w:r>
        <w:rPr>
          <w:b/>
          <w:bCs/>
          <w:color w:val="1F4E79"/>
          <w:sz w:val="26"/>
          <w:szCs w:val="26"/>
        </w:rPr>
        <w:t xml:space="preserve">Step 3  ·  </w:t>
      </w:r>
      <w:r>
        <w:rPr>
          <w:b/>
          <w:bCs/>
          <w:sz w:val="26"/>
          <w:szCs w:val="26"/>
        </w:rPr>
        <w:t xml:space="preserve">Transmission to the Lands service</w:t>
      </w:r>
      <w:r>
        <w:rPr>
          <w:i/>
          <w:iCs/>
          <w:color w:val="595959"/>
          <w:sz w:val="20"/>
          <w:szCs w:val="20"/>
        </w:rPr>
        <w:t xml:space="preserve">     [+8 days]</w:t>
      </w:r>
    </w:p>
    <w:p>
      <w:pPr>
        <w:spacing w:after="140" w:line="276"/>
      </w:pPr>
      <w:r>
        <w:t xml:space="preserve">Within ~8 days the SDO transmits the dossier to the Departmental/Divisional Delegation of Land Tenure, which opens the internal file.</w:t>
      </w:r>
    </w:p>
    <w:p>
      <w:pPr>
        <w:spacing w:after="40" w:before="160"/>
      </w:pPr>
      <w:r>
        <w:rPr>
          <w:b/>
          <w:bCs/>
          <w:color w:val="1F4E79"/>
          <w:sz w:val="26"/>
          <w:szCs w:val="26"/>
        </w:rPr>
        <w:t xml:space="preserve">Step 4  ·  </w:t>
      </w:r>
      <w:r>
        <w:rPr>
          <w:b/>
          <w:bCs/>
          <w:sz w:val="26"/>
          <w:szCs w:val="26"/>
        </w:rPr>
        <w:t xml:space="preserve">Public notice (publicité)</w:t>
      </w:r>
      <w:r>
        <w:rPr>
          <w:i/>
          <w:iCs/>
          <w:color w:val="595959"/>
          <w:sz w:val="20"/>
          <w:szCs w:val="20"/>
        </w:rPr>
        <w:t xml:space="preserve">     [+15 days]</w:t>
      </w:r>
    </w:p>
    <w:p>
      <w:pPr>
        <w:spacing w:after="140" w:line="276"/>
      </w:pPr>
      <w:r>
        <w:t xml:space="preserve">About 15 days after transmission, an extract of the application is </w:t>
      </w:r>
      <w:r>
        <w:rPr>
          <w:b/>
          <w:bCs/>
        </w:rPr>
        <w:t xml:space="preserve">publicly posted</w:t>
      </w:r>
      <w:r>
        <w:t xml:space="preserve"> — at the SDO’s office, the council/town hall, and the chiefdom of the village concerned. This is the public’s first chance to learn a parcel is being claimed.</w:t>
      </w:r>
    </w:p>
    <w:p>
      <w:pPr>
        <w:spacing w:after="40" w:before="160"/>
      </w:pPr>
      <w:r>
        <w:rPr>
          <w:b/>
          <w:bCs/>
          <w:color w:val="1F4E79"/>
          <w:sz w:val="26"/>
          <w:szCs w:val="26"/>
        </w:rPr>
        <w:t xml:space="preserve">Step 5  ·  </w:t>
      </w:r>
      <w:r>
        <w:rPr>
          <w:b/>
          <w:bCs/>
          <w:sz w:val="26"/>
          <w:szCs w:val="26"/>
        </w:rPr>
        <w:t xml:space="preserve">Consultative Commission site visit &amp; boundary-marking (bornage)</w:t>
      </w:r>
      <w:r>
        <w:rPr>
          <w:i/>
          <w:iCs/>
          <w:color w:val="595959"/>
          <w:sz w:val="20"/>
          <w:szCs w:val="20"/>
        </w:rPr>
        <w:t xml:space="preserve">     [site visit]</w:t>
      </w:r>
    </w:p>
    <w:p>
      <w:pPr>
        <w:spacing w:after="140" w:line="276"/>
      </w:pPr>
      <w:r>
        <w:t xml:space="preserve">The commission fixes a date and physically descends on the land to confirm effective occupation/development. In its presence — and that of </w:t>
      </w:r>
      <w:r>
        <w:rPr>
          <w:b/>
          <w:bCs/>
        </w:rPr>
        <w:t xml:space="preserve">neighbours (riverains)</w:t>
      </w:r>
      <w:r>
        <w:t xml:space="preserve"> — a sworn surveyor marks the boundaries with pillars.</w:t>
      </w:r>
    </w:p>
    <w:tbl>
      <w:tblPr>
        <w:tblW w:type="dxa" w:w="9360"/>
        <w:tblBorders>
          <w:top w:val="single" w:color="FCE4D6" w:sz="2"/>
          <w:left w:val="single" w:color="C55A11" w:sz="24"/>
          <w:bottom w:val="single" w:color="FCE4D6" w:sz="2"/>
          <w:right w:val="single" w:color="FCE4D6" w:sz="2"/>
          <w:insideH w:val="single" w:color="auto" w:sz="4"/>
          <w:insideV w:val="single" w:color="auto" w:sz="4"/>
        </w:tblBorders>
      </w:tblPr>
      <w:tblGrid>
        <w:gridCol w:w="9360"/>
      </w:tblGrid>
      <w:tr>
        <w:tc>
          <w:tcPr>
            <w:tcW w:type="dxa" w:w="9360"/>
            <w:shd w:fill="FCE4D6" w:val="clear"/>
            <w:tcMar>
              <w:top w:type="dxa" w:w="100"/>
              <w:left w:type="dxa" w:w="160"/>
              <w:bottom w:type="dxa" w:w="100"/>
              <w:right w:type="dxa" w:w="160"/>
            </w:tcMar>
          </w:tcPr>
          <w:p>
            <w:pPr>
              <w:spacing w:after="60"/>
            </w:pPr>
            <w:r>
              <w:rPr>
                <w:b/>
                <w:bCs/>
                <w:color w:val="C55A11"/>
              </w:rPr>
              <w:t xml:space="preserve">Legal safeguard</w:t>
            </w:r>
          </w:p>
          <w:p>
            <w:pPr>
              <w:spacing w:after="40" w:line="264"/>
            </w:pPr>
            <w:r>
              <w:rPr>
                <w:b/>
                <w:bCs/>
              </w:rPr>
              <w:t xml:space="preserve">“À peine de nullité, aucun bornage d’immatriculation ne peut être effectué par le géomètre seul.”</w:t>
            </w:r>
            <w:r>
              <w:t xml:space="preserve">  Boundary-marking done by the surveyor alone is null and void — it must happen before the commission. This is a separation-of-duties rule baked into the law.</w:t>
            </w:r>
          </w:p>
        </w:tc>
      </w:tr>
    </w:tbl>
    <w:p>
      <w:pPr>
        <w:spacing w:after="140" w:line="276"/>
      </w:pPr>
      <w:r>
        <w:t xml:space="preserve">Outputs: a </w:t>
      </w:r>
      <w:r>
        <w:rPr>
          <w:b/>
          <w:bCs/>
        </w:rPr>
        <w:t xml:space="preserve">boundary plan</w:t>
      </w:r>
      <w:r>
        <w:t xml:space="preserve"> (signed by the surveyor) and the </w:t>
      </w:r>
      <w:r>
        <w:rPr>
          <w:b/>
          <w:bCs/>
        </w:rPr>
        <w:t xml:space="preserve">Procès-Verbal de Bornage / Cadastral Survey Report</w:t>
      </w:r>
      <w:r>
        <w:t xml:space="preserve">, signed by the surveyor, the commission president, the departmental Lands chief, the village chief and the neighbours. The PV records date/place, council, sub-division, division, region, the application reference, and a commission-members table (President, Secretary, MINADER, MINHDU, Surveyor, Chief, 1st &amp; 2nd Notable) with names, ID numbers and signatures.</w:t>
      </w:r>
    </w:p>
    <w:p>
      <w:pPr>
        <w:spacing w:after="40" w:before="160"/>
      </w:pPr>
      <w:r>
        <w:rPr>
          <w:b/>
          <w:bCs/>
          <w:color w:val="1F4E79"/>
          <w:sz w:val="26"/>
          <w:szCs w:val="26"/>
        </w:rPr>
        <w:t xml:space="preserve">Step 6  ·  </w:t>
      </w:r>
      <w:r>
        <w:rPr>
          <w:b/>
          <w:bCs/>
          <w:sz w:val="26"/>
          <w:szCs w:val="26"/>
        </w:rPr>
        <w:t xml:space="preserve">Pay the land fee &amp; assemble the complete file</w:t>
      </w:r>
      <w:r>
        <w:rPr>
          <w:i/>
          <w:iCs/>
          <w:color w:val="595959"/>
          <w:sz w:val="20"/>
          <w:szCs w:val="20"/>
        </w:rPr>
        <w:t xml:space="preserve">     [after survey]</w:t>
      </w:r>
    </w:p>
    <w:p>
      <w:pPr>
        <w:spacing w:after="140" w:line="276"/>
      </w:pPr>
      <w:r>
        <w:t xml:space="preserve">After bornage the applicant pays the land fee/taxation at the Receiver. The Delegation completes the dossier: application pieces + commission PV + </w:t>
      </w:r>
      <w:r>
        <w:rPr>
          <w:b/>
          <w:bCs/>
        </w:rPr>
        <w:t xml:space="preserve">5 copies of the plan</w:t>
      </w:r>
      <w:r>
        <w:t xml:space="preserve"> + PV de bornage.</w:t>
      </w:r>
    </w:p>
    <w:p>
      <w:pPr>
        <w:spacing w:after="40" w:before="160"/>
      </w:pPr>
      <w:r>
        <w:rPr>
          <w:b/>
          <w:bCs/>
          <w:color w:val="1F4E79"/>
          <w:sz w:val="26"/>
          <w:szCs w:val="26"/>
        </w:rPr>
        <w:t xml:space="preserve">Step 7  ·  </w:t>
      </w:r>
      <w:r>
        <w:rPr>
          <w:b/>
          <w:bCs/>
          <w:sz w:val="26"/>
          <w:szCs w:val="26"/>
        </w:rPr>
        <w:t xml:space="preserve">Regional registration &amp; notice of close-of-survey</w:t>
      </w:r>
      <w:r>
        <w:rPr>
          <w:i/>
          <w:iCs/>
          <w:color w:val="595959"/>
          <w:sz w:val="20"/>
          <w:szCs w:val="20"/>
        </w:rPr>
        <w:t xml:space="preserve">     [+30 days]</w:t>
      </w:r>
    </w:p>
    <w:p>
      <w:pPr>
        <w:spacing w:after="140" w:line="276"/>
      </w:pPr>
      <w:r>
        <w:t xml:space="preserve">~30 days later the Departmental Delegate transmits the complete file to the </w:t>
      </w:r>
      <w:r>
        <w:rPr>
          <w:b/>
          <w:bCs/>
        </w:rPr>
        <w:t xml:space="preserve">Regional Delegate</w:t>
      </w:r>
      <w:r>
        <w:t xml:space="preserve">, who enters it in the regional register of immatriculation requests, assigns it a number, examines regularity, and (if in order) </w:t>
      </w:r>
      <w:r>
        <w:rPr>
          <w:b/>
          <w:bCs/>
        </w:rPr>
        <w:t xml:space="preserve">visa-s</w:t>
      </w:r>
      <w:r>
        <w:t xml:space="preserve"> it and publishes an </w:t>
      </w:r>
      <w:r>
        <w:rPr>
          <w:b/>
          <w:bCs/>
        </w:rPr>
        <w:t xml:space="preserve">avis de clôture de bornage</w:t>
      </w:r>
      <w:r>
        <w:t xml:space="preserve"> in the regional Bulletin des Avis Domaniaux et Fonciers. If not in order, it is sent back down for correction.</w:t>
      </w:r>
    </w:p>
    <w:p>
      <w:pPr>
        <w:spacing w:after="40" w:before="160"/>
      </w:pPr>
      <w:r>
        <w:rPr>
          <w:b/>
          <w:bCs/>
          <w:color w:val="1F4E79"/>
          <w:sz w:val="26"/>
          <w:szCs w:val="26"/>
        </w:rPr>
        <w:t xml:space="preserve">Step 8  ·  </w:t>
      </w:r>
      <w:r>
        <w:rPr>
          <w:b/>
          <w:bCs/>
          <w:sz w:val="26"/>
          <w:szCs w:val="26"/>
        </w:rPr>
        <w:t xml:space="preserve">The 30-day opposition window</w:t>
      </w:r>
      <w:r>
        <w:rPr>
          <w:i/>
          <w:iCs/>
          <w:color w:val="595959"/>
          <w:sz w:val="20"/>
          <w:szCs w:val="20"/>
        </w:rPr>
        <w:t xml:space="preserve">     [+30 days]</w:t>
      </w:r>
    </w:p>
    <w:p>
      <w:pPr>
        <w:spacing w:after="140" w:line="276"/>
      </w:pPr>
      <w:r>
        <w:t xml:space="preserve">From deposit of the request until </w:t>
      </w:r>
      <w:r>
        <w:rPr>
          <w:b/>
          <w:bCs/>
        </w:rPr>
        <w:t xml:space="preserve">30 days after</w:t>
      </w:r>
      <w:r>
        <w:t xml:space="preserve"> the close-of-survey notice is published, </w:t>
      </w:r>
      <w:r>
        <w:rPr>
          <w:b/>
          <w:bCs/>
        </w:rPr>
        <w:t xml:space="preserve">any interested person may intervene</w:t>
      </w:r>
      <w:r>
        <w:t xml:space="preserve">:</w:t>
      </w:r>
    </w:p>
    <w:p>
      <w:pPr>
        <w:pStyle w:val="ListParagraph"/>
        <w:numPr>
          <w:ilvl w:val="0"/>
          <w:numId w:val="2"/>
        </w:numPr>
        <w:spacing w:after="80" w:line="276"/>
      </w:pPr>
      <w:r>
        <w:rPr>
          <w:b/>
          <w:bCs/>
        </w:rPr>
        <w:t xml:space="preserve">Opposition</w:t>
      </w:r>
      <w:r>
        <w:t xml:space="preserve"> — contesting the author or extent of the development.</w:t>
      </w:r>
    </w:p>
    <w:p>
      <w:pPr>
        <w:pStyle w:val="ListParagraph"/>
        <w:numPr>
          <w:ilvl w:val="0"/>
          <w:numId w:val="2"/>
        </w:numPr>
        <w:spacing w:after="80" w:line="276"/>
      </w:pPr>
      <w:r>
        <w:rPr>
          <w:b/>
          <w:bCs/>
        </w:rPr>
        <w:t xml:space="preserve">Demande d’inscription de droit</w:t>
      </w:r>
      <w:r>
        <w:t xml:space="preserve"> — claiming a real right or charge (e.g. a mortgage, easement) that should appear on the title.</w:t>
      </w:r>
    </w:p>
    <w:p>
      <w:pPr>
        <w:spacing w:after="140" w:line="276"/>
      </w:pPr>
      <w:r>
        <w:t xml:space="preserve">Interventions are filed as stamped requests to the Conservateur, who logs them in order of arrival in a special register. </w:t>
      </w:r>
      <w:r>
        <w:rPr>
          <w:b/>
          <w:bCs/>
        </w:rPr>
        <w:t xml:space="preserve">An unresolved opposition must be lifted (mainlevée) before any title can issue.</w:t>
      </w:r>
    </w:p>
    <w:p>
      <w:pPr>
        <w:spacing w:after="40" w:before="160"/>
      </w:pPr>
      <w:r>
        <w:rPr>
          <w:b/>
          <w:bCs/>
          <w:color w:val="1F4E79"/>
          <w:sz w:val="26"/>
          <w:szCs w:val="26"/>
        </w:rPr>
        <w:t xml:space="preserve">Step 9  ·  </w:t>
      </w:r>
      <w:r>
        <w:rPr>
          <w:b/>
          <w:bCs/>
          <w:sz w:val="26"/>
          <w:szCs w:val="26"/>
        </w:rPr>
        <w:t xml:space="preserve">Immatriculation &amp; issue of the Land Certificate</w:t>
      </w:r>
      <w:r>
        <w:rPr>
          <w:i/>
          <w:iCs/>
          <w:color w:val="595959"/>
          <w:sz w:val="20"/>
          <w:szCs w:val="20"/>
        </w:rPr>
        <w:t xml:space="preserve">     [≈ 6 months total]</w:t>
      </w:r>
    </w:p>
    <w:p>
      <w:pPr>
        <w:spacing w:after="140" w:line="276"/>
      </w:pPr>
      <w:r>
        <w:t xml:space="preserve">If — and only if — no opposition stands, the </w:t>
      </w:r>
      <w:r>
        <w:rPr>
          <w:b/>
          <w:bCs/>
        </w:rPr>
        <w:t xml:space="preserve">Conservateur Foncier</w:t>
      </w:r>
      <w:r>
        <w:t xml:space="preserve"> registers the parcel in the </w:t>
      </w:r>
      <w:r>
        <w:rPr>
          <w:b/>
          <w:bCs/>
        </w:rPr>
        <w:t xml:space="preserve">Livre Foncier</w:t>
      </w:r>
      <w:r>
        <w:t xml:space="preserve"> and issues the </w:t>
      </w:r>
      <w:r>
        <w:rPr>
          <w:b/>
          <w:bCs/>
        </w:rPr>
        <w:t xml:space="preserve">Copie du Titre Foncier / Copy of Land Certificate</w:t>
      </w:r>
      <w:r>
        <w:t xml:space="preserve">.</w:t>
      </w:r>
    </w:p>
    <w:p>
      <w:pPr>
        <w:spacing w:after="140" w:line="276"/>
      </w:pPr>
      <w:r>
        <w:rPr>
          <w:b/>
          <w:bCs/>
        </w:rPr>
        <w:t xml:space="preserve">The certificate (pink booklet) carries: </w:t>
      </w:r>
      <w:r>
        <w:t xml:space="preserve">Conservation Foncière (registry of landed property of…); a unique </w:t>
      </w:r>
      <w:r>
        <w:rPr>
          <w:b/>
          <w:bCs/>
        </w:rPr>
        <w:t xml:space="preserve">N°</w:t>
      </w:r>
      <w:r>
        <w:t xml:space="preserve">; “entered in the Land Register”; the </w:t>
      </w:r>
      <w:r>
        <w:rPr>
          <w:b/>
          <w:bCs/>
        </w:rPr>
        <w:t xml:space="preserve">Division</w:t>
      </w:r>
      <w:r>
        <w:t xml:space="preserve">; and </w:t>
      </w:r>
      <w:r>
        <w:rPr>
          <w:b/>
          <w:bCs/>
        </w:rPr>
        <w:t xml:space="preserve">Volume + Folio</w:t>
      </w:r>
      <w:r>
        <w:t xml:space="preserve"> — plus the legally required description: the property’s consistency, area (contenance), situation, and the holder’s identity. Volume and Folio are the registry’s internal coordinates that pin the record in the paper register.</w:t>
      </w:r>
    </w:p>
    <w:tbl>
      <w:tblPr>
        <w:tblW w:type="dxa" w:w="9360"/>
        <w:tblBorders>
          <w:top w:val="single" w:color="E2EFDA" w:sz="2"/>
          <w:left w:val="single" w:color="548235" w:sz="24"/>
          <w:bottom w:val="single" w:color="E2EFDA" w:sz="2"/>
          <w:right w:val="single" w:color="E2EFDA"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rPr>
              <w:t xml:space="preserve">End state</w:t>
            </w:r>
          </w:p>
          <w:p>
            <w:pPr>
              <w:spacing w:after="40" w:line="264"/>
            </w:pPr>
            <w:r>
              <w:t xml:space="preserve">The applicant receives a certified copy; the authoritative original lives in the Livre Foncier at the Conservation Foncière. The title is now final and enforceable against all third parties.</w:t>
            </w:r>
          </w:p>
        </w:tc>
      </w:tr>
    </w:tbl>
    <w:p>
      <w:pPr>
        <w:pageBreakBefore/>
      </w:pPr>
    </w:p>
    <w:p>
      <w:pPr>
        <w:pStyle w:val="Heading1"/>
      </w:pPr>
      <w:r>
        <w:t xml:space="preserve">The journey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060"/>
        <w:gridCol w:w="240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w:t>
            </w:r>
          </w:p>
        </w:tc>
        <w:tc>
          <w:tcPr>
            <w:tcW w:type="dxa" w:w="3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Action</w:t>
            </w:r>
          </w:p>
        </w:tc>
        <w:tc>
          <w:tcPr>
            <w:tcW w:type="dxa" w:w="30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Who</w:t>
            </w:r>
          </w:p>
        </w:tc>
        <w:tc>
          <w:tcPr>
            <w:tcW w:type="dxa" w:w="2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Output</w:t>
            </w:r>
          </w:p>
        </w:tc>
      </w:tr>
      <w:tr>
        <w:trPr>
          <w:tblHeader w:val="false"/>
        </w:trPr>
        <w:tc>
          <w:tcPr>
            <w:tcW w:type="dxa" w:w="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1</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Apply (Demande, 4 copies + stamp)</w:t>
            </w:r>
          </w:p>
        </w:tc>
        <w:tc>
          <w:tcPr>
            <w:tcW w:type="dxa" w:w="3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Applicant → SDO</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Récépissé</w:t>
            </w:r>
          </w:p>
        </w:tc>
      </w:tr>
      <w:tr>
        <w:trPr>
          <w:tblHeader w:val="false"/>
        </w:trPr>
        <w:tc>
          <w:tcPr>
            <w:tcW w:type="dxa" w:w="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2</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Transmit to Lands service</w:t>
            </w:r>
          </w:p>
        </w:tc>
        <w:tc>
          <w:tcPr>
            <w:tcW w:type="dxa" w:w="3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SDO → Delegation</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File opened (~8 d)</w:t>
            </w:r>
          </w:p>
        </w:tc>
      </w:tr>
      <w:tr>
        <w:trPr>
          <w:tblHeader w:val="false"/>
        </w:trPr>
        <w:tc>
          <w:tcPr>
            <w:tcW w:type="dxa" w:w="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3</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Public notice posted</w:t>
            </w:r>
          </w:p>
        </w:tc>
        <w:tc>
          <w:tcPr>
            <w:tcW w:type="dxa" w:w="3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Delegation / Council / Chiefdom</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Extract posted (~15 d)</w:t>
            </w:r>
          </w:p>
        </w:tc>
      </w:tr>
      <w:tr>
        <w:trPr>
          <w:tblHeader w:val="false"/>
        </w:trPr>
        <w:tc>
          <w:tcPr>
            <w:tcW w:type="dxa" w:w="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4</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Commission site visit + bornage</w:t>
            </w:r>
          </w:p>
        </w:tc>
        <w:tc>
          <w:tcPr>
            <w:tcW w:type="dxa" w:w="3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Commission + Surveyor + Neighbours</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PV de Bornage + plan</w:t>
            </w:r>
          </w:p>
        </w:tc>
      </w:tr>
      <w:tr>
        <w:trPr>
          <w:tblHeader w:val="false"/>
        </w:trPr>
        <w:tc>
          <w:tcPr>
            <w:tcW w:type="dxa" w:w="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5</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Pay fee; complete dossier</w:t>
            </w:r>
          </w:p>
        </w:tc>
        <w:tc>
          <w:tcPr>
            <w:tcW w:type="dxa" w:w="3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Applicant → Receiver</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Tax receipt</w:t>
            </w:r>
          </w:p>
        </w:tc>
      </w:tr>
      <w:tr>
        <w:trPr>
          <w:tblHeader w:val="false"/>
        </w:trPr>
        <w:tc>
          <w:tcPr>
            <w:tcW w:type="dxa" w:w="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6</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Regional registration</w:t>
            </w:r>
          </w:p>
        </w:tc>
        <w:tc>
          <w:tcPr>
            <w:tcW w:type="dxa" w:w="3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Regional Delegate</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Avis de clôture (Bulletin)</w:t>
            </w:r>
          </w:p>
        </w:tc>
      </w:tr>
      <w:tr>
        <w:trPr>
          <w:tblHeader w:val="false"/>
        </w:trPr>
        <w:tc>
          <w:tcPr>
            <w:tcW w:type="dxa" w:w="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7</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30-day opposition window</w:t>
            </w:r>
          </w:p>
        </w:tc>
        <w:tc>
          <w:tcPr>
            <w:tcW w:type="dxa" w:w="3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Public / Conservateur</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Oppositions logged</w:t>
            </w:r>
          </w:p>
        </w:tc>
      </w:tr>
      <w:tr>
        <w:trPr>
          <w:tblHeader w:val="false"/>
        </w:trPr>
        <w:tc>
          <w:tcPr>
            <w:tcW w:type="dxa" w:w="6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pPr>
              <w:spacing w:after="0" w:line="264"/>
            </w:pPr>
            <w:r>
              <w:rPr>
                <w:b w:val="false"/>
                <w:bCs w:val="false"/>
                <w:color w:val="000000"/>
              </w:rPr>
              <w:t xml:space="preserve">8</w:t>
            </w:r>
          </w:p>
        </w:tc>
        <w:tc>
          <w:tcPr>
            <w:tcW w:type="dxa" w:w="3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Immatriculation + title</w:t>
            </w:r>
          </w:p>
        </w:tc>
        <w:tc>
          <w:tcPr>
            <w:tcW w:type="dxa" w:w="3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Conservateur Foncier</w:t>
            </w:r>
          </w:p>
        </w:tc>
        <w:tc>
          <w:tcPr>
            <w:tcW w:type="dxa" w:w="24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Titre Foncier issued</w:t>
            </w:r>
          </w:p>
        </w:tc>
      </w:tr>
    </w:tbl>
    <w:p>
      <w:pPr>
        <w:pStyle w:val="Heading1"/>
      </w:pPr>
      <w:r>
        <w:t xml:space="preserve">5.  Type A — Direct (first) registration</w:t>
      </w:r>
    </w:p>
    <w:p>
      <w:pPr>
        <w:spacing w:after="140" w:line="276"/>
      </w:pPr>
      <w:r>
        <w:rPr>
          <w:b/>
          <w:bCs/>
        </w:rPr>
        <w:t xml:space="preserve">When: </w:t>
      </w:r>
      <w:r>
        <w:t xml:space="preserve">land that has </w:t>
      </w:r>
      <w:r>
        <w:rPr>
          <w:b/>
          <w:bCs/>
        </w:rPr>
        <w:t xml:space="preserve">never been titled</w:t>
      </w:r>
      <w:r>
        <w:t xml:space="preserve"> before — the national domain. This is the master journey in Section 4 in full.</w:t>
      </w:r>
    </w:p>
    <w:p>
      <w:pPr>
        <w:spacing w:after="140" w:line="276"/>
      </w:pPr>
      <w:r>
        <w:rPr>
          <w:b/>
          <w:bCs/>
        </w:rPr>
        <w:t xml:space="preserve">Hallmarks: </w:t>
      </w:r>
      <w:r>
        <w:t xml:space="preserve">requires special ministerial authorization (South-West, 2nd-category); full Phase I (notice + commission + bornage + opposition window); ~6 months; ends in a brand-new Titre Foncier.</w:t>
      </w:r>
    </w:p>
    <w:p>
      <w:pPr>
        <w:spacing w:after="140" w:line="276"/>
      </w:pPr>
      <w:r>
        <w:rPr>
          <w:b/>
          <w:bCs/>
        </w:rPr>
        <w:t xml:space="preserve">Key documents: </w:t>
      </w:r>
      <w:r>
        <w:t xml:space="preserve">Demande de Titre Foncier (4 copies, stamped) · preliminary site plan · ID · PV de Bornage · regional avis de clôture · new Titre Foncier.</w:t>
      </w:r>
    </w:p>
    <w:p>
      <w:pPr>
        <w:pStyle w:val="Heading1"/>
      </w:pPr>
      <w:r>
        <w:t xml:space="preserve">6.  Type B — Partial alienation (partial transfer / subdivision sale)</w:t>
      </w:r>
    </w:p>
    <w:p>
      <w:pPr>
        <w:spacing w:after="140" w:line="276"/>
      </w:pPr>
      <w:r>
        <w:rPr>
          <w:b/>
          <w:bCs/>
        </w:rPr>
        <w:t xml:space="preserve">When: </w:t>
      </w:r>
      <w:r>
        <w:t xml:space="preserve">the owner of an existing titled parcel sells or gives away </w:t>
      </w:r>
      <w:r>
        <w:rPr>
          <w:b/>
          <w:bCs/>
        </w:rPr>
        <w:t xml:space="preserve">part</w:t>
      </w:r>
      <w:r>
        <w:t xml:space="preserve"> of it. The mother title is split (morcellement); the buyer/donee gets a new title for their portion and the seller’s title is amended.</w:t>
      </w:r>
    </w:p>
    <w:p>
      <w:pPr>
        <w:spacing w:after="140" w:line="276"/>
      </w:pPr>
      <w:r>
        <w:rPr>
          <w:b/>
          <w:bCs/>
        </w:rPr>
        <w:t xml:space="preserve">Journey:</w:t>
      </w:r>
    </w:p>
    <w:p>
      <w:pPr>
        <w:pStyle w:val="ListParagraph"/>
        <w:numPr>
          <w:ilvl w:val="0"/>
          <w:numId w:val="3"/>
        </w:numPr>
        <w:spacing w:after="80" w:line="276"/>
      </w:pPr>
      <w:r>
        <w:rPr>
          <w:b/>
          <w:bCs/>
        </w:rPr>
        <w:t xml:space="preserve">Deed first. </w:t>
      </w:r>
      <w:r>
        <w:t xml:space="preserve">A notarial act establishes the transfer: a </w:t>
      </w:r>
      <w:r>
        <w:rPr>
          <w:b/>
          <w:bCs/>
        </w:rPr>
        <w:t xml:space="preserve">Deed of Conveyance</w:t>
      </w:r>
      <w:r>
        <w:t xml:space="preserve"> (sale) or </w:t>
      </w:r>
      <w:r>
        <w:rPr>
          <w:b/>
          <w:bCs/>
        </w:rPr>
        <w:t xml:space="preserve">Deed of Gift</w:t>
      </w:r>
      <w:r>
        <w:t xml:space="preserve"> (e.g. from a grandfather). Both parties sign; a </w:t>
      </w:r>
      <w:r>
        <w:rPr>
          <w:b/>
          <w:bCs/>
        </w:rPr>
        <w:t xml:space="preserve">stamp-duty document</w:t>
      </w:r>
      <w:r>
        <w:t xml:space="preserve"> is provided.</w:t>
      </w:r>
    </w:p>
    <w:p>
      <w:pPr>
        <w:pStyle w:val="ListParagraph"/>
        <w:numPr>
          <w:ilvl w:val="0"/>
          <w:numId w:val="3"/>
        </w:numPr>
        <w:spacing w:after="80" w:line="276"/>
      </w:pPr>
      <w:r>
        <w:rPr>
          <w:b/>
          <w:bCs/>
        </w:rPr>
        <w:t xml:space="preserve">Application. </w:t>
      </w:r>
      <w:r>
        <w:t xml:space="preserve">The “Application Form” to the Regional/Divisional Chief of Surveys is filed, ticking </w:t>
      </w:r>
      <w:r>
        <w:rPr>
          <w:b/>
          <w:bCs/>
        </w:rPr>
        <w:t xml:space="preserve">Partitioning</w:t>
      </w:r>
      <w:r>
        <w:t xml:space="preserve"> (and/or Total Transfer / Re-establishment of Limits / Site Plan / Block Plan / Demarcation). It records the title-owner’s name &amp; address, ID, land-title number, plot &amp; block number, sub-division, division, area of the main title, and area to partition.</w:t>
      </w:r>
    </w:p>
    <w:p>
      <w:pPr>
        <w:pStyle w:val="ListParagraph"/>
        <w:numPr>
          <w:ilvl w:val="0"/>
          <w:numId w:val="3"/>
        </w:numPr>
        <w:spacing w:after="80" w:line="276"/>
      </w:pPr>
      <w:r>
        <w:rPr>
          <w:b/>
          <w:bCs/>
        </w:rPr>
        <w:t xml:space="preserve">Re-survey of the new portion. </w:t>
      </w:r>
      <w:r>
        <w:t xml:space="preserve">A sworn surveyor borns the sub-divided lot and reports it on the original plan; a distinct title and plan are drawn for the new portion, and the existing title + plan receive the necessary annotations (Art. 25–26).</w:t>
      </w:r>
    </w:p>
    <w:p>
      <w:pPr>
        <w:pStyle w:val="ListParagraph"/>
        <w:numPr>
          <w:ilvl w:val="0"/>
          <w:numId w:val="3"/>
        </w:numPr>
        <w:spacing w:after="80" w:line="276"/>
      </w:pPr>
      <w:r>
        <w:rPr>
          <w:b/>
          <w:bCs/>
        </w:rPr>
        <w:t xml:space="preserve">Tax. </w:t>
      </w:r>
      <w:r>
        <w:t xml:space="preserve">Taxation is paid — in field practice around </w:t>
      </w:r>
      <w:r>
        <w:rPr>
          <w:b/>
          <w:bCs/>
        </w:rPr>
        <w:t xml:space="preserve">15% of the sale price</w:t>
      </w:r>
      <w:r>
        <w:t xml:space="preserve">.</w:t>
      </w:r>
    </w:p>
    <w:p>
      <w:pPr>
        <w:pStyle w:val="ListParagraph"/>
        <w:numPr>
          <w:ilvl w:val="0"/>
          <w:numId w:val="3"/>
        </w:numPr>
        <w:spacing w:after="80" w:line="276"/>
      </w:pPr>
      <w:r>
        <w:rPr>
          <w:b/>
          <w:bCs/>
        </w:rPr>
        <w:t xml:space="preserve">Registration. </w:t>
      </w:r>
      <w:r>
        <w:t xml:space="preserve">The Conservateur records the mutation and issues the new title(s).</w:t>
      </w:r>
    </w:p>
    <w:tbl>
      <w:tblPr>
        <w:tblW w:type="dxa" w:w="9360"/>
        <w:tblBorders>
          <w:top w:val="single" w:color="D9E2F3" w:sz="2"/>
          <w:left w:val="single" w:color="1F4E79" w:sz="24"/>
          <w:bottom w:val="single" w:color="D9E2F3" w:sz="2"/>
          <w:right w:val="single" w:color="D9E2F3" w:sz="2"/>
          <w:insideH w:val="single" w:color="auto" w:sz="4"/>
          <w:insideV w:val="single" w:color="auto" w:sz="4"/>
        </w:tblBorders>
      </w:tblPr>
      <w:tblGrid>
        <w:gridCol w:w="9360"/>
      </w:tblGrid>
      <w:tr>
        <w:tc>
          <w:tcPr>
            <w:tcW w:type="dxa" w:w="9360"/>
            <w:shd w:fill="D9E2F3" w:val="clear"/>
            <w:tcMar>
              <w:top w:type="dxa" w:w="100"/>
              <w:left w:type="dxa" w:w="160"/>
              <w:bottom w:type="dxa" w:w="100"/>
              <w:right w:type="dxa" w:w="160"/>
            </w:tcMar>
          </w:tcPr>
          <w:p>
            <w:pPr>
              <w:spacing w:after="60"/>
            </w:pPr>
            <w:r>
              <w:rPr>
                <w:b/>
                <w:bCs/>
                <w:color w:val="1F4E79"/>
              </w:rPr>
              <w:t xml:space="preserve">Documents to submit when depositing this application</w:t>
            </w:r>
          </w:p>
          <w:p>
            <w:pPr>
              <w:spacing w:after="40" w:line="264"/>
            </w:pPr>
            <w:r/>
          </w:p>
          <w:p>
            <w:pPr>
              <w:spacing w:after="40" w:line="264"/>
            </w:pPr>
            <w:r/>
          </w:p>
          <w:p>
            <w:pPr>
              <w:spacing w:after="40" w:line="264"/>
            </w:pPr>
            <w:r/>
          </w:p>
          <w:p>
            <w:pPr>
              <w:spacing w:after="40" w:line="264"/>
            </w:pPr>
            <w:r/>
          </w:p>
        </w:tc>
      </w:tr>
    </w:tbl>
    <w:p>
      <w:pPr>
        <w:spacing w:after="140" w:line="276"/>
      </w:pPr>
      <w:r>
        <w:rPr>
          <w:b/>
          <w:bCs/>
        </w:rPr>
        <w:t xml:space="preserve">Timeline: </w:t>
      </w:r>
      <w:r>
        <w:t xml:space="preserve">about </w:t>
      </w:r>
      <w:r>
        <w:rPr>
          <w:b/>
          <w:bCs/>
        </w:rPr>
        <w:t xml:space="preserve">one month</w:t>
      </w:r>
      <w:r>
        <w:t xml:space="preserve"> — no fresh public-notice phase, because the land is already titled.</w:t>
      </w:r>
    </w:p>
    <w:p>
      <w:pPr>
        <w:pStyle w:val="Heading1"/>
      </w:pPr>
      <w:r>
        <w:t xml:space="preserve">7.  Type C — Total alienation (full transfer of a titled parcel)</w:t>
      </w:r>
    </w:p>
    <w:p>
      <w:pPr>
        <w:spacing w:after="140" w:line="276"/>
      </w:pPr>
      <w:r>
        <w:rPr>
          <w:b/>
          <w:bCs/>
        </w:rPr>
        <w:t xml:space="preserve">When: </w:t>
      </w:r>
      <w:r>
        <w:t xml:space="preserve">an entire titled parcel changes hands (full sale/gift). No subdivision.</w:t>
      </w:r>
    </w:p>
    <w:p>
      <w:pPr>
        <w:spacing w:after="140" w:line="276"/>
      </w:pPr>
      <w:r>
        <w:rPr>
          <w:b/>
          <w:bCs/>
        </w:rPr>
        <w:t xml:space="preserve">Journey: </w:t>
      </w:r>
      <w:r>
        <w:t xml:space="preserve">notarial deed of conveyance → the notary transmits it to the Conservateur (Art. 23) → tax paid → the Conservateur effects the </w:t>
      </w:r>
      <w:r>
        <w:rPr>
          <w:b/>
          <w:bCs/>
        </w:rPr>
        <w:t xml:space="preserve">mutation</w:t>
      </w:r>
      <w:r>
        <w:t xml:space="preserve">: the existing title is transferred into the new owner’s name (or a fresh copy issued). Both parties sign; stamp-duty document required. No new bornage is needed if boundaries are unchanged.</w:t>
      </w:r>
    </w:p>
    <w:p>
      <w:pPr>
        <w:spacing w:after="140" w:line="276"/>
      </w:pPr>
      <w:r>
        <w:rPr>
          <w:b/>
          <w:bCs/>
        </w:rPr>
        <w:t xml:space="preserve">Documents: </w:t>
      </w:r>
      <w:r>
        <w:t xml:space="preserve">ID of both parties · notarial act · Certificate of Ownership · existing Titre Foncier · tax receipt. Timeline ~1 month.</w:t>
      </w:r>
    </w:p>
    <w:p>
      <w:pPr>
        <w:pStyle w:val="Heading1"/>
      </w:pPr>
      <w:r>
        <w:t xml:space="preserve">8.  Type D — Inheritance / succession transfer</w:t>
      </w:r>
    </w:p>
    <w:p>
      <w:pPr>
        <w:spacing w:after="140" w:line="276"/>
      </w:pPr>
      <w:r>
        <w:rPr>
          <w:b/>
          <w:bCs/>
        </w:rPr>
        <w:t xml:space="preserve">When: </w:t>
      </w:r>
      <w:r>
        <w:t xml:space="preserve">a titled parcel passes from a deceased holder to heirs.</w:t>
      </w:r>
    </w:p>
    <w:p>
      <w:pPr>
        <w:spacing w:after="140" w:line="276"/>
      </w:pPr>
      <w:r>
        <w:rPr>
          <w:b/>
          <w:bCs/>
        </w:rPr>
        <w:t xml:space="preserve">The decisive extra requirement: </w:t>
      </w:r>
      <w:r>
        <w:t xml:space="preserve">a </w:t>
      </w:r>
      <w:r>
        <w:rPr>
          <w:b/>
          <w:bCs/>
        </w:rPr>
        <w:t xml:space="preserve">court order or inheritance certificate</w:t>
      </w:r>
      <w:r>
        <w:t xml:space="preserve"> is </w:t>
      </w:r>
      <w:r>
        <w:rPr>
          <w:b/>
          <w:bCs/>
        </w:rPr>
        <w:t xml:space="preserve">strictly mandatory</w:t>
      </w:r>
      <w:r>
        <w:t xml:space="preserve"> — the registry will not transfer a deceased person’s title without it. Administrators of an estate cannot register the property in their own name (Art. 10).</w:t>
      </w:r>
    </w:p>
    <w:p>
      <w:pPr>
        <w:spacing w:after="140" w:line="276"/>
      </w:pPr>
      <w:r>
        <w:rPr>
          <w:b/>
          <w:bCs/>
        </w:rPr>
        <w:t xml:space="preserve">Journey: </w:t>
      </w:r>
      <w:r>
        <w:t xml:space="preserve">obtain the inheritance certificate / court order → file the transfer application with IDs and the existing title → Conservateur records the mutation to the heir(s). If heirs subdivide among themselves, this becomes a partition (Type B / Section 11).</w:t>
      </w:r>
    </w:p>
    <w:p>
      <w:pPr>
        <w:pStyle w:val="Heading1"/>
      </w:pPr>
      <w:r>
        <w:t xml:space="preserve">9.  Type E — First-category land &amp; concessions</w:t>
      </w:r>
    </w:p>
    <w:p>
      <w:pPr>
        <w:spacing w:after="140" w:line="276"/>
      </w:pPr>
      <w:r>
        <w:rPr>
          <w:b/>
          <w:bCs/>
        </w:rPr>
        <w:t xml:space="preserve">When: </w:t>
      </w:r>
      <w:r>
        <w:t xml:space="preserve">land </w:t>
      </w:r>
      <w:r>
        <w:rPr>
          <w:b/>
          <w:bCs/>
        </w:rPr>
        <w:t xml:space="preserve">not occupied before 1974</w:t>
      </w:r>
      <w:r>
        <w:t xml:space="preserve">. You cannot simply claim prior occupation, so the State grants it conditionally.</w:t>
      </w:r>
    </w:p>
    <w:p>
      <w:pPr>
        <w:spacing w:after="140" w:line="276"/>
      </w:pPr>
      <w:r>
        <w:rPr>
          <w:b/>
          <w:bCs/>
        </w:rPr>
        <w:t xml:space="preserve">Journey: </w:t>
      </w:r>
      <w:r>
        <w:t xml:space="preserve">submit a </w:t>
      </w:r>
      <w:r>
        <w:rPr>
          <w:b/>
          <w:bCs/>
        </w:rPr>
        <w:t xml:space="preserve">detailed business project and master plan</w:t>
      </w:r>
      <w:r>
        <w:t xml:space="preserve"> to the SDO → a </w:t>
      </w:r>
      <w:r>
        <w:rPr>
          <w:b/>
          <w:bCs/>
        </w:rPr>
        <w:t xml:space="preserve">multi-sector commission</w:t>
      </w:r>
      <w:r>
        <w:t xml:space="preserve"> (agriculture, town-planning, forestry, etc.) evaluates the site → if approved, the applicant receives a </w:t>
      </w:r>
      <w:r>
        <w:rPr>
          <w:b/>
          <w:bCs/>
        </w:rPr>
        <w:t xml:space="preserve">provisory concession</w:t>
      </w:r>
      <w:r>
        <w:t xml:space="preserve"> (a partial lease) with a strict development timeframe — typically ~3 years — noted on the certificate.</w:t>
      </w:r>
    </w:p>
    <w:tbl>
      <w:tblPr>
        <w:tblW w:type="dxa" w:w="9360"/>
        <w:tblBorders>
          <w:top w:val="single" w:color="FFF2CC" w:sz="2"/>
          <w:left w:val="single" w:color="BF9000" w:sz="24"/>
          <w:bottom w:val="single" w:color="FFF2CC" w:sz="2"/>
          <w:right w:val="single" w:color="FFF2CC" w:sz="2"/>
          <w:insideH w:val="single" w:color="auto" w:sz="4"/>
          <w:insideV w:val="single" w:color="auto" w:sz="4"/>
        </w:tblBorders>
      </w:tblPr>
      <w:tblGrid>
        <w:gridCol w:w="9360"/>
      </w:tblGrid>
      <w:tr>
        <w:tc>
          <w:tcPr>
            <w:tcW w:type="dxa" w:w="9360"/>
            <w:shd w:fill="FFF2CC" w:val="clear"/>
            <w:tcMar>
              <w:top w:type="dxa" w:w="100"/>
              <w:left w:type="dxa" w:w="160"/>
              <w:bottom w:type="dxa" w:w="100"/>
              <w:right w:type="dxa" w:w="160"/>
            </w:tcMar>
          </w:tcPr>
          <w:p>
            <w:pPr>
              <w:spacing w:after="60"/>
            </w:pPr>
            <w:r>
              <w:rPr>
                <w:b/>
                <w:bCs/>
                <w:color w:val="BF9000"/>
              </w:rPr>
              <w:t xml:space="preserve">Conditional ownership</w:t>
            </w:r>
          </w:p>
          <w:p>
            <w:pPr>
              <w:spacing w:after="40" w:line="264"/>
            </w:pPr>
            <w:r>
              <w:t xml:space="preserve">If the project is </w:t>
            </w:r>
            <w:r>
              <w:rPr>
                <w:b/>
                <w:bCs/>
              </w:rPr>
              <w:t xml:space="preserve">not realised within the timeframe</w:t>
            </w:r>
            <w:r>
              <w:t xml:space="preserve">, the State reclaims the land (though it may refund money paid). Only the Consultative Commission is competent to establish occupation/exploitation constats for 1st-category national-domain land. Successful completion converts the provisory concession into a definitive title.</w:t>
            </w:r>
          </w:p>
        </w:tc>
      </w:tr>
    </w:tbl>
    <w:p>
      <w:pPr>
        <w:pStyle w:val="Heading1"/>
      </w:pPr>
      <w:r>
        <w:t xml:space="preserve">10.  Type F — State land allocation &amp; surrendered land</w:t>
      </w:r>
    </w:p>
    <w:p>
      <w:pPr>
        <w:spacing w:after="140" w:line="276"/>
      </w:pPr>
      <w:r>
        <w:rPr>
          <w:b/>
          <w:bCs/>
        </w:rPr>
        <w:t xml:space="preserve">State land: </w:t>
      </w:r>
      <w:r>
        <w:t xml:space="preserve">the State allocates portions of its own land for a fee set by the ministry, with a development timeframe (like first-category). Field nuance: if a buyer leaves the plot empty and a new applicant actively builds, the State may grant it to the active builder — and </w:t>
      </w:r>
      <w:r>
        <w:rPr>
          <w:b/>
          <w:bCs/>
        </w:rPr>
        <w:t xml:space="preserve">relocate the original buyer to another plot</w:t>
      </w:r>
      <w:r>
        <w:t xml:space="preserve"> so they don’t lose their money.</w:t>
      </w:r>
    </w:p>
    <w:p>
      <w:pPr>
        <w:spacing w:after="140" w:line="276"/>
      </w:pPr>
      <w:r>
        <w:rPr>
          <w:b/>
          <w:bCs/>
        </w:rPr>
        <w:t xml:space="preserve">Surrendered land (surrendered/retrocede): </w:t>
      </w:r>
      <w:r>
        <w:t xml:space="preserve">land handed back to the State re-enters the State’s pool and can be re-allocated through the State-land path above.</w:t>
      </w:r>
    </w:p>
    <w:p>
      <w:pPr>
        <w:pStyle w:val="Heading1"/>
      </w:pPr>
      <w:r>
        <w:t xml:space="preserve">11.  Other registry operations</w:t>
      </w:r>
    </w:p>
    <w:p>
      <w:pPr>
        <w:spacing w:after="140" w:line="276"/>
      </w:pPr>
      <w:r>
        <w:t xml:space="preserve">The registry’s daily work also includes these operations on already-titled land. Each is a Phase-II mutation recorded by the Conservateur: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Operation</w:t>
            </w:r>
          </w:p>
        </w:tc>
        <w:tc>
          <w:tcPr>
            <w:tcW w:type="dxa" w:w="67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What happens</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Mortgage (hypothèque)</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 lender’s charge is inscribed on the title. It appears on the Certificate of Ownership until released (mainlevée). Critical for your verification feature.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Partition (morcellement)</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Splitting one title into several — by sale, gift or sharing among heirs/co-owners. Each lot is re-bornne by a sworn surveyor and gets its own title and plan (Art. 25–26).</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Total transfer / transformation</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Mutation of the whole title (Type C) or transformation of various deeds into a land title.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Re-establishment of limits / demarcation</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Re-marking lost or disputed boundaries; the surveyor highlights the litigious part on the plan. (A tick-box on the Surveys application form.)</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Renting state land</w:t>
            </w:r>
          </w:p>
        </w:tc>
        <w:tc>
          <w:tcPr>
            <w:tcW w:type="dxa" w:w="67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Leasing rather than alienating State land.</w:t>
            </w:r>
          </w:p>
        </w:tc>
      </w:tr>
    </w:tbl>
    <w:p>
      <w:pPr>
        <w:pageBreakBefore/>
      </w:pPr>
    </w:p>
    <w:p>
      <w:pPr>
        <w:pStyle w:val="Heading1"/>
      </w:pPr>
      <w:r>
        <w:t xml:space="preserve">12.  Verification — the Certificate of Ownership</w:t>
      </w:r>
    </w:p>
    <w:p>
      <w:pPr>
        <w:spacing w:after="140" w:line="276"/>
      </w:pPr>
      <w:r>
        <w:t xml:space="preserve">This is the counterpart journey: not creating a title, but </w:t>
      </w:r>
      <w:r>
        <w:rPr>
          <w:b/>
          <w:bCs/>
        </w:rPr>
        <w:t xml:space="preserve">checking one</w:t>
      </w:r>
      <w:r>
        <w:t xml:space="preserve">. It is central to your citizen-facing pay-per-verification portal.</w:t>
      </w:r>
    </w:p>
    <w:p>
      <w:pPr>
        <w:spacing w:after="140" w:line="276"/>
      </w:pPr>
      <w:r>
        <w:rPr>
          <w:b/>
          <w:bCs/>
        </w:rPr>
        <w:t xml:space="preserve">Who needs it: </w:t>
      </w:r>
      <w:r>
        <w:t xml:space="preserve">a bank, prospective buyer, notary, or any third party who wants to confirm a title is genuine and currently valid before relying on it.</w:t>
      </w:r>
    </w:p>
    <w:p>
      <w:pPr>
        <w:spacing w:after="140" w:line="276"/>
      </w:pPr>
      <w:r>
        <w:rPr>
          <w:b/>
          <w:bCs/>
        </w:rPr>
        <w:t xml:space="preserve">How it works today:</w:t>
      </w:r>
    </w:p>
    <w:p>
      <w:pPr>
        <w:pStyle w:val="ListParagraph"/>
        <w:numPr>
          <w:ilvl w:val="0"/>
          <w:numId w:val="3"/>
        </w:numPr>
        <w:spacing w:after="80" w:line="276"/>
      </w:pPr>
      <w:r>
        <w:t xml:space="preserve">There is </w:t>
      </w:r>
      <w:r>
        <w:rPr>
          <w:b/>
          <w:bCs/>
        </w:rPr>
        <w:t xml:space="preserve">no official form</w:t>
      </w:r>
      <w:r>
        <w:t xml:space="preserve">. The applicant writes an </w:t>
      </w:r>
      <w:r>
        <w:rPr>
          <w:b/>
          <w:bCs/>
        </w:rPr>
        <w:t xml:space="preserve">application letter addressed to the Land Registrar</w:t>
      </w:r>
      <w:r>
        <w:t xml:space="preserve"> and drops it at the secretariat.</w:t>
      </w:r>
    </w:p>
    <w:p>
      <w:pPr>
        <w:pStyle w:val="ListParagraph"/>
        <w:numPr>
          <w:ilvl w:val="0"/>
          <w:numId w:val="3"/>
        </w:numPr>
        <w:spacing w:after="80" w:line="276"/>
      </w:pPr>
      <w:r>
        <w:t xml:space="preserve">Attach: the applicant’s </w:t>
      </w:r>
      <w:r>
        <w:rPr>
          <w:b/>
          <w:bCs/>
        </w:rPr>
        <w:t xml:space="preserve">ID card</w:t>
      </w:r>
      <w:r>
        <w:t xml:space="preserve">, the </w:t>
      </w:r>
      <w:r>
        <w:rPr>
          <w:b/>
          <w:bCs/>
        </w:rPr>
        <w:t xml:space="preserve">land-certificate number</w:t>
      </w:r>
      <w:r>
        <w:t xml:space="preserve">, and ideally </w:t>
      </w:r>
      <w:r>
        <w:rPr>
          <w:b/>
          <w:bCs/>
        </w:rPr>
        <w:t xml:space="preserve">photocopies of all pages</w:t>
      </w:r>
      <w:r>
        <w:t xml:space="preserve"> of the certificate (plus, in practice, a birth certificate).</w:t>
      </w:r>
    </w:p>
    <w:p>
      <w:pPr>
        <w:pStyle w:val="ListParagraph"/>
        <w:numPr>
          <w:ilvl w:val="0"/>
          <w:numId w:val="3"/>
        </w:numPr>
        <w:spacing w:after="80" w:line="276"/>
      </w:pPr>
      <w:r>
        <w:t xml:space="preserve">Internally the registry verifies using the </w:t>
      </w:r>
      <w:r>
        <w:rPr>
          <w:b/>
          <w:bCs/>
        </w:rPr>
        <w:t xml:space="preserve">ID number, Folio and Volume</w:t>
      </w:r>
      <w:r>
        <w:t xml:space="preserve"> — the same coordinates printed on the certificate.</w:t>
      </w:r>
    </w:p>
    <w:p>
      <w:pPr>
        <w:pStyle w:val="ListParagraph"/>
        <w:numPr>
          <w:ilvl w:val="0"/>
          <w:numId w:val="3"/>
        </w:numPr>
        <w:spacing w:after="80" w:line="276"/>
      </w:pPr>
      <w:r>
        <w:t xml:space="preserve">The registry issues a </w:t>
      </w:r>
      <w:r>
        <w:rPr>
          <w:b/>
          <w:bCs/>
        </w:rPr>
        <w:t xml:space="preserve">Certificate of Ownership</w:t>
      </w:r>
      <w:r>
        <w:t xml:space="preserve">.</w:t>
      </w:r>
    </w:p>
    <w:tbl>
      <w:tblPr>
        <w:tblW w:type="dxa" w:w="9360"/>
        <w:tblBorders>
          <w:top w:val="single" w:color="E2EFDA" w:sz="2"/>
          <w:left w:val="single" w:color="548235" w:sz="24"/>
          <w:bottom w:val="single" w:color="E2EFDA" w:sz="2"/>
          <w:right w:val="single" w:color="E2EFDA" w:sz="2"/>
          <w:insideH w:val="single" w:color="auto" w:sz="4"/>
          <w:insideV w:val="single" w:color="auto" w:sz="4"/>
        </w:tblBorders>
      </w:tblPr>
      <w:tblGrid>
        <w:gridCol w:w="9360"/>
      </w:tblGrid>
      <w:tr>
        <w:tc>
          <w:tcPr>
            <w:tcW w:type="dxa" w:w="9360"/>
            <w:shd w:fill="E2EFDA" w:val="clear"/>
            <w:tcMar>
              <w:top w:type="dxa" w:w="100"/>
              <w:left w:type="dxa" w:w="160"/>
              <w:bottom w:type="dxa" w:w="100"/>
              <w:right w:type="dxa" w:w="160"/>
            </w:tcMar>
          </w:tcPr>
          <w:p>
            <w:pPr>
              <w:spacing w:after="60"/>
            </w:pPr>
            <w:r>
              <w:rPr>
                <w:b/>
                <w:bCs/>
                <w:color w:val="548235"/>
              </w:rPr>
              <w:t xml:space="preserve">What the Certificate of Ownership reveals</w:t>
            </w:r>
          </w:p>
          <w:p>
            <w:pPr>
              <w:spacing w:after="40" w:line="264"/>
            </w:pPr>
            <w:r>
              <w:t xml:space="preserve">It states the </w:t>
            </w:r>
            <w:r>
              <w:rPr>
                <w:b/>
                <w:bCs/>
              </w:rPr>
              <w:t xml:space="preserve">absolute true state</w:t>
            </w:r>
            <w:r>
              <w:t xml:space="preserve"> of the title — whether it is </w:t>
            </w:r>
            <w:r>
              <w:rPr>
                <w:b/>
                <w:bCs/>
              </w:rPr>
              <w:t xml:space="preserve">fake or valid</w:t>
            </w:r>
            <w:r>
              <w:t xml:space="preserve"> — and lists </w:t>
            </w:r>
            <w:r>
              <w:rPr>
                <w:b/>
                <w:bCs/>
              </w:rPr>
              <w:t xml:space="preserve">every legal event on the land</w:t>
            </w:r>
            <w:r>
              <w:t xml:space="preserve">: ongoing transactions, outstanding loans, mortgages, disputes, and cancellations. “Everything that has legally happened to the land is recorded on this document.”</w:t>
            </w:r>
          </w:p>
          <w:p>
            <w:pPr>
              <w:spacing w:after="40" w:line="264"/>
            </w:pPr>
            <w:r>
              <w:t xml:space="preserve">This single document is the trust anchor your system must reproduce digitally: a queryable, current, complete encumbrance + status report keyed on ID / Volume / Folio.</w:t>
            </w:r>
          </w:p>
        </w:tc>
      </w:tr>
    </w:tbl>
    <w:p>
      <w:pPr>
        <w:spacing w:after="140" w:line="276"/>
      </w:pPr>
      <w:r>
        <w:rPr>
          <w:b/>
          <w:bCs/>
        </w:rPr>
        <w:t xml:space="preserve">Public information channel: </w:t>
      </w:r>
      <w:r>
        <w:t xml:space="preserve">the registry already publishes land events — including </w:t>
      </w:r>
      <w:r>
        <w:rPr>
          <w:b/>
          <w:bCs/>
        </w:rPr>
        <w:t xml:space="preserve">cancellations of certificates</w:t>
      </w:r>
      <w:r>
        <w:t xml:space="preserve"> — every Monday (and monthly) in a </w:t>
      </w:r>
      <w:r>
        <w:rPr>
          <w:b/>
          <w:bCs/>
        </w:rPr>
        <w:t xml:space="preserve">regional bulletin/bureau</w:t>
      </w:r>
      <w:r>
        <w:t xml:space="preserve">, not on the internet. The public widely misunderstands this and pays private agencies to do what they could ask the registry directly. A trustworthy online portal directly attacks this information gap.</w:t>
      </w:r>
    </w:p>
    <w:p>
      <w:pPr>
        <w:pStyle w:val="Heading1"/>
      </w:pPr>
      <w:r>
        <w:t xml:space="preserve">13.  Queries, oppositions, rejections and disputes</w:t>
      </w:r>
    </w:p>
    <w:p>
      <w:pPr>
        <w:pStyle w:val="Heading3"/>
      </w:pPr>
      <w:r>
        <w:t xml:space="preserve">Internal query / rejection</w:t>
      </w:r>
    </w:p>
    <w:p>
      <w:pPr>
        <w:spacing w:after="140" w:line="276"/>
      </w:pPr>
      <w:r>
        <w:t xml:space="preserve">If a file is queried or rejected, the registry generates a </w:t>
      </w:r>
      <w:r>
        <w:rPr>
          <w:b/>
          <w:bCs/>
        </w:rPr>
        <w:t xml:space="preserve">report</w:t>
      </w:r>
      <w:r>
        <w:t xml:space="preserve"> sent to </w:t>
      </w:r>
      <w:r>
        <w:rPr>
          <w:b/>
          <w:bCs/>
        </w:rPr>
        <w:t xml:space="preserve">both the applicant and the board (commission) that visited the site</w:t>
      </w:r>
      <w:r>
        <w:t xml:space="preserve">. The board chairman summons the conflicting parties to sit down and resolve it by dialogue.</w:t>
      </w:r>
    </w:p>
    <w:p>
      <w:pPr>
        <w:pStyle w:val="Heading3"/>
      </w:pPr>
      <w:r>
        <w:t xml:space="preserve">Opposition (during the 30-day window)</w:t>
      </w:r>
    </w:p>
    <w:p>
      <w:pPr>
        <w:spacing w:after="140" w:line="276"/>
      </w:pPr>
      <w:r>
        <w:t xml:space="preserve">A stamped opposition or demande d’inscription is logged by the Conservateur in order of arrival. The title </w:t>
      </w:r>
      <w:r>
        <w:rPr>
          <w:b/>
          <w:bCs/>
        </w:rPr>
        <w:t xml:space="preserve">cannot issue</w:t>
      </w:r>
      <w:r>
        <w:t xml:space="preserve"> until the opposition is lifted (mainlevée).</w:t>
      </w:r>
    </w:p>
    <w:p>
      <w:pPr>
        <w:pStyle w:val="Heading3"/>
      </w:pPr>
      <w:r>
        <w:t xml:space="preserve">Court escalation</w:t>
      </w:r>
    </w:p>
    <w:p>
      <w:pPr>
        <w:spacing w:after="140" w:line="276"/>
      </w:pPr>
      <w:r>
        <w:t xml:space="preserve">If parties cannot agree, the matter goes to </w:t>
      </w:r>
      <w:r>
        <w:rPr>
          <w:b/>
          <w:bCs/>
        </w:rPr>
        <w:t xml:space="preserve">court</w:t>
      </w:r>
      <w:r>
        <w:t xml:space="preserve">. The court formally requests the registry to provide a </w:t>
      </w:r>
      <w:r>
        <w:rPr>
          <w:b/>
          <w:bCs/>
        </w:rPr>
        <w:t xml:space="preserve">detailed report and a cadastral plan</w:t>
      </w:r>
      <w:r>
        <w:t xml:space="preserve"> explaining exactly what is on the ground. A lost/damaged/disputed file “must pass through court.”</w:t>
      </w:r>
    </w:p>
    <w:p>
      <w:pPr>
        <w:pStyle w:val="Heading3"/>
      </w:pPr>
      <w:r>
        <w:t xml:space="preserve">After a title issues</w:t>
      </w:r>
    </w:p>
    <w:p>
      <w:pPr>
        <w:spacing w:after="140" w:line="276"/>
      </w:pPr>
      <w:r>
        <w:t xml:space="preserve">The title is, by law, unassailable — so a wronged party generally has </w:t>
      </w:r>
      <w:r>
        <w:rPr>
          <w:b/>
          <w:bCs/>
        </w:rPr>
        <w:t xml:space="preserve">no recourse against the property itself</w:t>
      </w:r>
      <w:r>
        <w:t xml:space="preserve">, only a personal action for damages in cases of fraud (dol). However, the </w:t>
      </w:r>
      <w:r>
        <w:rPr>
          <w:b/>
          <w:bCs/>
        </w:rPr>
        <w:t xml:space="preserve">Minister may withdraw a title issued irregularly</w:t>
      </w:r>
      <w:r>
        <w:t xml:space="preserve"> (administrative fault) and reinstate the prior owner. Common real-world triggers: </w:t>
      </w:r>
      <w:r>
        <w:rPr>
          <w:b/>
          <w:bCs/>
        </w:rPr>
        <w:t xml:space="preserve">encroachment (coordinate errors), double-titling, and forged documents</w:t>
      </w:r>
      <w:r>
        <w:t xml:space="preserve">.</w:t>
      </w:r>
    </w:p>
    <w:p>
      <w:pPr>
        <w:pageBreakBefore/>
      </w:pPr>
    </w:p>
    <w:p>
      <w:pPr>
        <w:pStyle w:val="Heading1"/>
      </w:pPr>
      <w:r>
        <w:t xml:space="preserve">14.  What to encode in the system (build notes)</w:t>
      </w:r>
    </w:p>
    <w:p>
      <w:pPr>
        <w:spacing w:after="140" w:line="276"/>
      </w:pPr>
      <w:r>
        <w:t xml:space="preserve">Translating this journey into your decentralized system, the following map directly to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Real-world mechanism</w:t>
            </w:r>
          </w:p>
        </w:tc>
        <w:tc>
          <w:tcPr>
            <w:tcW w:type="dxa" w:w="63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System equivalent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Separation of authority across offices</w:t>
            </w:r>
          </w:p>
        </w:tc>
        <w:tc>
          <w:tcPr>
            <w:tcW w:type="dxa" w:w="6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RBAC with region domains: distinct roles (applicant, SDO, surveyor, commission, divisional/regional delegate, Conservateur) — no single role can register, modify or cancel a title alone.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“Bornage by surveyor alone is null” + multi-signature PV</w:t>
            </w:r>
          </w:p>
        </w:tc>
        <w:tc>
          <w:tcPr>
            <w:tcW w:type="dxa" w:w="6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Maker-checker workflow: a state machine of the nine statutory steps, each requiring the correct role to advance; survey step cannot be self-approved.</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The Land Register is the source of truth</w:t>
            </w:r>
          </w:p>
        </w:tc>
        <w:tc>
          <w:tcPr>
            <w:tcW w:type="dxa" w:w="6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Append-only audit log, SHA-256 hash-chained, so every mutation (transfer, mortgage, cancellation) is tamper-evident — the digital Livre Foncier.</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GPS cross-check against existing parcels</w:t>
            </w:r>
          </w:p>
        </w:tc>
        <w:tc>
          <w:tcPr>
            <w:tcW w:type="dxa" w:w="6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PostGIS ST_Intersects double-titling guard at survey/registration time.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Certificate of Ownership</w:t>
            </w:r>
          </w:p>
        </w:tc>
        <w:tc>
          <w:tcPr>
            <w:tcW w:type="dxa" w:w="6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Pay-per-verification portal: query by ID / Volume / Folio, returning current status + full encumbrance list (mortgages, disputes, cancellations).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Monday/monthly bulletin</w:t>
            </w:r>
          </w:p>
        </w:tc>
        <w:tc>
          <w:tcPr>
            <w:tcW w:type="dxa" w:w="6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Public education + status-publication module replacing the paper bulletin; reduces reliance on private agencies.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The physical application form</w:t>
            </w:r>
          </w:p>
        </w:tc>
        <w:tc>
          <w:tcPr>
            <w:tcW w:type="dxa" w:w="6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Online-before-in-person pre-application wizard reproducing the exact Demande / Surveys form fields, so files arrive complete (incomplete files are a top cause of delay).</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140" w:line="276"/>
            </w:pPr>
            <w:r>
              <w:rPr>
                <w:b/>
                <w:bCs/>
              </w:rPr>
              <w:t xml:space="preserve">Certificate fields (N°, Volume, Folio, Division, area)</w:t>
            </w:r>
          </w:p>
        </w:tc>
        <w:tc>
          <w:tcPr>
            <w:tcW w:type="dxa" w:w="63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Certificate generation (pdfkit + QR) mirroring the official Copie du Titre Foncier layout.</w:t>
            </w:r>
          </w:p>
        </w:tc>
      </w:tr>
    </w:tbl>
    <w:p>
      <w:pPr>
        <w:pageBreakBefore/>
      </w:pPr>
    </w:p>
    <w:p>
      <w:pPr>
        <w:pStyle w:val="Heading1"/>
      </w:pPr>
      <w:r>
        <w:t xml:space="preserve">Appendix A — Document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0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Document</w:t>
            </w:r>
          </w:p>
        </w:tc>
        <w:tc>
          <w:tcPr>
            <w:tcW w:type="dxa" w:w="2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Produced by</w:t>
            </w:r>
          </w:p>
        </w:tc>
        <w:tc>
          <w:tcPr>
            <w:tcW w:type="dxa" w:w="40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Purpose / contents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Demande de Titre Foncier (Application for Land Certificate)</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Applicant</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Initiates first registration; identity, plot location, boundaries/site-plan, developments, sworn declaration. 4 copies, original stamped.</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Surveys Application Form (Partitioning / Total Transfer / etc.)</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Title owner</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Requests partition, transfer, re-establishment of limits, site/block plan, demarcation on an existing title.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Récépissé (acknowledgement receipt)</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SDO / office</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Proof of lodging + tracking/reference number.</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Preliminary Site Plan</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Surveyor / applicant</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Provisional depiction of the parcel attached to the application.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Procès-Verbal de Bornage (Cadastral Survey Report)</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Sworn surveyor + commission</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Records the boundary-marking; commission-members table with names, IDs, signatures.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Boundary / cadastral plan</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Sworn surveyor</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Formats E1–E4 (A1–A4) by area/scale/purpose; standard symbols; tied to triangulation points. 5 copies for the file.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Avis de clôture de bornage</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Regional Delegate</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Published in the Bulletin des Avis Domaniaux et Fonciers; starts the 30-day opposition window.</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Notarial act (Deed of Conveyance / Deed of Gift)</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Notary</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Authentic deed for transfer of a titled parcel.</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Inheritance certificate / court order</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Court</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Mandatory for succession transfers.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Copie du Titre Foncier (Land Certificate)</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Conservateur Foncier</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Final ownership proof. Conservation Foncière, N°, Division, Volume, Folio, description, area, holder. Original in the Livre Foncier.</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Certificate of Ownership</w:t>
            </w:r>
          </w:p>
        </w:tc>
        <w:tc>
          <w:tcPr>
            <w:tcW w:type="dxa" w:w="23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Conservateur Foncier</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Verification document: validity + all transactions, loans, mortgages, disputes, cancellations.</w:t>
            </w:r>
          </w:p>
        </w:tc>
      </w:tr>
    </w:tbl>
    <w:p>
      <w:pPr>
        <w:pStyle w:val="Heading1"/>
      </w:pPr>
      <w:r>
        <w:t xml:space="preserve">Appendix B —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40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Registration type</w:t>
            </w:r>
          </w:p>
        </w:tc>
        <w:tc>
          <w:tcPr>
            <w:tcW w:type="dxa" w:w="1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Typical time</w:t>
            </w:r>
          </w:p>
        </w:tc>
        <w:tc>
          <w:tcPr>
            <w:tcW w:type="dxa" w:w="40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spacing w:after="0" w:line="264"/>
            </w:pPr>
            <w:r>
              <w:rPr>
                <w:b/>
                <w:bCs/>
                <w:color w:val="FFFFFF"/>
              </w:rPr>
              <w:t xml:space="preserve">Why</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Direct (first) registration — Type A</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~6 months</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Runs both phases: notice + commission + bornage + 30-day opposition.</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Partial alienation — Type B</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~1 month</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Already-titled land; deed + re-survey of the portion only.</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Total alienation — Type C</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~1 month</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Mutation of an existing title; no new bornage needed.</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Inheritance — Type D</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~1 month + court time</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Mutation, but gated on obtaining the inheritance certificate / court order.</w:t>
            </w:r>
          </w:p>
        </w:tc>
      </w:tr>
      <w:tr>
        <w:trPr>
          <w:tblHeader w:val="false"/>
        </w:trPr>
        <w:tc>
          <w:tcPr>
            <w:tcW w:type="dxa" w:w="36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First-category / concession — Type 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Months + ~3-yr development</w:t>
            </w:r>
          </w:p>
        </w:tc>
        <w:tc>
          <w:tcPr>
            <w:tcW w:type="dxa" w:w="4060"/>
            <w:tcBorders>
              <w:top w:val="single" w:color="BFBFBF" w:sz="4"/>
              <w:left w:val="single" w:color="BFBFBF" w:sz="4"/>
              <w:bottom w:val="single" w:color="BFBFBF" w:sz="4"/>
              <w:right w:val="single" w:color="BFBFBF" w:sz="4"/>
            </w:tcBorders>
            <w:shd w:fill="FFFFFF" w:val="clear"/>
            <w:tcMar>
              <w:top w:type="dxa" w:w="70"/>
              <w:left w:type="dxa" w:w="110"/>
              <w:bottom w:type="dxa" w:w="70"/>
              <w:right w:type="dxa" w:w="110"/>
            </w:tcMar>
          </w:tcPr>
          <w:p>
            <w:pPr>
              <w:spacing w:after="0" w:line="264"/>
            </w:pPr>
            <w:r>
              <w:rPr>
                <w:b w:val="false"/>
                <w:bCs w:val="false"/>
                <w:color w:val="000000"/>
              </w:rPr>
              <w:t xml:space="preserve">Project evaluation, provisory concession, conditional on realisation.</w:t>
            </w:r>
          </w:p>
        </w:tc>
      </w:tr>
    </w:tbl>
    <w:p>
      <w:pPr>
        <w:spacing w:after="120"/>
      </w:pPr>
    </w:p>
    <w:tbl>
      <w:tblPr>
        <w:tblW w:type="dxa" w:w="9360"/>
        <w:tblBorders>
          <w:top w:val="single" w:color="FCE4D6" w:sz="2"/>
          <w:left w:val="single" w:color="C55A11" w:sz="24"/>
          <w:bottom w:val="single" w:color="FCE4D6" w:sz="2"/>
          <w:right w:val="single" w:color="FCE4D6" w:sz="2"/>
          <w:insideH w:val="single" w:color="auto" w:sz="4"/>
          <w:insideV w:val="single" w:color="auto" w:sz="4"/>
        </w:tblBorders>
      </w:tblPr>
      <w:tblGrid>
        <w:gridCol w:w="9360"/>
      </w:tblGrid>
      <w:tr>
        <w:tc>
          <w:tcPr>
            <w:tcW w:type="dxa" w:w="9360"/>
            <w:shd w:fill="FCE4D6" w:val="clear"/>
            <w:tcMar>
              <w:top w:type="dxa" w:w="100"/>
              <w:left w:type="dxa" w:w="160"/>
              <w:bottom w:type="dxa" w:w="100"/>
              <w:right w:type="dxa" w:w="160"/>
            </w:tcMar>
          </w:tcPr>
          <w:p>
            <w:pPr>
              <w:spacing w:after="60"/>
            </w:pPr>
            <w:r>
              <w:rPr>
                <w:b/>
                <w:bCs/>
                <w:color w:val="C55A11"/>
              </w:rPr>
              <w:t xml:space="preserve">Where the delays really come from (field-reported)</w:t>
            </w:r>
          </w:p>
          <w:p>
            <w:pPr>
              <w:spacing w:after="40" w:line="264"/>
            </w:pPr>
            <w:r/>
          </w:p>
          <w:p>
            <w:pPr>
              <w:spacing w:after="40" w:line="264"/>
            </w:pPr>
            <w:r/>
          </w:p>
          <w:p>
            <w:pPr>
              <w:spacing w:after="40" w:line="264"/>
            </w:pPr>
            <w:r/>
          </w:p>
          <w:p>
            <w:pPr>
              <w:spacing w:after="40" w:line="264"/>
            </w:pPr>
            <w:r/>
          </w:p>
        </w:tc>
      </w:tr>
    </w:tbl>
    <w:p>
      <w:pPr>
        <w:spacing w:after="120"/>
      </w:pPr>
    </w:p>
    <w:p>
      <w:pPr>
        <w:spacing w:after="140" w:line="276"/>
      </w:pPr>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s>
    </w:pPr>
    <w:r>
      <w:rPr>
        <w:color w:val="595959"/>
        <w:sz w:val="15"/>
        <w:szCs w:val="15"/>
      </w:rPr>
      <w:t xml:space="preserve">Reference guide for the Decentralized Land Registration &amp; Ownership Verification System</w:t>
    </w:r>
    <w:r>
      <w:rPr>
        <w:sz w:val="15"/>
        <w:szCs w:val="15"/>
      </w:rPr>
      <w:t xml:space="preserve">	</w:t>
    </w:r>
    <w:r>
      <w:rPr>
        <w:color w:val="59595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360"/>
      </w:tabs>
    </w:pPr>
    <w:r>
      <w:rPr>
        <w:color w:val="595959"/>
        <w:sz w:val="16"/>
        <w:szCs w:val="16"/>
      </w:rPr>
      <w:t xml:space="preserve">The Land Registration Journey</w:t>
    </w:r>
    <w:r>
      <w:rPr>
        <w:color w:val="595959"/>
        <w:sz w:val="16"/>
        <w:szCs w:val="16"/>
      </w:rPr>
      <w:t xml:space="preserve">	Fako Division · MINDCAF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Land Registration Journey</dc:title>
  <dc:creator>Land Registration Project</dc:creator>
  <cp:lastModifiedBy>Un-named</cp:lastModifiedBy>
  <cp:revision>1</cp:revision>
  <dcterms:created xsi:type="dcterms:W3CDTF">2026-06-28T02:37:42.624Z</dcterms:created>
  <dcterms:modified xsi:type="dcterms:W3CDTF">2026-06-28T02:37:42.625Z</dcterms:modified>
</cp:coreProperties>
</file>

<file path=docProps/custom.xml><?xml version="1.0" encoding="utf-8"?>
<Properties xmlns="http://schemas.openxmlformats.org/officeDocument/2006/custom-properties" xmlns:vt="http://schemas.openxmlformats.org/officeDocument/2006/docPropsVTypes"/>
</file>