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DocTitle"/>
      </w:pPr>
      <w:r>
        <w:t xml:space="preserve">PANDUAN PENGGUNAAN ADMIN — SISTEM PENGADAAN PBJ</w:t>
      </w:r>
    </w:p>
    <w:p>
      <w:pPr>
        <w:pStyle w:val="DocSubtitle"/>
      </w:pPr>
      <w:r>
        <w:t xml:space="preserve">Panduan ringkas dan terstruktur untuk admin/panitia dalam mengelola tender, penilaian, sanggahan, dan data master PBJ.</w:t>
      </w:r>
    </w:p>
    <w:p>
      <w:pPr>
        <w:pStyle w:val="Heading1"/>
      </w:pPr>
      <w:r>
        <w:t xml:space="preserve">Panduan Penggunaan — Admin / Panitia PBJ</w:t>
      </w:r>
    </w:p>
    <w:p>
      <w:pPr>
        <w:pStyle w:val="Normal"/>
      </w:pPr>
      <w:r>
        <w:t xml:space="preserve">Sistem Pengadaan Barang/Jasa (PBJ) dibangun dengan Laravel 12 + Blade + Bootstrap 5 (tema orange). Akses melalui http://127.0.0.1:8000 (lokal) atau URL server produksi.</w:t>
      </w:r>
    </w:p>
    <w:p>
      <w:pPr>
        <w:pStyle w:val="Heading3"/>
      </w:pPr>
      <w:r>
        <w:t xml:space="preserve">Akun contoh (hasil seed)</w:t>
      </w:r>
    </w:p>
    <w:tbl>
      <w:tblPr>
        <w:tblStyle w:val="TableGrid"/>
        <w:tblW w:w="5000" w:type="pct"/>
        <w:tblLayout w:type="fixed"/>
        <w:tblBorders>
          <w:top w:val="single" w:sz="8" w:space="0" w:color="DCE4F2"/>
          <w:left w:val="single" w:sz="8" w:space="0" w:color="DCE4F2"/>
          <w:bottom w:val="single" w:sz="8" w:space="0" w:color="DCE4F2"/>
          <w:right w:val="single" w:sz="8" w:space="0" w:color="DCE4F2"/>
          <w:insideH w:val="single" w:sz="6" w:space="0" w:color="DCE4F2"/>
          <w:insideV w:val="single" w:sz="6" w:space="0" w:color="DCE4F2"/>
        </w:tblBorders>
      </w:tblPr>
      <w:tblGrid>
        <w:gridCol w:w="2766"/>
        <w:gridCol w:w="2766"/>
        <w:gridCol w:w="2766"/>
      </w:tblGrid>
      <w:tr>
        <w:tc>
          <w:tcPr>
            <w:tcW w:w="2766" w:type="dxa"/>
            <w:shd w:val="clear" w:color="auto" w:fill="D1FAE5"/>
            <w:tcBorders>
              <w:top w:val="single" w:sz="4" w:space="0" w:color="DCE4F2"/>
              <w:left w:val="single" w:sz="4" w:space="0" w:color="DCE4F2"/>
              <w:bottom w:val="single" w:sz="4" w:space="0" w:color="DCE4F2"/>
              <w:right w:val="single" w:sz="4" w:space="0" w:color="DCE4F2"/>
            </w:tcBorders>
          </w:tcPr>
          <w:p>
            <w:pPr>
              <w:spacing w:after="80"/>
            </w:pPr>
            <w:r>
              <w:rPr>
                <w:b/>
                <w:color w:val="020617"/>
              </w:rPr>
              <w:t xml:space="preserve">Peran</w:t>
            </w:r>
          </w:p>
        </w:tc>
        <w:tc>
          <w:tcPr>
            <w:tcW w:w="2766" w:type="dxa"/>
            <w:shd w:val="clear" w:color="auto" w:fill="D1FAE5"/>
            <w:tcBorders>
              <w:top w:val="single" w:sz="4" w:space="0" w:color="DCE4F2"/>
              <w:left w:val="single" w:sz="4" w:space="0" w:color="DCE4F2"/>
              <w:bottom w:val="single" w:sz="4" w:space="0" w:color="DCE4F2"/>
              <w:right w:val="single" w:sz="4" w:space="0" w:color="DCE4F2"/>
            </w:tcBorders>
          </w:tcPr>
          <w:p>
            <w:pPr>
              <w:spacing w:after="80"/>
            </w:pPr>
            <w:r>
              <w:rPr>
                <w:b/>
                <w:color w:val="020617"/>
              </w:rPr>
              <w:t xml:space="preserve">Email</w:t>
            </w:r>
          </w:p>
        </w:tc>
        <w:tc>
          <w:tcPr>
            <w:tcW w:w="2766" w:type="dxa"/>
            <w:shd w:val="clear" w:color="auto" w:fill="D1FAE5"/>
            <w:tcBorders>
              <w:top w:val="single" w:sz="4" w:space="0" w:color="DCE4F2"/>
              <w:left w:val="single" w:sz="4" w:space="0" w:color="DCE4F2"/>
              <w:bottom w:val="single" w:sz="4" w:space="0" w:color="DCE4F2"/>
              <w:right w:val="single" w:sz="4" w:space="0" w:color="DCE4F2"/>
            </w:tcBorders>
          </w:tcPr>
          <w:p>
            <w:pPr>
              <w:spacing w:after="80"/>
            </w:pPr>
            <w:r>
              <w:rPr>
                <w:b/>
                <w:color w:val="020617"/>
              </w:rPr>
              <w:t xml:space="preserve">Password</w:t>
            </w:r>
          </w:p>
        </w:tc>
      </w:tr>
      <w:tr>
        <w:tc>
          <w:tcPr>
            <w:tcW w:w="2766"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Admin</w:t>
            </w:r>
          </w:p>
        </w:tc>
        <w:tc>
          <w:tcPr>
            <w:tcW w:w="2766"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admin@pbj.go.id</w:t>
            </w:r>
          </w:p>
        </w:tc>
        <w:tc>
          <w:tcPr>
            <w:tcW w:w="2766"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password</w:t>
            </w:r>
          </w:p>
        </w:tc>
      </w:tr>
    </w:tbl>
    <w:p>
      <w:pPr>
        <w:pStyle w:val="Heading2"/>
      </w:pPr>
      <w:r>
        <w:t xml:space="preserve">1. Masuk Sistem</w:t>
      </w:r>
    </w:p>
    <w:p>
      <w:pPr>
        <w:pStyle w:val="ListParagraph"/>
        <w:numPr>
          <w:ilvl w:val="0"/>
          <w:numId w:val="1"/>
        </w:numPr>
      </w:pPr>
      <w:r>
        <w:t xml:space="preserve">Buka halaman Login (/login), masukkan email dan password akun admin/panitia, lalu klik Login.</w:t>
      </w:r>
    </w:p>
    <w:p>
      <w:pPr>
        <w:pStyle w:val="ListParagraph"/>
        <w:numPr>
          <w:ilvl w:val="0"/>
          <w:numId w:val="1"/>
        </w:numPr>
      </w:pPr>
      <w:r>
        <w:t xml:space="preserve">Akun harus sudah verified email (verifikasi otomatis saat pendaftaran). Jika lupa password, gunakan Lupa Password (/password/reset).</w:t>
      </w:r>
    </w:p>
    <w:p>
      <w:pPr>
        <w:pStyle w:val="Heading3"/>
      </w:pPr>
      <w:r>
        <w:t xml:space="preserve">2. Menu Admin (Sidebar)</w:t>
      </w:r>
    </w:p>
    <w:tbl>
      <w:tblPr>
        <w:tblStyle w:val="TableGrid"/>
        <w:tblW w:w="5000" w:type="pct"/>
        <w:tblLayout w:type="fixed"/>
        <w:tblBorders>
          <w:top w:val="single" w:sz="8" w:space="0" w:color="DCE4F2"/>
          <w:left w:val="single" w:sz="8" w:space="0" w:color="DCE4F2"/>
          <w:bottom w:val="single" w:sz="8" w:space="0" w:color="DCE4F2"/>
          <w:right w:val="single" w:sz="8" w:space="0" w:color="DCE4F2"/>
          <w:insideH w:val="single" w:sz="6" w:space="0" w:color="DCE4F2"/>
          <w:insideV w:val="single" w:sz="6" w:space="0" w:color="DCE4F2"/>
        </w:tblBorders>
      </w:tblPr>
      <w:tblGrid>
        <w:gridCol w:w="4150"/>
        <w:gridCol w:w="4150"/>
      </w:tblGrid>
      <w:tr>
        <w:tc>
          <w:tcPr>
            <w:tcW w:w="4150" w:type="dxa"/>
            <w:shd w:val="clear" w:color="auto" w:fill="D1FAE5"/>
            <w:tcBorders>
              <w:top w:val="single" w:sz="4" w:space="0" w:color="DCE4F2"/>
              <w:left w:val="single" w:sz="4" w:space="0" w:color="DCE4F2"/>
              <w:bottom w:val="single" w:sz="4" w:space="0" w:color="DCE4F2"/>
              <w:right w:val="single" w:sz="4" w:space="0" w:color="DCE4F2"/>
            </w:tcBorders>
          </w:tcPr>
          <w:p>
            <w:pPr>
              <w:spacing w:after="80"/>
            </w:pPr>
            <w:r>
              <w:rPr>
                <w:b/>
                <w:color w:val="020617"/>
              </w:rPr>
              <w:t xml:space="preserve">Menu</w:t>
            </w:r>
          </w:p>
        </w:tc>
        <w:tc>
          <w:tcPr>
            <w:tcW w:w="4150" w:type="dxa"/>
            <w:shd w:val="clear" w:color="auto" w:fill="D1FAE5"/>
            <w:tcBorders>
              <w:top w:val="single" w:sz="4" w:space="0" w:color="DCE4F2"/>
              <w:left w:val="single" w:sz="4" w:space="0" w:color="DCE4F2"/>
              <w:bottom w:val="single" w:sz="4" w:space="0" w:color="DCE4F2"/>
              <w:right w:val="single" w:sz="4" w:space="0" w:color="DCE4F2"/>
            </w:tcBorders>
          </w:tcPr>
          <w:p>
            <w:pPr>
              <w:spacing w:after="80"/>
            </w:pPr>
            <w:r>
              <w:rPr>
                <w:b/>
                <w:color w:val="020617"/>
              </w:rPr>
              <w:t xml:space="preserve">Fungsi / Route</w:t>
            </w:r>
          </w:p>
        </w:tc>
      </w:tr>
      <w:tr>
        <w:tc>
          <w:tcPr>
            <w:tcW w:w="4150"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Peserta</w:t>
            </w:r>
          </w:p>
        </w:tc>
        <w:tc>
          <w:tcPr>
            <w:tcW w:w="4150"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Membuka profil/registrasi peserta untuk pengelolaan data perusahaan.</w:t>
            </w:r>
          </w:p>
        </w:tc>
      </w:tr>
      <w:tr>
        <w:tc>
          <w:tcPr>
            <w:tcW w:w="4150"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Beranda Tender</w:t>
            </w:r>
          </w:p>
        </w:tc>
        <w:tc>
          <w:tcPr>
            <w:tcW w:w="4150"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/home — daftar tender yang sedang berjalan/publish.</w:t>
            </w:r>
          </w:p>
        </w:tc>
      </w:tr>
      <w:tr>
        <w:tc>
          <w:tcPr>
            <w:tcW w:w="4150"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Kelola Tender</w:t>
            </w:r>
          </w:p>
        </w:tc>
        <w:tc>
          <w:tcPr>
            <w:tcW w:w="4150"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/tender_admin — pusat pembuatan dan pengelolaan tender.</w:t>
            </w:r>
          </w:p>
        </w:tc>
      </w:tr>
      <w:tr>
        <w:tc>
          <w:tcPr>
            <w:tcW w:w="4150"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Jenis Pengadaan</w:t>
            </w:r>
          </w:p>
        </w:tc>
        <w:tc>
          <w:tcPr>
            <w:tcW w:w="4150"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/jenis_pengadaan — CRUD jenis (Barang, Jasa, Konstruksi, dll).</w:t>
            </w:r>
          </w:p>
        </w:tc>
      </w:tr>
      <w:tr>
        <w:tc>
          <w:tcPr>
            <w:tcW w:w="4150"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Jenis Kontrak</w:t>
            </w:r>
          </w:p>
        </w:tc>
        <w:tc>
          <w:tcPr>
            <w:tcW w:w="4150"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/jenis_kontrak — CRUD jenis kontrak (Lump Sum, Harga Satuan, dll).</w:t>
            </w:r>
          </w:p>
        </w:tc>
      </w:tr>
      <w:tr>
        <w:tc>
          <w:tcPr>
            <w:tcW w:w="4150"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Metode Pengadaan</w:t>
            </w:r>
          </w:p>
        </w:tc>
        <w:tc>
          <w:tcPr>
            <w:tcW w:w="4150"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/metode_pengadaan — CRUD metode (Tender Umum, Terbatas, dll).</w:t>
            </w:r>
          </w:p>
        </w:tc>
      </w:tr>
      <w:tr>
        <w:tc>
          <w:tcPr>
            <w:tcW w:w="4150"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Status Tender</w:t>
            </w:r>
          </w:p>
        </w:tc>
        <w:tc>
          <w:tcPr>
            <w:tcW w:w="4150"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/status_tender — CRUD status (Draft, Publish, Selesai, dll).</w:t>
            </w:r>
          </w:p>
        </w:tc>
      </w:tr>
      <w:tr>
        <w:tc>
          <w:tcPr>
            <w:tcW w:w="4150"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Tahapan</w:t>
            </w:r>
          </w:p>
        </w:tc>
        <w:tc>
          <w:tcPr>
            <w:tcW w:w="4150"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/tahapan — daftar master tahapan (jadwal umum).</w:t>
            </w:r>
          </w:p>
        </w:tc>
      </w:tr>
      <w:tr>
        <w:tc>
          <w:tcPr>
            <w:tcW w:w="4150"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Pemeriksaan</w:t>
            </w:r>
          </w:p>
        </w:tc>
        <w:tc>
          <w:tcPr>
            <w:tcW w:w="4150"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/dashboard — daftar tender untuk diperiksa dan dinilai.</w:t>
            </w:r>
          </w:p>
        </w:tc>
      </w:tr>
      <w:tr>
        <w:tc>
          <w:tcPr>
            <w:tcW w:w="4150"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Barang / e-shop</w:t>
            </w:r>
          </w:p>
        </w:tc>
        <w:tc>
          <w:tcPr>
            <w:tcW w:w="4150"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/barang, /katagori — modul e-commerce lama.</w:t>
            </w:r>
          </w:p>
        </w:tc>
      </w:tr>
      <w:tr>
        <w:tc>
          <w:tcPr>
            <w:tcW w:w="4150"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Perubahan</w:t>
            </w:r>
          </w:p>
        </w:tc>
        <w:tc>
          <w:tcPr>
            <w:tcW w:w="4150"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/perubahan — transparansi jadwal/perubahan (baca untuk semua role).</w:t>
            </w:r>
          </w:p>
        </w:tc>
      </w:tr>
    </w:tbl>
    <w:p>
      <w:pPr>
        <w:pStyle w:val="Heading2"/>
      </w:pPr>
      <w:r>
        <w:t xml:space="preserve">3. Alur Kerja Admin (PBJ)</w:t>
      </w:r>
    </w:p>
    <w:p>
      <w:pPr>
        <w:pStyle w:val="Heading3"/>
      </w:pPr>
      <w:r>
        <w:t xml:space="preserve">Status Tahapan Tender</w:t>
      </w:r>
    </w:p>
    <w:tbl>
      <w:tblPr>
        <w:tblStyle w:val="TableGrid"/>
        <w:tblW w:w="5000" w:type="pct"/>
        <w:tblLayout w:type="fixed"/>
        <w:tblBorders>
          <w:top w:val="single" w:sz="8" w:space="0" w:color="DCE4F2"/>
          <w:left w:val="single" w:sz="8" w:space="0" w:color="DCE4F2"/>
          <w:bottom w:val="single" w:sz="8" w:space="0" w:color="DCE4F2"/>
          <w:right w:val="single" w:sz="8" w:space="0" w:color="DCE4F2"/>
          <w:insideH w:val="single" w:sz="6" w:space="0" w:color="DCE4F2"/>
          <w:insideV w:val="single" w:sz="6" w:space="0" w:color="DCE4F2"/>
        </w:tblBorders>
      </w:tblPr>
      <w:tblGrid>
        <w:gridCol w:w="4150"/>
        <w:gridCol w:w="4150"/>
      </w:tblGrid>
      <w:tr>
        <w:tc>
          <w:tcPr>
            <w:tcW w:w="4150" w:type="dxa"/>
            <w:shd w:val="clear" w:color="auto" w:fill="D1FAE5"/>
            <w:tcBorders>
              <w:top w:val="single" w:sz="4" w:space="0" w:color="DCE4F2"/>
              <w:left w:val="single" w:sz="4" w:space="0" w:color="DCE4F2"/>
              <w:bottom w:val="single" w:sz="4" w:space="0" w:color="DCE4F2"/>
              <w:right w:val="single" w:sz="4" w:space="0" w:color="DCE4F2"/>
            </w:tcBorders>
          </w:tcPr>
          <w:p>
            <w:pPr>
              <w:spacing w:after="80"/>
            </w:pPr>
            <w:r>
              <w:rPr>
                <w:b/>
                <w:color w:val="020617"/>
              </w:rPr>
              <w:t xml:space="preserve">Status Tahapan</w:t>
            </w:r>
          </w:p>
        </w:tc>
        <w:tc>
          <w:tcPr>
            <w:tcW w:w="4150" w:type="dxa"/>
            <w:shd w:val="clear" w:color="auto" w:fill="D1FAE5"/>
            <w:tcBorders>
              <w:top w:val="single" w:sz="4" w:space="0" w:color="DCE4F2"/>
              <w:left w:val="single" w:sz="4" w:space="0" w:color="DCE4F2"/>
              <w:bottom w:val="single" w:sz="4" w:space="0" w:color="DCE4F2"/>
              <w:right w:val="single" w:sz="4" w:space="0" w:color="DCE4F2"/>
            </w:tcBorders>
          </w:tcPr>
          <w:p>
            <w:pPr>
              <w:spacing w:after="80"/>
            </w:pPr>
            <w:r>
              <w:rPr>
                <w:b/>
                <w:color w:val="020617"/>
              </w:rPr>
              <w:t xml:space="preserve">Arti</w:t>
            </w:r>
          </w:p>
        </w:tc>
      </w:tr>
      <w:tr>
        <w:tc>
          <w:tcPr>
            <w:tcW w:w="4150"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0</w:t>
            </w:r>
          </w:p>
        </w:tc>
        <w:tc>
          <w:tcPr>
            <w:tcW w:w="4150"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Biasa</w:t>
            </w:r>
          </w:p>
        </w:tc>
      </w:tr>
      <w:tr>
        <w:tc>
          <w:tcPr>
            <w:tcW w:w="4150"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1</w:t>
            </w:r>
          </w:p>
        </w:tc>
        <w:tc>
          <w:tcPr>
            <w:tcW w:w="4150"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Masa Pendaftaran</w:t>
            </w:r>
          </w:p>
        </w:tc>
      </w:tr>
      <w:tr>
        <w:tc>
          <w:tcPr>
            <w:tcW w:w="4150"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2</w:t>
            </w:r>
          </w:p>
        </w:tc>
        <w:tc>
          <w:tcPr>
            <w:tcW w:w="4150"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Masa Pembukaan File</w:t>
            </w:r>
          </w:p>
        </w:tc>
      </w:tr>
      <w:tr>
        <w:tc>
          <w:tcPr>
            <w:tcW w:w="4150"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3</w:t>
            </w:r>
          </w:p>
        </w:tc>
        <w:tc>
          <w:tcPr>
            <w:tcW w:w="4150"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Pengumuman Pemenang</w:t>
            </w:r>
          </w:p>
        </w:tc>
      </w:tr>
      <w:tr>
        <w:tc>
          <w:tcPr>
            <w:tcW w:w="4150"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4</w:t>
            </w:r>
          </w:p>
        </w:tc>
        <w:tc>
          <w:tcPr>
            <w:tcW w:w="4150" w:type="dxa"/>
            <w:shd w:val="clear" w:color="auto" w:fill="FFFFFF"/>
            <w:tcBorders>
              <w:top w:val="single" w:sz="4" w:space="0" w:color="DCE4F2"/>
              <w:left w:val="single" w:sz="4" w:space="0" w:color="DCE4F2"/>
              <w:bottom w:val="single" w:sz="4" w:space="0" w:color="DCE4F2"/>
              <w:right w:val="single" w:sz="4" w:space="0" w:color="DCE4F2"/>
            </w:tcBorders>
          </w:tcPr>
          <w:p>
            <w:pPr>
              <w:spacing w:after="80"/>
            </w:pPr>
            <w:r>
              <w:t xml:space="preserve">Upload File</w:t>
            </w:r>
          </w:p>
        </w:tc>
      </w:tr>
    </w:tbl>
    <w:p>
      <w:pPr>
        <w:pStyle w:val="ListParagraph"/>
        <w:numPr>
          <w:ilvl w:val="0"/>
          <w:numId w:val="1"/>
        </w:numPr>
      </w:pPr>
      <w:r>
        <w:t xml:space="preserve">3.1 Persiapan Master Data — lengkapi master data sebelum membuat tender: Jenis Pengadaan, Jenis Kontrak, Metode Pengadaan, dan Status Tender. Pada masing-masing menu, klik Tambah, isi nama, lalu Submit; edit/hapus tersedia lewat tombol di tabel. Contoh status: Draft, Publish, Selesai, Batal.</w:t>
      </w:r>
    </w:p>
    <w:p>
      <w:pPr>
        <w:pStyle w:val="ListParagraph"/>
        <w:numPr>
          <w:ilvl w:val="0"/>
          <w:numId w:val="1"/>
        </w:numPr>
      </w:pPr>
      <w:r>
        <w:t xml:space="preserve">3.2 Membuat Tender — buka Kelola Tender → + Tambah, lalu isi form: Nama paket pengadaan (wajib), Paket/kode paket (wajib), Jenis Pengadaan, Jenis Kontrak, Metode Pengadaan, Status Tender, KLPD, Sumber Dana, Satuan Kerja, Tahun Anggaran (tanggal), Lokasi Pekerjaan, Nilai Pagu, dan HPS; klik Submit untuk menyimpan, سپس atur Tahapan dan Syarat.</w:t>
      </w:r>
    </w:p>
    <w:p>
      <w:pPr>
        <w:pStyle w:val="ListParagraph"/>
        <w:numPr>
          <w:ilvl w:val="0"/>
          <w:numId w:val="1"/>
        </w:numPr>
      </w:pPr>
      <w:r>
        <w:t xml:space="preserve">3.3 Mengatur Tahapan Tender — buka Kelola Tender → aksi pada tender → Tahapan (/tender_admin/tahapan/{id}); lihat daftar tahapan yang sudah ada (badge status berwarna), tambah tahapan baru dengan Nama Tahap, Status Tahapan, Tanggal Mulai, dan Tanggal Selesai, lalu klik Tambah Tahapan. Pastikan setiap tender punya minimal 1 tahapan berstatus Masa Pendaftaran (1) untuk menyalakan tombol "Daftar" dan 1 tahapan berstatus Upload File (4) untuk menyalakan tombol "Masukkan File"; edit/hapus tahapan lewat tombol di tabel.</w:t>
      </w:r>
    </w:p>
    <w:p>
      <w:pPr>
        <w:pStyle w:val="ListParagraph"/>
        <w:numPr>
          <w:ilvl w:val="0"/>
          <w:numId w:val="1"/>
        </w:numPr>
      </w:pPr>
      <w:r>
        <w:t xml:space="preserve">3.4 Mengatur Syarat Tender — buka Kelola Tender → aksi → Syarat (/tender_admin/syarat/{id}); isi judul, izin, usaha, dan content/keterangan, lalu tambah Detail Syarat (/syarat_detail) bila perlu.</w:t>
      </w:r>
    </w:p>
    <w:p>
      <w:pPr>
        <w:pStyle w:val="ListParagraph"/>
        <w:numPr>
          <w:ilvl w:val="0"/>
          <w:numId w:val="1"/>
        </w:numPr>
      </w:pPr>
      <w:r>
        <w:t xml:space="preserve">3.5 File Template &amp; Persyaratan Teknis — Tender File (/tender_file) berisi daftar file yang wajib diunggah peserta (Dokumen Kualifikasi, Surat Penawaran, Akta, dll); Persyaratan Teknis diatur lewat tender_home/{id}/edit (judul, penjelasan, file pendukung); Administrasi (/administrasi) berisi daftar administrasi yang akan diperiksa beserta detailnya.</w:t>
      </w:r>
    </w:p>
    <w:p>
      <w:pPr>
        <w:pStyle w:val="ListParagraph"/>
        <w:numPr>
          <w:ilvl w:val="0"/>
          <w:numId w:val="1"/>
        </w:numPr>
      </w:pPr>
      <w:r>
        <w:t xml:space="preserve">3.6 Penawaran Tender — Penawaran (/penawaran) menyiapkan data penawaran: judul, penjelasan, anggaran, dan HPS; catatan: penawaran_files (berkas wajib penawaran) biasanya diisi via seeder, dan jika belum ada maka halaman upload peserta akan menampilkan pesan "belum disiapkan".</w:t>
      </w:r>
    </w:p>
    <w:p>
      <w:pPr>
        <w:pStyle w:val="ListParagraph"/>
        <w:numPr>
          <w:ilvl w:val="0"/>
          <w:numId w:val="1"/>
        </w:numPr>
      </w:pPr>
      <w:r>
        <w:t xml:space="preserve">3.7 Pemeriksaan &amp; Penilaian (Inti) — buka Pemeriksaan (/dashboard) untuk melihat daftar tender, klik Periksa pada tender untuk membuka Daftar Peserta Tender (nama PT, nilai penawaran, dan kelengkapan: email, NPWP, alamat, no HP), lalu klik Lihat File pada peserta untuk membuka File Peserta dengan tab Persyaratan Kualifikasi, Administrasi, Evaluasi Teknis, Harga, dan Penilaian; tombol Edit membuka form data perusahaan peserta. Penilaian: setiap item Lulus = 1 poin; total 4/4 = Lulus semua tahap. Gunakan Kirim Email untuk mengirim hasil penilaian ke peserta (status per tahap + kesimpulan).</w:t>
      </w:r>
    </w:p>
    <w:p>
      <w:pPr>
        <w:pStyle w:val="ListParagraph"/>
        <w:numPr>
          <w:ilvl w:val="0"/>
          <w:numId w:val="1"/>
        </w:numPr>
      </w:pPr>
      <w:r>
        <w:t xml:space="preserve">3.8 Sanggahan — menu Sanggahan (/sanggahan) menampilkan daftar tender yang memiliki masa sanggah; klik Sanggahan pada tender untuk melihat Berita Acara Evaluasi (modal) dan sanggahan peserta yang masuk (keterangan + file). Jika belum ada sanggahan, form pengiriman hanya tampil untuk peserta yang terdaftar.</w:t>
      </w:r>
    </w:p>
    <w:p>
      <w:pPr>
        <w:pStyle w:val="ListParagraph"/>
        <w:numPr>
          <w:ilvl w:val="0"/>
          <w:numId w:val="1"/>
        </w:numPr>
      </w:pPr>
      <w:r>
        <w:t xml:space="preserve">3.9 Modul Lain — Barang / e-shop (/barang) untuk kelola barang (nama, katagori, harga, jumlah, keterangan, deskripsi, foto) beserta detail dan komentar; Perubahan (/perubahan) untuk melihat riwayat perubahan jadwal (transparansi); Komentar tersedia pada barang (/komentar) dan diskusi per peserta (/komen).</w:t>
      </w:r>
    </w:p>
    <w:p>
      <w:pPr>
        <w:pStyle w:val="CalloutTitle"/>
      </w:pPr>
      <w:r>
        <w:t xml:space="preserve">4. Data Penting yang Harus Diperhatikan</w:t>
      </w:r>
    </w:p>
    <w:p>
      <w:pPr>
        <w:pStyle w:val="Callout"/>
      </w:pPr>
      <w:r>
        <w:t xml:space="preserve">Tender dengan default=1 dipakai untuk registrasi awal peserta (jangan dihapus). Soft delete dipakai hampir semua tabel, sehingga hapus data berarti arsip, bukan permanen. File peserta tersimpan di public/Tender/... dan path disimpan di database. Email dikirim via SMTP Resend (konfigurasi di .env); pastikan API key valid.</w:t>
      </w:r>
    </w:p>
    <w:sectPr>
      <w:pgSz w:w="11906" w:h="16838"/>
      <w:pgMar w:top="1440" w:right="1440" w:bottom="1440" w:left="1440" w:header="720" w:footer="720" w:gutter="0"/>
    </w:sectPr>
  </w:body>
</w:document>
</file>

<file path=word/fontTable.xml><?xml version="1.0" encoding="utf-8"?>
<w:fonts xmlns:w="http://schemas.openxmlformats.org/wordprocessingml/2006/main">
  <w:font w:name="Aptos">
    <w:family w:val="swiss"/>
    <w:pitch w:val="variable"/>
  </w:font>
  <w:font w:name="Microsoft YaHei">
    <w:charset w:val="86"/>
    <w:family w:val="swiss"/>
    <w:pitch w:val="variable"/>
  </w:font>
</w:fonts>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abstractNum w:abstractNumId="1">
    <w:multiLevelType w:val="multilevel"/>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zoom w:percent="100"/>
  <w:defaultTabStop w:val="720"/>
  <w:characterSpacingControl w:val="doNotCompress"/>
  <w:displayBackgroundShape/>
</w:settings>
</file>

<file path=word/styles.xml><?xml version="1.0" encoding="utf-8"?>
<w:styles xmlns:w="http://schemas.openxmlformats.org/wordprocessingml/2006/main">
  <w:docDefaults>
    <w:rPrDefault>
      <w:rPr>
        <w:rFonts w:ascii="Aptos" w:eastAsia="Microsoft YaHei" w:hAnsi="Aptos"/>
        <w:color w:val="0F172A"/>
        <w:sz w:val="22"/>
        <w:szCs w:val="22"/>
        <w:lang w:val="en-US" w:eastAsia="zh-CN"/>
      </w:rPr>
    </w:rPrDefault>
    <w:pPrDefault>
      <w:pPr>
        <w:spacing w:before="0" w:after="140" w:line="320" w:lineRule="auto"/>
      </w:pPr>
    </w:pPrDefault>
  </w:docDefaults>
  <w:style w:type="paragraph" w:default="1" w:styleId="Normal">
    <w:name w:val="Normal"/>
  </w:style>
  <w:style w:type="paragraph" w:styleId="DocTitle">
    <w:name w:val="Document Title"/>
    <w:basedOn w:val="Normal"/>
    <w:next w:val="DocSubtitle"/>
    <w:pPr>
      <w:spacing w:before="0" w:after="80"/>
    </w:pPr>
    <w:rPr>
      <w:b/>
      <w:color w:val="020617"/>
      <w:sz w:val="34"/>
      <w:szCs w:val="34"/>
    </w:rPr>
  </w:style>
  <w:style w:type="paragraph" w:styleId="DocSubtitle">
    <w:name w:val="Document Subtitle"/>
    <w:basedOn w:val="Normal"/>
    <w:next w:val="Normal"/>
    <w:pPr>
      <w:spacing w:before="0" w:after="240"/>
    </w:pPr>
    <w:rPr>
      <w:color w:val="64748B"/>
      <w:sz w:val="22"/>
      <w:szCs w:val="22"/>
    </w:rPr>
  </w:style>
  <w:style w:type="paragraph" w:styleId="Heading1">
    <w:name w:val="heading 1"/>
    <w:basedOn w:val="Normal"/>
    <w:next w:val="Normal"/>
    <w:pPr>
      <w:spacing w:before="320" w:after="100"/>
      <w:outlineLvl w:val="0"/>
    </w:pPr>
    <w:rPr>
      <w:b/>
      <w:color w:val="0F766E"/>
      <w:sz w:val="28"/>
      <w:szCs w:val="28"/>
    </w:rPr>
  </w:style>
  <w:style w:type="paragraph" w:styleId="Heading2">
    <w:name w:val="heading 2"/>
    <w:basedOn w:val="Normal"/>
    <w:next w:val="Normal"/>
    <w:pPr>
      <w:spacing w:before="260" w:after="80"/>
      <w:outlineLvl w:val="1"/>
    </w:pPr>
    <w:rPr>
      <w:b/>
      <w:color w:val="0F766E"/>
      <w:sz w:val="24"/>
      <w:szCs w:val="24"/>
    </w:rPr>
  </w:style>
  <w:style w:type="paragraph" w:styleId="Heading3">
    <w:name w:val="heading 3"/>
    <w:basedOn w:val="Normal"/>
    <w:next w:val="Normal"/>
    <w:pPr>
      <w:spacing w:before="220" w:after="60"/>
      <w:outlineLvl w:val="2"/>
    </w:pPr>
    <w:rPr>
      <w:b/>
      <w:color w:val="0F766E"/>
      <w:sz w:val="22"/>
      <w:szCs w:val="22"/>
    </w:rPr>
  </w:style>
  <w:style w:type="paragraph" w:styleId="Heading4">
    <w:name w:val="heading 4"/>
    <w:basedOn w:val="Normal"/>
    <w:next w:val="Normal"/>
    <w:pPr>
      <w:spacing w:before="200" w:after="40"/>
      <w:outlineLvl w:val="3"/>
    </w:pPr>
    <w:rPr>
      <w:b/>
      <w:color w:val="0F766E"/>
      <w:sz w:val="20"/>
      <w:szCs w:val="20"/>
    </w:rPr>
  </w:style>
  <w:style w:type="paragraph" w:styleId="Heading5">
    <w:name w:val="heading 5"/>
    <w:basedOn w:val="Normal"/>
    <w:next w:val="Normal"/>
    <w:rPr>
      <w:b/>
      <w:color w:val="0F766E"/>
      <w:sz w:val="18"/>
      <w:szCs w:val="18"/>
    </w:rPr>
  </w:style>
  <w:style w:type="paragraph" w:styleId="Heading6">
    <w:name w:val="heading 6"/>
    <w:basedOn w:val="Normal"/>
    <w:next w:val="Normal"/>
    <w:rPr>
      <w:b/>
      <w:color w:val="0F766E"/>
      <w:sz w:val="16"/>
      <w:szCs w:val="16"/>
    </w:rPr>
  </w:style>
  <w:style w:type="paragraph" w:styleId="Quote">
    <w:name w:val="Quote"/>
    <w:basedOn w:val="Normal"/>
    <w:pPr>
      <w:ind w:left="520" w:right="200"/>
      <w:spacing w:before="120" w:after="160"/>
      <w:pBdr>
        <w:left w:val="single" w:sz="10" w:space="10" w:color="0F766E"/>
      </w:pBdr>
    </w:pPr>
    <w:rPr>
      <w:i/>
      <w:color w:val="64748B"/>
    </w:rPr>
  </w:style>
  <w:style w:type="paragraph" w:styleId="CalloutTitle">
    <w:name w:val="Callout Title"/>
    <w:basedOn w:val="Normal"/>
    <w:next w:val="Callout"/>
    <w:pPr>
      <w:spacing w:before="180" w:after="40"/>
    </w:pPr>
    <w:rPr>
      <w:b/>
      <w:color w:val="0F766E"/>
      <w:sz w:val="20"/>
      <w:szCs w:val="20"/>
    </w:rPr>
  </w:style>
  <w:style w:type="paragraph" w:styleId="Callout">
    <w:name w:val="Callout"/>
    <w:basedOn w:val="Normal"/>
    <w:pPr>
      <w:spacing w:before="0" w:after="180"/>
      <w:ind w:left="320" w:right="120"/>
      <w:shd w:val="clear" w:color="auto" w:fill="D1FAE5"/>
      <w:pBdr>
        <w:top w:val="single" w:sz="6" w:space="0" w:color="DCE4F2"/>
        <w:left w:val="single" w:sz="6" w:space="0" w:color="DCE4F2"/>
        <w:bottom w:val="single" w:sz="6" w:space="0" w:color="DCE4F2"/>
        <w:right w:val="single" w:sz="6" w:space="0" w:color="DCE4F2"/>
      </w:pBdr>
    </w:pPr>
  </w:style>
  <w:style w:type="paragraph" w:styleId="ListParagraph">
    <w:name w:val="List Paragraph"/>
    <w:basedOn w:val="Normal"/>
    <w:pPr>
      <w:ind w:left="720" w:hanging="3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theme" Target="theme/theme1.xml"/>
</Relationships>
</file>

<file path=word/theme/theme1.xml><?xml version="1.0" encoding="utf-8"?>
<a:theme xmlns:a="http://schemas.openxmlformats.org/drawingml/2006/main" name="Graphit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pple-Style">
      <a:majorFont>
        <a:latin typeface="Helvetica Neue" panose="020B0604020202020204"/>
        <a:ea typeface="PingFang SC"/>
        <a:cs typeface=""/>
      </a:majorFont>
      <a:minorFont>
        <a:latin typeface="Helvetica Neue" panose="020B0604020202020204"/>
        <a:ea typeface="PingFang SC"/>
        <a:cs typeface=""/>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officecli DOCX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PANDUAN PENGGUNAAN ADMIN — SISTEM PENGADAAN PBJ</dc:title>
  <dc:creator>OfficeCLI</dc:creator>
  <dcterms:created xsi:type="dcterms:W3CDTF">2026-08-29T03:44:39Z</dcterms:created>
</cp:coreProperties>
</file>