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34"/>
        <w:gridCol w:w="4734"/>
      </w:tblGrid>
      <w:tr>
        <w:tc>
          <w:tcPr>
            <w:tcW w:type="dxa" w:w="2438"/>
          </w:tcPr>
          <w:p>
            <w:pPr>
              <w:ind w:left="709"/>
            </w:pPr>
            <w:r>
              <w:drawing>
                <wp:inline xmlns:a="http://schemas.openxmlformats.org/drawingml/2006/main" xmlns:pic="http://schemas.openxmlformats.org/drawingml/2006/picture">
                  <wp:extent cx="900000" cy="10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sao_sc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43"/>
          </w:tcPr>
          <w:p>
            <w:pPr>
              <w:spacing w:after="0" w:before="200"/>
              <w:jc w:val="center"/>
            </w:pPr>
            <w:r>
              <w:rPr>
                <w:rFonts w:ascii="Arial" w:hAnsi="Arial" w:eastAsia="Arial"/>
                <w:b/>
                <w:sz w:val="24"/>
              </w:rPr>
              <w:t>ESTADO DE SANTA CATARINA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24"/>
              </w:rPr>
              <w:t>Secretaria de Estado da Educação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24"/>
              </w:rPr>
              <w:t>Centro de Educação de Jovens e Adultos – CEJA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24"/>
              </w:rPr>
              <w:t>Itapiranga – SC Fone: 3472 5032</w:t>
            </w:r>
          </w:p>
        </w:tc>
      </w:tr>
    </w:tbl>
    <w:p>
      <w:pPr>
        <w:spacing w:before="0" w:after="200" w:line="240" w:lineRule="auto"/>
        <w:jc w:val="both"/>
      </w:pP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PLANO MENSAL</w:t>
      </w: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COMPONENTE CURRICULAR:</w:t>
      </w:r>
      <w:r>
        <w:rPr>
          <w:rFonts w:ascii="Arial" w:hAnsi="Arial" w:eastAsia="Arial"/>
          <w:b w:val="0"/>
          <w:sz w:val="24"/>
        </w:rPr>
        <w:t xml:space="preserve">  Informática — Curso FIC em Montador e Reparador de Computadores</w:t>
      </w: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PROFESSOR:</w:t>
      </w:r>
      <w:r>
        <w:rPr>
          <w:rFonts w:ascii="Arial" w:hAnsi="Arial" w:eastAsia="Arial"/>
          <w:b w:val="0"/>
          <w:sz w:val="24"/>
        </w:rPr>
        <w:t xml:space="preserve">  Joni César Eidt</w:t>
      </w: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TEMA GERADOR:</w:t>
      </w:r>
      <w:r>
        <w:rPr>
          <w:rFonts w:ascii="Arial" w:hAnsi="Arial" w:eastAsia="Arial"/>
          <w:b w:val="0"/>
          <w:sz w:val="24"/>
        </w:rPr>
        <w:t xml:space="preserve">  Projeto de Vida: Construindo o Futuro</w:t>
      </w: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RECORTE DO COMPONENTE:</w:t>
      </w:r>
      <w:r>
        <w:rPr>
          <w:rFonts w:ascii="Arial" w:hAnsi="Arial" w:eastAsia="Arial"/>
          <w:b w:val="0"/>
          <w:sz w:val="24"/>
        </w:rPr>
        <w:t xml:space="preserve">  Configurar — do roteador de fábrica à rede pronta, segura e móvel</w:t>
      </w: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TURMA:</w:t>
      </w:r>
      <w:r>
        <w:rPr>
          <w:rFonts w:ascii="Arial" w:hAnsi="Arial" w:eastAsia="Arial"/>
          <w:b w:val="0"/>
          <w:sz w:val="24"/>
        </w:rPr>
        <w:t xml:space="preserve">  Ensino Médio – Noturno (Multisseriado)</w:t>
      </w:r>
    </w:p>
    <w:p>
      <w:pPr>
        <w:spacing w:before="0" w:after="200" w:line="240" w:lineRule="auto"/>
        <w:jc w:val="both"/>
      </w:pPr>
      <w:r>
        <w:rPr>
          <w:rFonts w:ascii="Arial" w:hAnsi="Arial" w:eastAsia="Arial"/>
          <w:b/>
          <w:sz w:val="24"/>
        </w:rPr>
        <w:t>QUESTÃO MOTRIZ:</w:t>
      </w:r>
      <w:r>
        <w:rPr>
          <w:rFonts w:ascii="Arial" w:hAnsi="Arial" w:eastAsia="Arial"/>
          <w:b w:val="0"/>
          <w:sz w:val="24"/>
        </w:rPr>
        <w:t xml:space="preserve">  Se um vizinho me entregar um roteador novo na caixa, o que eu preciso configurar para deixar a internet da casa dele boa, segura e funcionando em todos os cômodos?</w:t>
      </w:r>
    </w:p>
    <w:p>
      <w:pPr>
        <w:keepNext/>
        <w:spacing w:before="0" w:after="0" w:line="240" w:lineRule="auto"/>
        <w:jc w:val="both"/>
      </w:pPr>
      <w:r>
        <w:rPr>
          <w:rFonts w:ascii="Arial" w:hAnsi="Arial" w:eastAsia="Arial"/>
          <w:b/>
          <w:sz w:val="24"/>
        </w:rPr>
        <w:t>OBJETIVOS E METAS: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Explicar a função do serviço de nomes (DNS) na tradução do endereço de um site em endereço de rede;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Ler e interpretar o endereço de um site, identificando o domínio responsável e reconhecendo links fraudulentos;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Distinguir o que a conexão segura (HTTPS) garante e o que ela não garante ao usuário;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Configurar um roteador doméstico a partir das configurações de fábrica: senha de administração, nome de rede, senha e criptografia, endereço de acesso, distribuição automática e reserva de endereços, servidor de nomes e rede de convidados;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Salvar e restaurar a configuração do equipamento e registrar o serviço em ficha de entrega;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Medir a intensidade do sinal sem fio e a velocidade entregue, e propor soluções para áreas de cobertura fraca;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Diferenciar as faixas de 2,4 GHz e 5 GHz quanto a alcance e velocidade;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Aplicar e auditar práticas de segurança na configuração da rede sem fio e orientar o usuário final;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Reconhecer as redes móveis (4G e 5G) e usar o celular e o roteador móvel como ponto de acesso;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Reconhecer na configuração, na manutenção e na orientação ao cliente uma frente concreta de prestação de serviço.</w:t>
      </w:r>
    </w:p>
    <w:p>
      <w:pPr>
        <w:keepNext/>
        <w:spacing w:before="200" w:after="0" w:line="240" w:lineRule="auto"/>
        <w:jc w:val="both"/>
      </w:pPr>
      <w:r>
        <w:rPr>
          <w:rFonts w:ascii="Arial" w:hAnsi="Arial" w:eastAsia="Arial"/>
          <w:b/>
          <w:sz w:val="24"/>
        </w:rPr>
        <w:t>INTERAÇÃO COM AS ÁREAS DO CONHECIMENTO: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sz w:val="24"/>
        </w:rPr>
        <w:t>O componente segue integrado ao tema gerador pelo viés do trabalho como projeto de vida, e dialoga com as demais áreas nos seguintes pontos: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/>
          <w:sz w:val="24"/>
        </w:rPr>
        <w:t xml:space="preserve">LINGUAGENS — </w:t>
      </w:r>
      <w:r>
        <w:rPr>
          <w:rFonts w:ascii="Arial" w:hAnsi="Arial" w:eastAsia="Arial"/>
          <w:b w:val="0"/>
          <w:sz w:val="24"/>
        </w:rPr>
        <w:t>leitura crítica de links e de mensagens, identificando as estratégias de persuasão usadas em golpes digitais, produção de cartilha de orientação para a família e registro técnico do serviço em ficha de entrega (EM13LGG701 e EM13LGG702).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/>
          <w:sz w:val="24"/>
        </w:rPr>
        <w:t xml:space="preserve">MATEMÁTICA — </w:t>
      </w:r>
      <w:r>
        <w:rPr>
          <w:rFonts w:ascii="Arial" w:hAnsi="Arial" w:eastAsia="Arial"/>
          <w:b w:val="0"/>
          <w:sz w:val="24"/>
        </w:rPr>
        <w:t>unidades de velocidade de transmissão e de consumo de dados, e comparação entre o plano contratado, a velocidade medida perto e longe do roteador e a franquia móvel (EM13MAT101).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/>
          <w:sz w:val="24"/>
        </w:rPr>
        <w:t xml:space="preserve">CIÊNCIAS HUMANAS — </w:t>
      </w:r>
      <w:r>
        <w:rPr>
          <w:rFonts w:ascii="Arial" w:hAnsi="Arial" w:eastAsia="Arial"/>
          <w:b w:val="0"/>
          <w:sz w:val="24"/>
        </w:rPr>
        <w:t>segurança digital e golpes como questão social, e o uso ético e crítico das tecnologias na vida em família e em comunidade (EM13CHS106).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/>
          <w:sz w:val="24"/>
        </w:rPr>
        <w:t xml:space="preserve">CIÊNCIAS DA NATUREZA — </w:t>
      </w:r>
      <w:r>
        <w:rPr>
          <w:rFonts w:ascii="Arial" w:hAnsi="Arial" w:eastAsia="Arial"/>
          <w:b w:val="0"/>
          <w:sz w:val="24"/>
        </w:rPr>
        <w:t>propagação das ondas de rádio, faixas de frequência, atenuação por paredes e interferência entre redes (EM13CNT103).</w:t>
      </w:r>
    </w:p>
    <w:p>
      <w:pPr>
        <w:keepNext/>
        <w:spacing w:before="200" w:after="0" w:line="240" w:lineRule="auto"/>
        <w:jc w:val="both"/>
      </w:pPr>
      <w:r>
        <w:rPr>
          <w:rFonts w:ascii="Arial" w:hAnsi="Arial" w:eastAsia="Arial"/>
          <w:b/>
          <w:sz w:val="24"/>
        </w:rPr>
        <w:t>HABILIDADE DO ITINERÁRIO FORMATIVO: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sz w:val="24"/>
        </w:rPr>
        <w:t>(EMIFFTP05) Selecionar e mobilizar intencionalmente recursos criativos para resolver problemas reais relacionados à produtividade, à colaboração e/ou à comunicação.</w:t>
      </w:r>
    </w:p>
    <w:p>
      <w:pPr>
        <w:keepNext/>
        <w:spacing w:before="200" w:after="0" w:line="240" w:lineRule="auto"/>
        <w:jc w:val="both"/>
      </w:pPr>
      <w:r>
        <w:rPr>
          <w:rFonts w:ascii="Arial" w:hAnsi="Arial" w:eastAsia="Arial"/>
          <w:b/>
          <w:sz w:val="24"/>
        </w:rPr>
        <w:t>CONTEÚDOS DO PERÍODO: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Nomes na rede: serviço de nomes (DNS); estrutura do endereço de um site (protocolo, domínio e caminho); conexão segura (HTTPS) e certificado; links fraudulentos e engenharia social.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Configuração do roteador: senha de administração; tela de conexão com o provedor (IP dinâmico e PPPoE); nome de rede, senha e criptografia WPA2 e WPA3; alteração do endereço de acesso e gateway; faixa do servidor DHCP e reserva de endereço por MAC; servidores DNS; rede de convidados; cópia de segurança e restauração.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Cobertura sem fio: intensidade de sinal; teste de velocidade; posicionamento do roteador; faixas de 2,4 GHz e 5 GHz; canais e interferência de redes vizinhas; repetidor, sistema mesh e ponto de acesso cabeado.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Segurança em rede: senhas fortes e frases-senha; senha padrão de equipamentos; WPS; firmware; riscos da rede aberta, da rede pública e da rede falsa; auditoria da configuração; orientação ao cliente.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Redes móveis: 4G e 5G; sinal e cobertura da operadora; roteamento de internet pelo celular (hotspot); roteador móvel e roteador com chip; franquia e consumo de dados.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Registro do serviço: ficha de entrega da configuração ao cliente.</w:t>
      </w:r>
    </w:p>
    <w:p>
      <w:pPr>
        <w:keepNext/>
        <w:spacing w:before="200" w:after="0" w:line="240" w:lineRule="auto"/>
        <w:jc w:val="both"/>
      </w:pPr>
      <w:r>
        <w:rPr>
          <w:rFonts w:ascii="Arial" w:hAnsi="Arial" w:eastAsia="Arial"/>
          <w:b/>
          <w:sz w:val="24"/>
        </w:rPr>
        <w:t>CAMINHO METODOLÓGICO: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Predominância de atividade prática (mais de sessenta por cento do encontro) e exposição dialogada em blocos curtos, sempre seguidos de prática;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A situação-problema antecede o conteúdo: cada encontro abre por algo que o estudante traz de casa — os endereços de sites que usa, a etiqueta do próprio roteador, a velocidade medida no cômodo mais longe;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Encenação com material físico para tornar visível o que é invisível na rede, como a agenda viva do serviço de nomes;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Execução em bancada com roteadores reais, partindo das configurações de fábrica, com passo a passo impresso e rodízio de quem opera o equipamento;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Verificação objetiva permanente: o aparelho conecta ou não conecta, o endereço reservado aparece ou não aparece, a rede de convidados enxerga ou não enxerga a rede da casa;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Estações rotativas com laudo: classificação de links, medição de sinal e auditoria de roteador;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Conferência cruzada entre equipes: cada equipe valida a configuração e a ficha de entrega de outra;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Trabalho em equipes com rodízio de funções e tutoria entre pares;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Retomada nos minutos iniciais de cada encontro e atendimento individual nos minutos finais;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Registro do serviço executado em ficha técnica, no mesmo formato adotado nas unidades anteriores.</w:t>
      </w:r>
    </w:p>
    <w:p>
      <w:pPr>
        <w:keepNext/>
        <w:spacing w:before="200" w:after="0" w:line="240" w:lineRule="auto"/>
        <w:jc w:val="both"/>
      </w:pPr>
      <w:r>
        <w:rPr>
          <w:rFonts w:ascii="Arial" w:hAnsi="Arial" w:eastAsia="Arial"/>
          <w:b/>
          <w:sz w:val="24"/>
        </w:rPr>
        <w:t>RECURSOS: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Laboratório de informática e projetor;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Roteadores domésticos para bancada, cabos de rede e régua de tomadas;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Celulares do professor e dos estudantes, com aplicativo de análise de sinal sem fio, teste de velocidade e compartilhamento de internet (hotspot);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Fatura ou aplicativo do provedor de internet, trazidos pelos próprios estudantes;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Cartolinas e canetões para a produção de cartilha e cartazes;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Material impresso produzido pelo professor: roteiros, folhas do aluno, cartões de links, passo a passo de configuração, checklist de auditoria e fichas de entrega.</w:t>
      </w:r>
    </w:p>
    <w:p>
      <w:pPr>
        <w:spacing w:before="0" w:after="0" w:line="240" w:lineRule="auto"/>
        <w:jc w:val="both"/>
      </w:pPr>
    </w:p>
    <w:p>
      <w:pPr>
        <w:keepNext/>
        <w:spacing w:before="200" w:after="0" w:line="240" w:lineRule="auto"/>
        <w:jc w:val="both"/>
      </w:pPr>
      <w:r>
        <w:rPr>
          <w:rFonts w:ascii="Arial" w:hAnsi="Arial" w:eastAsia="Arial"/>
          <w:b/>
          <w:sz w:val="24"/>
        </w:rPr>
        <w:t>AVALIAÇÃO E MONITORAMENTO: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Portfólio profissional: ficha de entrega da configuração do roteador e laudos de cobertura e de auditoria de segurança;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Produto verificável: roteador configurado que conecta os aparelhos da equipe, restaurado a partir da cópia de segurança e validado por outra equipe somente com a ficha de entrega;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Atividades práticas de aula, com ficha de acompanhamento por encontro (clínica de links, mapa de sinal e laudo de auditoria);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Produções coletivas: cartilha anti-golpe para a família e cartaz de diagnóstico de cobertura;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Avaliação prática integradora aplicada em 06/11: configuração completa e auditoria de segurança de um roteador;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Participação e frequência, com atenção permanente ao risco de evasão;</w:t>
      </w:r>
    </w:p>
    <w:p>
      <w:pPr>
        <w:tabs>
          <w:tab w:pos="595" w:val="left"/>
        </w:tabs>
        <w:spacing w:before="0" w:after="0" w:line="240" w:lineRule="auto"/>
        <w:ind w:left="595" w:hanging="312"/>
        <w:jc w:val="both"/>
      </w:pPr>
      <w:r>
        <w:rPr>
          <w:rFonts w:ascii="Arial" w:hAnsi="Arial" w:eastAsia="Arial"/>
          <w:b w:val="0"/>
          <w:sz w:val="24"/>
        </w:rPr>
        <w:t>●</w:t>
        <w:tab/>
      </w:r>
      <w:r>
        <w:rPr>
          <w:rFonts w:ascii="Arial" w:hAnsi="Arial" w:eastAsia="Arial"/>
          <w:b w:val="0"/>
          <w:sz w:val="24"/>
        </w:rPr>
        <w:t>Recomposição imediata das aprendizagens não atingidas, com repetição do procedimento até a execução correta.</w:t>
      </w:r>
    </w:p>
    <w:sectPr w:rsidR="00FC693F" w:rsidRPr="0006063C" w:rsidSect="00034616">
      <w:pgSz w:w="11906" w:h="16838"/>
      <w:pgMar w:top="1134" w:right="1191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