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pPr>
      <w:r>
        <w:rPr>
          <w:rFonts w:ascii="Arial" w:hAnsi="Arial" w:cs="Arial" w:eastAsia="Arial"/>
          <w:b/>
          <w:bCs/>
          <w:color w:val="1F2A44"/>
          <w:rtl/>
        </w:rPr>
        <w:t>חבילת בדיקה משפטית של SmplWise Arx: הוראות קריאה</w:t>
      </w:r>
    </w:p>
    <w:p>
      <w:pPr>
        <w:bidi/>
      </w:pPr>
      <w:r>
        <w:rPr>
          <w:rFonts w:ascii="Arial" w:hAnsi="Arial" w:cs="Arial" w:eastAsia="Arial"/>
          <w:b/>
          <w:bCs/>
          <w:sz w:val="22"/>
          <w:szCs w:val="22"/>
          <w:rtl/>
        </w:rPr>
        <w:t>סטטוס: טיוטות לבדיקת עורך דין. אין בחבילה ייעוץ משפטי ואין בה הצהרה שהמוצר עומד בדין.</w:t>
      </w:r>
      <w:r>
        <w:rPr>
          <w:rFonts w:ascii="Arial" w:hAnsi="Arial" w:cs="Arial" w:eastAsia="Arial"/>
          <w:sz w:val="22"/>
          <w:szCs w:val="22"/>
          <w:rtl/>
        </w:rPr>
        <w:t xml:space="preserve"> החבילה הורכבה ב-24.10.2026 ממסמכים שנמצאים במאגר הפיתוח. הנוסח המקורי של כל מסמך נשמר; בוצע עיצוב בלבד (כותרות, מספור, טבלאות, כיוון כתיבה מימין לשמאל).</w:t>
      </w:r>
    </w:p>
    <w:p>
      <w:pPr>
        <w:pStyle w:val="Heading2"/>
        <w:bidi/>
      </w:pPr>
      <w:r>
        <w:rPr>
          <w:rFonts w:ascii="Arial" w:hAnsi="Arial" w:cs="Arial" w:eastAsia="Arial"/>
          <w:b/>
          <w:bCs/>
          <w:color w:val="1F2A44"/>
          <w:rtl/>
        </w:rPr>
        <w:t>1. מה בחבילה</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00</w:t>
      </w:r>
      <w:r>
        <w:rPr>
          <w:rFonts w:ascii="Arial" w:hAnsi="Arial" w:cs="Arial" w:eastAsia="Arial"/>
          <w:sz w:val="22"/>
          <w:szCs w:val="22"/>
          <w:rtl/>
        </w:rPr>
        <w:t xml:space="preserve"> הקובץ הזה: ארגון החבילה וסדר הקריאה המומלץ.</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01</w:t>
      </w:r>
      <w:r>
        <w:rPr>
          <w:rFonts w:ascii="Arial" w:hAnsi="Arial" w:cs="Arial" w:eastAsia="Arial"/>
          <w:sz w:val="22"/>
          <w:szCs w:val="22"/>
          <w:rtl/>
        </w:rPr>
        <w:t xml:space="preserve"> מכתב הבקשה לעורך הדין: מה מבקשים, שאלות לפי מסמך, התוצר המבוקש, ונושאים פתוחים שזוהו.</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02 עד 07</w:t>
      </w:r>
      <w:r>
        <w:rPr>
          <w:rFonts w:ascii="Arial" w:hAnsi="Arial" w:cs="Arial" w:eastAsia="Arial"/>
          <w:sz w:val="22"/>
          <w:szCs w:val="22"/>
          <w:rtl/>
        </w:rPr>
        <w:t xml:space="preserve"> המסמכים עצמם, בתיקיות ממוספרות. לכל מסמך שני קבצים באותו שם: </w:t>
      </w:r>
      <w:r>
        <w:rPr>
          <w:rFonts w:ascii="Consolas" w:hAnsi="Consolas" w:cs="Consolas" w:eastAsia="Consolas"/>
          <w:sz w:val="22"/>
          <w:szCs w:val="22"/>
          <w:shd w:val="clear" w:color="auto" w:fill="F0F0F0"/>
        </w:rPr>
        <w:t>.docx</w:t>
      </w:r>
      <w:r>
        <w:rPr>
          <w:rFonts w:ascii="Arial" w:hAnsi="Arial" w:cs="Arial" w:eastAsia="Arial"/>
          <w:sz w:val="22"/>
          <w:szCs w:val="22"/>
          <w:rtl/>
        </w:rPr>
        <w:t xml:space="preserve"> (לעריכה וסימון שינויים) ו-</w:t>
      </w:r>
      <w:r>
        <w:rPr>
          <w:rFonts w:ascii="Consolas" w:hAnsi="Consolas" w:cs="Consolas" w:eastAsia="Consolas"/>
          <w:sz w:val="22"/>
          <w:szCs w:val="22"/>
          <w:shd w:val="clear" w:color="auto" w:fill="F0F0F0"/>
        </w:rPr>
        <w:t>.pdf</w:t>
      </w:r>
      <w:r>
        <w:rPr>
          <w:rFonts w:ascii="Arial" w:hAnsi="Arial" w:cs="Arial" w:eastAsia="Arial"/>
          <w:sz w:val="22"/>
          <w:szCs w:val="22"/>
          <w:rtl/>
        </w:rPr>
        <w:t xml:space="preserve"> (לקריאה והדפסה).</w:t>
      </w:r>
    </w:p>
    <w:p>
      <w:pPr>
        <w:spacing w:after="60"/>
        <w:ind w:left="510" w:hanging="340"/>
      </w:pPr>
      <w:r>
        <w:rPr>
          <w:rFonts w:ascii="Arial" w:hAnsi="Arial" w:cs="Arial" w:eastAsia="Arial"/>
          <w:sz w:val="22"/>
          <w:szCs w:val="22"/>
        </w:rPr>
        <w:t>•</w:t>
        <w:tab/>
      </w:r>
      <w:r>
        <w:rPr>
          <w:rFonts w:ascii="Consolas" w:hAnsi="Consolas" w:cs="Consolas" w:eastAsia="Consolas"/>
          <w:sz w:val="22"/>
          <w:szCs w:val="22"/>
          <w:shd w:val="clear" w:color="auto" w:fill="F0F0F0"/>
        </w:rPr>
        <w:t>MANIFEST_SHA256.txt</w:t>
      </w:r>
      <w:r>
        <w:rPr>
          <w:rFonts w:ascii="Arial" w:hAnsi="Arial" w:cs="Arial" w:eastAsia="Arial"/>
          <w:sz w:val="22"/>
          <w:szCs w:val="22"/>
        </w:rPr>
        <w:t xml:space="preserve"> סכומי בדיקה (sha256) של כל הקבצים בחבילה.</w:t>
      </w:r>
    </w:p>
    <w:p>
      <w:pPr>
        <w:pStyle w:val="Heading2"/>
        <w:bidi/>
      </w:pPr>
      <w:r>
        <w:rPr>
          <w:rFonts w:ascii="Arial" w:hAnsi="Arial" w:cs="Arial" w:eastAsia="Arial"/>
          <w:b/>
          <w:bCs/>
          <w:color w:val="1F2A44"/>
          <w:rtl/>
        </w:rPr>
        <w:t>2. סדר קריאה מומלץ</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קובץ זה (00) ואחריו מכתב הבקשה (01), שמסביר מה נדרש ומה השאלות.</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תיקייה 07</w:t>
      </w:r>
      <w:r>
        <w:rPr>
          <w:rFonts w:ascii="Arial" w:hAnsi="Arial" w:cs="Arial" w:eastAsia="Arial"/>
          <w:sz w:val="22"/>
          <w:szCs w:val="22"/>
          <w:rtl/>
        </w:rPr>
        <w:t>, אינדקס הפריטים הפתוחים: תמונת מצב של 27 הפריטים שדורשים בדיקה משפטית ומה הסטטוס של כל אחד.</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תיקייה 02</w:t>
      </w:r>
      <w:r>
        <w:rPr>
          <w:rFonts w:ascii="Arial" w:hAnsi="Arial" w:cs="Arial" w:eastAsia="Arial"/>
          <w:sz w:val="22"/>
          <w:szCs w:val="22"/>
          <w:rtl/>
        </w:rPr>
        <w:t xml:space="preserve">, מסמכי הפרטיות של הארגון: קודם </w:t>
      </w:r>
      <w:r>
        <w:rPr>
          <w:rFonts w:ascii="Consolas" w:hAnsi="Consolas" w:cs="Consolas" w:eastAsia="Consolas"/>
          <w:sz w:val="22"/>
          <w:szCs w:val="22"/>
          <w:shd w:val="clear" w:color="auto" w:fill="F0F0F0"/>
        </w:rPr>
        <w:t>02/00</w:t>
      </w:r>
      <w:r>
        <w:rPr>
          <w:rFonts w:ascii="Arial" w:hAnsi="Arial" w:cs="Arial" w:eastAsia="Arial"/>
          <w:sz w:val="22"/>
          <w:szCs w:val="22"/>
          <w:rtl/>
        </w:rPr>
        <w:t xml:space="preserve"> (אינדקס עם פריטים C1 עד C13), אחר כך 01 עד 03 (עובדתיים), ולבסוף 04 עד 06 (תבניות). לכל מסמך נוסח בעברית ובאנגלית, והאנגלי הוא המקור שהעברי עוקב אחריו סעיף אחר סעיף.</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תיקייה 03</w:t>
      </w:r>
      <w:r>
        <w:rPr>
          <w:rFonts w:ascii="Arial" w:hAnsi="Arial" w:cs="Arial" w:eastAsia="Arial"/>
          <w:sz w:val="22"/>
          <w:szCs w:val="22"/>
          <w:rtl/>
        </w:rPr>
        <w:t>, ההודעה לעובדים על שיתוף נתוני מכשיר (נוכחות).</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תיקייה 04</w:t>
      </w:r>
      <w:r>
        <w:rPr>
          <w:rFonts w:ascii="Arial" w:hAnsi="Arial" w:cs="Arial" w:eastAsia="Arial"/>
          <w:sz w:val="22"/>
          <w:szCs w:val="22"/>
          <w:rtl/>
        </w:rPr>
        <w:t>, הודעת הפרטיות לטכנאים חיצוניים: התדריך (04/01), הנוסחים המוצעים (04/02), הנוסח הסופי הנוכחי (04/03), מפרט הודעת האימות (04/04), והצעת השמירה (04/05).</w:t>
      </w:r>
    </w:p>
    <w:p>
      <w:pPr>
        <w:bidi/>
        <w:spacing w:after="60"/>
        <w:ind w:left="510" w:hanging="340"/>
      </w:pPr>
      <w:r>
        <w:rPr>
          <w:rFonts w:ascii="Arial" w:hAnsi="Arial" w:cs="Arial" w:eastAsia="Arial"/>
          <w:sz w:val="22"/>
          <w:szCs w:val="22"/>
          <w:rtl/>
        </w:rPr>
        <w:t>6.</w:t>
        <w:tab/>
      </w:r>
      <w:r>
        <w:rPr>
          <w:rFonts w:ascii="Arial" w:hAnsi="Arial" w:cs="Arial" w:eastAsia="Arial"/>
          <w:b/>
          <w:bCs/>
          <w:sz w:val="22"/>
          <w:szCs w:val="22"/>
          <w:rtl/>
        </w:rPr>
        <w:t>תיקייה 05</w:t>
      </w:r>
      <w:r>
        <w:rPr>
          <w:rFonts w:ascii="Arial" w:hAnsi="Arial" w:cs="Arial" w:eastAsia="Arial"/>
          <w:sz w:val="22"/>
          <w:szCs w:val="22"/>
          <w:rtl/>
        </w:rPr>
        <w:t>, נוכחות בנייד, ממסר דחיפה וצדדים שלישיים: המפרט (05/01), הבקשה ל-Cloudflare (05/02), תבנית הוואטסאפ (05/03).</w:t>
      </w:r>
    </w:p>
    <w:p>
      <w:pPr>
        <w:bidi/>
        <w:spacing w:after="60"/>
        <w:ind w:left="510" w:hanging="340"/>
      </w:pPr>
      <w:r>
        <w:rPr>
          <w:rFonts w:ascii="Arial" w:hAnsi="Arial" w:cs="Arial" w:eastAsia="Arial"/>
          <w:sz w:val="22"/>
          <w:szCs w:val="22"/>
          <w:rtl/>
        </w:rPr>
        <w:t>7.</w:t>
        <w:tab/>
      </w:r>
      <w:r>
        <w:rPr>
          <w:rFonts w:ascii="Arial" w:hAnsi="Arial" w:cs="Arial" w:eastAsia="Arial"/>
          <w:b/>
          <w:bCs/>
          <w:sz w:val="22"/>
          <w:szCs w:val="22"/>
          <w:rtl/>
        </w:rPr>
        <w:t>תיקייה 06</w:t>
      </w:r>
      <w:r>
        <w:rPr>
          <w:rFonts w:ascii="Arial" w:hAnsi="Arial" w:cs="Arial" w:eastAsia="Arial"/>
          <w:sz w:val="22"/>
          <w:szCs w:val="22"/>
          <w:rtl/>
        </w:rPr>
        <w:t>, רקע אבטחה (אנגלית ועברית).</w:t>
      </w:r>
    </w:p>
    <w:p>
      <w:pPr>
        <w:pStyle w:val="Heading2"/>
        <w:bidi/>
      </w:pPr>
      <w:r>
        <w:rPr>
          <w:rFonts w:ascii="Arial" w:hAnsi="Arial" w:cs="Arial" w:eastAsia="Arial"/>
          <w:b/>
          <w:bCs/>
          <w:color w:val="1F2A44"/>
          <w:rtl/>
        </w:rPr>
        <w:t>3. מה זה C1 עד C13</w:t>
      </w:r>
    </w:p>
    <w:p>
      <w:pPr>
        <w:bidi/>
      </w:pPr>
      <w:r>
        <w:rPr>
          <w:rFonts w:ascii="Arial" w:hAnsi="Arial" w:cs="Arial" w:eastAsia="Arial"/>
          <w:sz w:val="22"/>
          <w:szCs w:val="22"/>
          <w:rtl/>
        </w:rPr>
        <w:t xml:space="preserve">C1 עד C13 אינם 13 מסמכים נפרדים, אלא 13 סעיפי שאלה פתוחים שסומנו </w:t>
      </w:r>
      <w:r>
        <w:rPr>
          <w:rFonts w:ascii="Arial" w:hAnsi="Arial" w:cs="Arial" w:eastAsia="Arial"/>
          <w:b/>
          <w:bCs/>
          <w:sz w:val="22"/>
          <w:szCs w:val="22"/>
          <w:rtl/>
        </w:rPr>
        <w:t>REQUIRES COUNSEL REVIEW</w:t>
      </w:r>
      <w:r>
        <w:rPr>
          <w:rFonts w:ascii="Arial" w:hAnsi="Arial" w:cs="Arial" w:eastAsia="Arial"/>
          <w:sz w:val="22"/>
          <w:szCs w:val="22"/>
          <w:rtl/>
        </w:rPr>
        <w:t xml:space="preserve"> בתוך ששת מסמכי הפרטיות של הארגון (תיקייה 02). הטבלה המלאה, עם הפניה לאיזה מסמך מסמן כל סעיף, נמצאת ב-</w:t>
      </w:r>
      <w:r>
        <w:rPr>
          <w:rFonts w:ascii="Consolas" w:hAnsi="Consolas" w:cs="Consolas" w:eastAsia="Consolas"/>
          <w:sz w:val="22"/>
          <w:szCs w:val="22"/>
          <w:shd w:val="clear" w:color="auto" w:fill="F0F0F0"/>
        </w:rPr>
        <w:t>02/00</w:t>
      </w:r>
      <w:r>
        <w:rPr>
          <w:rFonts w:ascii="Arial" w:hAnsi="Arial" w:cs="Arial" w:eastAsia="Arial"/>
          <w:sz w:val="22"/>
          <w:szCs w:val="22"/>
          <w:rtl/>
        </w:rPr>
        <w:t>. מכתב הבקשה (01) מפרט אילו סעיפים רלוונטיים לכל מסמך.</w:t>
      </w:r>
    </w:p>
    <w:p>
      <w:pPr>
        <w:pStyle w:val="Heading2"/>
        <w:bidi/>
      </w:pPr>
      <w:r>
        <w:rPr>
          <w:rFonts w:ascii="Arial" w:hAnsi="Arial" w:cs="Arial" w:eastAsia="Arial"/>
          <w:b/>
          <w:bCs/>
          <w:color w:val="1F2A44"/>
          <w:rtl/>
        </w:rPr>
        <w:t>4. הערות על הקבצים</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מסמך באנגלית בלבד:</w:t>
      </w:r>
      <w:r>
        <w:rPr>
          <w:rFonts w:ascii="Arial" w:hAnsi="Arial" w:cs="Arial" w:eastAsia="Arial"/>
          <w:sz w:val="22"/>
          <w:szCs w:val="22"/>
          <w:rtl/>
        </w:rPr>
        <w:t xml:space="preserve"> נשמר באנגלית, ובראשו שורת סיכום בעברית. מסמכים שמעורבות בהם כמה שפות (עברית, אנגלית, ערבית, רוסית) נשארו כפי שהם.</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 xml:space="preserve">סוגריים מרובעים </w:t>
      </w:r>
      <w:r>
        <w:rPr>
          <w:rFonts w:ascii="Consolas" w:hAnsi="Consolas" w:cs="Consolas" w:eastAsia="Consolas"/>
          <w:b/>
          <w:bCs/>
          <w:sz w:val="22"/>
          <w:szCs w:val="22"/>
          <w:shd w:val="clear" w:color="auto" w:fill="F0F0F0"/>
        </w:rPr>
        <w:t>[ ]</w:t>
      </w:r>
      <w:r>
        <w:rPr>
          <w:rFonts w:ascii="Arial" w:hAnsi="Arial" w:cs="Arial" w:eastAsia="Arial"/>
          <w:sz w:val="22"/>
          <w:szCs w:val="22"/>
          <w:rtl/>
        </w:rPr>
        <w:t xml:space="preserve"> במסמכים הם שדות להשלמה (שם הארגון, איש קשר, תקופות שמירה) על ידי הלקוח או עורך הדין. אין למלא אותם בלי החלטה.</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כותרת תיאור בראש כל מסמך:</w:t>
      </w:r>
      <w:r>
        <w:rPr>
          <w:rFonts w:ascii="Arial" w:hAnsi="Arial" w:cs="Arial" w:eastAsia="Arial"/>
          <w:sz w:val="22"/>
          <w:szCs w:val="22"/>
          <w:rtl/>
        </w:rPr>
        <w:t xml:space="preserve"> נתיב המקור, תאריך ההכנה, ומצב המסמך. הכותרת אינה חלק מהמסמך המקורי.</w:t>
      </w:r>
    </w:p>
    <w:p>
      <w:pPr>
        <w:bidi/>
        <w:spacing w:after="60"/>
        <w:ind w:left="510" w:hanging="340"/>
      </w:pPr>
      <w:r>
        <w:rPr>
          <w:rFonts w:ascii="Arial" w:hAnsi="Arial" w:cs="Arial" w:eastAsia="Arial"/>
          <w:sz w:val="22"/>
          <w:szCs w:val="22"/>
          <w:rtl/>
        </w:rPr>
        <w:t>•</w:t>
        <w:tab/>
      </w:r>
      <w:r>
        <w:rPr>
          <w:rFonts w:ascii="Consolas" w:hAnsi="Consolas" w:cs="Consolas" w:eastAsia="Consolas"/>
          <w:b/>
          <w:bCs/>
          <w:sz w:val="22"/>
          <w:szCs w:val="22"/>
          <w:shd w:val="clear" w:color="auto" w:fill="F0F0F0"/>
        </w:rPr>
        <w:t>.docx</w:t>
      </w:r>
      <w:r>
        <w:rPr>
          <w:rFonts w:ascii="Arial" w:hAnsi="Arial" w:cs="Arial" w:eastAsia="Arial"/>
          <w:sz w:val="22"/>
          <w:szCs w:val="22"/>
          <w:rtl/>
        </w:rPr>
        <w:t xml:space="preserve"> מיועד להערות ולסימון שינויים. ה-</w:t>
      </w:r>
      <w:r>
        <w:rPr>
          <w:rFonts w:ascii="Consolas" w:hAnsi="Consolas" w:cs="Consolas" w:eastAsia="Consolas"/>
          <w:sz w:val="22"/>
          <w:szCs w:val="22"/>
          <w:shd w:val="clear" w:color="auto" w:fill="F0F0F0"/>
        </w:rPr>
        <w:t>.pdf</w:t>
      </w:r>
      <w:r>
        <w:rPr>
          <w:rFonts w:ascii="Arial" w:hAnsi="Arial" w:cs="Arial" w:eastAsia="Arial"/>
          <w:sz w:val="22"/>
          <w:szCs w:val="22"/>
          <w:rtl/>
        </w:rPr>
        <w:t xml:space="preserve"> הוא עותק קריאה זהה בתוכן.</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נתיבי קוד שמופיעים בתוך המסמכים (</w:t>
      </w:r>
      <w:r>
        <w:rPr>
          <w:rFonts w:ascii="Consolas" w:hAnsi="Consolas" w:cs="Consolas" w:eastAsia="Consolas"/>
          <w:sz w:val="22"/>
          <w:szCs w:val="22"/>
          <w:shd w:val="clear" w:color="auto" w:fill="F0F0F0"/>
        </w:rPr>
        <w:t>services/...</w:t>
      </w:r>
      <w:r>
        <w:rPr>
          <w:rFonts w:ascii="Arial" w:hAnsi="Arial" w:cs="Arial" w:eastAsia="Arial"/>
          <w:sz w:val="22"/>
          <w:szCs w:val="22"/>
          <w:rtl/>
        </w:rPr>
        <w:t xml:space="preserve"> ודומיהם) הם הפניות לעובדות במוצר, לא חלק מהנוסח המשפטי.</w:t>
      </w:r>
    </w:p>
    <w:p>
      <w:pPr>
        <w:pStyle w:val="Heading2"/>
        <w:bidi/>
      </w:pPr>
      <w:r>
        <w:rPr>
          <w:rFonts w:ascii="Arial" w:hAnsi="Arial" w:cs="Arial" w:eastAsia="Arial"/>
          <w:b/>
          <w:bCs/>
          <w:color w:val="1F2A44"/>
          <w:rtl/>
        </w:rPr>
        <w:t>5. מה לא נכלל בכוונה</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ניתוח משפטי פנימי של צוות הפיתוח, החלטות פנימיות ומפרט קוד: נשארים אצל הבעלים ואינם נשלחים אלא בהחלטתו.</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כתובות, סיסמאות, מפתחות, מספרים סידוריים וכתובות חומרה של מעבדה, וכל חומר מתיקיות הראיות הפרטיות.</w:t>
      </w:r>
    </w:p>
    <w:p>
      <w:pPr>
        <w:pStyle w:val="Heading2"/>
        <w:bidi/>
      </w:pPr>
      <w:r>
        <w:rPr>
          <w:rFonts w:ascii="Arial" w:hAnsi="Arial" w:cs="Arial" w:eastAsia="Arial"/>
          <w:b/>
          <w:bCs/>
          <w:color w:val="1F2A44"/>
          <w:rtl/>
        </w:rPr>
        <w:t>6. תוכן החבילה (מפורט)</w:t>
      </w:r>
    </w:p>
    <w:tbl>
      <w:tblPr>
        <w:tblStyle w:val="TableGrid"/>
        <w:bidiVisual/>
        <w:tblW w:type="auto" w:w="0"/>
        <w:tblLook w:firstColumn="1" w:firstRow="1" w:lastColumn="0" w:lastRow="0" w:noHBand="0" w:noVBand="1" w:val="04A0"/>
      </w:tblPr>
      <w:tblGrid>
        <w:gridCol w:w="2409"/>
        <w:gridCol w:w="2409"/>
        <w:gridCol w:w="2409"/>
        <w:gridCol w:w="2409"/>
      </w:tblGrid>
      <w:tr>
        <w:trPr>
          <w:tblHeader/>
        </w:trPr>
        <w:tc>
          <w:tcPr>
            <w:tcW w:type="dxa" w:w="2409"/>
            <w:shd w:val="clear" w:color="auto" w:fill="E3E8F2"/>
          </w:tcPr>
          <w:p>
            <w:pPr>
              <w:bidi/>
              <w:spacing w:after="40"/>
            </w:pPr>
            <w:r>
              <w:rPr>
                <w:rFonts w:ascii="Arial" w:hAnsi="Arial" w:cs="Arial" w:eastAsia="Arial"/>
                <w:b/>
                <w:bCs/>
                <w:sz w:val="19"/>
                <w:szCs w:val="19"/>
                <w:rtl/>
              </w:rPr>
              <w:t>תיקייה / קובץ</w:t>
            </w:r>
          </w:p>
        </w:tc>
        <w:tc>
          <w:tcPr>
            <w:tcW w:type="dxa" w:w="2409"/>
            <w:shd w:val="clear" w:color="auto" w:fill="E3E8F2"/>
          </w:tcPr>
          <w:p>
            <w:pPr>
              <w:bidi/>
              <w:spacing w:after="40"/>
            </w:pPr>
            <w:r>
              <w:rPr>
                <w:rFonts w:ascii="Arial" w:hAnsi="Arial" w:cs="Arial" w:eastAsia="Arial"/>
                <w:b/>
                <w:bCs/>
                <w:sz w:val="19"/>
                <w:szCs w:val="19"/>
                <w:rtl/>
              </w:rPr>
              <w:t>מסמך</w:t>
            </w:r>
          </w:p>
        </w:tc>
        <w:tc>
          <w:tcPr>
            <w:tcW w:type="dxa" w:w="2409"/>
            <w:shd w:val="clear" w:color="auto" w:fill="E3E8F2"/>
          </w:tcPr>
          <w:p>
            <w:pPr>
              <w:bidi/>
              <w:spacing w:after="40"/>
            </w:pPr>
            <w:r>
              <w:rPr>
                <w:rFonts w:ascii="Arial" w:hAnsi="Arial" w:cs="Arial" w:eastAsia="Arial"/>
                <w:b/>
                <w:bCs/>
                <w:sz w:val="19"/>
                <w:szCs w:val="19"/>
                <w:rtl/>
              </w:rPr>
              <w:t>שפה</w:t>
            </w:r>
          </w:p>
        </w:tc>
        <w:tc>
          <w:tcPr>
            <w:tcW w:type="dxa" w:w="2409"/>
            <w:shd w:val="clear" w:color="auto" w:fill="E3E8F2"/>
          </w:tcPr>
          <w:p>
            <w:pPr>
              <w:bidi/>
              <w:spacing w:after="40"/>
            </w:pPr>
            <w:r>
              <w:rPr>
                <w:rFonts w:ascii="Arial" w:hAnsi="Arial" w:cs="Arial" w:eastAsia="Arial"/>
                <w:b/>
                <w:bCs/>
                <w:sz w:val="19"/>
                <w:szCs w:val="19"/>
                <w:rtl/>
              </w:rPr>
              <w:t>מקור</w:t>
            </w:r>
          </w:p>
        </w:tc>
      </w:tr>
      <w:tr>
        <w:tc>
          <w:tcPr>
            <w:tcW w:type="dxa" w:w="2409"/>
          </w:tcPr>
          <w:p>
            <w:pPr>
              <w:spacing w:after="40"/>
            </w:pPr>
            <w:r>
              <w:rPr>
                <w:rFonts w:ascii="Consolas" w:hAnsi="Consolas" w:cs="Consolas" w:eastAsia="Consolas"/>
                <w:sz w:val="19"/>
                <w:szCs w:val="19"/>
                <w:shd w:val="clear" w:color="auto" w:fill="F0F0F0"/>
              </w:rPr>
              <w:t>00_README_INSTRUCTIONS_HE</w:t>
            </w:r>
          </w:p>
        </w:tc>
        <w:tc>
          <w:tcPr>
            <w:tcW w:type="dxa" w:w="2409"/>
          </w:tcPr>
          <w:p>
            <w:pPr>
              <w:bidi/>
              <w:spacing w:after="40"/>
            </w:pPr>
            <w:r>
              <w:rPr>
                <w:rFonts w:ascii="Arial" w:hAnsi="Arial" w:cs="Arial" w:eastAsia="Arial"/>
                <w:sz w:val="19"/>
                <w:szCs w:val="19"/>
                <w:rtl/>
              </w:rPr>
              <w:t>הוראות קריאה (קובץ זה)</w:t>
            </w:r>
          </w:p>
        </w:tc>
        <w:tc>
          <w:tcPr>
            <w:tcW w:type="dxa" w:w="2409"/>
          </w:tcPr>
          <w:p>
            <w:pPr>
              <w:bidi/>
              <w:spacing w:after="40"/>
            </w:pPr>
            <w:r>
              <w:rPr>
                <w:rFonts w:ascii="Arial" w:hAnsi="Arial" w:cs="Arial" w:eastAsia="Arial"/>
                <w:sz w:val="19"/>
                <w:szCs w:val="19"/>
                <w:rtl/>
              </w:rPr>
              <w:t>עברית</w:t>
            </w:r>
          </w:p>
        </w:tc>
        <w:tc>
          <w:tcPr>
            <w:tcW w:type="dxa" w:w="2409"/>
          </w:tcPr>
          <w:p>
            <w:pPr>
              <w:bidi/>
              <w:spacing w:after="40"/>
            </w:pPr>
            <w:r>
              <w:rPr>
                <w:rFonts w:ascii="Arial" w:hAnsi="Arial" w:cs="Arial" w:eastAsia="Arial"/>
                <w:sz w:val="19"/>
                <w:szCs w:val="19"/>
                <w:rtl/>
              </w:rPr>
              <w:t>נכתב לחבילה</w:t>
            </w:r>
          </w:p>
        </w:tc>
      </w:tr>
      <w:tr>
        <w:tc>
          <w:tcPr>
            <w:tcW w:type="dxa" w:w="2409"/>
          </w:tcPr>
          <w:p>
            <w:pPr>
              <w:spacing w:after="40"/>
            </w:pPr>
            <w:r>
              <w:rPr>
                <w:rFonts w:ascii="Consolas" w:hAnsi="Consolas" w:cs="Consolas" w:eastAsia="Consolas"/>
                <w:sz w:val="19"/>
                <w:szCs w:val="19"/>
                <w:shd w:val="clear" w:color="auto" w:fill="F0F0F0"/>
              </w:rPr>
              <w:t>01_REQUEST_TO_COUNSEL_HE</w:t>
            </w:r>
          </w:p>
        </w:tc>
        <w:tc>
          <w:tcPr>
            <w:tcW w:type="dxa" w:w="2409"/>
          </w:tcPr>
          <w:p>
            <w:pPr>
              <w:bidi/>
              <w:spacing w:after="40"/>
            </w:pPr>
            <w:r>
              <w:rPr>
                <w:rFonts w:ascii="Arial" w:hAnsi="Arial" w:cs="Arial" w:eastAsia="Arial"/>
                <w:sz w:val="19"/>
                <w:szCs w:val="19"/>
                <w:rtl/>
              </w:rPr>
              <w:t>מכתב הבקשה לעורך הדין</w:t>
            </w:r>
          </w:p>
        </w:tc>
        <w:tc>
          <w:tcPr>
            <w:tcW w:type="dxa" w:w="2409"/>
          </w:tcPr>
          <w:p>
            <w:pPr>
              <w:bidi/>
              <w:spacing w:after="40"/>
            </w:pPr>
            <w:r>
              <w:rPr>
                <w:rFonts w:ascii="Arial" w:hAnsi="Arial" w:cs="Arial" w:eastAsia="Arial"/>
                <w:sz w:val="19"/>
                <w:szCs w:val="19"/>
                <w:rtl/>
              </w:rPr>
              <w:t>עברית</w:t>
            </w:r>
          </w:p>
        </w:tc>
        <w:tc>
          <w:tcPr>
            <w:tcW w:type="dxa" w:w="2409"/>
          </w:tcPr>
          <w:p>
            <w:pPr>
              <w:bidi/>
              <w:spacing w:after="40"/>
            </w:pPr>
            <w:r>
              <w:rPr>
                <w:rFonts w:ascii="Arial" w:hAnsi="Arial" w:cs="Arial" w:eastAsia="Arial"/>
                <w:sz w:val="19"/>
                <w:szCs w:val="19"/>
                <w:rtl/>
              </w:rPr>
              <w:t>נכתב לחבילה</w:t>
            </w:r>
          </w:p>
        </w:tc>
      </w:tr>
      <w:tr>
        <w:tc>
          <w:tcPr>
            <w:tcW w:type="dxa" w:w="2409"/>
          </w:tcPr>
          <w:p>
            <w:pPr>
              <w:spacing w:after="40"/>
            </w:pPr>
            <w:r>
              <w:rPr>
                <w:rFonts w:ascii="Consolas" w:hAnsi="Consolas" w:cs="Consolas" w:eastAsia="Consolas"/>
                <w:sz w:val="19"/>
                <w:szCs w:val="19"/>
                <w:shd w:val="clear" w:color="auto" w:fill="F0F0F0"/>
              </w:rPr>
              <w:t>02_privacy_org_documents/00_index_C1-C13</w:t>
            </w:r>
          </w:p>
        </w:tc>
        <w:tc>
          <w:tcPr>
            <w:tcW w:type="dxa" w:w="2409"/>
          </w:tcPr>
          <w:p>
            <w:pPr>
              <w:bidi/>
              <w:spacing w:after="40"/>
            </w:pPr>
            <w:r>
              <w:rPr>
                <w:rFonts w:ascii="Arial" w:hAnsi="Arial" w:cs="Arial" w:eastAsia="Arial"/>
                <w:sz w:val="19"/>
                <w:szCs w:val="19"/>
                <w:rtl/>
              </w:rPr>
              <w:t>אינדקס מסמכי הפרטיות של הארגון ופריטי בדיקה C1-C13 (דו-לשוני)</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docs/privacy/README.md</w:t>
            </w:r>
          </w:p>
        </w:tc>
      </w:tr>
      <w:tr>
        <w:tc>
          <w:tcPr>
            <w:tcW w:type="dxa" w:w="2409"/>
          </w:tcPr>
          <w:p>
            <w:pPr>
              <w:spacing w:after="40"/>
            </w:pPr>
            <w:r>
              <w:rPr>
                <w:rFonts w:ascii="Consolas" w:hAnsi="Consolas" w:cs="Consolas" w:eastAsia="Consolas"/>
                <w:sz w:val="19"/>
                <w:szCs w:val="19"/>
                <w:shd w:val="clear" w:color="auto" w:fill="F0F0F0"/>
              </w:rPr>
              <w:t>02_privacy_org_documents/01_data-processing-summary_he</w:t>
            </w:r>
          </w:p>
        </w:tc>
        <w:tc>
          <w:tcPr>
            <w:tcW w:type="dxa" w:w="2409"/>
          </w:tcPr>
          <w:p>
            <w:pPr>
              <w:bidi/>
              <w:spacing w:after="40"/>
            </w:pPr>
            <w:r>
              <w:rPr>
                <w:rFonts w:ascii="Arial" w:hAnsi="Arial" w:cs="Arial" w:eastAsia="Arial"/>
                <w:sz w:val="19"/>
                <w:szCs w:val="19"/>
                <w:rtl/>
              </w:rPr>
              <w:t>סיכום עיבוד המידע: מה המוצר שומר, איפה, ומי מקבל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docs/privacy/he/01-data-processing-summary.md</w:t>
            </w:r>
          </w:p>
        </w:tc>
      </w:tr>
      <w:tr>
        <w:tc>
          <w:tcPr>
            <w:tcW w:type="dxa" w:w="2409"/>
          </w:tcPr>
          <w:p>
            <w:pPr>
              <w:spacing w:after="40"/>
            </w:pPr>
            <w:r>
              <w:rPr>
                <w:rFonts w:ascii="Consolas" w:hAnsi="Consolas" w:cs="Consolas" w:eastAsia="Consolas"/>
                <w:sz w:val="19"/>
                <w:szCs w:val="19"/>
                <w:shd w:val="clear" w:color="auto" w:fill="F0F0F0"/>
              </w:rPr>
              <w:t>02_privacy_org_documents/01_data-processing-summary_en</w:t>
            </w:r>
          </w:p>
        </w:tc>
        <w:tc>
          <w:tcPr>
            <w:tcW w:type="dxa" w:w="2409"/>
          </w:tcPr>
          <w:p>
            <w:pPr>
              <w:bidi/>
              <w:spacing w:after="40"/>
            </w:pPr>
            <w:r>
              <w:rPr>
                <w:rFonts w:ascii="Arial" w:hAnsi="Arial" w:cs="Arial" w:eastAsia="Arial"/>
                <w:sz w:val="19"/>
                <w:szCs w:val="19"/>
                <w:rtl/>
              </w:rPr>
              <w:t>סיכום עיבוד המידע: מה המוצר שומר, איפה, ומי מקבל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docs/privacy/en/01-data-processing-summary.md</w:t>
            </w:r>
          </w:p>
        </w:tc>
      </w:tr>
      <w:tr>
        <w:tc>
          <w:tcPr>
            <w:tcW w:type="dxa" w:w="2409"/>
          </w:tcPr>
          <w:p>
            <w:pPr>
              <w:spacing w:after="40"/>
            </w:pPr>
            <w:r>
              <w:rPr>
                <w:rFonts w:ascii="Consolas" w:hAnsi="Consolas" w:cs="Consolas" w:eastAsia="Consolas"/>
                <w:sz w:val="19"/>
                <w:szCs w:val="19"/>
                <w:shd w:val="clear" w:color="auto" w:fill="F0F0F0"/>
              </w:rPr>
              <w:t>02_privacy_org_documents/02_retention-and-access-summary_he</w:t>
            </w:r>
          </w:p>
        </w:tc>
        <w:tc>
          <w:tcPr>
            <w:tcW w:type="dxa" w:w="2409"/>
          </w:tcPr>
          <w:p>
            <w:pPr>
              <w:bidi/>
              <w:spacing w:after="40"/>
            </w:pPr>
            <w:r>
              <w:rPr>
                <w:rFonts w:ascii="Arial" w:hAnsi="Arial" w:cs="Arial" w:eastAsia="Arial"/>
                <w:sz w:val="19"/>
                <w:szCs w:val="19"/>
                <w:rtl/>
              </w:rPr>
              <w:t>סיכום שמירה וגישה: מה נמחק אוטומטית, מה ידני, ומי רואה מה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docs/privacy/he/02-retention-and-access-summary.md</w:t>
            </w:r>
          </w:p>
        </w:tc>
      </w:tr>
      <w:tr>
        <w:tc>
          <w:tcPr>
            <w:tcW w:type="dxa" w:w="2409"/>
          </w:tcPr>
          <w:p>
            <w:pPr>
              <w:spacing w:after="40"/>
            </w:pPr>
            <w:r>
              <w:rPr>
                <w:rFonts w:ascii="Consolas" w:hAnsi="Consolas" w:cs="Consolas" w:eastAsia="Consolas"/>
                <w:sz w:val="19"/>
                <w:szCs w:val="19"/>
                <w:shd w:val="clear" w:color="auto" w:fill="F0F0F0"/>
              </w:rPr>
              <w:t>02_privacy_org_documents/02_retention-and-access-summary_en</w:t>
            </w:r>
          </w:p>
        </w:tc>
        <w:tc>
          <w:tcPr>
            <w:tcW w:type="dxa" w:w="2409"/>
          </w:tcPr>
          <w:p>
            <w:pPr>
              <w:bidi/>
              <w:spacing w:after="40"/>
            </w:pPr>
            <w:r>
              <w:rPr>
                <w:rFonts w:ascii="Arial" w:hAnsi="Arial" w:cs="Arial" w:eastAsia="Arial"/>
                <w:sz w:val="19"/>
                <w:szCs w:val="19"/>
                <w:rtl/>
              </w:rPr>
              <w:t>סיכום שמירה וגישה: מה נמחק אוטומטית, מה ידני, ומי רואה מה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docs/privacy/en/02-retention-and-access-summary.md</w:t>
            </w:r>
          </w:p>
        </w:tc>
      </w:tr>
      <w:tr>
        <w:tc>
          <w:tcPr>
            <w:tcW w:type="dxa" w:w="2409"/>
          </w:tcPr>
          <w:p>
            <w:pPr>
              <w:spacing w:after="40"/>
            </w:pPr>
            <w:r>
              <w:rPr>
                <w:rFonts w:ascii="Consolas" w:hAnsi="Consolas" w:cs="Consolas" w:eastAsia="Consolas"/>
                <w:sz w:val="19"/>
                <w:szCs w:val="19"/>
                <w:shd w:val="clear" w:color="auto" w:fill="F0F0F0"/>
              </w:rPr>
              <w:t>02_privacy_org_documents/03_data-subject-request-handling_he</w:t>
            </w:r>
          </w:p>
        </w:tc>
        <w:tc>
          <w:tcPr>
            <w:tcW w:type="dxa" w:w="2409"/>
          </w:tcPr>
          <w:p>
            <w:pPr>
              <w:bidi/>
              <w:spacing w:after="40"/>
            </w:pPr>
            <w:r>
              <w:rPr>
                <w:rFonts w:ascii="Arial" w:hAnsi="Arial" w:cs="Arial" w:eastAsia="Arial"/>
                <w:sz w:val="19"/>
                <w:szCs w:val="19"/>
                <w:rtl/>
              </w:rPr>
              <w:t>שלבי טיפול בבקשות של אנשים (עיון, תיקון, מחיקה)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docs/privacy/he/03-data-subject-request-handling.md</w:t>
            </w:r>
          </w:p>
        </w:tc>
      </w:tr>
      <w:tr>
        <w:tc>
          <w:tcPr>
            <w:tcW w:type="dxa" w:w="2409"/>
          </w:tcPr>
          <w:p>
            <w:pPr>
              <w:spacing w:after="40"/>
            </w:pPr>
            <w:r>
              <w:rPr>
                <w:rFonts w:ascii="Consolas" w:hAnsi="Consolas" w:cs="Consolas" w:eastAsia="Consolas"/>
                <w:sz w:val="19"/>
                <w:szCs w:val="19"/>
                <w:shd w:val="clear" w:color="auto" w:fill="F0F0F0"/>
              </w:rPr>
              <w:t>02_privacy_org_documents/03_data-subject-request-handling_en</w:t>
            </w:r>
          </w:p>
        </w:tc>
        <w:tc>
          <w:tcPr>
            <w:tcW w:type="dxa" w:w="2409"/>
          </w:tcPr>
          <w:p>
            <w:pPr>
              <w:bidi/>
              <w:spacing w:after="40"/>
            </w:pPr>
            <w:r>
              <w:rPr>
                <w:rFonts w:ascii="Arial" w:hAnsi="Arial" w:cs="Arial" w:eastAsia="Arial"/>
                <w:sz w:val="19"/>
                <w:szCs w:val="19"/>
                <w:rtl/>
              </w:rPr>
              <w:t>שלבי טיפול בבקשות של אנשים (עיון, תיקון, מחיקה)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docs/privacy/en/03-data-subject-request-handling.md</w:t>
            </w:r>
          </w:p>
        </w:tc>
      </w:tr>
      <w:tr>
        <w:tc>
          <w:tcPr>
            <w:tcW w:type="dxa" w:w="2409"/>
          </w:tcPr>
          <w:p>
            <w:pPr>
              <w:spacing w:after="40"/>
            </w:pPr>
            <w:r>
              <w:rPr>
                <w:rFonts w:ascii="Consolas" w:hAnsi="Consolas" w:cs="Consolas" w:eastAsia="Consolas"/>
                <w:sz w:val="19"/>
                <w:szCs w:val="19"/>
                <w:shd w:val="clear" w:color="auto" w:fill="F0F0F0"/>
              </w:rPr>
              <w:t>02_privacy_org_documents/04_organisation-privacy-notice-template_he</w:t>
            </w:r>
          </w:p>
        </w:tc>
        <w:tc>
          <w:tcPr>
            <w:tcW w:type="dxa" w:w="2409"/>
          </w:tcPr>
          <w:p>
            <w:pPr>
              <w:bidi/>
              <w:spacing w:after="40"/>
            </w:pPr>
            <w:r>
              <w:rPr>
                <w:rFonts w:ascii="Arial" w:hAnsi="Arial" w:cs="Arial" w:eastAsia="Arial"/>
                <w:sz w:val="19"/>
                <w:szCs w:val="19"/>
                <w:rtl/>
              </w:rPr>
              <w:t>תבנית הודעת פרטיות של הארגון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docs/privacy/he/04-organisation-privacy-notice-template.md</w:t>
            </w:r>
          </w:p>
        </w:tc>
      </w:tr>
      <w:tr>
        <w:tc>
          <w:tcPr>
            <w:tcW w:type="dxa" w:w="2409"/>
          </w:tcPr>
          <w:p>
            <w:pPr>
              <w:spacing w:after="40"/>
            </w:pPr>
            <w:r>
              <w:rPr>
                <w:rFonts w:ascii="Consolas" w:hAnsi="Consolas" w:cs="Consolas" w:eastAsia="Consolas"/>
                <w:sz w:val="19"/>
                <w:szCs w:val="19"/>
                <w:shd w:val="clear" w:color="auto" w:fill="F0F0F0"/>
              </w:rPr>
              <w:t>02_privacy_org_documents/04_organisation-privacy-notice-template_en</w:t>
            </w:r>
          </w:p>
        </w:tc>
        <w:tc>
          <w:tcPr>
            <w:tcW w:type="dxa" w:w="2409"/>
          </w:tcPr>
          <w:p>
            <w:pPr>
              <w:bidi/>
              <w:spacing w:after="40"/>
            </w:pPr>
            <w:r>
              <w:rPr>
                <w:rFonts w:ascii="Arial" w:hAnsi="Arial" w:cs="Arial" w:eastAsia="Arial"/>
                <w:sz w:val="19"/>
                <w:szCs w:val="19"/>
                <w:rtl/>
              </w:rPr>
              <w:t>תבנית הודעת פרטיות של הארגון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docs/privacy/en/04-organisation-privacy-notice-template.md</w:t>
            </w:r>
          </w:p>
        </w:tc>
      </w:tr>
      <w:tr>
        <w:tc>
          <w:tcPr>
            <w:tcW w:type="dxa" w:w="2409"/>
          </w:tcPr>
          <w:p>
            <w:pPr>
              <w:spacing w:after="40"/>
            </w:pPr>
            <w:r>
              <w:rPr>
                <w:rFonts w:ascii="Consolas" w:hAnsi="Consolas" w:cs="Consolas" w:eastAsia="Consolas"/>
                <w:sz w:val="19"/>
                <w:szCs w:val="19"/>
                <w:shd w:val="clear" w:color="auto" w:fill="F0F0F0"/>
              </w:rPr>
              <w:t>02_privacy_org_documents/05_database-definition-and-incident-line-template_he</w:t>
            </w:r>
          </w:p>
        </w:tc>
        <w:tc>
          <w:tcPr>
            <w:tcW w:type="dxa" w:w="2409"/>
          </w:tcPr>
          <w:p>
            <w:pPr>
              <w:bidi/>
              <w:spacing w:after="40"/>
            </w:pPr>
            <w:r>
              <w:rPr>
                <w:rFonts w:ascii="Arial" w:hAnsi="Arial" w:cs="Arial" w:eastAsia="Arial"/>
                <w:sz w:val="19"/>
                <w:szCs w:val="19"/>
                <w:rtl/>
              </w:rPr>
              <w:t>תבנית מסמך הגדרת מאגר ושורת נוהל אירוע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docs/privacy/he/05-database-definition-and-incident-line-template.md</w:t>
            </w:r>
          </w:p>
        </w:tc>
      </w:tr>
      <w:tr>
        <w:tc>
          <w:tcPr>
            <w:tcW w:type="dxa" w:w="2409"/>
          </w:tcPr>
          <w:p>
            <w:pPr>
              <w:spacing w:after="40"/>
            </w:pPr>
            <w:r>
              <w:rPr>
                <w:rFonts w:ascii="Consolas" w:hAnsi="Consolas" w:cs="Consolas" w:eastAsia="Consolas"/>
                <w:sz w:val="19"/>
                <w:szCs w:val="19"/>
                <w:shd w:val="clear" w:color="auto" w:fill="F0F0F0"/>
              </w:rPr>
              <w:t>02_privacy_org_documents/05_database-definition-and-incident-line-template_en</w:t>
            </w:r>
          </w:p>
        </w:tc>
        <w:tc>
          <w:tcPr>
            <w:tcW w:type="dxa" w:w="2409"/>
          </w:tcPr>
          <w:p>
            <w:pPr>
              <w:bidi/>
              <w:spacing w:after="40"/>
            </w:pPr>
            <w:r>
              <w:rPr>
                <w:rFonts w:ascii="Arial" w:hAnsi="Arial" w:cs="Arial" w:eastAsia="Arial"/>
                <w:sz w:val="19"/>
                <w:szCs w:val="19"/>
                <w:rtl/>
              </w:rPr>
              <w:t>תבנית מסמך הגדרת מאגר ושורת נוהל אירוע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docs/privacy/en/05-database-definition-and-incident-line-template.md</w:t>
            </w:r>
          </w:p>
        </w:tc>
      </w:tr>
      <w:tr>
        <w:tc>
          <w:tcPr>
            <w:tcW w:type="dxa" w:w="2409"/>
          </w:tcPr>
          <w:p>
            <w:pPr>
              <w:spacing w:after="40"/>
            </w:pPr>
            <w:r>
              <w:rPr>
                <w:rFonts w:ascii="Consolas" w:hAnsi="Consolas" w:cs="Consolas" w:eastAsia="Consolas"/>
                <w:sz w:val="19"/>
                <w:szCs w:val="19"/>
                <w:shd w:val="clear" w:color="auto" w:fill="F0F0F0"/>
              </w:rPr>
              <w:t>02_privacy_org_documents/06_retention-policy-template_he</w:t>
            </w:r>
          </w:p>
        </w:tc>
        <w:tc>
          <w:tcPr>
            <w:tcW w:type="dxa" w:w="2409"/>
          </w:tcPr>
          <w:p>
            <w:pPr>
              <w:bidi/>
              <w:spacing w:after="40"/>
            </w:pPr>
            <w:r>
              <w:rPr>
                <w:rFonts w:ascii="Arial" w:hAnsi="Arial" w:cs="Arial" w:eastAsia="Arial"/>
                <w:sz w:val="19"/>
                <w:szCs w:val="19"/>
                <w:rtl/>
              </w:rPr>
              <w:t>תבנית מדיניות שמירה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docs/privacy/he/06-retention-policy-template.md</w:t>
            </w:r>
          </w:p>
        </w:tc>
      </w:tr>
      <w:tr>
        <w:tc>
          <w:tcPr>
            <w:tcW w:type="dxa" w:w="2409"/>
          </w:tcPr>
          <w:p>
            <w:pPr>
              <w:spacing w:after="40"/>
            </w:pPr>
            <w:r>
              <w:rPr>
                <w:rFonts w:ascii="Consolas" w:hAnsi="Consolas" w:cs="Consolas" w:eastAsia="Consolas"/>
                <w:sz w:val="19"/>
                <w:szCs w:val="19"/>
                <w:shd w:val="clear" w:color="auto" w:fill="F0F0F0"/>
              </w:rPr>
              <w:t>02_privacy_org_documents/06_retention-policy-template_en</w:t>
            </w:r>
          </w:p>
        </w:tc>
        <w:tc>
          <w:tcPr>
            <w:tcW w:type="dxa" w:w="2409"/>
          </w:tcPr>
          <w:p>
            <w:pPr>
              <w:bidi/>
              <w:spacing w:after="40"/>
            </w:pPr>
            <w:r>
              <w:rPr>
                <w:rFonts w:ascii="Arial" w:hAnsi="Arial" w:cs="Arial" w:eastAsia="Arial"/>
                <w:sz w:val="19"/>
                <w:szCs w:val="19"/>
                <w:rtl/>
              </w:rPr>
              <w:t>תבנית מדיניות שמירה (אנגלית, המקור)</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docs/privacy/en/06-retention-policy-template.md</w:t>
            </w:r>
          </w:p>
        </w:tc>
      </w:tr>
      <w:tr>
        <w:tc>
          <w:tcPr>
            <w:tcW w:type="dxa" w:w="2409"/>
          </w:tcPr>
          <w:p>
            <w:pPr>
              <w:spacing w:after="40"/>
            </w:pPr>
            <w:r>
              <w:rPr>
                <w:rFonts w:ascii="Consolas" w:hAnsi="Consolas" w:cs="Consolas" w:eastAsia="Consolas"/>
                <w:sz w:val="19"/>
                <w:szCs w:val="19"/>
                <w:shd w:val="clear" w:color="auto" w:fill="F0F0F0"/>
              </w:rPr>
              <w:t>03_employee_notice/01_employee-notice-draft-v3_he</w:t>
            </w:r>
          </w:p>
        </w:tc>
        <w:tc>
          <w:tcPr>
            <w:tcW w:type="dxa" w:w="2409"/>
          </w:tcPr>
          <w:p>
            <w:pPr>
              <w:bidi/>
              <w:spacing w:after="40"/>
            </w:pPr>
            <w:r>
              <w:rPr>
                <w:rFonts w:ascii="Arial" w:hAnsi="Arial" w:cs="Arial" w:eastAsia="Arial"/>
                <w:sz w:val="19"/>
                <w:szCs w:val="19"/>
                <w:rtl/>
              </w:rPr>
              <w:t>טיוטה v3: הודעה לעובדים על שיתוף נתוני המכשיר עם המערכת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private/planning/EMPLOYEE_NOTICE_DRAFT_V3_2026-10-24_HE.md</w:t>
            </w:r>
          </w:p>
        </w:tc>
      </w:tr>
      <w:tr>
        <w:tc>
          <w:tcPr>
            <w:tcW w:type="dxa" w:w="2409"/>
          </w:tcPr>
          <w:p>
            <w:pPr>
              <w:spacing w:after="40"/>
            </w:pPr>
            <w:r>
              <w:rPr>
                <w:rFonts w:ascii="Consolas" w:hAnsi="Consolas" w:cs="Consolas" w:eastAsia="Consolas"/>
                <w:sz w:val="19"/>
                <w:szCs w:val="19"/>
                <w:shd w:val="clear" w:color="auto" w:fill="F0F0F0"/>
              </w:rPr>
              <w:t>04_technician_privacy/01_legal-brief-technicians_he</w:t>
            </w:r>
          </w:p>
        </w:tc>
        <w:tc>
          <w:tcPr>
            <w:tcW w:type="dxa" w:w="2409"/>
          </w:tcPr>
          <w:p>
            <w:pPr>
              <w:bidi/>
              <w:spacing w:after="40"/>
            </w:pPr>
            <w:r>
              <w:rPr>
                <w:rFonts w:ascii="Arial" w:hAnsi="Arial" w:cs="Arial" w:eastAsia="Arial"/>
                <w:sz w:val="19"/>
                <w:szCs w:val="19"/>
                <w:rtl/>
              </w:rPr>
              <w:t>תדריך ליועץ המשפטי: הודעת פרטיות לטכנאים חיצוניים (13 שאלות בסעיף 9)</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private/planning/legal_pack_technician_privacy_2026-10-18/LEGAL_BRIEF_HE.md</w:t>
            </w:r>
          </w:p>
        </w:tc>
      </w:tr>
      <w:tr>
        <w:tc>
          <w:tcPr>
            <w:tcW w:type="dxa" w:w="2409"/>
          </w:tcPr>
          <w:p>
            <w:pPr>
              <w:spacing w:after="40"/>
            </w:pPr>
            <w:r>
              <w:rPr>
                <w:rFonts w:ascii="Consolas" w:hAnsi="Consolas" w:cs="Consolas" w:eastAsia="Consolas"/>
                <w:sz w:val="19"/>
                <w:szCs w:val="19"/>
                <w:shd w:val="clear" w:color="auto" w:fill="F0F0F0"/>
              </w:rPr>
              <w:t>04_technician_privacy/02_notice-text-proposed_he-en-ar-ru</w:t>
            </w:r>
          </w:p>
        </w:tc>
        <w:tc>
          <w:tcPr>
            <w:tcW w:type="dxa" w:w="2409"/>
          </w:tcPr>
          <w:p>
            <w:pPr>
              <w:bidi/>
              <w:spacing w:after="40"/>
            </w:pPr>
            <w:r>
              <w:rPr>
                <w:rFonts w:ascii="Arial" w:hAnsi="Arial" w:cs="Arial" w:eastAsia="Arial"/>
                <w:sz w:val="19"/>
                <w:szCs w:val="19"/>
                <w:rtl/>
              </w:rPr>
              <w:t>נוסחי ההודעה המוצעים לטכנאים בעברית, אנגלית, ערבית ורוסית</w:t>
            </w:r>
          </w:p>
        </w:tc>
        <w:tc>
          <w:tcPr>
            <w:tcW w:type="dxa" w:w="2409"/>
          </w:tcPr>
          <w:p>
            <w:pPr>
              <w:bidi/>
              <w:spacing w:after="40"/>
            </w:pPr>
            <w:r>
              <w:rPr>
                <w:rFonts w:ascii="Arial" w:hAnsi="Arial" w:cs="Arial" w:eastAsia="Arial"/>
                <w:sz w:val="19"/>
                <w:szCs w:val="19"/>
                <w:rtl/>
              </w:rPr>
              <w:t>רב-לשוני</w:t>
            </w:r>
          </w:p>
        </w:tc>
        <w:tc>
          <w:tcPr>
            <w:tcW w:type="dxa" w:w="2409"/>
          </w:tcPr>
          <w:p>
            <w:pPr>
              <w:spacing w:after="40"/>
            </w:pPr>
            <w:r>
              <w:rPr>
                <w:rFonts w:ascii="Consolas" w:hAnsi="Consolas" w:cs="Consolas" w:eastAsia="Consolas"/>
                <w:sz w:val="19"/>
                <w:szCs w:val="19"/>
                <w:shd w:val="clear" w:color="auto" w:fill="F0F0F0"/>
              </w:rPr>
              <w:t>private/planning/legal_pack_technician_privacy_2026-10-18/NOTICE_TEXT_PROPOSED_he_en_ar_ru.md</w:t>
            </w:r>
          </w:p>
        </w:tc>
      </w:tr>
      <w:tr>
        <w:tc>
          <w:tcPr>
            <w:tcW w:type="dxa" w:w="2409"/>
          </w:tcPr>
          <w:p>
            <w:pPr>
              <w:spacing w:after="40"/>
            </w:pPr>
            <w:r>
              <w:rPr>
                <w:rFonts w:ascii="Consolas" w:hAnsi="Consolas" w:cs="Consolas" w:eastAsia="Consolas"/>
                <w:sz w:val="19"/>
                <w:szCs w:val="19"/>
                <w:shd w:val="clear" w:color="auto" w:fill="F0F0F0"/>
              </w:rPr>
              <w:t>04_technician_privacy/03_technician-notice-final_he-en-ar-ru</w:t>
            </w:r>
          </w:p>
        </w:tc>
        <w:tc>
          <w:tcPr>
            <w:tcW w:type="dxa" w:w="2409"/>
          </w:tcPr>
          <w:p>
            <w:pPr>
              <w:bidi/>
              <w:spacing w:after="40"/>
            </w:pPr>
            <w:r>
              <w:rPr>
                <w:rFonts w:ascii="Arial" w:hAnsi="Arial" w:cs="Arial" w:eastAsia="Arial"/>
                <w:sz w:val="19"/>
                <w:szCs w:val="19"/>
                <w:rtl/>
              </w:rPr>
              <w:t>ההודעה לטכנאים: הנוסח הסופי הנוכחי בארבע שפות (ממתין לבדיקה משפטית)</w:t>
            </w:r>
          </w:p>
        </w:tc>
        <w:tc>
          <w:tcPr>
            <w:tcW w:type="dxa" w:w="2409"/>
          </w:tcPr>
          <w:p>
            <w:pPr>
              <w:bidi/>
              <w:spacing w:after="40"/>
            </w:pPr>
            <w:r>
              <w:rPr>
                <w:rFonts w:ascii="Arial" w:hAnsi="Arial" w:cs="Arial" w:eastAsia="Arial"/>
                <w:sz w:val="19"/>
                <w:szCs w:val="19"/>
                <w:rtl/>
              </w:rPr>
              <w:t>רב-לשוני</w:t>
            </w:r>
          </w:p>
        </w:tc>
        <w:tc>
          <w:tcPr>
            <w:tcW w:type="dxa" w:w="2409"/>
          </w:tcPr>
          <w:p>
            <w:pPr>
              <w:spacing w:after="40"/>
            </w:pPr>
            <w:r>
              <w:rPr>
                <w:rFonts w:ascii="Consolas" w:hAnsi="Consolas" w:cs="Consolas" w:eastAsia="Consolas"/>
                <w:sz w:val="19"/>
                <w:szCs w:val="19"/>
                <w:shd w:val="clear" w:color="auto" w:fill="F0F0F0"/>
              </w:rPr>
              <w:t>docs/privacy/technician-notice-final.md</w:t>
            </w:r>
          </w:p>
        </w:tc>
      </w:tr>
      <w:tr>
        <w:tc>
          <w:tcPr>
            <w:tcW w:type="dxa" w:w="2409"/>
          </w:tcPr>
          <w:p>
            <w:pPr>
              <w:spacing w:after="40"/>
            </w:pPr>
            <w:r>
              <w:rPr>
                <w:rFonts w:ascii="Consolas" w:hAnsi="Consolas" w:cs="Consolas" w:eastAsia="Consolas"/>
                <w:sz w:val="19"/>
                <w:szCs w:val="19"/>
                <w:shd w:val="clear" w:color="auto" w:fill="F0F0F0"/>
              </w:rPr>
              <w:t>04_technician_privacy/04_technician-verification-message-spec_en</w:t>
            </w:r>
          </w:p>
        </w:tc>
        <w:tc>
          <w:tcPr>
            <w:tcW w:type="dxa" w:w="2409"/>
          </w:tcPr>
          <w:p>
            <w:pPr>
              <w:bidi/>
              <w:spacing w:after="40"/>
            </w:pPr>
            <w:r>
              <w:rPr>
                <w:rFonts w:ascii="Arial" w:hAnsi="Arial" w:cs="Arial" w:eastAsia="Arial"/>
                <w:sz w:val="19"/>
                <w:szCs w:val="19"/>
                <w:rtl/>
              </w:rPr>
              <w:t>מפרט הודעת אימות הטלפון לטכנאי שנושאת את הודעת הפרטיות הקצרה</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docs/privacy/technician-verification-message-spec.md</w:t>
            </w:r>
          </w:p>
        </w:tc>
      </w:tr>
      <w:tr>
        <w:tc>
          <w:tcPr>
            <w:tcW w:type="dxa" w:w="2409"/>
          </w:tcPr>
          <w:p>
            <w:pPr>
              <w:spacing w:after="40"/>
            </w:pPr>
            <w:r>
              <w:rPr>
                <w:rFonts w:ascii="Consolas" w:hAnsi="Consolas" w:cs="Consolas" w:eastAsia="Consolas"/>
                <w:sz w:val="19"/>
                <w:szCs w:val="19"/>
                <w:shd w:val="clear" w:color="auto" w:fill="F0F0F0"/>
              </w:rPr>
              <w:t>04_technician_privacy/05_proposal-pub03-pending-technician-retention_en</w:t>
            </w:r>
          </w:p>
        </w:tc>
        <w:tc>
          <w:tcPr>
            <w:tcW w:type="dxa" w:w="2409"/>
          </w:tcPr>
          <w:p>
            <w:pPr>
              <w:bidi/>
              <w:spacing w:after="40"/>
            </w:pPr>
            <w:r>
              <w:rPr>
                <w:rFonts w:ascii="Arial" w:hAnsi="Arial" w:cs="Arial" w:eastAsia="Arial"/>
                <w:sz w:val="19"/>
                <w:szCs w:val="19"/>
                <w:rtl/>
              </w:rPr>
              <w:t>הצעה PUB-03: שמירת שם וטלפון של טכנאי שהוקלדו על ידי ספק</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docs/security/PROPOSAL_PUB03_PENDING_TECHNICIAN_RETENTION.md</w:t>
            </w:r>
          </w:p>
        </w:tc>
      </w:tr>
      <w:tr>
        <w:tc>
          <w:tcPr>
            <w:tcW w:type="dxa" w:w="2409"/>
          </w:tcPr>
          <w:p>
            <w:pPr>
              <w:spacing w:after="40"/>
            </w:pPr>
            <w:r>
              <w:rPr>
                <w:rFonts w:ascii="Consolas" w:hAnsi="Consolas" w:cs="Consolas" w:eastAsia="Consolas"/>
                <w:sz w:val="19"/>
                <w:szCs w:val="19"/>
                <w:shd w:val="clear" w:color="auto" w:fill="F0F0F0"/>
              </w:rPr>
              <w:t>05_presence_push_third_parties/01_CR-027-mobile-presence-push_en</w:t>
            </w:r>
          </w:p>
        </w:tc>
        <w:tc>
          <w:tcPr>
            <w:tcW w:type="dxa" w:w="2409"/>
          </w:tcPr>
          <w:p>
            <w:pPr>
              <w:bidi/>
              <w:spacing w:after="40"/>
            </w:pPr>
            <w:r>
              <w:rPr>
                <w:rFonts w:ascii="Arial" w:hAnsi="Arial" w:cs="Arial" w:eastAsia="Arial"/>
                <w:sz w:val="19"/>
                <w:szCs w:val="19"/>
                <w:rtl/>
              </w:rPr>
              <w:t>מפרט CR-027: אפליקציית הנייד, רישום מכשירים, נוכחות וחיישנים, ודחיפה דרך ממסר SmplWise</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docs/changes/CR-027-MOBILE-PRESENCE-PUSH.md</w:t>
            </w:r>
          </w:p>
        </w:tc>
      </w:tr>
      <w:tr>
        <w:tc>
          <w:tcPr>
            <w:tcW w:type="dxa" w:w="2409"/>
          </w:tcPr>
          <w:p>
            <w:pPr>
              <w:spacing w:after="40"/>
            </w:pPr>
            <w:r>
              <w:rPr>
                <w:rFonts w:ascii="Consolas" w:hAnsi="Consolas" w:cs="Consolas" w:eastAsia="Consolas"/>
                <w:sz w:val="19"/>
                <w:szCs w:val="19"/>
                <w:shd w:val="clear" w:color="auto" w:fill="F0F0F0"/>
              </w:rPr>
              <w:t>05_presence_push_third_parties/02_cloudflare-dpa-request-draft_en-he</w:t>
            </w:r>
          </w:p>
        </w:tc>
        <w:tc>
          <w:tcPr>
            <w:tcW w:type="dxa" w:w="2409"/>
          </w:tcPr>
          <w:p>
            <w:pPr>
              <w:bidi/>
              <w:spacing w:after="40"/>
            </w:pPr>
            <w:r>
              <w:rPr>
                <w:rFonts w:ascii="Arial" w:hAnsi="Arial" w:cs="Arial" w:eastAsia="Arial"/>
                <w:sz w:val="19"/>
                <w:szCs w:val="19"/>
                <w:rtl/>
              </w:rPr>
              <w:t>טיוטת בקשה ל-Cloudflare להסכם עיבוד מידע (DPA), טרם נשלחה</w:t>
            </w:r>
          </w:p>
        </w:tc>
        <w:tc>
          <w:tcPr>
            <w:tcW w:type="dxa" w:w="2409"/>
          </w:tcPr>
          <w:p>
            <w:pPr>
              <w:bidi/>
              <w:spacing w:after="40"/>
            </w:pPr>
            <w:r>
              <w:rPr>
                <w:rFonts w:ascii="Arial" w:hAnsi="Arial" w:cs="Arial" w:eastAsia="Arial"/>
                <w:sz w:val="19"/>
                <w:szCs w:val="19"/>
                <w:rtl/>
              </w:rPr>
              <w:t>רב-לשוני</w:t>
            </w:r>
          </w:p>
        </w:tc>
        <w:tc>
          <w:tcPr>
            <w:tcW w:type="dxa" w:w="2409"/>
          </w:tcPr>
          <w:p>
            <w:pPr>
              <w:spacing w:after="40"/>
            </w:pPr>
            <w:r>
              <w:rPr>
                <w:rFonts w:ascii="Consolas" w:hAnsi="Consolas" w:cs="Consolas" w:eastAsia="Consolas"/>
                <w:sz w:val="19"/>
                <w:szCs w:val="19"/>
                <w:shd w:val="clear" w:color="auto" w:fill="F0F0F0"/>
              </w:rPr>
              <w:t>private/planning/drafts_2026-10-21/cloudflare-dpa-request.md</w:t>
            </w:r>
          </w:p>
        </w:tc>
      </w:tr>
      <w:tr>
        <w:tc>
          <w:tcPr>
            <w:tcW w:type="dxa" w:w="2409"/>
          </w:tcPr>
          <w:p>
            <w:pPr>
              <w:spacing w:after="40"/>
            </w:pPr>
            <w:r>
              <w:rPr>
                <w:rFonts w:ascii="Consolas" w:hAnsi="Consolas" w:cs="Consolas" w:eastAsia="Consolas"/>
                <w:sz w:val="19"/>
                <w:szCs w:val="19"/>
                <w:shd w:val="clear" w:color="auto" w:fill="F0F0F0"/>
              </w:rPr>
              <w:t>05_presence_push_third_parties/03_whatsapp-template-meta-approval-draft_en-he</w:t>
            </w:r>
          </w:p>
        </w:tc>
        <w:tc>
          <w:tcPr>
            <w:tcW w:type="dxa" w:w="2409"/>
          </w:tcPr>
          <w:p>
            <w:pPr>
              <w:bidi/>
              <w:spacing w:after="40"/>
            </w:pPr>
            <w:r>
              <w:rPr>
                <w:rFonts w:ascii="Arial" w:hAnsi="Arial" w:cs="Arial" w:eastAsia="Arial"/>
                <w:sz w:val="19"/>
                <w:szCs w:val="19"/>
                <w:rtl/>
              </w:rPr>
              <w:t>טיוטת תבנית הודעת וואטסאפ לאישור Meta (קטגוריית UTILITY), טרם הוגשה</w:t>
            </w:r>
          </w:p>
        </w:tc>
        <w:tc>
          <w:tcPr>
            <w:tcW w:type="dxa" w:w="2409"/>
          </w:tcPr>
          <w:p>
            <w:pPr>
              <w:bidi/>
              <w:spacing w:after="40"/>
            </w:pPr>
            <w:r>
              <w:rPr>
                <w:rFonts w:ascii="Arial" w:hAnsi="Arial" w:cs="Arial" w:eastAsia="Arial"/>
                <w:sz w:val="19"/>
                <w:szCs w:val="19"/>
                <w:rtl/>
              </w:rPr>
              <w:t>רב-לשוני</w:t>
            </w:r>
          </w:p>
        </w:tc>
        <w:tc>
          <w:tcPr>
            <w:tcW w:type="dxa" w:w="2409"/>
          </w:tcPr>
          <w:p>
            <w:pPr>
              <w:spacing w:after="40"/>
            </w:pPr>
            <w:r>
              <w:rPr>
                <w:rFonts w:ascii="Consolas" w:hAnsi="Consolas" w:cs="Consolas" w:eastAsia="Consolas"/>
                <w:sz w:val="19"/>
                <w:szCs w:val="19"/>
                <w:shd w:val="clear" w:color="auto" w:fill="F0F0F0"/>
              </w:rPr>
              <w:t>private/planning/drafts_2026-10-21/whatsapp-template-meta-approval.md</w:t>
            </w:r>
          </w:p>
        </w:tc>
      </w:tr>
      <w:tr>
        <w:tc>
          <w:tcPr>
            <w:tcW w:type="dxa" w:w="2409"/>
          </w:tcPr>
          <w:p>
            <w:pPr>
              <w:spacing w:after="40"/>
            </w:pPr>
            <w:r>
              <w:rPr>
                <w:rFonts w:ascii="Consolas" w:hAnsi="Consolas" w:cs="Consolas" w:eastAsia="Consolas"/>
                <w:sz w:val="19"/>
                <w:szCs w:val="19"/>
                <w:shd w:val="clear" w:color="auto" w:fill="F0F0F0"/>
              </w:rPr>
              <w:t>06_security_background/01_dependency-and-secrets-audit_en</w:t>
            </w:r>
          </w:p>
        </w:tc>
        <w:tc>
          <w:tcPr>
            <w:tcW w:type="dxa" w:w="2409"/>
          </w:tcPr>
          <w:p>
            <w:pPr>
              <w:bidi/>
              <w:spacing w:after="40"/>
            </w:pPr>
            <w:r>
              <w:rPr>
                <w:rFonts w:ascii="Arial" w:hAnsi="Arial" w:cs="Arial" w:eastAsia="Arial"/>
                <w:sz w:val="19"/>
                <w:szCs w:val="19"/>
                <w:rtl/>
              </w:rPr>
              <w:t>ביקורת תלויות וסודות (אנגלית)</w:t>
            </w:r>
          </w:p>
        </w:tc>
        <w:tc>
          <w:tcPr>
            <w:tcW w:type="dxa" w:w="2409"/>
          </w:tcPr>
          <w:p>
            <w:pPr>
              <w:bidi/>
              <w:spacing w:after="40"/>
            </w:pPr>
            <w:r>
              <w:rPr>
                <w:rFonts w:ascii="Arial" w:hAnsi="Arial" w:cs="Arial" w:eastAsia="Arial"/>
                <w:sz w:val="19"/>
                <w:szCs w:val="19"/>
                <w:rtl/>
              </w:rPr>
              <w:t>אנגלית / רב-לשוני</w:t>
            </w:r>
          </w:p>
        </w:tc>
        <w:tc>
          <w:tcPr>
            <w:tcW w:type="dxa" w:w="2409"/>
          </w:tcPr>
          <w:p>
            <w:pPr>
              <w:spacing w:after="40"/>
            </w:pPr>
            <w:r>
              <w:rPr>
                <w:rFonts w:ascii="Consolas" w:hAnsi="Consolas" w:cs="Consolas" w:eastAsia="Consolas"/>
                <w:sz w:val="19"/>
                <w:szCs w:val="19"/>
                <w:shd w:val="clear" w:color="auto" w:fill="F0F0F0"/>
              </w:rPr>
              <w:t>docs/security/DEPENDENCY_AND_SECRETS_AUDIT.md</w:t>
            </w:r>
          </w:p>
        </w:tc>
      </w:tr>
      <w:tr>
        <w:tc>
          <w:tcPr>
            <w:tcW w:type="dxa" w:w="2409"/>
          </w:tcPr>
          <w:p>
            <w:pPr>
              <w:spacing w:after="40"/>
            </w:pPr>
            <w:r>
              <w:rPr>
                <w:rFonts w:ascii="Consolas" w:hAnsi="Consolas" w:cs="Consolas" w:eastAsia="Consolas"/>
                <w:sz w:val="19"/>
                <w:szCs w:val="19"/>
                <w:shd w:val="clear" w:color="auto" w:fill="F0F0F0"/>
              </w:rPr>
              <w:t>06_security_background/02_dependency-and-secrets-audit_he</w:t>
            </w:r>
          </w:p>
        </w:tc>
        <w:tc>
          <w:tcPr>
            <w:tcW w:type="dxa" w:w="2409"/>
          </w:tcPr>
          <w:p>
            <w:pPr>
              <w:bidi/>
              <w:spacing w:after="40"/>
            </w:pPr>
            <w:r>
              <w:rPr>
                <w:rFonts w:ascii="Arial" w:hAnsi="Arial" w:cs="Arial" w:eastAsia="Arial"/>
                <w:sz w:val="19"/>
                <w:szCs w:val="19"/>
                <w:rtl/>
              </w:rPr>
              <w:t>ביקורת תלויות וסודות (עברית)</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docs/security/DEPENDENCY_AND_SECRETS_AUDIT_HE.md</w:t>
            </w:r>
          </w:p>
        </w:tc>
      </w:tr>
      <w:tr>
        <w:tc>
          <w:tcPr>
            <w:tcW w:type="dxa" w:w="2409"/>
          </w:tcPr>
          <w:p>
            <w:pPr>
              <w:spacing w:after="40"/>
            </w:pPr>
            <w:r>
              <w:rPr>
                <w:rFonts w:ascii="Consolas" w:hAnsi="Consolas" w:cs="Consolas" w:eastAsia="Consolas"/>
                <w:sz w:val="19"/>
                <w:szCs w:val="19"/>
                <w:shd w:val="clear" w:color="auto" w:fill="F0F0F0"/>
              </w:rPr>
              <w:t>07_open_items_index/01_legal-pack-index-27-items_he</w:t>
            </w:r>
          </w:p>
        </w:tc>
        <w:tc>
          <w:tcPr>
            <w:tcW w:type="dxa" w:w="2409"/>
          </w:tcPr>
          <w:p>
            <w:pPr>
              <w:bidi/>
              <w:spacing w:after="40"/>
            </w:pPr>
            <w:r>
              <w:rPr>
                <w:rFonts w:ascii="Arial" w:hAnsi="Arial" w:cs="Arial" w:eastAsia="Arial"/>
                <w:sz w:val="19"/>
                <w:szCs w:val="19"/>
                <w:rtl/>
              </w:rPr>
              <w:t>אינדקס 27 הפריטים שדורשים בדיקה משפטית (24.10.2026)</w:t>
            </w:r>
          </w:p>
        </w:tc>
        <w:tc>
          <w:tcPr>
            <w:tcW w:type="dxa" w:w="2409"/>
          </w:tcPr>
          <w:p>
            <w:pPr>
              <w:bidi/>
              <w:spacing w:after="40"/>
            </w:pPr>
            <w:r>
              <w:rPr>
                <w:rFonts w:ascii="Arial" w:hAnsi="Arial" w:cs="Arial" w:eastAsia="Arial"/>
                <w:sz w:val="19"/>
                <w:szCs w:val="19"/>
                <w:rtl/>
              </w:rPr>
              <w:t>עברית</w:t>
            </w:r>
          </w:p>
        </w:tc>
        <w:tc>
          <w:tcPr>
            <w:tcW w:type="dxa" w:w="2409"/>
          </w:tcPr>
          <w:p>
            <w:pPr>
              <w:spacing w:after="40"/>
            </w:pPr>
            <w:r>
              <w:rPr>
                <w:rFonts w:ascii="Consolas" w:hAnsi="Consolas" w:cs="Consolas" w:eastAsia="Consolas"/>
                <w:sz w:val="19"/>
                <w:szCs w:val="19"/>
                <w:shd w:val="clear" w:color="auto" w:fill="F0F0F0"/>
              </w:rPr>
              <w:t>private/planning/LEGAL_PACK_INDEX_2026-10-24_HE.md</w:t>
            </w:r>
          </w:p>
        </w:tc>
      </w:tr>
    </w:tbl>
    <w:p>
      <w:pPr>
        <w:spacing w:after="80"/>
      </w:pPr>
    </w:p>
    <w:p>
      <w:pPr>
        <w:pStyle w:val="Heading2"/>
        <w:bidi/>
      </w:pPr>
      <w:r>
        <w:rPr>
          <w:rFonts w:ascii="Arial" w:hAnsi="Arial" w:cs="Arial" w:eastAsia="Arial"/>
          <w:b/>
          <w:bCs/>
          <w:color w:val="1F2A44"/>
          <w:rtl/>
        </w:rPr>
        <w:t>7. מה הבעלים צריך להשלים לפני השליחה</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שם עורך הדין והמשרד, שם הבעלים והחברה, תאריך, פרטי קשר, ו</w:t>
      </w:r>
      <w:r>
        <w:rPr>
          <w:rFonts w:ascii="Arial" w:hAnsi="Arial" w:cs="Arial" w:eastAsia="Arial"/>
          <w:b/>
          <w:bCs/>
          <w:sz w:val="22"/>
          <w:szCs w:val="22"/>
          <w:rtl/>
        </w:rPr>
        <w:t>מועד מבוקש להחזרה</w:t>
      </w:r>
      <w:r>
        <w:rPr>
          <w:rFonts w:ascii="Arial" w:hAnsi="Arial" w:cs="Arial" w:eastAsia="Arial"/>
          <w:sz w:val="22"/>
          <w:szCs w:val="22"/>
          <w:rtl/>
        </w:rPr>
        <w:t xml:space="preserve"> (שדות ריקים במכתב 01).</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החלטה אם לצרף את הקבצים הפנימיים שלא נכללו (סעיף 5).</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בדיקה אחרונה שהמסמכים בחבילה הם הגרסה העדכנית לפני השליחה: חלק מהם משקף את המוצר בגרסה מוקדמת (ראו מכתב 01, סעיף 7).</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