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אינדקס מסמכי הפרטיות של הארגון ופריטי בדיקה C1-C13 (דו-לשוני)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אינדקס מסמכי הפרטיות של הארגון ופריטי בדיקה C1-C13 (דו-לשוני)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docs/privacy/README.md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Privacy documents for an organisation using SmplWise Arx / מסמכי פרטיות לארגון המשתמש ב-SmplWise Arx</w:t>
      </w:r>
    </w:p>
    <w:p>
      <w:r>
        <w:rPr>
          <w:rFonts w:ascii="Arial" w:hAnsi="Arial" w:cs="Arial" w:eastAsia="Arial"/>
          <w:sz w:val="22"/>
          <w:szCs w:val="22"/>
        </w:rPr>
        <w:t>Status: DRAFT, documents and text only (no product code changed). Not legal advice; nothing here promises compliance with any law. Facts were verified by reading the code and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migrations of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rPr>
          <w:rFonts w:ascii="Arial" w:hAnsi="Arial" w:cs="Arial" w:eastAsia="Arial"/>
          <w:sz w:val="22"/>
          <w:szCs w:val="22"/>
        </w:rPr>
        <w:t xml:space="preserve"> (2026-10-19) and cite file paths. Every statement that needs a lawyer is marked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(Cn)</w:t>
      </w:r>
      <w:r>
        <w:rPr>
          <w:rFonts w:ascii="Arial" w:hAnsi="Arial" w:cs="Arial" w:eastAsia="Arial"/>
          <w:sz w:val="22"/>
          <w:szCs w:val="22"/>
        </w:rPr>
        <w:t>.</w:t>
      </w:r>
      <w:r>
        <w:br/>
      </w:r>
      <w:r>
        <w:rPr>
          <w:rFonts w:ascii="Arial" w:hAnsi="Arial" w:cs="Arial" w:eastAsia="Arial"/>
          <w:sz w:val="22"/>
          <w:szCs w:val="22"/>
        </w:rPr>
        <w:t>סטטוס: טיוטה, מסמכים וטקסט בלבד (לא שונה קוד מוצר). אין זו חוות דעת משפטית ואין כאן הבטחה לעמידה בדין. העובדות אומתו בקריאת הקוד וההגירות; כל קביעה שדורשת יועץ משפטי מסומנת.</w:t>
      </w:r>
    </w:p>
    <w:p>
      <w:r>
        <w:rPr>
          <w:rFonts w:ascii="Arial" w:hAnsi="Arial" w:cs="Arial" w:eastAsia="Arial"/>
          <w:sz w:val="22"/>
          <w:szCs w:val="22"/>
        </w:rPr>
        <w:t xml:space="preserve">Source of the task: backlog item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privacy-org-documents</w:t>
      </w:r>
      <w:r>
        <w:rPr>
          <w:rFonts w:ascii="Arial" w:hAnsi="Arial" w:cs="Arial" w:eastAsia="Arial"/>
          <w:sz w:val="22"/>
          <w:szCs w:val="22"/>
        </w:rPr>
        <w:t xml:space="preserve"> (decision 10 of the technician-privacy decisions of 2026-10-18: a database-definition template, a retention policy, an incident-procedure line).</w:t>
      </w:r>
      <w:r>
        <w:br/>
      </w:r>
      <w:r>
        <w:rPr>
          <w:rFonts w:ascii="Arial" w:hAnsi="Arial" w:cs="Arial" w:eastAsia="Arial"/>
          <w:sz w:val="22"/>
          <w:szCs w:val="22"/>
        </w:rPr>
        <w:t>The lawyer-bound analysis stays in the internal legal pack and is not copied here.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Index / אינדקס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Document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English</w:t>
            </w:r>
          </w:p>
        </w:tc>
        <w:tc>
          <w:tcPr>
            <w:tcW w:type="dxa" w:w="240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עברית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Data-processing summary: what the product stores, where, who receives it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en/01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he/01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Retention and access summary (what is deleted automatically, what is manual, who can see what)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en/02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he/02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Steps for handling people's requests (access, correction, deletion)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en/03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he/03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Organisation privacy notice template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en/04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he/04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Database definition document template + incident-procedure line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en/05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he/05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Retention policy template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en/06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he/06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 xml:space="preserve">Technician notice, final wording in he / en / ar / ru (pending legal review): </w:t>
      </w:r>
      <w:r>
        <w:rPr>
          <w:rFonts w:ascii="Arial" w:hAnsi="Arial" w:cs="Arial" w:eastAsia="Arial"/>
          <w:sz w:val="22"/>
          <w:szCs w:val="22"/>
        </w:rPr>
        <w:t>technician-notice-final.md</w:t>
      </w:r>
      <w:r>
        <w:rPr>
          <w:rFonts w:ascii="Arial" w:hAnsi="Arial" w:cs="Arial" w:eastAsia="Arial"/>
          <w:sz w:val="22"/>
          <w:szCs w:val="22"/>
        </w:rPr>
        <w:t>.</w:t>
      </w:r>
    </w:p>
    <w:p>
      <w:r>
        <w:rPr>
          <w:rFonts w:ascii="Arial" w:hAnsi="Arial" w:cs="Arial" w:eastAsia="Arial"/>
          <w:sz w:val="22"/>
          <w:szCs w:val="22"/>
        </w:rPr>
        <w:t>01-03 are factual. 04-06 are templates the organisation fills in and sends to its counsel. The English files are the exact source; the Hebrew files follow them section by section.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Related security material: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</w:t>
      </w:r>
      <w:r>
        <w:rPr>
          <w:rFonts w:ascii="Arial" w:hAnsi="Arial" w:cs="Arial" w:eastAsia="Arial"/>
          <w:sz w:val="22"/>
          <w:szCs w:val="22"/>
        </w:rPr>
        <w:t xml:space="preserve"> (identity and RBAC, dependency and secrets audit, tickets public-surface checklist).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Counsel-review items / פריטים לבחינת יועץ משפטי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Question (not answered here)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Where marked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Roles: who is the database owner / controller / holder, SmplWise as supplier or processor, any supplier access for support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01, 04, 05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Notice versus consent for technicians; the vendor (or manager) attesting on the technician's behalf; sufficiency of the n2 notice wording and of "no legal obligation to provide"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01, 04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Open-ended retention ("until the organisation deletes it") for directory persons and door-system persons; whether the notice must state a period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01, 02, 04, 06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C4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Whether a database definition document / registration / a security level applies; whether the listed measures are adequate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01, 04, 05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WhatsApp through an unofficial Home Assistant component, Meta metadata, transfer abroad, platform terms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01, 04, 05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Cloudflare tunnel carrying public pages (names and phones typed on them), processing agreement, location of servers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01, 04, 05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C7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Door system (WisKey): retention of entry records and entry pictures (not verified), access by an outside maintainer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01, 02, 03, 05, 06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C8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Where the host, disk and backups are; backup copies; deletion versus backups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01, 03, 05, 06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C9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Staff phone app (location/presence, required-sensors policy, employment-law implications), push relay operator and location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01, 04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C10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Mandatory retention (financial 7 years, audit 365 days) versus deletion requests; exceptions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02, 03, 04, 06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C11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Requests from people: who may ask, identity checks, deadlines, fees, exemptions, completeness of a manual export, what to tell the person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02, 03, 05, 06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C12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Incident duties: whom to notify, thresholds, deadlines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05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C13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Camera frames / event pictures and any surveillance-specific duties (video itself is outside Arx)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01, 04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Places where the code does not match an existing notice, brief or decision / אי-התאמות</w:t>
      </w:r>
    </w:p>
    <w:p>
      <w:r>
        <w:rPr>
          <w:rFonts w:ascii="Arial" w:hAnsi="Arial" w:cs="Arial" w:eastAsia="Arial"/>
          <w:sz w:val="22"/>
          <w:szCs w:val="22"/>
        </w:rPr>
        <w:t xml:space="preserve">Verified on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b/>
          <w:bCs/>
          <w:sz w:val="22"/>
          <w:szCs w:val="22"/>
        </w:rPr>
        <w:t>Closed tickets are never purged automatically.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purge_after</w:t>
      </w:r>
      <w:r>
        <w:rPr>
          <w:rFonts w:ascii="Arial" w:hAnsi="Arial" w:cs="Arial" w:eastAsia="Arial"/>
          <w:sz w:val="22"/>
          <w:szCs w:val="22"/>
        </w:rPr>
        <w:t xml:space="preserve"> (closed + 730 days by default,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B/services/tickets/monitor.py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service.py</w:t>
      </w:r>
      <w:r>
        <w:rPr>
          <w:rFonts w:ascii="Arial" w:hAnsi="Arial" w:cs="Arial" w:eastAsia="Arial"/>
          <w:sz w:val="22"/>
          <w:szCs w:val="22"/>
        </w:rPr>
        <w:t>) is written on the ticket, but no code deletes tickets when it passes;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B/services/tickets/retention.py</w:t>
      </w:r>
      <w:r>
        <w:rPr>
          <w:rFonts w:ascii="Arial" w:hAnsi="Arial" w:cs="Arial" w:eastAsia="Arial"/>
          <w:sz w:val="22"/>
          <w:szCs w:val="22"/>
        </w:rPr>
        <w:t xml:space="preserve"> says the purge "belongs to the slices that own those tables" and none was found. The retention key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retention.closed_days</w:t>
      </w:r>
      <w:r>
        <w:rPr>
          <w:rFonts w:ascii="Arial" w:hAnsi="Arial" w:cs="Arial" w:eastAsia="Arial"/>
          <w:sz w:val="22"/>
          <w:szCs w:val="22"/>
        </w:rPr>
        <w:t xml:space="preserve"> is read by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monitor.py</w:t>
      </w:r>
      <w:r>
        <w:rPr>
          <w:rFonts w:ascii="Arial" w:hAnsi="Arial" w:cs="Arial" w:eastAsia="Arial"/>
          <w:sz w:val="22"/>
          <w:szCs w:val="22"/>
        </w:rPr>
        <w:t xml:space="preserve"> but is absent from the settings schema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B/services/tickets/settings_doc.py</w:t>
      </w:r>
      <w:r>
        <w:rPr>
          <w:rFonts w:ascii="Arial" w:hAnsi="Arial" w:cs="Arial" w:eastAsia="Arial"/>
          <w:sz w:val="22"/>
          <w:szCs w:val="22"/>
        </w:rPr>
        <w:t>). Any statement of "closed tickets are deleted after N days" would currently be untrue.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b/>
          <w:bCs/>
          <w:sz w:val="22"/>
          <w:szCs w:val="22"/>
        </w:rPr>
        <w:t>Technician notice n2 versus the lead's technician-privacy decisions of 2026-10-18.</w:t>
      </w:r>
      <w:r>
        <w:rPr>
          <w:rFonts w:ascii="Arial" w:hAnsi="Arial" w:cs="Arial" w:eastAsia="Arial"/>
          <w:sz w:val="22"/>
          <w:szCs w:val="22"/>
        </w:rPr>
        <w:t xml:space="preserve"> n2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</w:t>
      </w:r>
      <w:r>
        <w:rPr>
          <w:rFonts w:ascii="Arial" w:hAnsi="Arial" w:cs="Arial" w:eastAsia="Arial"/>
          <w:sz w:val="22"/>
          <w:szCs w:val="22"/>
        </w:rPr>
        <w:t>) points to "the building manager", not the organisation's name (decision 1); the entry-code message begins with the product name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"SmplWise Arx:"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TEMPLATES</w:t>
      </w:r>
      <w:r>
        <w:rPr>
          <w:rFonts w:ascii="Arial" w:hAnsi="Arial" w:cs="Arial" w:eastAsia="Arial"/>
          <w:sz w:val="22"/>
          <w:szCs w:val="22"/>
        </w:rPr>
        <w:t>), not the organisation's name (decision 8); the phone-verification message to the technician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B/services/tickets/message_templates.py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phone_verify</w:t>
      </w:r>
      <w:r>
        <w:rPr>
          <w:rFonts w:ascii="Arial" w:hAnsi="Arial" w:cs="Arial" w:eastAsia="Arial"/>
          <w:sz w:val="22"/>
          <w:szCs w:val="22"/>
        </w:rPr>
        <w:t>) carries no privacy line (decision 2).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The vendor-attests notice model (decision 3) and the four languages (decision 7) are in the code.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b/>
          <w:bCs/>
          <w:sz w:val="22"/>
          <w:szCs w:val="22"/>
        </w:rPr>
        <w:t>Technician id in the log (decision 4):</w:t>
      </w:r>
      <w:r>
        <w:rPr>
          <w:rFonts w:ascii="Arial" w:hAnsi="Arial" w:cs="Arial" w:eastAsia="Arial"/>
          <w:sz w:val="22"/>
          <w:szCs w:val="22"/>
        </w:rPr>
        <w:t xml:space="preserve"> the technician's contact id is in the notice-acknowledgement audit row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acknowledged_for</w:t>
      </w:r>
      <w:r>
        <w:rPr>
          <w:rFonts w:ascii="Arial" w:hAnsi="Arial" w:cs="Arial" w:eastAsia="Arial"/>
          <w:sz w:val="22"/>
          <w:szCs w:val="22"/>
        </w:rPr>
        <w:t xml:space="preserve">) but not in the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access.grant.request</w:t>
      </w:r>
      <w:r>
        <w:rPr>
          <w:rFonts w:ascii="Arial" w:hAnsi="Arial" w:cs="Arial" w:eastAsia="Arial"/>
          <w:sz w:val="22"/>
          <w:szCs w:val="22"/>
        </w:rPr>
        <w:t xml:space="preserve"> / approve rows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</w:rPr>
        <w:t>); the grant row that links the two is deleted 12 months after the grant ends, the audit row stays 365 days by default.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Arial" w:hAnsi="Arial" w:cs="Arial" w:eastAsia="Arial"/>
          <w:b/>
          <w:bCs/>
          <w:sz w:val="22"/>
          <w:szCs w:val="22"/>
        </w:rPr>
        <w:t>The 2.7.1 legal brief is partly out of date.</w:t>
      </w:r>
      <w:r>
        <w:rPr>
          <w:rFonts w:ascii="Arial" w:hAnsi="Arial" w:cs="Arial" w:eastAsia="Arial"/>
          <w:sz w:val="22"/>
          <w:szCs w:val="22"/>
        </w:rPr>
        <w:t xml:space="preserve"> It says there is no reject action and the notice is second-person and he/en only. On integ/290 "reject and delete"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reject_pending_contact</w:t>
      </w:r>
      <w:r>
        <w:rPr>
          <w:rFonts w:ascii="Arial" w:hAnsi="Arial" w:cs="Arial" w:eastAsia="Arial"/>
          <w:sz w:val="22"/>
          <w:szCs w:val="22"/>
        </w:rPr>
        <w:t>), the "needs review" report with yearly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reminder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B/services/needs_review.py</w:t>
      </w:r>
      <w:r>
        <w:rPr>
          <w:rFonts w:ascii="Arial" w:hAnsi="Arial" w:cs="Arial" w:eastAsia="Arial"/>
          <w:sz w:val="22"/>
          <w:szCs w:val="22"/>
        </w:rPr>
        <w:t>) and notice n2 in four languages exist. The brief's note that the contact export lacks access grants is still true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B/services/tickets/contacts.py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export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5.</w:t>
        <w:tab/>
      </w:r>
      <w:r>
        <w:rPr>
          <w:rFonts w:ascii="Arial" w:hAnsi="Arial" w:cs="Arial" w:eastAsia="Arial"/>
          <w:b/>
          <w:bCs/>
          <w:sz w:val="22"/>
          <w:szCs w:val="22"/>
        </w:rPr>
        <w:t>Notice n2 versus the system's own retention behaviour:</w:t>
      </w:r>
      <w:r>
        <w:rPr>
          <w:rFonts w:ascii="Arial" w:hAnsi="Arial" w:cs="Arial" w:eastAsia="Arial"/>
          <w:sz w:val="22"/>
          <w:szCs w:val="22"/>
        </w:rPr>
        <w:t xml:space="preserve"> n2 says data is kept "until the organisation deletes it, in line with its retention policy". The code has no such policy object; the manual steps and the "needs review" report are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the only mechanism, and until an organisation writes a policy (document 06) the sentence refers to something that does not exist.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6.</w:t>
        <w:tab/>
      </w:r>
      <w:r>
        <w:rPr>
          <w:rFonts w:ascii="Arial" w:hAnsi="Arial" w:cs="Arial" w:eastAsia="Arial"/>
          <w:b/>
          <w:bCs/>
          <w:sz w:val="22"/>
          <w:szCs w:val="22"/>
        </w:rPr>
        <w:t>Entries and pictures:</w:t>
      </w:r>
      <w:r>
        <w:rPr>
          <w:rFonts w:ascii="Arial" w:hAnsi="Arial" w:cs="Arial" w:eastAsia="Arial"/>
          <w:sz w:val="22"/>
          <w:szCs w:val="22"/>
        </w:rPr>
        <w:t xml:space="preserve"> the notice says each entry's time and door (and a picture where enabled) are kept. Arx stores no door events; they live in the door system, whose retention was not verified (C7).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