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</w:pPr>
      <w:r>
        <w:rPr>
          <w:rFonts w:ascii="Arial" w:hAnsi="Arial" w:cs="Arial" w:eastAsia="Arial"/>
          <w:b/>
          <w:bCs/>
          <w:color w:val="1F2A44"/>
          <w:sz w:val="34"/>
          <w:szCs w:val="34"/>
          <w:rtl/>
        </w:rPr>
        <w:t>תבנית מסמך הגדרת מאגר ושורת נוהל אירוע (אנגלית, המקור)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מסמך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תבנית מסמך הגדרת מאגר ושורת נוהל אירוע (אנגלית, המקור)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נתיב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docs/privacy/en/05-database-definition-and-incident-line-template.md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גרסת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origin/main @ b6eb212ec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הוכן לחבילה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2026-10-24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מצב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הנוסח המקורי נשמר ללא שינוי; עיצוב בלבד. טיוטה לבדיקת עורך דין, אינו ייעוץ משפטי.</w:t>
            </w:r>
          </w:p>
        </w:tc>
      </w:tr>
    </w:tbl>
    <w:p>
      <w:pPr>
        <w:bidi/>
        <w:spacing w:before="120"/>
      </w:pPr>
      <w:r>
        <w:rPr>
          <w:rFonts w:ascii="Arial" w:hAnsi="Arial" w:cs="Arial" w:eastAsia="Arial"/>
          <w:b/>
          <w:bCs/>
          <w:sz w:val="21"/>
          <w:szCs w:val="21"/>
          <w:rtl/>
        </w:rPr>
        <w:t>נוסח אנגלי: המקור, והעברי (05) עוקב אחריו סעיף אחר סעיף. הנוסח העברי נמצא באותה תיקייה.</w:t>
      </w:r>
    </w:p>
    <w:p>
      <w:pPr>
        <w:pBdr>
          <w:bottom w:val="single" w:sz="8" w:space="1" w:color="1F2A44"/>
        </w:pBdr>
      </w:pPr>
    </w:p>
    <w:p>
      <w:pPr>
        <w:pStyle w:val="Heading1"/>
      </w:pPr>
      <w:r>
        <w:rPr>
          <w:rFonts w:ascii="Arial" w:hAnsi="Arial" w:cs="Arial" w:eastAsia="Arial"/>
          <w:b/>
          <w:bCs/>
          <w:color w:val="1F2A44"/>
        </w:rPr>
        <w:t>05 - Database definition document template and incident-procedure line</w:t>
      </w:r>
    </w:p>
    <w:p>
      <w:r>
        <w:rPr>
          <w:rFonts w:ascii="Arial" w:hAnsi="Arial" w:cs="Arial" w:eastAsia="Arial"/>
          <w:sz w:val="22"/>
          <w:szCs w:val="22"/>
        </w:rPr>
        <w:t xml:space="preserve">Status: TEMPLATE, DRAFT. Not legal advice. The organisation fills the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[BRACKETS]</w:t>
      </w:r>
      <w:r>
        <w:rPr>
          <w:rFonts w:ascii="Arial" w:hAnsi="Arial" w:cs="Arial" w:eastAsia="Arial"/>
          <w:sz w:val="22"/>
          <w:szCs w:val="22"/>
        </w:rPr>
        <w:t xml:space="preserve">; rows pre-filled from the code are facts verified against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origin/integ/290</w:t>
      </w:r>
      <w:r>
        <w:rPr>
          <w:rFonts w:ascii="Arial" w:hAnsi="Arial" w:cs="Arial" w:eastAsia="Arial"/>
          <w:sz w:val="22"/>
          <w:szCs w:val="22"/>
        </w:rPr>
        <w:t xml:space="preserve"> @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018795f96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(2026-10-19), cited as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</w:t>
      </w:r>
      <w:r>
        <w:rPr>
          <w:rFonts w:ascii="Arial" w:hAnsi="Arial" w:cs="Arial" w:eastAsia="Arial"/>
          <w:sz w:val="22"/>
          <w:szCs w:val="22"/>
        </w:rPr>
        <w:t xml:space="preserve"> =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smplwise_vms/backend/smplwise/</w:t>
      </w:r>
      <w:r>
        <w:rPr>
          <w:rFonts w:ascii="Arial" w:hAnsi="Arial" w:cs="Arial" w:eastAsia="Arial"/>
          <w:sz w:val="22"/>
          <w:szCs w:val="22"/>
        </w:rPr>
        <w:t>. Whether the organisation needs such a document at all, what the law requires it to contain, whether the database must be registered,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and which security level applies: </w:t>
      </w:r>
      <w:r>
        <w:rPr>
          <w:rFonts w:ascii="Arial" w:hAnsi="Arial" w:cs="Arial" w:eastAsia="Arial"/>
          <w:b/>
          <w:bCs/>
          <w:sz w:val="22"/>
          <w:szCs w:val="22"/>
        </w:rPr>
        <w:t>REQUIRES COUNSEL REVIEW (C4)</w:t>
      </w:r>
      <w:r>
        <w:rPr>
          <w:rFonts w:ascii="Arial" w:hAnsi="Arial" w:cs="Arial" w:eastAsia="Arial"/>
          <w:sz w:val="22"/>
          <w:szCs w:val="22"/>
        </w:rPr>
        <w:t>. The title "database definition document" (Hebrew: מסמך הגדרות מאגר) is used because the owner's decision of 2026-10-18 asked for it; no legal</w:t>
      </w:r>
      <w:r>
        <w:br/>
      </w:r>
      <w:r>
        <w:rPr>
          <w:rFonts w:ascii="Arial" w:hAnsi="Arial" w:cs="Arial" w:eastAsia="Arial"/>
          <w:sz w:val="22"/>
          <w:szCs w:val="22"/>
        </w:rPr>
        <w:t>meaning is claimed for the name.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Part A - Database definition document (fill in, then counsel review)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#</w:t>
            </w:r>
          </w:p>
        </w:tc>
        <w:tc>
          <w:tcPr>
            <w:tcW w:type="dxa" w:w="3213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Item</w:t>
            </w:r>
          </w:p>
        </w:tc>
        <w:tc>
          <w:tcPr>
            <w:tcW w:type="dxa" w:w="3213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Content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1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Organisation (owner of the data)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[NAME, ID, ADDRESS]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REQUIRES COUNSEL REVIEW (C1)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2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Person responsible for the database / privacy contact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[NAME, ROLE, CONTACT]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3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System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SmplWise Arx, version [VERSION], run as a Home Assistant add-on on [SERVER DESCRIPTION, LOCATION]. Supplier: SmplWise. Supplier access to the server: [YES/NO, HOW, WHEN]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REQUIRES COUNSEL REVIEW (C1)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4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Storage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one local SQLite database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smplwise.db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and files in the add-on data directory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B/config.py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); no SmplWise-operated copy in the code. Backups: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&lt;data&gt;/backups</w:t>
            </w:r>
            <w:r>
              <w:rPr>
                <w:rFonts w:ascii="Arial" w:hAnsi="Arial" w:cs="Arial" w:eastAsia="Arial"/>
                <w:sz w:val="19"/>
                <w:szCs w:val="19"/>
              </w:rPr>
              <w:t>, 5 pre-upgrade + 7 daily kept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B/services/backup.py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); copies elsewhere: [WHERE / WHO / ENCRYPTED?]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REQUIRES COUNSEL REVIEW (C8)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5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Purposes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[ORGANISATION DEFINES: building operation and security, service requests, vendor management, access control, staff accountability, ...]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6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Categories of information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choose from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01-data-processing-summary.md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section 2 (A-J); mark which are switched on at this site (tickets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tickets.enabled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; external door access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access.external_grants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is off and cannot be enabled in this build; phone presence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presence.*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off by default)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7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Categories of people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staff, vendors and their technicians, people who open service requests, [OTHERS]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8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Sources of information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typed by staff; typed by vendors on public pages; imported from Home Assistant (identity, devices); reported by the phone app; read from the door system and recorders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9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Recipients and outside services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table in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01-data-processing-summary.md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section 5, completed with [CONTRACTS / AGREEMENTS HELD]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REQUIRES COUNSEL REVIEW (C5, C6, C7)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10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Transfers outside the country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[WHERE; basis]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REQUIRES COUNSEL REVIEW (C5, C6)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11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Who may access, and how access is granted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roles and scoped permissions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B/rbac.py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B/roles.json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docs/security/HA_IDENTITY_RBAC_HE.md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); list of current holders of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tickets.configure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access.external.grant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audit.read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backup.manage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system.configure</w:t>
            </w:r>
            <w:r>
              <w:rPr>
                <w:rFonts w:ascii="Arial" w:hAnsi="Arial" w:cs="Arial" w:eastAsia="Arial"/>
                <w:sz w:val="19"/>
                <w:szCs w:val="19"/>
              </w:rPr>
              <w:t>: [NAMES, review date]; permission reviews every [PERIOD]. Note: the host administrator can reach data outside Arx's access control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docs/security/HA_IDENTITY_RBAC_HE.md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section 2)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12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Authentication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Home Assistant identity, or local accounts with scrypt/argon2id password hashes, optional passkeys and TOTP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B/services/local_identity.py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B/services/local_passkeys.py</w:t>
            </w:r>
            <w:r>
              <w:rPr>
                <w:rFonts w:ascii="Arial" w:hAnsi="Arial" w:cs="Arial" w:eastAsia="Arial"/>
                <w:sz w:val="19"/>
                <w:szCs w:val="19"/>
              </w:rPr>
              <w:t>); session limits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B/services/local_identity.py</w:t>
            </w:r>
            <w:r>
              <w:rPr>
                <w:rFonts w:ascii="Arial" w:hAnsi="Arial" w:cs="Arial" w:eastAsia="Arial"/>
                <w:sz w:val="19"/>
                <w:szCs w:val="19"/>
              </w:rPr>
              <w:t>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13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Security measures in the code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access control, audit of writes, hashed tokens/sessions, rate limits, uniform failure responses on public pages, no personal code or phone number in audit rows or logs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01-data-processing-summary.md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section 6;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docs/security/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). Organisational measures (physical access to the server, patching, backup protection): [ORGANISATION FILLS]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REQUIRES COUNSEL REVIEW (C4)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14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Logging and monitoring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audit log (default 365 days,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audit.retention_days</w:t>
            </w:r>
            <w:r>
              <w:rPr>
                <w:rFonts w:ascii="Arial" w:hAnsi="Arial" w:cs="Arial" w:eastAsia="Arial"/>
                <w:sz w:val="19"/>
                <w:szCs w:val="19"/>
              </w:rPr>
              <w:t>); who reviews it and how often: [FILL]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15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Retention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the filled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06-retention-policy-template.md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16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Handling people's requests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03-data-subject-request-handling.md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with named owner [NAME]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REQUIRES COUNSEL REVIEW (C11)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17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Incident procedure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Part B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18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Review of this document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every [PERIOD] and on each change of purposes, recipients or system version; last review [DATE]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Part B - Incident-procedure line</w:t>
      </w:r>
    </w:p>
    <w:p>
      <w:r>
        <w:rPr>
          <w:rFonts w:ascii="Arial" w:hAnsi="Arial" w:cs="Arial" w:eastAsia="Arial"/>
          <w:sz w:val="22"/>
          <w:szCs w:val="22"/>
        </w:rPr>
        <w:t xml:space="preserve">A single line the organisation can place in its security procedure. The wording of the duties, who must be told, and by when are legal matters: </w:t>
      </w:r>
      <w:r>
        <w:rPr>
          <w:rFonts w:ascii="Arial" w:hAnsi="Arial" w:cs="Arial" w:eastAsia="Arial"/>
          <w:b/>
          <w:bCs/>
          <w:sz w:val="22"/>
          <w:szCs w:val="22"/>
        </w:rPr>
        <w:t>REQUIRES COUNSEL REVIEW (C12)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ind w:left="454"/>
      </w:pPr>
      <w:r>
        <w:rPr>
          <w:rFonts w:ascii="Arial" w:hAnsi="Arial" w:cs="Arial" w:eastAsia="Arial"/>
          <w:b/>
          <w:bCs/>
          <w:sz w:val="22"/>
          <w:szCs w:val="22"/>
        </w:rPr>
        <w:t>Incident line.</w:t>
      </w:r>
      <w:r>
        <w:rPr>
          <w:rFonts w:ascii="Arial" w:hAnsi="Arial" w:cs="Arial" w:eastAsia="Arial"/>
          <w:sz w:val="22"/>
          <w:szCs w:val="22"/>
        </w:rPr>
        <w:t xml:space="preserve"> Anyone who notices or suspects that personal information handled through SmplWise Arx was lost, sent to the wrong person, or viewed or changed by someone not allowed to</w:t>
      </w:r>
      <w:r>
        <w:br/>
      </w:r>
      <w:r>
        <w:rPr>
          <w:rFonts w:ascii="Arial" w:hAnsi="Arial" w:cs="Arial" w:eastAsia="Arial"/>
          <w:sz w:val="22"/>
          <w:szCs w:val="22"/>
        </w:rPr>
        <w:t>(including a lost phone with the app, a leaked link or entry code, or a stolen backup) tells [INCIDENT CONTACT, PHONE / E-MAIL] at once; [INCIDENT CONTACT] records the time, what happened and what</w:t>
      </w:r>
      <w:r>
        <w:br/>
      </w:r>
      <w:r>
        <w:rPr>
          <w:rFonts w:ascii="Arial" w:hAnsi="Arial" w:cs="Arial" w:eastAsia="Arial"/>
          <w:sz w:val="22"/>
          <w:szCs w:val="22"/>
        </w:rPr>
        <w:t>was done, and decides with [COUNSEL / OFFICER] whether anyone else must be told and by when.</w:t>
      </w:r>
    </w:p>
    <w:p>
      <w:r>
        <w:rPr>
          <w:rFonts w:ascii="Arial" w:hAnsi="Arial" w:cs="Arial" w:eastAsia="Arial"/>
          <w:sz w:val="22"/>
          <w:szCs w:val="22"/>
        </w:rPr>
        <w:t>Technical steps the product offers once an incident is suspected (facts; the decision to use them is the organisation's):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Revoke all external door access immediately: administrator action "revoke all"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POST /access-grants/revoke-all</w:t>
      </w:r>
      <w:r>
        <w:rPr>
          <w:rFonts w:ascii="Arial" w:hAnsi="Arial" w:cs="Arial" w:eastAsia="Arial"/>
          <w:sz w:val="22"/>
          <w:szCs w:val="22"/>
        </w:rPr>
        <w:t xml:space="preserve">, confirmation word typed, audited as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access.grant.revoke_all</w:t>
      </w:r>
      <w:r>
        <w:rPr>
          <w:rFonts w:ascii="Arial" w:hAnsi="Arial" w:cs="Arial" w:eastAsia="Arial"/>
          <w:sz w:val="22"/>
          <w:szCs w:val="22"/>
        </w:rPr>
        <w:t>).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Revoke one grant, or re-issue a code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/access-grants/{id}/revoke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/rotate</w:t>
      </w:r>
      <w:r>
        <w:rPr>
          <w:rFonts w:ascii="Arial" w:hAnsi="Arial" w:cs="Arial" w:eastAsia="Arial"/>
          <w:sz w:val="22"/>
          <w:szCs w:val="22"/>
        </w:rPr>
        <w:t>; at most 3 sends per grant).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 xml:space="preserve">Revoke a vendor or contact link (new link or deactivate the contact: live links are revoked at once,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B/services/tickets/contacts.py</w:t>
      </w:r>
      <w:r>
        <w:rPr>
          <w:rFonts w:ascii="Arial" w:hAnsi="Arial" w:cs="Arial" w:eastAsia="Arial"/>
          <w:sz w:val="22"/>
          <w:szCs w:val="22"/>
        </w:rPr>
        <w:t>).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Revoke a phone-app device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DELETE</w:t>
      </w:r>
      <w:r>
        <w:rPr>
          <w:rFonts w:ascii="Arial" w:hAnsi="Arial" w:cs="Arial" w:eastAsia="Arial"/>
          <w:sz w:val="22"/>
          <w:szCs w:val="22"/>
        </w:rPr>
        <w:t xml:space="preserve"> of the device; token hash replaced, presence and push registration cleared,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B/services/presence.py</w:t>
      </w:r>
      <w:r>
        <w:rPr>
          <w:rFonts w:ascii="Arial" w:hAnsi="Arial" w:cs="Arial" w:eastAsia="Arial"/>
          <w:sz w:val="22"/>
          <w:szCs w:val="22"/>
        </w:rPr>
        <w:t>); the required-sensors policy can be suspended with a break-glass entry.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Disable a local account or revoke its sessions; remove a user's remote access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B/services/local_identity.py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B/routers/remote.py</w:t>
      </w:r>
      <w:r>
        <w:rPr>
          <w:rFonts w:ascii="Arial" w:hAnsi="Arial" w:cs="Arial" w:eastAsia="Arial"/>
          <w:sz w:val="22"/>
          <w:szCs w:val="22"/>
        </w:rPr>
        <w:t>).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Evidence: the audit log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audit.read</w:t>
      </w:r>
      <w:r>
        <w:rPr>
          <w:rFonts w:ascii="Arial" w:hAnsi="Arial" w:cs="Arial" w:eastAsia="Arial"/>
          <w:sz w:val="22"/>
          <w:szCs w:val="22"/>
        </w:rPr>
        <w:t>) and the grant attention notifications (content-free) point at what happened; backups are not a log.</w:t>
      </w:r>
    </w:p>
    <w:p>
      <w:r>
        <w:rPr>
          <w:rFonts w:ascii="Arial" w:hAnsi="Arial" w:cs="Arial" w:eastAsia="Arial"/>
          <w:sz w:val="22"/>
          <w:szCs w:val="22"/>
        </w:rPr>
        <w:t xml:space="preserve">What the product does not provide: automatic breach detection, an incident register, notification templates to authorities or individuals. </w:t>
      </w:r>
      <w:r>
        <w:rPr>
          <w:rFonts w:ascii="Arial" w:hAnsi="Arial" w:cs="Arial" w:eastAsia="Arial"/>
          <w:b/>
          <w:bCs/>
          <w:sz w:val="22"/>
          <w:szCs w:val="22"/>
        </w:rPr>
        <w:t>REQUIRES COUNSEL REVIEW (C12)</w:t>
      </w:r>
      <w:r>
        <w:rPr>
          <w:rFonts w:ascii="Arial" w:hAnsi="Arial" w:cs="Arial" w:eastAsia="Arial"/>
          <w:sz w:val="22"/>
          <w:szCs w:val="22"/>
        </w:rPr>
        <w:t>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color w:val="666666"/>
        <w:sz w:val="16"/>
        <w:szCs w:val="16"/>
      </w:rPr>
      <w:t xml:space="preserve">SmplWise Arx - Legal Review Pack - DRAFT for counsel - Page </w:t>
    </w:r>
    <w:r>
      <w:rPr>
        <w:rFonts w:ascii="Arial" w:hAnsi="Arial" w:cs="Arial" w:eastAsia="Arial"/>
        <w:color w:val="666666"/>
        <w:sz w:val="16"/>
        <w:szCs w:val="16"/>
      </w:rPr>
      <w:fldChar w:fldCharType="begin"/>
    </w:r>
    <w:r>
      <w:rPr>
        <w:rFonts w:ascii="Arial" w:hAnsi="Arial" w:cs="Arial" w:eastAsia="Arial"/>
        <w:color w:val="666666"/>
        <w:sz w:val="16"/>
        <w:szCs w:val="16"/>
      </w:rPr>
      <w:instrText xml:space="preserve">PAGE</w:instrText>
    </w:r>
    <w:r>
      <w:rPr>
        <w:rFonts w:ascii="Arial" w:hAnsi="Arial" w:cs="Arial" w:eastAsia="Arial"/>
        <w:color w:val="666666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  <w:lang w:val="en-US" w:bidi="he-I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Arial" w:hAnsi="Arial" w:cs="Arial" w:eastAsia="Arial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" w:hAnsi="Arial" w:cs="Arial" w:eastAsia="Arial"/>
      <w:b/>
      <w:bCs/>
      <w:color w:val="1F2A4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="Arial" w:hAnsi="Arial" w:cs="Arial" w:eastAsia="Arial"/>
      <w:b/>
      <w:bCs/>
      <w:i/>
      <w:iCs/>
      <w:color w:val="1F2A4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