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48A0" w:rsidRDefault="00D048A0" w:rsidP="00F35A03">
      <w:pPr>
        <w:spacing w:after="0" w:line="240" w:lineRule="auto"/>
      </w:pPr>
      <w:r>
        <w:t>Jon Janelle</w:t>
      </w:r>
    </w:p>
    <w:p w:rsidR="00D048A0" w:rsidRDefault="00D048A0" w:rsidP="00F35A03">
      <w:pPr>
        <w:spacing w:after="0" w:line="240" w:lineRule="auto"/>
      </w:pPr>
      <w:r>
        <w:t>MAT 500</w:t>
      </w:r>
    </w:p>
    <w:p w:rsidR="00D048A0" w:rsidRPr="00D048A0" w:rsidRDefault="00D048A0" w:rsidP="00F35A03">
      <w:pPr>
        <w:spacing w:after="0" w:line="240" w:lineRule="auto"/>
      </w:pPr>
      <w:r>
        <w:t>10/15/2013</w:t>
      </w:r>
    </w:p>
    <w:p w:rsidR="00FE2C6B" w:rsidRPr="00D048A0" w:rsidRDefault="00D048A0" w:rsidP="00F35A03">
      <w:pPr>
        <w:spacing w:after="0" w:line="240" w:lineRule="auto"/>
        <w:jc w:val="center"/>
        <w:rPr>
          <w:b/>
          <w:u w:val="single"/>
        </w:rPr>
      </w:pPr>
      <w:r w:rsidRPr="00D048A0">
        <w:rPr>
          <w:b/>
          <w:u w:val="single"/>
        </w:rPr>
        <w:t>Chapter 8 Exercises</w:t>
      </w:r>
    </w:p>
    <w:p w:rsidR="00D048A0" w:rsidRDefault="00D048A0" w:rsidP="00F35A03">
      <w:pPr>
        <w:spacing w:after="0" w:line="240" w:lineRule="auto"/>
        <w:rPr>
          <w:b/>
        </w:rPr>
      </w:pPr>
      <w:r>
        <w:rPr>
          <w:b/>
        </w:rPr>
        <w:t>(8.1 A&amp;B)</w:t>
      </w:r>
    </w:p>
    <w:p w:rsidR="00D048A0" w:rsidRDefault="00D048A0" w:rsidP="00F35A03">
      <w:pPr>
        <w:spacing w:after="0" w:line="240" w:lineRule="auto"/>
        <w:rPr>
          <w:rFonts w:eastAsiaTheme="minorEastAsia"/>
        </w:rPr>
      </w:pPr>
      <w:r>
        <w:tab/>
      </w:r>
      <w:r>
        <w:t xml:space="preserve">Let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Pr>
          <w:rFonts w:eastAsiaTheme="minorEastAsia"/>
        </w:rPr>
        <w:t xml:space="preserve">be the proportion of successes after a successful shot and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Pr>
          <w:rFonts w:eastAsiaTheme="minorEastAsia"/>
        </w:rPr>
        <w:t xml:space="preserve"> be the number of successes after a failed shot. A </w:t>
      </w:r>
      <w:proofErr w:type="gramStart"/>
      <w:r>
        <w:rPr>
          <w:rFonts w:eastAsiaTheme="minorEastAsia"/>
        </w:rPr>
        <w:t>Beta(</w:t>
      </w:r>
      <w:proofErr w:type="gramEnd"/>
      <w:r>
        <w:rPr>
          <w:rFonts w:eastAsiaTheme="minorEastAsia"/>
        </w:rPr>
        <w:t xml:space="preserve">30, 10) prior distribution is used for both parameters, which expresses the belief that 75% of attempts are made in either case. </w:t>
      </w:r>
    </w:p>
    <w:p w:rsidR="00D048A0" w:rsidRPr="00D048A0" w:rsidRDefault="00D048A0" w:rsidP="00F35A03">
      <w:pPr>
        <w:spacing w:after="0" w:line="240" w:lineRule="auto"/>
      </w:pPr>
      <w:r>
        <w:rPr>
          <w:rFonts w:eastAsiaTheme="minorEastAsia"/>
        </w:rPr>
        <w:tab/>
      </w:r>
      <w:r w:rsidR="00511150">
        <w:rPr>
          <w:rFonts w:eastAsiaTheme="minorEastAsia"/>
        </w:rPr>
        <w:t>Using</w:t>
      </w:r>
      <w:r>
        <w:rPr>
          <w:rFonts w:eastAsiaTheme="minorEastAsia"/>
        </w:rPr>
        <w:t xml:space="preserve"> </w:t>
      </w:r>
      <w:r w:rsidR="00B90A1D">
        <w:rPr>
          <w:rFonts w:eastAsiaTheme="minorEastAsia"/>
        </w:rPr>
        <w:t xml:space="preserve">the </w:t>
      </w:r>
      <w:r>
        <w:rPr>
          <w:rFonts w:eastAsiaTheme="minorEastAsia"/>
        </w:rPr>
        <w:t xml:space="preserve">data that Larry Bird made 251 of 285 shots after a success and 48 of 53 shots after a failure, the following histogram of credible differences between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Pr>
          <w:rFonts w:eastAsiaTheme="minorEastAsia"/>
        </w:rPr>
        <w:t xml:space="preserve"> was generated.  Since 0 lies within the 95% HDI, we</w:t>
      </w:r>
      <w:r w:rsidR="00C4666F">
        <w:rPr>
          <w:rFonts w:eastAsiaTheme="minorEastAsia"/>
        </w:rPr>
        <w:t xml:space="preserve"> conclude that a difference of zero</w:t>
      </w:r>
      <w:r>
        <w:rPr>
          <w:rFonts w:eastAsiaTheme="minorEastAsia"/>
        </w:rPr>
        <w:t xml:space="preserve"> between </w:t>
      </w:r>
      <m:oMath>
        <m:sSub>
          <m:sSubPr>
            <m:ctrlPr>
              <w:rPr>
                <w:rFonts w:ascii="Cambria Math" w:hAnsi="Cambria Math"/>
                <w:i/>
              </w:rPr>
            </m:ctrlPr>
          </m:sSubPr>
          <m:e>
            <m:r>
              <w:rPr>
                <w:rFonts w:ascii="Cambria Math" w:hAnsi="Cambria Math"/>
              </w:rPr>
              <m:t>θ</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θ</m:t>
            </m:r>
          </m:e>
          <m:sub>
            <m:r>
              <w:rPr>
                <w:rFonts w:ascii="Cambria Math" w:hAnsi="Cambria Math"/>
              </w:rPr>
              <m:t>2</m:t>
            </m:r>
          </m:sub>
        </m:sSub>
      </m:oMath>
      <w:r>
        <w:rPr>
          <w:rFonts w:eastAsiaTheme="minorEastAsia"/>
        </w:rPr>
        <w:t xml:space="preserve">is credible, and therefore there is </w:t>
      </w:r>
      <w:r w:rsidR="000B2F01">
        <w:rPr>
          <w:rFonts w:eastAsiaTheme="minorEastAsia"/>
        </w:rPr>
        <w:t>insufficient evidence to support Larry Bird having a “hot hand.”</w:t>
      </w:r>
    </w:p>
    <w:p w:rsidR="00D048A0" w:rsidRDefault="00D048A0" w:rsidP="00F35A03">
      <w:pPr>
        <w:spacing w:after="0" w:line="240" w:lineRule="auto"/>
        <w:jc w:val="center"/>
      </w:pPr>
      <w:r>
        <w:rPr>
          <w:noProof/>
        </w:rPr>
        <w:drawing>
          <wp:inline distT="0" distB="0" distL="0" distR="0" wp14:anchorId="67C0571E" wp14:editId="58DB05A5">
            <wp:extent cx="3476446" cy="165242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16826"/>
                    <a:stretch/>
                  </pic:blipFill>
                  <pic:spPr bwMode="auto">
                    <a:xfrm>
                      <a:off x="0" y="0"/>
                      <a:ext cx="3488872" cy="1658332"/>
                    </a:xfrm>
                    <a:prstGeom prst="rect">
                      <a:avLst/>
                    </a:prstGeom>
                    <a:ln>
                      <a:noFill/>
                    </a:ln>
                    <a:extLst>
                      <a:ext uri="{53640926-AAD7-44D8-BBD7-CCE9431645EC}">
                        <a14:shadowObscured xmlns:a14="http://schemas.microsoft.com/office/drawing/2010/main"/>
                      </a:ext>
                    </a:extLst>
                  </pic:spPr>
                </pic:pic>
              </a:graphicData>
            </a:graphic>
          </wp:inline>
        </w:drawing>
      </w:r>
    </w:p>
    <w:p w:rsidR="009E0732" w:rsidRDefault="00D9153B" w:rsidP="00F35A03">
      <w:pPr>
        <w:spacing w:after="0" w:line="240" w:lineRule="auto"/>
        <w:rPr>
          <w:b/>
        </w:rPr>
      </w:pPr>
      <w:r>
        <w:rPr>
          <w:b/>
        </w:rPr>
        <w:t>8.4</w:t>
      </w:r>
      <w:r w:rsidR="001223F8">
        <w:rPr>
          <w:b/>
        </w:rPr>
        <w:t>A</w:t>
      </w:r>
      <w:r>
        <w:rPr>
          <w:b/>
        </w:rPr>
        <w:t>)</w:t>
      </w:r>
    </w:p>
    <w:p w:rsidR="009E0732" w:rsidRPr="00A11E9E" w:rsidRDefault="00A11E9E" w:rsidP="00F35A03">
      <w:pPr>
        <w:spacing w:after="0" w:line="240" w:lineRule="auto"/>
      </w:pPr>
      <w:r>
        <w:rPr>
          <w:b/>
        </w:rPr>
        <w:tab/>
      </w:r>
      <w:r w:rsidR="00F35A03">
        <w:t xml:space="preserve">When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=0.005</m:t>
        </m:r>
      </m:oMath>
      <w:r w:rsidR="00F35A03">
        <w:t xml:space="preserve"> </w:t>
      </w:r>
      <w:proofErr w:type="gramStart"/>
      <w:r w:rsidR="00F35A03">
        <w:t xml:space="preserve">and </w:t>
      </w:r>
      <w:proofErr w:type="gramEnd"/>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=0.005</m:t>
        </m:r>
      </m:oMath>
      <w:r w:rsidR="00F35A03">
        <w:rPr>
          <w:rFonts w:eastAsiaTheme="minorEastAsia"/>
        </w:rPr>
        <w:t>,</w:t>
      </w:r>
      <w:r>
        <w:t xml:space="preserve"> </w:t>
      </w:r>
      <w:r>
        <w:t>the probability that proposed jumps fall outside the acceptable range</w:t>
      </w:r>
      <w:r>
        <w:t>. Consequently, 97.8%</w:t>
      </w:r>
      <w:r>
        <w:t xml:space="preserve"> of proposed values were accepted</w:t>
      </w:r>
      <w:r w:rsidR="00B445F4">
        <w:t xml:space="preserve"> and the posterior is far more tightly clustered than that shown in Figure 8.3. The autocorrelation graphs for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and </m:t>
        </m:r>
        <m:sSub>
          <m:sSubPr>
            <m:ctrlPr>
              <w:rPr>
                <w:rFonts w:ascii="Cambria Math" w:hAnsi="Cambria Math"/>
                <w:i/>
              </w:rPr>
            </m:ctrlPr>
          </m:sSubPr>
          <m:e>
            <m:r>
              <w:rPr>
                <w:rFonts w:ascii="Cambria Math" w:hAnsi="Cambria Math"/>
              </w:rPr>
              <m:t>θ</m:t>
            </m:r>
          </m:e>
          <m:sub>
            <m:r>
              <w:rPr>
                <w:rFonts w:ascii="Cambria Math" w:hAnsi="Cambria Math"/>
              </w:rPr>
              <m:t>2</m:t>
            </m:r>
          </m:sub>
        </m:sSub>
      </m:oMath>
      <w:r w:rsidR="00B445F4">
        <w:rPr>
          <w:rFonts w:eastAsiaTheme="minorEastAsia"/>
        </w:rPr>
        <w:t xml:space="preserve"> below also demonstrate that successive steps are strongly correlated with their predecessors, which is further evidence that a standard deviation of 0.005 is a poor choice. </w:t>
      </w:r>
    </w:p>
    <w:p w:rsidR="00F445B4" w:rsidRDefault="00F35A03" w:rsidP="00F35A03">
      <w:pPr>
        <w:spacing w:after="0" w:line="240" w:lineRule="auto"/>
        <w:jc w:val="center"/>
        <w:rPr>
          <w:noProof/>
        </w:rPr>
      </w:pPr>
      <w:r>
        <w:rPr>
          <w:noProof/>
        </w:rPr>
        <w:drawing>
          <wp:anchor distT="0" distB="0" distL="114300" distR="114300" simplePos="0" relativeHeight="251659264" behindDoc="1" locked="0" layoutInCell="1" allowOverlap="1" wp14:anchorId="3CB769F2" wp14:editId="63684E37">
            <wp:simplePos x="0" y="0"/>
            <wp:positionH relativeFrom="column">
              <wp:posOffset>2152649</wp:posOffset>
            </wp:positionH>
            <wp:positionV relativeFrom="paragraph">
              <wp:posOffset>6985</wp:posOffset>
            </wp:positionV>
            <wp:extent cx="3857625" cy="259647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57625" cy="2596478"/>
                    </a:xfrm>
                    <a:prstGeom prst="rect">
                      <a:avLst/>
                    </a:prstGeom>
                  </pic:spPr>
                </pic:pic>
              </a:graphicData>
            </a:graphic>
            <wp14:sizeRelH relativeFrom="page">
              <wp14:pctWidth>0</wp14:pctWidth>
            </wp14:sizeRelH>
            <wp14:sizeRelV relativeFrom="page">
              <wp14:pctHeight>0</wp14:pctHeight>
            </wp14:sizeRelV>
          </wp:anchor>
        </w:drawing>
      </w:r>
    </w:p>
    <w:p w:rsidR="00F35A03" w:rsidRDefault="00F35A03" w:rsidP="00F35A03">
      <w:pPr>
        <w:spacing w:after="0" w:line="240" w:lineRule="auto"/>
        <w:jc w:val="center"/>
        <w:rPr>
          <w:noProof/>
        </w:rPr>
      </w:pPr>
    </w:p>
    <w:p w:rsidR="00B445F4" w:rsidRDefault="00B445F4" w:rsidP="00F35A03">
      <w:pPr>
        <w:spacing w:after="0" w:line="240" w:lineRule="auto"/>
        <w:jc w:val="center"/>
      </w:pPr>
      <w:r>
        <w:rPr>
          <w:noProof/>
        </w:rPr>
        <w:drawing>
          <wp:anchor distT="0" distB="0" distL="114300" distR="114300" simplePos="0" relativeHeight="251658240" behindDoc="1" locked="0" layoutInCell="1" allowOverlap="1" wp14:anchorId="7718212C" wp14:editId="73BD8C31">
            <wp:simplePos x="0" y="0"/>
            <wp:positionH relativeFrom="column">
              <wp:posOffset>-186690</wp:posOffset>
            </wp:positionH>
            <wp:positionV relativeFrom="paragraph">
              <wp:posOffset>87630</wp:posOffset>
            </wp:positionV>
            <wp:extent cx="2224405" cy="2026285"/>
            <wp:effectExtent l="0" t="0" r="444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t="8895"/>
                    <a:stretch/>
                  </pic:blipFill>
                  <pic:spPr bwMode="auto">
                    <a:xfrm>
                      <a:off x="0" y="0"/>
                      <a:ext cx="2224405" cy="20262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445F4" w:rsidRDefault="00B445F4" w:rsidP="00F35A03">
      <w:pPr>
        <w:spacing w:after="0" w:line="240" w:lineRule="auto"/>
        <w:jc w:val="center"/>
      </w:pPr>
    </w:p>
    <w:p w:rsidR="00B445F4" w:rsidRDefault="00B445F4" w:rsidP="00F35A03">
      <w:pPr>
        <w:spacing w:after="0" w:line="240" w:lineRule="auto"/>
        <w:jc w:val="center"/>
      </w:pPr>
    </w:p>
    <w:p w:rsidR="00B445F4" w:rsidRDefault="00B445F4" w:rsidP="00F35A03">
      <w:pPr>
        <w:spacing w:after="0" w:line="240" w:lineRule="auto"/>
        <w:jc w:val="center"/>
      </w:pPr>
    </w:p>
    <w:p w:rsidR="00F35A03" w:rsidRDefault="00F35A03" w:rsidP="00F35A03">
      <w:pPr>
        <w:spacing w:after="0" w:line="240" w:lineRule="auto"/>
        <w:jc w:val="center"/>
      </w:pPr>
    </w:p>
    <w:p w:rsidR="00B445F4" w:rsidRDefault="00B445F4" w:rsidP="00F35A03">
      <w:pPr>
        <w:spacing w:after="0" w:line="240" w:lineRule="auto"/>
        <w:jc w:val="center"/>
      </w:pPr>
    </w:p>
    <w:p w:rsidR="00B445F4" w:rsidRDefault="00B445F4" w:rsidP="00F35A03">
      <w:pPr>
        <w:spacing w:after="0" w:line="240" w:lineRule="auto"/>
        <w:jc w:val="center"/>
      </w:pPr>
    </w:p>
    <w:p w:rsidR="00B445F4" w:rsidRDefault="00B445F4" w:rsidP="00F35A03">
      <w:pPr>
        <w:spacing w:after="0" w:line="240" w:lineRule="auto"/>
        <w:jc w:val="center"/>
      </w:pPr>
    </w:p>
    <w:p w:rsidR="00B445F4" w:rsidRDefault="00B445F4" w:rsidP="00F35A03">
      <w:pPr>
        <w:spacing w:after="0" w:line="240" w:lineRule="auto"/>
        <w:jc w:val="center"/>
      </w:pPr>
    </w:p>
    <w:p w:rsidR="00B445F4" w:rsidRDefault="00B445F4" w:rsidP="00F35A03">
      <w:pPr>
        <w:spacing w:after="0" w:line="240" w:lineRule="auto"/>
        <w:jc w:val="center"/>
      </w:pPr>
    </w:p>
    <w:p w:rsidR="00B445F4" w:rsidRDefault="00B445F4" w:rsidP="00F35A03">
      <w:pPr>
        <w:spacing w:after="0" w:line="240" w:lineRule="auto"/>
        <w:jc w:val="center"/>
      </w:pPr>
    </w:p>
    <w:p w:rsidR="00B445F4" w:rsidRDefault="00B445F4" w:rsidP="00F35A03">
      <w:pPr>
        <w:spacing w:after="0" w:line="240" w:lineRule="auto"/>
        <w:jc w:val="center"/>
      </w:pPr>
    </w:p>
    <w:p w:rsidR="00B445F4" w:rsidRDefault="00B445F4" w:rsidP="00F35A03">
      <w:pPr>
        <w:spacing w:after="0" w:line="240" w:lineRule="auto"/>
        <w:jc w:val="center"/>
      </w:pPr>
    </w:p>
    <w:p w:rsidR="00B445F4" w:rsidRDefault="00B445F4" w:rsidP="00F35A03">
      <w:pPr>
        <w:spacing w:after="0" w:line="240" w:lineRule="auto"/>
        <w:jc w:val="center"/>
      </w:pPr>
    </w:p>
    <w:p w:rsidR="00B445F4" w:rsidRDefault="00B445F4" w:rsidP="00F35A03">
      <w:pPr>
        <w:spacing w:after="0" w:line="240" w:lineRule="auto"/>
        <w:jc w:val="center"/>
      </w:pPr>
    </w:p>
    <w:p w:rsidR="00B445F4" w:rsidRDefault="00B445F4" w:rsidP="00F35A03">
      <w:pPr>
        <w:spacing w:after="0" w:line="240" w:lineRule="auto"/>
        <w:jc w:val="center"/>
      </w:pPr>
    </w:p>
    <w:p w:rsidR="00B445F4" w:rsidRDefault="00B445F4" w:rsidP="00F35A03">
      <w:pPr>
        <w:spacing w:after="0" w:line="240" w:lineRule="auto"/>
        <w:jc w:val="center"/>
      </w:pPr>
    </w:p>
    <w:p w:rsidR="00B445F4" w:rsidRDefault="00B445F4" w:rsidP="00F35A03">
      <w:pPr>
        <w:spacing w:after="0" w:line="240" w:lineRule="auto"/>
        <w:jc w:val="center"/>
      </w:pPr>
    </w:p>
    <w:p w:rsidR="00B445F4" w:rsidRPr="00B445F4" w:rsidRDefault="00B445F4" w:rsidP="00B445F4">
      <w:pPr>
        <w:spacing w:after="0" w:line="240" w:lineRule="auto"/>
      </w:pPr>
      <w:r>
        <w:rPr>
          <w:b/>
        </w:rPr>
        <w:lastRenderedPageBreak/>
        <w:t xml:space="preserve">8.4B) </w:t>
      </w:r>
      <w:r>
        <w:t>If</w:t>
      </w:r>
      <w:r>
        <w:t xml:space="preserve"> </w:t>
      </w:r>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r>
          <w:rPr>
            <w:rFonts w:ascii="Cambria Math" w:hAnsi="Cambria Math"/>
          </w:rPr>
          <m:t>5</m:t>
        </m:r>
        <m:r>
          <w:rPr>
            <w:rFonts w:ascii="Cambria Math" w:hAnsi="Cambria Math"/>
          </w:rPr>
          <m:t>.0</m:t>
        </m:r>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r>
          <w:rPr>
            <w:rFonts w:ascii="Cambria Math" w:hAnsi="Cambria Math"/>
          </w:rPr>
          <m:t>5</m:t>
        </m:r>
        <m:r>
          <w:rPr>
            <w:rFonts w:ascii="Cambria Math" w:hAnsi="Cambria Math"/>
          </w:rPr>
          <m:t>.0</m:t>
        </m:r>
      </m:oMath>
      <w:r w:rsidR="004C367A">
        <w:rPr>
          <w:rFonts w:eastAsiaTheme="minorEastAsia"/>
        </w:rPr>
        <w:t>, then practically none of the proposed jumps are accepted. The large standard deviation results in nearly all of the proposed jumps falling outside of the posterior distribution’s probable range, and thus does not accurately represent the distribution. This is shown by the plot below in which only 0.1% of proposed jumps were accepted</w:t>
      </w:r>
      <w:r w:rsidR="00BF24FA">
        <w:rPr>
          <w:rFonts w:eastAsiaTheme="minorEastAsia"/>
        </w:rPr>
        <w:t xml:space="preserve"> out of 1000 proposals</w:t>
      </w:r>
      <w:bookmarkStart w:id="0" w:name="_GoBack"/>
      <w:bookmarkEnd w:id="0"/>
      <w:r w:rsidR="004C367A">
        <w:rPr>
          <w:rFonts w:eastAsiaTheme="minorEastAsia"/>
        </w:rPr>
        <w:t xml:space="preserve">. </w:t>
      </w:r>
    </w:p>
    <w:p w:rsidR="00B445F4" w:rsidRPr="00B445F4" w:rsidRDefault="00B445F4" w:rsidP="00B445F4">
      <w:pPr>
        <w:spacing w:after="0" w:line="240" w:lineRule="auto"/>
        <w:jc w:val="center"/>
        <w:rPr>
          <w:b/>
        </w:rPr>
      </w:pPr>
      <w:r>
        <w:rPr>
          <w:noProof/>
        </w:rPr>
        <w:drawing>
          <wp:inline distT="0" distB="0" distL="0" distR="0" wp14:anchorId="17D4D212" wp14:editId="3C177930">
            <wp:extent cx="3390900" cy="3390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390900" cy="3390900"/>
                    </a:xfrm>
                    <a:prstGeom prst="rect">
                      <a:avLst/>
                    </a:prstGeom>
                  </pic:spPr>
                </pic:pic>
              </a:graphicData>
            </a:graphic>
          </wp:inline>
        </w:drawing>
      </w:r>
    </w:p>
    <w:p w:rsidR="00B445F4" w:rsidRPr="00D9153B" w:rsidRDefault="00B445F4" w:rsidP="00F35A03">
      <w:pPr>
        <w:spacing w:after="0" w:line="240" w:lineRule="auto"/>
        <w:jc w:val="center"/>
      </w:pPr>
    </w:p>
    <w:sectPr w:rsidR="00B445F4" w:rsidRPr="00D91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48A0"/>
    <w:rsid w:val="00005DF7"/>
    <w:rsid w:val="0000738D"/>
    <w:rsid w:val="00042620"/>
    <w:rsid w:val="00045A4E"/>
    <w:rsid w:val="00052EB4"/>
    <w:rsid w:val="0006635C"/>
    <w:rsid w:val="0009179C"/>
    <w:rsid w:val="000B2F01"/>
    <w:rsid w:val="000B40C9"/>
    <w:rsid w:val="000C3254"/>
    <w:rsid w:val="000C587B"/>
    <w:rsid w:val="000D015D"/>
    <w:rsid w:val="000E3DE2"/>
    <w:rsid w:val="000F294B"/>
    <w:rsid w:val="000F69F8"/>
    <w:rsid w:val="00107E84"/>
    <w:rsid w:val="0011631C"/>
    <w:rsid w:val="001223F8"/>
    <w:rsid w:val="00132967"/>
    <w:rsid w:val="001535C7"/>
    <w:rsid w:val="00153897"/>
    <w:rsid w:val="001578E4"/>
    <w:rsid w:val="00173789"/>
    <w:rsid w:val="0018258E"/>
    <w:rsid w:val="00182B5C"/>
    <w:rsid w:val="001A3A95"/>
    <w:rsid w:val="001A3F92"/>
    <w:rsid w:val="001C5CC4"/>
    <w:rsid w:val="001F4BE8"/>
    <w:rsid w:val="00222517"/>
    <w:rsid w:val="002269AF"/>
    <w:rsid w:val="00226A52"/>
    <w:rsid w:val="002801F8"/>
    <w:rsid w:val="002C17EE"/>
    <w:rsid w:val="002D7FF1"/>
    <w:rsid w:val="002E52DC"/>
    <w:rsid w:val="002F2153"/>
    <w:rsid w:val="002F25E6"/>
    <w:rsid w:val="003023C2"/>
    <w:rsid w:val="00314ACA"/>
    <w:rsid w:val="00322E5C"/>
    <w:rsid w:val="00336A3A"/>
    <w:rsid w:val="003446BC"/>
    <w:rsid w:val="003675EE"/>
    <w:rsid w:val="00376FFA"/>
    <w:rsid w:val="003869AE"/>
    <w:rsid w:val="00397FED"/>
    <w:rsid w:val="003F72E3"/>
    <w:rsid w:val="00403EF2"/>
    <w:rsid w:val="00416092"/>
    <w:rsid w:val="00423111"/>
    <w:rsid w:val="004260BA"/>
    <w:rsid w:val="00432CE1"/>
    <w:rsid w:val="004815F7"/>
    <w:rsid w:val="004923F5"/>
    <w:rsid w:val="0049287E"/>
    <w:rsid w:val="00495CD9"/>
    <w:rsid w:val="004A322B"/>
    <w:rsid w:val="004B5416"/>
    <w:rsid w:val="004B6568"/>
    <w:rsid w:val="004B7665"/>
    <w:rsid w:val="004C367A"/>
    <w:rsid w:val="004D47CA"/>
    <w:rsid w:val="004D5FCB"/>
    <w:rsid w:val="00504BB3"/>
    <w:rsid w:val="005108E4"/>
    <w:rsid w:val="00511150"/>
    <w:rsid w:val="005257A0"/>
    <w:rsid w:val="0053235A"/>
    <w:rsid w:val="00532ABD"/>
    <w:rsid w:val="00565AD1"/>
    <w:rsid w:val="005A6A2A"/>
    <w:rsid w:val="005D783C"/>
    <w:rsid w:val="005F43AC"/>
    <w:rsid w:val="00601518"/>
    <w:rsid w:val="0060416B"/>
    <w:rsid w:val="0061502C"/>
    <w:rsid w:val="0061737F"/>
    <w:rsid w:val="006301A5"/>
    <w:rsid w:val="00630432"/>
    <w:rsid w:val="00635095"/>
    <w:rsid w:val="00652283"/>
    <w:rsid w:val="00685B41"/>
    <w:rsid w:val="00686470"/>
    <w:rsid w:val="006F4ED1"/>
    <w:rsid w:val="00704395"/>
    <w:rsid w:val="00752A40"/>
    <w:rsid w:val="0077503B"/>
    <w:rsid w:val="00783B73"/>
    <w:rsid w:val="00783E60"/>
    <w:rsid w:val="007A750F"/>
    <w:rsid w:val="007B7638"/>
    <w:rsid w:val="007C3186"/>
    <w:rsid w:val="007D278A"/>
    <w:rsid w:val="007D53BD"/>
    <w:rsid w:val="007E3EE0"/>
    <w:rsid w:val="008109B7"/>
    <w:rsid w:val="008150AF"/>
    <w:rsid w:val="0081712C"/>
    <w:rsid w:val="00830A83"/>
    <w:rsid w:val="00840B08"/>
    <w:rsid w:val="00843428"/>
    <w:rsid w:val="0084451E"/>
    <w:rsid w:val="00845666"/>
    <w:rsid w:val="00854DD5"/>
    <w:rsid w:val="00867B51"/>
    <w:rsid w:val="00870DDB"/>
    <w:rsid w:val="0087113E"/>
    <w:rsid w:val="00871430"/>
    <w:rsid w:val="0088195B"/>
    <w:rsid w:val="008C0557"/>
    <w:rsid w:val="008C6FDA"/>
    <w:rsid w:val="009162A1"/>
    <w:rsid w:val="00934CC6"/>
    <w:rsid w:val="00946599"/>
    <w:rsid w:val="00952439"/>
    <w:rsid w:val="00954347"/>
    <w:rsid w:val="00961652"/>
    <w:rsid w:val="00973F8B"/>
    <w:rsid w:val="009E015C"/>
    <w:rsid w:val="009E0732"/>
    <w:rsid w:val="009F23EF"/>
    <w:rsid w:val="009F5C4B"/>
    <w:rsid w:val="00A11E9E"/>
    <w:rsid w:val="00A42D9C"/>
    <w:rsid w:val="00A458E6"/>
    <w:rsid w:val="00A47126"/>
    <w:rsid w:val="00A93A10"/>
    <w:rsid w:val="00A97ACF"/>
    <w:rsid w:val="00AD48F7"/>
    <w:rsid w:val="00B0564A"/>
    <w:rsid w:val="00B445F4"/>
    <w:rsid w:val="00B44A96"/>
    <w:rsid w:val="00B53C4C"/>
    <w:rsid w:val="00B56223"/>
    <w:rsid w:val="00B6125A"/>
    <w:rsid w:val="00B90A1D"/>
    <w:rsid w:val="00B910C4"/>
    <w:rsid w:val="00BA44AE"/>
    <w:rsid w:val="00BF24FA"/>
    <w:rsid w:val="00BF5514"/>
    <w:rsid w:val="00BF725A"/>
    <w:rsid w:val="00C15F94"/>
    <w:rsid w:val="00C2474E"/>
    <w:rsid w:val="00C27153"/>
    <w:rsid w:val="00C4666F"/>
    <w:rsid w:val="00C57C9D"/>
    <w:rsid w:val="00C619E9"/>
    <w:rsid w:val="00C67FC9"/>
    <w:rsid w:val="00C77C0F"/>
    <w:rsid w:val="00C84F29"/>
    <w:rsid w:val="00C93C00"/>
    <w:rsid w:val="00CB4AC9"/>
    <w:rsid w:val="00CC587A"/>
    <w:rsid w:val="00CD2D9B"/>
    <w:rsid w:val="00D048A0"/>
    <w:rsid w:val="00D17F4C"/>
    <w:rsid w:val="00D379FC"/>
    <w:rsid w:val="00D43090"/>
    <w:rsid w:val="00D4513C"/>
    <w:rsid w:val="00D53912"/>
    <w:rsid w:val="00D5446E"/>
    <w:rsid w:val="00D65460"/>
    <w:rsid w:val="00D67A9F"/>
    <w:rsid w:val="00D72192"/>
    <w:rsid w:val="00D77670"/>
    <w:rsid w:val="00D9153B"/>
    <w:rsid w:val="00D95F68"/>
    <w:rsid w:val="00E05835"/>
    <w:rsid w:val="00E167F7"/>
    <w:rsid w:val="00E866FE"/>
    <w:rsid w:val="00E86814"/>
    <w:rsid w:val="00E93433"/>
    <w:rsid w:val="00EB5D5A"/>
    <w:rsid w:val="00ED28B6"/>
    <w:rsid w:val="00EE06D0"/>
    <w:rsid w:val="00EE4205"/>
    <w:rsid w:val="00F1616E"/>
    <w:rsid w:val="00F27A18"/>
    <w:rsid w:val="00F30478"/>
    <w:rsid w:val="00F35A03"/>
    <w:rsid w:val="00F445B4"/>
    <w:rsid w:val="00F50944"/>
    <w:rsid w:val="00F83490"/>
    <w:rsid w:val="00F94122"/>
    <w:rsid w:val="00FA57B2"/>
    <w:rsid w:val="00FB7952"/>
    <w:rsid w:val="00FC6B5F"/>
    <w:rsid w:val="00FD45C0"/>
    <w:rsid w:val="00FE2C6B"/>
    <w:rsid w:val="00FF7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8A0"/>
    <w:rPr>
      <w:rFonts w:ascii="Tahoma" w:hAnsi="Tahoma" w:cs="Tahoma"/>
      <w:sz w:val="16"/>
      <w:szCs w:val="16"/>
    </w:rPr>
  </w:style>
  <w:style w:type="character" w:styleId="PlaceholderText">
    <w:name w:val="Placeholder Text"/>
    <w:basedOn w:val="DefaultParagraphFont"/>
    <w:uiPriority w:val="99"/>
    <w:semiHidden/>
    <w:rsid w:val="00D048A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4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8A0"/>
    <w:rPr>
      <w:rFonts w:ascii="Tahoma" w:hAnsi="Tahoma" w:cs="Tahoma"/>
      <w:sz w:val="16"/>
      <w:szCs w:val="16"/>
    </w:rPr>
  </w:style>
  <w:style w:type="character" w:styleId="PlaceholderText">
    <w:name w:val="Placeholder Text"/>
    <w:basedOn w:val="DefaultParagraphFont"/>
    <w:uiPriority w:val="99"/>
    <w:semiHidden/>
    <w:rsid w:val="00D048A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D37DE-9600-47B7-9E4F-07C365BC2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9</cp:revision>
  <dcterms:created xsi:type="dcterms:W3CDTF">2013-10-15T17:51:00Z</dcterms:created>
  <dcterms:modified xsi:type="dcterms:W3CDTF">2013-10-16T22:55:00Z</dcterms:modified>
</cp:coreProperties>
</file>