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62A" w:rsidRPr="00E545DA" w:rsidRDefault="002E762A" w:rsidP="002E762A">
      <w:pPr>
        <w:spacing w:after="40" w:line="240" w:lineRule="auto"/>
        <w:rPr>
          <w:rFonts w:ascii="Times New Roman" w:hAnsi="Times New Roman" w:cs="Times New Roman"/>
          <w:sz w:val="24"/>
          <w:szCs w:val="24"/>
        </w:rPr>
      </w:pPr>
      <w:r w:rsidRPr="00E545DA">
        <w:rPr>
          <w:rFonts w:ascii="Times New Roman" w:hAnsi="Times New Roman" w:cs="Times New Roman"/>
          <w:sz w:val="24"/>
          <w:szCs w:val="24"/>
        </w:rPr>
        <w:t>Jon Janelle</w:t>
      </w:r>
    </w:p>
    <w:p w:rsidR="002E762A" w:rsidRPr="00E545DA" w:rsidRDefault="002E762A" w:rsidP="002E762A">
      <w:pPr>
        <w:spacing w:after="40" w:line="240" w:lineRule="auto"/>
        <w:rPr>
          <w:rFonts w:ascii="Times New Roman" w:hAnsi="Times New Roman" w:cs="Times New Roman"/>
          <w:sz w:val="24"/>
          <w:szCs w:val="24"/>
        </w:rPr>
      </w:pPr>
      <w:r w:rsidRPr="00E545DA">
        <w:rPr>
          <w:rFonts w:ascii="Times New Roman" w:hAnsi="Times New Roman" w:cs="Times New Roman"/>
          <w:sz w:val="24"/>
          <w:szCs w:val="24"/>
        </w:rPr>
        <w:t>MAT 500</w:t>
      </w:r>
    </w:p>
    <w:p w:rsidR="002E762A" w:rsidRPr="00E545DA" w:rsidRDefault="002E762A" w:rsidP="002E762A">
      <w:pPr>
        <w:spacing w:after="40" w:line="240" w:lineRule="auto"/>
        <w:rPr>
          <w:rFonts w:ascii="Times New Roman" w:hAnsi="Times New Roman" w:cs="Times New Roman"/>
          <w:sz w:val="24"/>
          <w:szCs w:val="24"/>
        </w:rPr>
      </w:pPr>
      <w:r w:rsidRPr="00E545DA">
        <w:rPr>
          <w:rFonts w:ascii="Times New Roman" w:hAnsi="Times New Roman" w:cs="Times New Roman"/>
          <w:sz w:val="24"/>
          <w:szCs w:val="24"/>
        </w:rPr>
        <w:t>Project 2</w:t>
      </w:r>
    </w:p>
    <w:p w:rsidR="00472B79" w:rsidRPr="00E545DA" w:rsidRDefault="00472B79" w:rsidP="002E762A">
      <w:pPr>
        <w:spacing w:after="40" w:line="240" w:lineRule="auto"/>
        <w:rPr>
          <w:rFonts w:ascii="Times New Roman" w:hAnsi="Times New Roman" w:cs="Times New Roman"/>
          <w:sz w:val="24"/>
          <w:szCs w:val="24"/>
        </w:rPr>
      </w:pPr>
    </w:p>
    <w:p w:rsidR="002E762A" w:rsidRPr="00E545DA" w:rsidRDefault="002E762A" w:rsidP="002E762A">
      <w:pPr>
        <w:spacing w:after="40" w:line="240" w:lineRule="auto"/>
        <w:jc w:val="center"/>
        <w:rPr>
          <w:rFonts w:ascii="Times New Roman" w:hAnsi="Times New Roman" w:cs="Times New Roman"/>
          <w:b/>
          <w:sz w:val="24"/>
          <w:szCs w:val="24"/>
        </w:rPr>
      </w:pPr>
      <w:r w:rsidRPr="00E545DA">
        <w:rPr>
          <w:rFonts w:ascii="Times New Roman" w:hAnsi="Times New Roman" w:cs="Times New Roman"/>
          <w:b/>
          <w:sz w:val="24"/>
          <w:szCs w:val="24"/>
        </w:rPr>
        <w:t xml:space="preserve">Factors Predictive of the 2008-09 </w:t>
      </w:r>
      <w:r w:rsidR="00434E81">
        <w:rPr>
          <w:rFonts w:ascii="Times New Roman" w:hAnsi="Times New Roman" w:cs="Times New Roman"/>
          <w:b/>
          <w:sz w:val="24"/>
          <w:szCs w:val="24"/>
        </w:rPr>
        <w:t xml:space="preserve">U.S. </w:t>
      </w:r>
      <w:r w:rsidRPr="00E545DA">
        <w:rPr>
          <w:rFonts w:ascii="Times New Roman" w:hAnsi="Times New Roman" w:cs="Times New Roman"/>
          <w:b/>
          <w:sz w:val="24"/>
          <w:szCs w:val="24"/>
        </w:rPr>
        <w:t>Average Freshman Graduation Rate</w:t>
      </w:r>
    </w:p>
    <w:p w:rsidR="000D4193" w:rsidRPr="00E545DA" w:rsidRDefault="000D4193" w:rsidP="002E762A">
      <w:pPr>
        <w:spacing w:after="40" w:line="240" w:lineRule="auto"/>
        <w:jc w:val="center"/>
        <w:rPr>
          <w:rFonts w:ascii="Times New Roman" w:hAnsi="Times New Roman" w:cs="Times New Roman"/>
          <w:b/>
          <w:sz w:val="24"/>
          <w:szCs w:val="24"/>
        </w:rPr>
      </w:pPr>
    </w:p>
    <w:p w:rsidR="002E762A" w:rsidRPr="00E545DA" w:rsidRDefault="002E762A" w:rsidP="002E762A">
      <w:pPr>
        <w:spacing w:after="40" w:line="240" w:lineRule="auto"/>
        <w:rPr>
          <w:rFonts w:ascii="Times New Roman" w:hAnsi="Times New Roman" w:cs="Times New Roman"/>
          <w:b/>
          <w:i/>
          <w:sz w:val="24"/>
          <w:szCs w:val="24"/>
        </w:rPr>
      </w:pPr>
      <w:r w:rsidRPr="00E545DA">
        <w:rPr>
          <w:rFonts w:ascii="Times New Roman" w:hAnsi="Times New Roman" w:cs="Times New Roman"/>
          <w:b/>
          <w:i/>
          <w:sz w:val="24"/>
          <w:szCs w:val="24"/>
        </w:rPr>
        <w:t>Introduction</w:t>
      </w:r>
    </w:p>
    <w:p w:rsidR="00FE2C6B" w:rsidRPr="00E545DA" w:rsidRDefault="005C131A" w:rsidP="002E762A">
      <w:pPr>
        <w:spacing w:after="40" w:line="240" w:lineRule="auto"/>
        <w:rPr>
          <w:rFonts w:ascii="Times New Roman" w:hAnsi="Times New Roman" w:cs="Times New Roman"/>
          <w:b/>
          <w:i/>
          <w:sz w:val="24"/>
          <w:szCs w:val="24"/>
        </w:rPr>
      </w:pPr>
      <w:r w:rsidRPr="00E545DA">
        <w:rPr>
          <w:rFonts w:ascii="Times New Roman" w:hAnsi="Times New Roman" w:cs="Times New Roman"/>
          <w:sz w:val="24"/>
          <w:szCs w:val="24"/>
        </w:rPr>
        <w:tab/>
        <w:t>In the United States, a high school diploma is critically important for finding employment and broadening educational and career options. In 2012, the U.S. Bureau of Labor Statistics (BLS) estimated that the unemployment rate for those will less than a high school diploma was 12.4%, which is particularly alarming when compared to the estimated 8.3% unemployment rate for those with a high school degree (“Earnings and unemployment”, 2013).</w:t>
      </w:r>
      <w:r w:rsidR="00A54E3D" w:rsidRPr="00E545DA">
        <w:rPr>
          <w:rFonts w:ascii="Times New Roman" w:hAnsi="Times New Roman" w:cs="Times New Roman"/>
          <w:sz w:val="24"/>
          <w:szCs w:val="24"/>
        </w:rPr>
        <w:t xml:space="preserve"> Further, the BLS estimated that the earnings of someone without a high school diploma in 2012 were an average of $181 per week, or $9512 per year, less than the earnings of someone with a high school degree</w:t>
      </w:r>
      <w:r w:rsidR="00F8703E">
        <w:rPr>
          <w:rFonts w:ascii="Times New Roman" w:hAnsi="Times New Roman" w:cs="Times New Roman"/>
          <w:sz w:val="24"/>
          <w:szCs w:val="24"/>
        </w:rPr>
        <w:t xml:space="preserve"> and arguably below a living wage</w:t>
      </w:r>
      <w:r w:rsidR="00A54E3D" w:rsidRPr="00E545DA">
        <w:rPr>
          <w:rFonts w:ascii="Times New Roman" w:hAnsi="Times New Roman" w:cs="Times New Roman"/>
          <w:sz w:val="24"/>
          <w:szCs w:val="24"/>
        </w:rPr>
        <w:t>. These findings clearly paint an unfavorable</w:t>
      </w:r>
      <w:r w:rsidR="00A4360A" w:rsidRPr="00E545DA">
        <w:rPr>
          <w:rFonts w:ascii="Times New Roman" w:hAnsi="Times New Roman" w:cs="Times New Roman"/>
          <w:sz w:val="24"/>
          <w:szCs w:val="24"/>
        </w:rPr>
        <w:t xml:space="preserve"> economic</w:t>
      </w:r>
      <w:r w:rsidR="00A54E3D" w:rsidRPr="00E545DA">
        <w:rPr>
          <w:rFonts w:ascii="Times New Roman" w:hAnsi="Times New Roman" w:cs="Times New Roman"/>
          <w:sz w:val="24"/>
          <w:szCs w:val="24"/>
        </w:rPr>
        <w:t xml:space="preserve"> picture for those who fail to complete high school. </w:t>
      </w:r>
    </w:p>
    <w:p w:rsidR="00566300" w:rsidRPr="00E545DA" w:rsidRDefault="00566300" w:rsidP="002E762A">
      <w:pPr>
        <w:spacing w:after="40" w:line="240" w:lineRule="auto"/>
        <w:rPr>
          <w:rFonts w:ascii="Times New Roman" w:hAnsi="Times New Roman" w:cs="Times New Roman"/>
          <w:sz w:val="24"/>
          <w:szCs w:val="24"/>
        </w:rPr>
      </w:pPr>
      <w:r w:rsidRPr="00E545DA">
        <w:rPr>
          <w:rFonts w:ascii="Times New Roman" w:hAnsi="Times New Roman" w:cs="Times New Roman"/>
          <w:sz w:val="24"/>
          <w:szCs w:val="24"/>
        </w:rPr>
        <w:tab/>
        <w:t xml:space="preserve">Graduation rates are also a </w:t>
      </w:r>
      <w:r w:rsidR="00B716EE" w:rsidRPr="00E545DA">
        <w:rPr>
          <w:rFonts w:ascii="Times New Roman" w:hAnsi="Times New Roman" w:cs="Times New Roman"/>
          <w:sz w:val="24"/>
          <w:szCs w:val="24"/>
        </w:rPr>
        <w:t>major component</w:t>
      </w:r>
      <w:r w:rsidRPr="00E545DA">
        <w:rPr>
          <w:rFonts w:ascii="Times New Roman" w:hAnsi="Times New Roman" w:cs="Times New Roman"/>
          <w:sz w:val="24"/>
          <w:szCs w:val="24"/>
          <w:shd w:val="clear" w:color="auto" w:fill="FFFFFF"/>
        </w:rPr>
        <w:t xml:space="preserve"> of</w:t>
      </w:r>
      <w:r w:rsidR="00B716EE" w:rsidRPr="00E545DA">
        <w:rPr>
          <w:rFonts w:ascii="Times New Roman" w:hAnsi="Times New Roman" w:cs="Times New Roman"/>
          <w:sz w:val="24"/>
          <w:szCs w:val="24"/>
          <w:shd w:val="clear" w:color="auto" w:fill="FFFFFF"/>
        </w:rPr>
        <w:t xml:space="preserve"> current</w:t>
      </w:r>
      <w:r w:rsidRPr="00E545DA">
        <w:rPr>
          <w:rFonts w:ascii="Times New Roman" w:hAnsi="Times New Roman" w:cs="Times New Roman"/>
          <w:sz w:val="24"/>
          <w:szCs w:val="24"/>
          <w:shd w:val="clear" w:color="auto" w:fill="FFFFFF"/>
        </w:rPr>
        <w:t xml:space="preserve"> </w:t>
      </w:r>
      <w:r w:rsidR="00B716EE" w:rsidRPr="00E545DA">
        <w:rPr>
          <w:rFonts w:ascii="Times New Roman" w:hAnsi="Times New Roman" w:cs="Times New Roman"/>
          <w:sz w:val="24"/>
          <w:szCs w:val="24"/>
          <w:shd w:val="clear" w:color="auto" w:fill="FFFFFF"/>
        </w:rPr>
        <w:t xml:space="preserve">school </w:t>
      </w:r>
      <w:r w:rsidRPr="00E545DA">
        <w:rPr>
          <w:rFonts w:ascii="Times New Roman" w:hAnsi="Times New Roman" w:cs="Times New Roman"/>
          <w:sz w:val="24"/>
          <w:szCs w:val="24"/>
          <w:shd w:val="clear" w:color="auto" w:fill="FFFFFF"/>
        </w:rPr>
        <w:t>a</w:t>
      </w:r>
      <w:r w:rsidR="00B716EE" w:rsidRPr="00E545DA">
        <w:rPr>
          <w:rFonts w:ascii="Times New Roman" w:hAnsi="Times New Roman" w:cs="Times New Roman"/>
          <w:sz w:val="24"/>
          <w:szCs w:val="24"/>
          <w:shd w:val="clear" w:color="auto" w:fill="FFFFFF"/>
        </w:rPr>
        <w:t>ccountability systems</w:t>
      </w:r>
      <w:r w:rsidR="0019412F" w:rsidRPr="00E545DA">
        <w:rPr>
          <w:rFonts w:ascii="Times New Roman" w:hAnsi="Times New Roman" w:cs="Times New Roman"/>
          <w:sz w:val="24"/>
          <w:szCs w:val="24"/>
          <w:shd w:val="clear" w:color="auto" w:fill="FFFFFF"/>
        </w:rPr>
        <w:t xml:space="preserve">. The 2001 No Child Left </w:t>
      </w:r>
      <w:proofErr w:type="gramStart"/>
      <w:r w:rsidR="0019412F" w:rsidRPr="00E545DA">
        <w:rPr>
          <w:rFonts w:ascii="Times New Roman" w:hAnsi="Times New Roman" w:cs="Times New Roman"/>
          <w:sz w:val="24"/>
          <w:szCs w:val="24"/>
          <w:shd w:val="clear" w:color="auto" w:fill="FFFFFF"/>
        </w:rPr>
        <w:t>Behind</w:t>
      </w:r>
      <w:proofErr w:type="gramEnd"/>
      <w:r w:rsidR="0019412F" w:rsidRPr="00E545DA">
        <w:rPr>
          <w:rFonts w:ascii="Times New Roman" w:hAnsi="Times New Roman" w:cs="Times New Roman"/>
          <w:sz w:val="24"/>
          <w:szCs w:val="24"/>
          <w:shd w:val="clear" w:color="auto" w:fill="FFFFFF"/>
        </w:rPr>
        <w:t xml:space="preserve"> Act (NCLB) includes provisions meant to hold schools accountable for the percentage of</w:t>
      </w:r>
      <w:r w:rsidR="00B716EE" w:rsidRPr="00E545DA">
        <w:rPr>
          <w:rFonts w:ascii="Times New Roman" w:hAnsi="Times New Roman" w:cs="Times New Roman"/>
          <w:sz w:val="24"/>
          <w:szCs w:val="24"/>
          <w:shd w:val="clear" w:color="auto" w:fill="FFFFFF"/>
        </w:rPr>
        <w:t xml:space="preserve"> students who graduate on-time. Schools that fail to meet these requirements face restructuring, often re-staffing, and other corrective measures. </w:t>
      </w:r>
      <w:r w:rsidR="00ED627A" w:rsidRPr="00E545DA">
        <w:rPr>
          <w:rFonts w:ascii="Times New Roman" w:hAnsi="Times New Roman" w:cs="Times New Roman"/>
          <w:sz w:val="24"/>
          <w:szCs w:val="24"/>
          <w:shd w:val="clear" w:color="auto" w:fill="FFFFFF"/>
        </w:rPr>
        <w:t xml:space="preserve">The averaged freshman graduation rate is one measure used to compare </w:t>
      </w:r>
      <w:r w:rsidR="001D4CDE" w:rsidRPr="00E545DA">
        <w:rPr>
          <w:rFonts w:ascii="Times New Roman" w:hAnsi="Times New Roman" w:cs="Times New Roman"/>
          <w:sz w:val="24"/>
          <w:szCs w:val="24"/>
          <w:shd w:val="clear" w:color="auto" w:fill="FFFFFF"/>
        </w:rPr>
        <w:t xml:space="preserve">and evaluate </w:t>
      </w:r>
      <w:r w:rsidR="00ED627A" w:rsidRPr="00E545DA">
        <w:rPr>
          <w:rFonts w:ascii="Times New Roman" w:hAnsi="Times New Roman" w:cs="Times New Roman"/>
          <w:sz w:val="24"/>
          <w:szCs w:val="24"/>
          <w:shd w:val="clear" w:color="auto" w:fill="FFFFFF"/>
        </w:rPr>
        <w:t>state-reported graduation rates under NCLB.</w:t>
      </w:r>
    </w:p>
    <w:p w:rsidR="000410F3" w:rsidRPr="00E545DA" w:rsidRDefault="00316198" w:rsidP="002E762A">
      <w:pPr>
        <w:spacing w:after="40" w:line="240" w:lineRule="auto"/>
        <w:rPr>
          <w:rFonts w:ascii="Times New Roman" w:hAnsi="Times New Roman" w:cs="Times New Roman"/>
          <w:sz w:val="24"/>
          <w:szCs w:val="24"/>
        </w:rPr>
      </w:pPr>
      <w:r w:rsidRPr="00E545DA">
        <w:rPr>
          <w:rFonts w:ascii="Times New Roman" w:hAnsi="Times New Roman" w:cs="Times New Roman"/>
          <w:sz w:val="24"/>
          <w:szCs w:val="24"/>
        </w:rPr>
        <w:tab/>
        <w:t xml:space="preserve">The averaged freshman graduation rate (AFGR) estimates the proportion of high school students who earn a diploma within four years (Chapman et al., 2013). </w:t>
      </w:r>
      <w:r w:rsidR="001D4CDE" w:rsidRPr="00E545DA">
        <w:rPr>
          <w:rFonts w:ascii="Times New Roman" w:hAnsi="Times New Roman" w:cs="Times New Roman"/>
          <w:sz w:val="24"/>
          <w:szCs w:val="24"/>
        </w:rPr>
        <w:t>During</w:t>
      </w:r>
      <w:r w:rsidR="00B4741E" w:rsidRPr="00E545DA">
        <w:rPr>
          <w:rFonts w:ascii="Times New Roman" w:hAnsi="Times New Roman" w:cs="Times New Roman"/>
          <w:sz w:val="24"/>
          <w:szCs w:val="24"/>
        </w:rPr>
        <w:t xml:space="preserve"> the 2008-20</w:t>
      </w:r>
      <w:r w:rsidR="00A54E3D" w:rsidRPr="00E545DA">
        <w:rPr>
          <w:rFonts w:ascii="Times New Roman" w:hAnsi="Times New Roman" w:cs="Times New Roman"/>
          <w:sz w:val="24"/>
          <w:szCs w:val="24"/>
        </w:rPr>
        <w:t>09</w:t>
      </w:r>
      <w:r w:rsidR="001D4CDE" w:rsidRPr="00E545DA">
        <w:rPr>
          <w:rFonts w:ascii="Times New Roman" w:hAnsi="Times New Roman" w:cs="Times New Roman"/>
          <w:sz w:val="24"/>
          <w:szCs w:val="24"/>
        </w:rPr>
        <w:t xml:space="preserve"> academic </w:t>
      </w:r>
      <w:proofErr w:type="gramStart"/>
      <w:r w:rsidR="00B4741E" w:rsidRPr="00E545DA">
        <w:rPr>
          <w:rFonts w:ascii="Times New Roman" w:hAnsi="Times New Roman" w:cs="Times New Roman"/>
          <w:sz w:val="24"/>
          <w:szCs w:val="24"/>
        </w:rPr>
        <w:t>year</w:t>
      </w:r>
      <w:proofErr w:type="gramEnd"/>
      <w:r w:rsidR="00B4741E" w:rsidRPr="00E545DA">
        <w:rPr>
          <w:rFonts w:ascii="Times New Roman" w:hAnsi="Times New Roman" w:cs="Times New Roman"/>
          <w:sz w:val="24"/>
          <w:szCs w:val="24"/>
        </w:rPr>
        <w:t xml:space="preserve"> </w:t>
      </w:r>
      <w:r w:rsidR="00A54E3D" w:rsidRPr="00E545DA">
        <w:rPr>
          <w:rFonts w:ascii="Times New Roman" w:hAnsi="Times New Roman" w:cs="Times New Roman"/>
          <w:sz w:val="24"/>
          <w:szCs w:val="24"/>
        </w:rPr>
        <w:t xml:space="preserve">the </w:t>
      </w:r>
      <w:r w:rsidR="00B4741E" w:rsidRPr="00E545DA">
        <w:rPr>
          <w:rFonts w:ascii="Times New Roman" w:hAnsi="Times New Roman" w:cs="Times New Roman"/>
          <w:sz w:val="24"/>
          <w:szCs w:val="24"/>
        </w:rPr>
        <w:t>AFGR</w:t>
      </w:r>
      <w:r w:rsidRPr="00E545DA">
        <w:rPr>
          <w:rFonts w:ascii="Times New Roman" w:hAnsi="Times New Roman" w:cs="Times New Roman"/>
          <w:sz w:val="24"/>
          <w:szCs w:val="24"/>
        </w:rPr>
        <w:t xml:space="preserve"> for public school students</w:t>
      </w:r>
      <w:r w:rsidR="00B4741E" w:rsidRPr="00E545DA">
        <w:rPr>
          <w:rFonts w:ascii="Times New Roman" w:hAnsi="Times New Roman" w:cs="Times New Roman"/>
          <w:sz w:val="24"/>
          <w:szCs w:val="24"/>
        </w:rPr>
        <w:t xml:space="preserve"> was estimated</w:t>
      </w:r>
      <w:r w:rsidRPr="00E545DA">
        <w:rPr>
          <w:rFonts w:ascii="Times New Roman" w:hAnsi="Times New Roman" w:cs="Times New Roman"/>
          <w:sz w:val="24"/>
          <w:szCs w:val="24"/>
        </w:rPr>
        <w:t xml:space="preserve"> at 75.5% (Chapman et al., 2013).</w:t>
      </w:r>
      <w:r w:rsidR="00B4741E" w:rsidRPr="00E545DA">
        <w:rPr>
          <w:rFonts w:ascii="Times New Roman" w:hAnsi="Times New Roman" w:cs="Times New Roman"/>
          <w:sz w:val="24"/>
          <w:szCs w:val="24"/>
        </w:rPr>
        <w:t xml:space="preserve"> </w:t>
      </w:r>
      <w:r w:rsidRPr="00E545DA">
        <w:rPr>
          <w:rFonts w:ascii="Times New Roman" w:hAnsi="Times New Roman" w:cs="Times New Roman"/>
          <w:sz w:val="24"/>
          <w:szCs w:val="24"/>
        </w:rPr>
        <w:t xml:space="preserve"> </w:t>
      </w:r>
      <w:r w:rsidR="001D4CDE" w:rsidRPr="00E545DA">
        <w:rPr>
          <w:rFonts w:ascii="Times New Roman" w:hAnsi="Times New Roman" w:cs="Times New Roman"/>
          <w:sz w:val="24"/>
          <w:szCs w:val="24"/>
        </w:rPr>
        <w:t>In this calculation, and under NCLB, s</w:t>
      </w:r>
      <w:r w:rsidR="000410F3" w:rsidRPr="00E545DA">
        <w:rPr>
          <w:rFonts w:ascii="Times New Roman" w:hAnsi="Times New Roman" w:cs="Times New Roman"/>
          <w:sz w:val="24"/>
          <w:szCs w:val="24"/>
        </w:rPr>
        <w:t xml:space="preserve">tudents who leave school before receiving a diploma, graduate in five or more years, or earn a GED are </w:t>
      </w:r>
      <w:r w:rsidR="00472B79" w:rsidRPr="00E545DA">
        <w:rPr>
          <w:rFonts w:ascii="Times New Roman" w:hAnsi="Times New Roman" w:cs="Times New Roman"/>
          <w:sz w:val="24"/>
          <w:szCs w:val="24"/>
        </w:rPr>
        <w:t>considered</w:t>
      </w:r>
      <w:r w:rsidR="000410F3" w:rsidRPr="00E545DA">
        <w:rPr>
          <w:rFonts w:ascii="Times New Roman" w:hAnsi="Times New Roman" w:cs="Times New Roman"/>
          <w:sz w:val="24"/>
          <w:szCs w:val="24"/>
        </w:rPr>
        <w:t xml:space="preserve"> “dropouts.” </w:t>
      </w:r>
      <w:r w:rsidR="00472B79" w:rsidRPr="00E545DA">
        <w:rPr>
          <w:rFonts w:ascii="Times New Roman" w:hAnsi="Times New Roman" w:cs="Times New Roman"/>
          <w:sz w:val="24"/>
          <w:szCs w:val="24"/>
        </w:rPr>
        <w:t>The AFGR has steadily increased over the past several decades, but there are clearly still many at risk of failing to complete high school.</w:t>
      </w:r>
    </w:p>
    <w:p w:rsidR="00FD2734" w:rsidRPr="00E545DA" w:rsidRDefault="00316198" w:rsidP="002E762A">
      <w:pPr>
        <w:spacing w:after="40" w:line="240" w:lineRule="auto"/>
        <w:rPr>
          <w:rFonts w:ascii="Times New Roman" w:hAnsi="Times New Roman" w:cs="Times New Roman"/>
          <w:sz w:val="24"/>
          <w:szCs w:val="24"/>
        </w:rPr>
      </w:pPr>
      <w:r w:rsidRPr="00E545DA">
        <w:rPr>
          <w:rFonts w:ascii="Times New Roman" w:hAnsi="Times New Roman" w:cs="Times New Roman"/>
          <w:sz w:val="24"/>
          <w:szCs w:val="24"/>
        </w:rPr>
        <w:tab/>
        <w:t>The purpose of this study is to investigate which factors influenced the A</w:t>
      </w:r>
      <w:r w:rsidR="004E0482" w:rsidRPr="00E545DA">
        <w:rPr>
          <w:rFonts w:ascii="Times New Roman" w:hAnsi="Times New Roman" w:cs="Times New Roman"/>
          <w:sz w:val="24"/>
          <w:szCs w:val="24"/>
        </w:rPr>
        <w:t>FGR during the 2009-2010</w:t>
      </w:r>
      <w:r w:rsidRPr="00E545DA">
        <w:rPr>
          <w:rFonts w:ascii="Times New Roman" w:hAnsi="Times New Roman" w:cs="Times New Roman"/>
          <w:sz w:val="24"/>
          <w:szCs w:val="24"/>
        </w:rPr>
        <w:t xml:space="preserve"> </w:t>
      </w:r>
      <w:r w:rsidR="00472B79" w:rsidRPr="00E545DA">
        <w:rPr>
          <w:rFonts w:ascii="Times New Roman" w:hAnsi="Times New Roman" w:cs="Times New Roman"/>
          <w:sz w:val="24"/>
          <w:szCs w:val="24"/>
        </w:rPr>
        <w:t>academic</w:t>
      </w:r>
      <w:r w:rsidR="00C66EBB">
        <w:rPr>
          <w:rFonts w:ascii="Times New Roman" w:hAnsi="Times New Roman" w:cs="Times New Roman"/>
          <w:sz w:val="24"/>
          <w:szCs w:val="24"/>
        </w:rPr>
        <w:t xml:space="preserve"> </w:t>
      </w:r>
      <w:proofErr w:type="gramStart"/>
      <w:r w:rsidR="00FD2734" w:rsidRPr="00E545DA">
        <w:rPr>
          <w:rFonts w:ascii="Times New Roman" w:hAnsi="Times New Roman" w:cs="Times New Roman"/>
          <w:sz w:val="24"/>
          <w:szCs w:val="24"/>
        </w:rPr>
        <w:t>year</w:t>
      </w:r>
      <w:proofErr w:type="gramEnd"/>
      <w:r w:rsidR="00FD2734" w:rsidRPr="00E545DA">
        <w:rPr>
          <w:rFonts w:ascii="Times New Roman" w:hAnsi="Times New Roman" w:cs="Times New Roman"/>
          <w:sz w:val="24"/>
          <w:szCs w:val="24"/>
        </w:rPr>
        <w:t xml:space="preserve">. </w:t>
      </w:r>
      <w:r w:rsidRPr="00E545DA">
        <w:rPr>
          <w:rFonts w:ascii="Times New Roman" w:hAnsi="Times New Roman" w:cs="Times New Roman"/>
          <w:sz w:val="24"/>
          <w:szCs w:val="24"/>
        </w:rPr>
        <w:t xml:space="preserve">The factors considered are </w:t>
      </w:r>
      <w:r w:rsidR="004E0482" w:rsidRPr="00E545DA">
        <w:rPr>
          <w:rFonts w:ascii="Times New Roman" w:hAnsi="Times New Roman" w:cs="Times New Roman"/>
          <w:sz w:val="24"/>
          <w:szCs w:val="24"/>
        </w:rPr>
        <w:t xml:space="preserve">all state-level and include </w:t>
      </w:r>
      <w:r w:rsidRPr="00E545DA">
        <w:rPr>
          <w:rFonts w:ascii="Times New Roman" w:hAnsi="Times New Roman" w:cs="Times New Roman"/>
          <w:sz w:val="24"/>
          <w:szCs w:val="24"/>
        </w:rPr>
        <w:t xml:space="preserve">pupil teacher ratio, total revenue per pupil, </w:t>
      </w:r>
      <w:r w:rsidR="00E236BF" w:rsidRPr="00E545DA">
        <w:rPr>
          <w:rFonts w:ascii="Times New Roman" w:hAnsi="Times New Roman" w:cs="Times New Roman"/>
          <w:sz w:val="24"/>
          <w:szCs w:val="24"/>
        </w:rPr>
        <w:t>population density</w:t>
      </w:r>
      <w:r w:rsidR="004E0482" w:rsidRPr="00E545DA">
        <w:rPr>
          <w:rFonts w:ascii="Times New Roman" w:hAnsi="Times New Roman" w:cs="Times New Roman"/>
          <w:sz w:val="24"/>
          <w:szCs w:val="24"/>
        </w:rPr>
        <w:t xml:space="preserve">, </w:t>
      </w:r>
      <w:r w:rsidR="00472B79" w:rsidRPr="00E545DA">
        <w:rPr>
          <w:rFonts w:ascii="Times New Roman" w:hAnsi="Times New Roman" w:cs="Times New Roman"/>
          <w:sz w:val="24"/>
          <w:szCs w:val="24"/>
        </w:rPr>
        <w:t>proportion of students</w:t>
      </w:r>
      <w:r w:rsidR="004E0482" w:rsidRPr="00E545DA">
        <w:rPr>
          <w:rFonts w:ascii="Times New Roman" w:hAnsi="Times New Roman" w:cs="Times New Roman"/>
          <w:sz w:val="24"/>
          <w:szCs w:val="24"/>
        </w:rPr>
        <w:t xml:space="preserve"> eligible for free or reduced lunch, </w:t>
      </w:r>
      <w:r w:rsidR="00E236BF" w:rsidRPr="00E545DA">
        <w:rPr>
          <w:rFonts w:ascii="Times New Roman" w:hAnsi="Times New Roman" w:cs="Times New Roman"/>
          <w:sz w:val="24"/>
          <w:szCs w:val="24"/>
        </w:rPr>
        <w:t xml:space="preserve">and </w:t>
      </w:r>
      <w:r w:rsidR="00472B79" w:rsidRPr="00E545DA">
        <w:rPr>
          <w:rFonts w:ascii="Times New Roman" w:hAnsi="Times New Roman" w:cs="Times New Roman"/>
          <w:sz w:val="24"/>
          <w:szCs w:val="24"/>
        </w:rPr>
        <w:t>the proportion of students</w:t>
      </w:r>
      <w:r w:rsidR="004E0482" w:rsidRPr="00E545DA">
        <w:rPr>
          <w:rFonts w:ascii="Times New Roman" w:hAnsi="Times New Roman" w:cs="Times New Roman"/>
          <w:sz w:val="24"/>
          <w:szCs w:val="24"/>
        </w:rPr>
        <w:t xml:space="preserve"> with limited English p</w:t>
      </w:r>
      <w:r w:rsidR="00E236BF" w:rsidRPr="00E545DA">
        <w:rPr>
          <w:rFonts w:ascii="Times New Roman" w:hAnsi="Times New Roman" w:cs="Times New Roman"/>
          <w:sz w:val="24"/>
          <w:szCs w:val="24"/>
        </w:rPr>
        <w:t>roficiency.</w:t>
      </w:r>
      <w:r w:rsidR="000E043F">
        <w:rPr>
          <w:rFonts w:ascii="Times New Roman" w:hAnsi="Times New Roman" w:cs="Times New Roman"/>
          <w:sz w:val="24"/>
          <w:szCs w:val="24"/>
        </w:rPr>
        <w:t xml:space="preserve"> The model developed in this analysis is meant only to </w:t>
      </w:r>
      <w:r w:rsidR="00FB3410">
        <w:rPr>
          <w:rFonts w:ascii="Times New Roman" w:hAnsi="Times New Roman" w:cs="Times New Roman"/>
          <w:sz w:val="24"/>
          <w:szCs w:val="24"/>
        </w:rPr>
        <w:t>highlight</w:t>
      </w:r>
      <w:r w:rsidR="000E043F">
        <w:rPr>
          <w:rFonts w:ascii="Times New Roman" w:hAnsi="Times New Roman" w:cs="Times New Roman"/>
          <w:sz w:val="24"/>
          <w:szCs w:val="24"/>
        </w:rPr>
        <w:t xml:space="preserve"> national trends and cannot be used to make recommendations for particular locales. </w:t>
      </w:r>
    </w:p>
    <w:p w:rsidR="000D4193" w:rsidRPr="00E545DA" w:rsidRDefault="000D4193" w:rsidP="002E762A">
      <w:pPr>
        <w:spacing w:after="40" w:line="240" w:lineRule="auto"/>
        <w:rPr>
          <w:rFonts w:ascii="Times New Roman" w:hAnsi="Times New Roman" w:cs="Times New Roman"/>
          <w:sz w:val="24"/>
          <w:szCs w:val="24"/>
        </w:rPr>
      </w:pPr>
    </w:p>
    <w:p w:rsidR="004E0482" w:rsidRPr="00E545DA" w:rsidRDefault="006C681D" w:rsidP="002E762A">
      <w:pPr>
        <w:spacing w:after="40" w:line="240" w:lineRule="auto"/>
        <w:rPr>
          <w:rFonts w:ascii="Times New Roman" w:hAnsi="Times New Roman" w:cs="Times New Roman"/>
          <w:b/>
          <w:i/>
          <w:sz w:val="24"/>
          <w:szCs w:val="24"/>
        </w:rPr>
      </w:pPr>
      <w:r w:rsidRPr="00E545DA">
        <w:rPr>
          <w:rFonts w:ascii="Times New Roman" w:hAnsi="Times New Roman" w:cs="Times New Roman"/>
          <w:b/>
          <w:i/>
          <w:sz w:val="24"/>
          <w:szCs w:val="24"/>
        </w:rPr>
        <w:t>Data and Variable Selection</w:t>
      </w:r>
    </w:p>
    <w:p w:rsidR="000410F3" w:rsidRPr="00E545DA" w:rsidRDefault="006C681D" w:rsidP="002E762A">
      <w:pPr>
        <w:spacing w:after="40" w:line="240" w:lineRule="auto"/>
        <w:rPr>
          <w:rFonts w:ascii="Times New Roman" w:hAnsi="Times New Roman" w:cs="Times New Roman"/>
          <w:sz w:val="24"/>
          <w:szCs w:val="24"/>
        </w:rPr>
      </w:pPr>
      <w:r w:rsidRPr="00E545DA">
        <w:rPr>
          <w:rFonts w:ascii="Times New Roman" w:hAnsi="Times New Roman" w:cs="Times New Roman"/>
          <w:sz w:val="24"/>
          <w:szCs w:val="24"/>
        </w:rPr>
        <w:tab/>
        <w:t>All data were obtained from the National Center for Educational Statistics</w:t>
      </w:r>
      <w:r w:rsidR="00604D6A" w:rsidRPr="00E545DA">
        <w:rPr>
          <w:rFonts w:ascii="Times New Roman" w:hAnsi="Times New Roman" w:cs="Times New Roman"/>
          <w:sz w:val="24"/>
          <w:szCs w:val="24"/>
        </w:rPr>
        <w:t xml:space="preserve"> (NCES), which is </w:t>
      </w:r>
      <w:r w:rsidR="0015033C" w:rsidRPr="00E545DA">
        <w:rPr>
          <w:rFonts w:ascii="Times New Roman" w:hAnsi="Times New Roman" w:cs="Times New Roman"/>
          <w:sz w:val="24"/>
          <w:szCs w:val="24"/>
        </w:rPr>
        <w:t>a division</w:t>
      </w:r>
      <w:r w:rsidR="00604D6A" w:rsidRPr="00E545DA">
        <w:rPr>
          <w:rFonts w:ascii="Times New Roman" w:hAnsi="Times New Roman" w:cs="Times New Roman"/>
          <w:sz w:val="24"/>
          <w:szCs w:val="24"/>
        </w:rPr>
        <w:t xml:space="preserve"> within the U.S. Department of Education. Each year the N</w:t>
      </w:r>
      <w:r w:rsidR="00400D8F" w:rsidRPr="00E545DA">
        <w:rPr>
          <w:rFonts w:ascii="Times New Roman" w:hAnsi="Times New Roman" w:cs="Times New Roman"/>
          <w:sz w:val="24"/>
          <w:szCs w:val="24"/>
        </w:rPr>
        <w:t>CES</w:t>
      </w:r>
      <w:r w:rsidR="00604D6A" w:rsidRPr="00E545DA">
        <w:rPr>
          <w:rFonts w:ascii="Times New Roman" w:hAnsi="Times New Roman" w:cs="Times New Roman"/>
          <w:sz w:val="24"/>
          <w:szCs w:val="24"/>
        </w:rPr>
        <w:t xml:space="preserve"> administers a set of five national surveys </w:t>
      </w:r>
      <w:r w:rsidR="00400D8F" w:rsidRPr="00E545DA">
        <w:rPr>
          <w:rFonts w:ascii="Times New Roman" w:hAnsi="Times New Roman" w:cs="Times New Roman"/>
          <w:sz w:val="24"/>
          <w:szCs w:val="24"/>
        </w:rPr>
        <w:t>to</w:t>
      </w:r>
      <w:r w:rsidR="00604D6A" w:rsidRPr="00E545DA">
        <w:rPr>
          <w:rFonts w:ascii="Times New Roman" w:hAnsi="Times New Roman" w:cs="Times New Roman"/>
          <w:sz w:val="24"/>
          <w:szCs w:val="24"/>
        </w:rPr>
        <w:t xml:space="preserve"> approximately 18,000 public school districts to </w:t>
      </w:r>
      <w:r w:rsidR="0015033C" w:rsidRPr="00E545DA">
        <w:rPr>
          <w:rFonts w:ascii="Times New Roman" w:hAnsi="Times New Roman" w:cs="Times New Roman"/>
          <w:sz w:val="24"/>
          <w:szCs w:val="24"/>
        </w:rPr>
        <w:t>maintain</w:t>
      </w:r>
      <w:r w:rsidR="00604D6A" w:rsidRPr="00E545DA">
        <w:rPr>
          <w:rFonts w:ascii="Times New Roman" w:hAnsi="Times New Roman" w:cs="Times New Roman"/>
          <w:sz w:val="24"/>
          <w:szCs w:val="24"/>
        </w:rPr>
        <w:t xml:space="preserve"> its Common Core of Data (CCD) repository. </w:t>
      </w:r>
      <w:r w:rsidR="00400D8F" w:rsidRPr="00E545DA">
        <w:rPr>
          <w:rFonts w:ascii="Times New Roman" w:hAnsi="Times New Roman" w:cs="Times New Roman"/>
          <w:sz w:val="24"/>
          <w:szCs w:val="24"/>
        </w:rPr>
        <w:t>The 2009-2010</w:t>
      </w:r>
      <w:r w:rsidR="0019412F" w:rsidRPr="00E545DA">
        <w:rPr>
          <w:rFonts w:ascii="Times New Roman" w:hAnsi="Times New Roman" w:cs="Times New Roman"/>
          <w:sz w:val="24"/>
          <w:szCs w:val="24"/>
        </w:rPr>
        <w:t xml:space="preserve"> academic </w:t>
      </w:r>
      <w:proofErr w:type="gramStart"/>
      <w:r w:rsidR="00400D8F" w:rsidRPr="00E545DA">
        <w:rPr>
          <w:rFonts w:ascii="Times New Roman" w:hAnsi="Times New Roman" w:cs="Times New Roman"/>
          <w:sz w:val="24"/>
          <w:szCs w:val="24"/>
        </w:rPr>
        <w:t>year</w:t>
      </w:r>
      <w:proofErr w:type="gramEnd"/>
      <w:r w:rsidR="00400D8F" w:rsidRPr="00E545DA">
        <w:rPr>
          <w:rFonts w:ascii="Times New Roman" w:hAnsi="Times New Roman" w:cs="Times New Roman"/>
          <w:sz w:val="24"/>
          <w:szCs w:val="24"/>
        </w:rPr>
        <w:t xml:space="preserve"> was the most recent for which complete state-level graduation data was available through the CCD. </w:t>
      </w:r>
      <w:r w:rsidR="00C60501">
        <w:rPr>
          <w:rFonts w:ascii="Times New Roman" w:hAnsi="Times New Roman" w:cs="Times New Roman"/>
          <w:sz w:val="24"/>
          <w:szCs w:val="24"/>
        </w:rPr>
        <w:t>Washington D.C. and all states except for New York, for which complete data was unavailable, are included in the data.</w:t>
      </w:r>
    </w:p>
    <w:p w:rsidR="00FD2734" w:rsidRPr="00E545DA" w:rsidRDefault="00FD2734" w:rsidP="002E762A">
      <w:pPr>
        <w:spacing w:after="40" w:line="240" w:lineRule="auto"/>
        <w:rPr>
          <w:rFonts w:ascii="Times New Roman" w:hAnsi="Times New Roman" w:cs="Times New Roman"/>
          <w:sz w:val="24"/>
          <w:szCs w:val="24"/>
        </w:rPr>
      </w:pPr>
      <w:r w:rsidRPr="00E545DA">
        <w:rPr>
          <w:rFonts w:ascii="Times New Roman" w:hAnsi="Times New Roman" w:cs="Times New Roman"/>
          <w:sz w:val="24"/>
          <w:szCs w:val="24"/>
        </w:rPr>
        <w:lastRenderedPageBreak/>
        <w:tab/>
      </w:r>
      <w:r w:rsidR="0019412F" w:rsidRPr="00E545DA">
        <w:rPr>
          <w:rFonts w:ascii="Times New Roman" w:hAnsi="Times New Roman" w:cs="Times New Roman"/>
          <w:sz w:val="24"/>
          <w:szCs w:val="24"/>
        </w:rPr>
        <w:t xml:space="preserve">Many </w:t>
      </w:r>
      <w:r w:rsidR="00E236BF" w:rsidRPr="00E545DA">
        <w:rPr>
          <w:rFonts w:ascii="Times New Roman" w:hAnsi="Times New Roman" w:cs="Times New Roman"/>
          <w:sz w:val="24"/>
          <w:szCs w:val="24"/>
        </w:rPr>
        <w:t xml:space="preserve">past </w:t>
      </w:r>
      <w:r w:rsidR="0019412F" w:rsidRPr="00E545DA">
        <w:rPr>
          <w:rFonts w:ascii="Times New Roman" w:hAnsi="Times New Roman" w:cs="Times New Roman"/>
          <w:sz w:val="24"/>
          <w:szCs w:val="24"/>
        </w:rPr>
        <w:t>studies of U.S. graduation rates</w:t>
      </w:r>
      <w:r w:rsidR="00E236BF" w:rsidRPr="00E545DA">
        <w:rPr>
          <w:rFonts w:ascii="Times New Roman" w:hAnsi="Times New Roman" w:cs="Times New Roman"/>
          <w:sz w:val="24"/>
          <w:szCs w:val="24"/>
        </w:rPr>
        <w:t xml:space="preserve">, for example Green and </w:t>
      </w:r>
      <w:proofErr w:type="gramStart"/>
      <w:r w:rsidR="00E236BF" w:rsidRPr="00E545DA">
        <w:rPr>
          <w:rFonts w:ascii="Times New Roman" w:hAnsi="Times New Roman" w:cs="Times New Roman"/>
          <w:sz w:val="24"/>
          <w:szCs w:val="24"/>
        </w:rPr>
        <w:t>Winters</w:t>
      </w:r>
      <w:proofErr w:type="gramEnd"/>
      <w:r w:rsidR="00E236BF" w:rsidRPr="00E545DA">
        <w:rPr>
          <w:rFonts w:ascii="Times New Roman" w:hAnsi="Times New Roman" w:cs="Times New Roman"/>
          <w:sz w:val="24"/>
          <w:szCs w:val="24"/>
        </w:rPr>
        <w:t xml:space="preserve"> (2001) and Swanson (2004)</w:t>
      </w:r>
      <w:r w:rsidR="0015033C" w:rsidRPr="00E545DA">
        <w:rPr>
          <w:rFonts w:ascii="Times New Roman" w:hAnsi="Times New Roman" w:cs="Times New Roman"/>
          <w:sz w:val="24"/>
          <w:szCs w:val="24"/>
        </w:rPr>
        <w:t>,</w:t>
      </w:r>
      <w:r w:rsidR="0019412F" w:rsidRPr="00E545DA">
        <w:rPr>
          <w:rFonts w:ascii="Times New Roman" w:hAnsi="Times New Roman" w:cs="Times New Roman"/>
          <w:sz w:val="24"/>
          <w:szCs w:val="24"/>
        </w:rPr>
        <w:t xml:space="preserve"> have reported significant </w:t>
      </w:r>
      <w:r w:rsidR="00E236BF" w:rsidRPr="00E545DA">
        <w:rPr>
          <w:rFonts w:ascii="Times New Roman" w:hAnsi="Times New Roman" w:cs="Times New Roman"/>
          <w:sz w:val="24"/>
          <w:szCs w:val="24"/>
        </w:rPr>
        <w:t xml:space="preserve">racial </w:t>
      </w:r>
      <w:r w:rsidR="0019412F" w:rsidRPr="00E545DA">
        <w:rPr>
          <w:rFonts w:ascii="Times New Roman" w:hAnsi="Times New Roman" w:cs="Times New Roman"/>
          <w:sz w:val="24"/>
          <w:szCs w:val="24"/>
        </w:rPr>
        <w:t>difference</w:t>
      </w:r>
      <w:r w:rsidR="00E236BF" w:rsidRPr="00E545DA">
        <w:rPr>
          <w:rFonts w:ascii="Times New Roman" w:hAnsi="Times New Roman" w:cs="Times New Roman"/>
          <w:sz w:val="24"/>
          <w:szCs w:val="24"/>
        </w:rPr>
        <w:t xml:space="preserve">s in graduation rates. </w:t>
      </w:r>
      <w:r w:rsidR="0015033C" w:rsidRPr="00E545DA">
        <w:rPr>
          <w:rFonts w:ascii="Times New Roman" w:hAnsi="Times New Roman" w:cs="Times New Roman"/>
          <w:sz w:val="24"/>
          <w:szCs w:val="24"/>
        </w:rPr>
        <w:t xml:space="preserve">Both studies reported that schools with a majority of white students tend to have higher graduation rates than schools with a majority of non-white students, which suggests that serious opportunity gaps exist within public education. </w:t>
      </w:r>
      <w:r w:rsidR="00E57BD7" w:rsidRPr="00E545DA">
        <w:rPr>
          <w:rFonts w:ascii="Times New Roman" w:hAnsi="Times New Roman" w:cs="Times New Roman"/>
          <w:sz w:val="24"/>
          <w:szCs w:val="24"/>
        </w:rPr>
        <w:t>Specific r</w:t>
      </w:r>
      <w:r w:rsidR="00E236BF" w:rsidRPr="00E545DA">
        <w:rPr>
          <w:rFonts w:ascii="Times New Roman" w:hAnsi="Times New Roman" w:cs="Times New Roman"/>
          <w:sz w:val="24"/>
          <w:szCs w:val="24"/>
        </w:rPr>
        <w:t xml:space="preserve">acial and ethnic differences will not be considered in this investigation. </w:t>
      </w:r>
      <w:r w:rsidR="00E57BD7" w:rsidRPr="00E545DA">
        <w:rPr>
          <w:rFonts w:ascii="Times New Roman" w:hAnsi="Times New Roman" w:cs="Times New Roman"/>
          <w:sz w:val="24"/>
          <w:szCs w:val="24"/>
        </w:rPr>
        <w:t xml:space="preserve">However, the percentage of students classified as having limited English proficiency, which may be a considered a </w:t>
      </w:r>
      <w:r w:rsidR="001B1F56" w:rsidRPr="00E545DA">
        <w:rPr>
          <w:rFonts w:ascii="Times New Roman" w:hAnsi="Times New Roman" w:cs="Times New Roman"/>
          <w:sz w:val="24"/>
          <w:szCs w:val="24"/>
        </w:rPr>
        <w:t xml:space="preserve">vague </w:t>
      </w:r>
      <w:r w:rsidR="00E57BD7" w:rsidRPr="00E545DA">
        <w:rPr>
          <w:rFonts w:ascii="Times New Roman" w:hAnsi="Times New Roman" w:cs="Times New Roman"/>
          <w:sz w:val="24"/>
          <w:szCs w:val="24"/>
        </w:rPr>
        <w:t xml:space="preserve">measure of the ethnic diversity </w:t>
      </w:r>
      <w:r w:rsidR="0015033C" w:rsidRPr="00E545DA">
        <w:rPr>
          <w:rFonts w:ascii="Times New Roman" w:hAnsi="Times New Roman" w:cs="Times New Roman"/>
          <w:sz w:val="24"/>
          <w:szCs w:val="24"/>
        </w:rPr>
        <w:t>within schools</w:t>
      </w:r>
      <w:r w:rsidR="00E57BD7" w:rsidRPr="00E545DA">
        <w:rPr>
          <w:rFonts w:ascii="Times New Roman" w:hAnsi="Times New Roman" w:cs="Times New Roman"/>
          <w:sz w:val="24"/>
          <w:szCs w:val="24"/>
        </w:rPr>
        <w:t>,</w:t>
      </w:r>
      <w:r w:rsidR="001B1F56" w:rsidRPr="00E545DA">
        <w:rPr>
          <w:rFonts w:ascii="Times New Roman" w:hAnsi="Times New Roman" w:cs="Times New Roman"/>
          <w:sz w:val="24"/>
          <w:szCs w:val="24"/>
        </w:rPr>
        <w:t xml:space="preserve"> will be considered.</w:t>
      </w:r>
      <w:r w:rsidR="00E57BD7" w:rsidRPr="00E545DA">
        <w:rPr>
          <w:rFonts w:ascii="Times New Roman" w:hAnsi="Times New Roman" w:cs="Times New Roman"/>
          <w:sz w:val="24"/>
          <w:szCs w:val="24"/>
        </w:rPr>
        <w:t xml:space="preserve"> </w:t>
      </w:r>
      <w:r w:rsidR="00E236BF" w:rsidRPr="00E545DA">
        <w:rPr>
          <w:rFonts w:ascii="Times New Roman" w:hAnsi="Times New Roman" w:cs="Times New Roman"/>
          <w:sz w:val="24"/>
          <w:szCs w:val="24"/>
        </w:rPr>
        <w:t>The percentage of students receiving special education services was also considered by Swanson (2004</w:t>
      </w:r>
      <w:r w:rsidR="00F16549">
        <w:rPr>
          <w:rFonts w:ascii="Times New Roman" w:hAnsi="Times New Roman" w:cs="Times New Roman"/>
          <w:sz w:val="24"/>
          <w:szCs w:val="24"/>
        </w:rPr>
        <w:t>b</w:t>
      </w:r>
      <w:r w:rsidR="00E236BF" w:rsidRPr="00E545DA">
        <w:rPr>
          <w:rFonts w:ascii="Times New Roman" w:hAnsi="Times New Roman" w:cs="Times New Roman"/>
          <w:sz w:val="24"/>
          <w:szCs w:val="24"/>
        </w:rPr>
        <w:t>), but will not be incl</w:t>
      </w:r>
      <w:r w:rsidR="00E57BD7" w:rsidRPr="00E545DA">
        <w:rPr>
          <w:rFonts w:ascii="Times New Roman" w:hAnsi="Times New Roman" w:cs="Times New Roman"/>
          <w:sz w:val="24"/>
          <w:szCs w:val="24"/>
        </w:rPr>
        <w:t xml:space="preserve">uded in the present discussion. </w:t>
      </w:r>
    </w:p>
    <w:p w:rsidR="00E236BF" w:rsidRPr="00E545DA" w:rsidRDefault="00E236BF" w:rsidP="002E762A">
      <w:pPr>
        <w:spacing w:after="40" w:line="240" w:lineRule="auto"/>
        <w:rPr>
          <w:rFonts w:ascii="Times New Roman" w:hAnsi="Times New Roman" w:cs="Times New Roman"/>
          <w:sz w:val="24"/>
          <w:szCs w:val="24"/>
        </w:rPr>
      </w:pPr>
      <w:r w:rsidRPr="00E545DA">
        <w:rPr>
          <w:rFonts w:ascii="Times New Roman" w:hAnsi="Times New Roman" w:cs="Times New Roman"/>
          <w:sz w:val="24"/>
          <w:szCs w:val="24"/>
        </w:rPr>
        <w:tab/>
        <w:t xml:space="preserve">Swanson (2009) reported a significant and substantial difference between the graduation rates in urban schools and those in suburban and rural schools. Jordan and </w:t>
      </w:r>
      <w:proofErr w:type="spellStart"/>
      <w:r w:rsidRPr="00E545DA">
        <w:rPr>
          <w:rFonts w:ascii="Times New Roman" w:hAnsi="Times New Roman" w:cs="Times New Roman"/>
          <w:sz w:val="24"/>
          <w:szCs w:val="24"/>
        </w:rPr>
        <w:t>Kostandini</w:t>
      </w:r>
      <w:proofErr w:type="spellEnd"/>
      <w:r w:rsidRPr="00E545DA">
        <w:rPr>
          <w:rFonts w:ascii="Times New Roman" w:hAnsi="Times New Roman" w:cs="Times New Roman"/>
          <w:sz w:val="24"/>
          <w:szCs w:val="24"/>
        </w:rPr>
        <w:t xml:space="preserve"> (2012) contested this finding and found that there was little difference when factors such as sex, income, race, assets, and peer and family characteristics were considered. State population density is used as an approximation of how many k-12 students, both public and private, are enrolled in urban schools. States with higher population densities tend to have more urban areas, and therefore more stud</w:t>
      </w:r>
      <w:r w:rsidR="008C428D" w:rsidRPr="00E545DA">
        <w:rPr>
          <w:rFonts w:ascii="Times New Roman" w:hAnsi="Times New Roman" w:cs="Times New Roman"/>
          <w:sz w:val="24"/>
          <w:szCs w:val="24"/>
        </w:rPr>
        <w:t xml:space="preserve">ents enrolled in urban schools. The 2010 population densities used are measured in people per square mile, and the data were obtained from </w:t>
      </w:r>
      <w:r w:rsidR="008C7CAA" w:rsidRPr="00E545DA">
        <w:rPr>
          <w:rFonts w:ascii="Times New Roman" w:hAnsi="Times New Roman" w:cs="Times New Roman"/>
          <w:sz w:val="24"/>
          <w:szCs w:val="24"/>
        </w:rPr>
        <w:t xml:space="preserve">the U.S. Census Bureau (2012). </w:t>
      </w:r>
    </w:p>
    <w:p w:rsidR="002740CF" w:rsidRPr="00E545DA" w:rsidRDefault="008C7CAA" w:rsidP="002E762A">
      <w:pPr>
        <w:spacing w:after="40" w:line="240" w:lineRule="auto"/>
        <w:rPr>
          <w:rFonts w:ascii="Times New Roman" w:hAnsi="Times New Roman" w:cs="Times New Roman"/>
          <w:sz w:val="24"/>
          <w:szCs w:val="24"/>
        </w:rPr>
      </w:pPr>
      <w:r w:rsidRPr="00E545DA">
        <w:rPr>
          <w:rFonts w:ascii="Times New Roman" w:hAnsi="Times New Roman" w:cs="Times New Roman"/>
          <w:sz w:val="24"/>
          <w:szCs w:val="24"/>
        </w:rPr>
        <w:tab/>
        <w:t>The percentage of students eligible for free or reduced price lunch is a common proxy for measuring</w:t>
      </w:r>
      <w:r w:rsidR="002740CF" w:rsidRPr="00E545DA">
        <w:rPr>
          <w:rFonts w:ascii="Times New Roman" w:hAnsi="Times New Roman" w:cs="Times New Roman"/>
          <w:sz w:val="24"/>
          <w:szCs w:val="24"/>
        </w:rPr>
        <w:t xml:space="preserve"> the proportion of</w:t>
      </w:r>
      <w:r w:rsidRPr="00E545DA">
        <w:rPr>
          <w:rFonts w:ascii="Times New Roman" w:hAnsi="Times New Roman" w:cs="Times New Roman"/>
          <w:sz w:val="24"/>
          <w:szCs w:val="24"/>
        </w:rPr>
        <w:t xml:space="preserve"> </w:t>
      </w:r>
      <w:r w:rsidR="002740CF" w:rsidRPr="00E545DA">
        <w:rPr>
          <w:rFonts w:ascii="Times New Roman" w:hAnsi="Times New Roman" w:cs="Times New Roman"/>
          <w:sz w:val="24"/>
          <w:szCs w:val="24"/>
        </w:rPr>
        <w:t>students in</w:t>
      </w:r>
      <w:r w:rsidRPr="00E545DA">
        <w:rPr>
          <w:rFonts w:ascii="Times New Roman" w:hAnsi="Times New Roman" w:cs="Times New Roman"/>
          <w:sz w:val="24"/>
          <w:szCs w:val="24"/>
        </w:rPr>
        <w:t xml:space="preserve"> poverty. </w:t>
      </w:r>
      <w:r w:rsidR="00E57BD7" w:rsidRPr="00E545DA">
        <w:rPr>
          <w:rFonts w:ascii="Times New Roman" w:hAnsi="Times New Roman" w:cs="Times New Roman"/>
          <w:sz w:val="24"/>
          <w:szCs w:val="24"/>
        </w:rPr>
        <w:t xml:space="preserve">According to </w:t>
      </w:r>
      <w:proofErr w:type="spellStart"/>
      <w:r w:rsidR="00E57BD7" w:rsidRPr="00E545DA">
        <w:rPr>
          <w:rFonts w:ascii="Times New Roman" w:hAnsi="Times New Roman" w:cs="Times New Roman"/>
          <w:sz w:val="24"/>
          <w:szCs w:val="24"/>
        </w:rPr>
        <w:t>Balfanz</w:t>
      </w:r>
      <w:proofErr w:type="spellEnd"/>
      <w:r w:rsidR="00E57BD7" w:rsidRPr="00E545DA">
        <w:rPr>
          <w:rFonts w:ascii="Times New Roman" w:hAnsi="Times New Roman" w:cs="Times New Roman"/>
          <w:sz w:val="24"/>
          <w:szCs w:val="24"/>
        </w:rPr>
        <w:t xml:space="preserve"> and </w:t>
      </w:r>
      <w:proofErr w:type="spellStart"/>
      <w:r w:rsidR="00E57BD7" w:rsidRPr="00E545DA">
        <w:rPr>
          <w:rFonts w:ascii="Times New Roman" w:hAnsi="Times New Roman" w:cs="Times New Roman"/>
          <w:sz w:val="24"/>
          <w:szCs w:val="24"/>
        </w:rPr>
        <w:t>Legters</w:t>
      </w:r>
      <w:proofErr w:type="spellEnd"/>
      <w:r w:rsidR="00E57BD7" w:rsidRPr="00E545DA">
        <w:rPr>
          <w:rFonts w:ascii="Times New Roman" w:hAnsi="Times New Roman" w:cs="Times New Roman"/>
          <w:sz w:val="24"/>
          <w:szCs w:val="24"/>
        </w:rPr>
        <w:t xml:space="preserve"> (2006), “poverty is the fundamental driver of low graduation rates”</w:t>
      </w:r>
      <w:r w:rsidR="00D561CC" w:rsidRPr="00E545DA">
        <w:rPr>
          <w:rFonts w:ascii="Times New Roman" w:hAnsi="Times New Roman" w:cs="Times New Roman"/>
          <w:sz w:val="24"/>
          <w:szCs w:val="24"/>
        </w:rPr>
        <w:t xml:space="preserve"> (p. 1), and therefore </w:t>
      </w:r>
      <w:r w:rsidR="0072717B" w:rsidRPr="00E545DA">
        <w:rPr>
          <w:rFonts w:ascii="Times New Roman" w:hAnsi="Times New Roman" w:cs="Times New Roman"/>
          <w:sz w:val="24"/>
          <w:szCs w:val="24"/>
        </w:rPr>
        <w:t>should</w:t>
      </w:r>
      <w:r w:rsidR="00D561CC" w:rsidRPr="00E545DA">
        <w:rPr>
          <w:rFonts w:ascii="Times New Roman" w:hAnsi="Times New Roman" w:cs="Times New Roman"/>
          <w:sz w:val="24"/>
          <w:szCs w:val="24"/>
        </w:rPr>
        <w:t xml:space="preserve"> be considered</w:t>
      </w:r>
      <w:r w:rsidR="0072717B" w:rsidRPr="00E545DA">
        <w:rPr>
          <w:rFonts w:ascii="Times New Roman" w:hAnsi="Times New Roman" w:cs="Times New Roman"/>
          <w:sz w:val="24"/>
          <w:szCs w:val="24"/>
        </w:rPr>
        <w:t xml:space="preserve"> in any study related to factors influencing student academic performance</w:t>
      </w:r>
      <w:r w:rsidR="00D561CC" w:rsidRPr="00E545DA">
        <w:rPr>
          <w:rFonts w:ascii="Times New Roman" w:hAnsi="Times New Roman" w:cs="Times New Roman"/>
          <w:sz w:val="24"/>
          <w:szCs w:val="24"/>
        </w:rPr>
        <w:t xml:space="preserve">. Poverty </w:t>
      </w:r>
      <w:r w:rsidR="002740CF" w:rsidRPr="00E545DA">
        <w:rPr>
          <w:rFonts w:ascii="Times New Roman" w:hAnsi="Times New Roman" w:cs="Times New Roman"/>
          <w:sz w:val="24"/>
          <w:szCs w:val="24"/>
        </w:rPr>
        <w:t xml:space="preserve">may </w:t>
      </w:r>
      <w:r w:rsidR="00D561CC" w:rsidRPr="00E545DA">
        <w:rPr>
          <w:rFonts w:ascii="Times New Roman" w:hAnsi="Times New Roman" w:cs="Times New Roman"/>
          <w:sz w:val="24"/>
          <w:szCs w:val="24"/>
        </w:rPr>
        <w:t>interact with other factors, su</w:t>
      </w:r>
      <w:r w:rsidR="002740CF" w:rsidRPr="00E545DA">
        <w:rPr>
          <w:rFonts w:ascii="Times New Roman" w:hAnsi="Times New Roman" w:cs="Times New Roman"/>
          <w:sz w:val="24"/>
          <w:szCs w:val="24"/>
        </w:rPr>
        <w:t xml:space="preserve">ch as geographic region or ethnicity, but </w:t>
      </w:r>
      <w:r w:rsidR="0072717B" w:rsidRPr="00E545DA">
        <w:rPr>
          <w:rFonts w:ascii="Times New Roman" w:hAnsi="Times New Roman" w:cs="Times New Roman"/>
          <w:sz w:val="24"/>
          <w:szCs w:val="24"/>
        </w:rPr>
        <w:t xml:space="preserve">such </w:t>
      </w:r>
      <w:r w:rsidR="002740CF" w:rsidRPr="00E545DA">
        <w:rPr>
          <w:rFonts w:ascii="Times New Roman" w:hAnsi="Times New Roman" w:cs="Times New Roman"/>
          <w:sz w:val="24"/>
          <w:szCs w:val="24"/>
        </w:rPr>
        <w:t xml:space="preserve">interactions will not be considered. </w:t>
      </w:r>
    </w:p>
    <w:p w:rsidR="008C428D" w:rsidRPr="00E545DA" w:rsidRDefault="002740CF" w:rsidP="008E2756">
      <w:pPr>
        <w:autoSpaceDE w:val="0"/>
        <w:autoSpaceDN w:val="0"/>
        <w:adjustRightInd w:val="0"/>
        <w:spacing w:after="0" w:line="240" w:lineRule="auto"/>
        <w:rPr>
          <w:rFonts w:ascii="Times New Roman" w:hAnsi="Times New Roman" w:cs="Times New Roman"/>
          <w:sz w:val="24"/>
          <w:szCs w:val="24"/>
        </w:rPr>
      </w:pPr>
      <w:r w:rsidRPr="00E545DA">
        <w:rPr>
          <w:rFonts w:ascii="Times New Roman" w:hAnsi="Times New Roman" w:cs="Times New Roman"/>
          <w:sz w:val="24"/>
          <w:szCs w:val="24"/>
        </w:rPr>
        <w:tab/>
        <w:t xml:space="preserve">Total revenue per pupil is defined by the CCD as the total revenues allocated to public education received from all sources divided by the number of students enrolled in public schools. Students enrolled in private schools are not included in this figure. In an analysis of the 2007-08 school year graduation rate data, </w:t>
      </w:r>
      <w:proofErr w:type="spellStart"/>
      <w:r w:rsidRPr="00E545DA">
        <w:rPr>
          <w:rFonts w:ascii="Times New Roman" w:hAnsi="Times New Roman" w:cs="Times New Roman"/>
          <w:sz w:val="24"/>
          <w:szCs w:val="24"/>
        </w:rPr>
        <w:t>Kabaker</w:t>
      </w:r>
      <w:proofErr w:type="spellEnd"/>
      <w:r w:rsidRPr="00E545DA">
        <w:rPr>
          <w:rFonts w:ascii="Times New Roman" w:hAnsi="Times New Roman" w:cs="Times New Roman"/>
          <w:sz w:val="24"/>
          <w:szCs w:val="24"/>
        </w:rPr>
        <w:t xml:space="preserve"> (2010) reported a </w:t>
      </w:r>
      <w:r w:rsidR="00A2326E" w:rsidRPr="00E545DA">
        <w:rPr>
          <w:rFonts w:ascii="Times New Roman" w:hAnsi="Times New Roman" w:cs="Times New Roman"/>
          <w:sz w:val="24"/>
          <w:szCs w:val="24"/>
        </w:rPr>
        <w:t>weak positive</w:t>
      </w:r>
      <w:r w:rsidRPr="00E545DA">
        <w:rPr>
          <w:rFonts w:ascii="Times New Roman" w:hAnsi="Times New Roman" w:cs="Times New Roman"/>
          <w:sz w:val="24"/>
          <w:szCs w:val="24"/>
        </w:rPr>
        <w:t xml:space="preserve"> association between state expenditures</w:t>
      </w:r>
      <w:r w:rsidR="00A2326E" w:rsidRPr="00E545DA">
        <w:rPr>
          <w:rFonts w:ascii="Times New Roman" w:hAnsi="Times New Roman" w:cs="Times New Roman"/>
          <w:sz w:val="24"/>
          <w:szCs w:val="24"/>
        </w:rPr>
        <w:t xml:space="preserve"> per pupil and graduate rates, and she is careful to caution that ther</w:t>
      </w:r>
      <w:r w:rsidR="00BC0C38" w:rsidRPr="00E545DA">
        <w:rPr>
          <w:rFonts w:ascii="Times New Roman" w:hAnsi="Times New Roman" w:cs="Times New Roman"/>
          <w:sz w:val="24"/>
          <w:szCs w:val="24"/>
        </w:rPr>
        <w:t xml:space="preserve">e is considerably variability in the data. </w:t>
      </w:r>
      <w:r w:rsidR="00895B1D" w:rsidRPr="00E545DA">
        <w:rPr>
          <w:rFonts w:ascii="Times New Roman" w:hAnsi="Times New Roman" w:cs="Times New Roman"/>
          <w:sz w:val="24"/>
          <w:szCs w:val="24"/>
        </w:rPr>
        <w:t>Oth</w:t>
      </w:r>
      <w:r w:rsidR="008E2756" w:rsidRPr="00E545DA">
        <w:rPr>
          <w:rFonts w:ascii="Times New Roman" w:hAnsi="Times New Roman" w:cs="Times New Roman"/>
          <w:sz w:val="24"/>
          <w:szCs w:val="24"/>
        </w:rPr>
        <w:t>er researchers such as Baker (2012)</w:t>
      </w:r>
      <w:r w:rsidR="00895B1D" w:rsidRPr="00E545DA">
        <w:rPr>
          <w:rFonts w:ascii="Times New Roman" w:hAnsi="Times New Roman" w:cs="Times New Roman"/>
          <w:sz w:val="24"/>
          <w:szCs w:val="24"/>
        </w:rPr>
        <w:t xml:space="preserve"> have disagreed with this conclusion and have</w:t>
      </w:r>
      <w:r w:rsidR="00BC0C38" w:rsidRPr="00E545DA">
        <w:rPr>
          <w:rFonts w:ascii="Times New Roman" w:hAnsi="Times New Roman" w:cs="Times New Roman"/>
          <w:sz w:val="24"/>
          <w:szCs w:val="24"/>
        </w:rPr>
        <w:t xml:space="preserve"> reported </w:t>
      </w:r>
      <w:r w:rsidR="008E2756" w:rsidRPr="00E545DA">
        <w:rPr>
          <w:rFonts w:ascii="Times New Roman" w:hAnsi="Times New Roman" w:cs="Times New Roman"/>
          <w:sz w:val="24"/>
          <w:szCs w:val="24"/>
        </w:rPr>
        <w:t>“aggregate measures of per pupil spending are positively associated with improved or higher student outcomes” (p. 4).</w:t>
      </w:r>
    </w:p>
    <w:p w:rsidR="008E2756" w:rsidRPr="00E545DA" w:rsidRDefault="008E2756" w:rsidP="008E2756">
      <w:pPr>
        <w:autoSpaceDE w:val="0"/>
        <w:autoSpaceDN w:val="0"/>
        <w:adjustRightInd w:val="0"/>
        <w:spacing w:after="0" w:line="240" w:lineRule="auto"/>
        <w:rPr>
          <w:rFonts w:ascii="Times-Roman" w:hAnsi="Times-Roman" w:cs="Times-Roman"/>
          <w:sz w:val="24"/>
          <w:szCs w:val="24"/>
        </w:rPr>
      </w:pPr>
      <w:r w:rsidRPr="00E545DA">
        <w:rPr>
          <w:rFonts w:ascii="Times New Roman" w:hAnsi="Times New Roman" w:cs="Times New Roman"/>
          <w:sz w:val="24"/>
          <w:szCs w:val="24"/>
        </w:rPr>
        <w:tab/>
        <w:t xml:space="preserve">Findings related to the effects of pupil-teacher ratio on student performance have been mixed in the literature. </w:t>
      </w:r>
      <w:proofErr w:type="spellStart"/>
      <w:r w:rsidRPr="00E545DA">
        <w:rPr>
          <w:rFonts w:ascii="Times New Roman" w:hAnsi="Times New Roman" w:cs="Times New Roman"/>
          <w:sz w:val="24"/>
          <w:szCs w:val="24"/>
        </w:rPr>
        <w:t>Hanushek</w:t>
      </w:r>
      <w:proofErr w:type="spellEnd"/>
      <w:r w:rsidRPr="00E545DA">
        <w:rPr>
          <w:rFonts w:ascii="Times New Roman" w:hAnsi="Times New Roman" w:cs="Times New Roman"/>
          <w:sz w:val="24"/>
          <w:szCs w:val="24"/>
        </w:rPr>
        <w:t xml:space="preserve"> (1996) and </w:t>
      </w:r>
      <w:proofErr w:type="spellStart"/>
      <w:r w:rsidR="00E545DA" w:rsidRPr="00E545DA">
        <w:rPr>
          <w:rFonts w:ascii="Times New Roman" w:hAnsi="Times New Roman" w:cs="Times New Roman"/>
          <w:sz w:val="24"/>
          <w:szCs w:val="24"/>
        </w:rPr>
        <w:t>Eide</w:t>
      </w:r>
      <w:proofErr w:type="spellEnd"/>
      <w:r w:rsidR="00E545DA" w:rsidRPr="00E545DA">
        <w:rPr>
          <w:rFonts w:ascii="Times New Roman" w:hAnsi="Times New Roman" w:cs="Times New Roman"/>
          <w:sz w:val="24"/>
          <w:szCs w:val="24"/>
        </w:rPr>
        <w:t xml:space="preserve"> and Showalter (1998) concluded that pupil-teacher ratio is</w:t>
      </w:r>
      <w:r w:rsidR="00E545DA">
        <w:rPr>
          <w:rFonts w:ascii="Times New Roman" w:hAnsi="Times New Roman" w:cs="Times New Roman"/>
          <w:sz w:val="24"/>
          <w:szCs w:val="24"/>
        </w:rPr>
        <w:t xml:space="preserve"> insignificant for predicting student success. </w:t>
      </w:r>
      <w:r w:rsidR="00BE69DD">
        <w:rPr>
          <w:rFonts w:ascii="Times New Roman" w:hAnsi="Times New Roman" w:cs="Times New Roman"/>
          <w:sz w:val="24"/>
          <w:szCs w:val="24"/>
        </w:rPr>
        <w:t xml:space="preserve">Krueger and Whitmore (2001) and </w:t>
      </w:r>
      <w:proofErr w:type="spellStart"/>
      <w:r w:rsidR="00BE69DD">
        <w:rPr>
          <w:rFonts w:ascii="Times New Roman" w:hAnsi="Times New Roman" w:cs="Times New Roman"/>
          <w:sz w:val="24"/>
          <w:szCs w:val="24"/>
        </w:rPr>
        <w:t>Angrist</w:t>
      </w:r>
      <w:proofErr w:type="spellEnd"/>
      <w:r w:rsidR="00BE69DD">
        <w:rPr>
          <w:rFonts w:ascii="Times New Roman" w:hAnsi="Times New Roman" w:cs="Times New Roman"/>
          <w:sz w:val="24"/>
          <w:szCs w:val="24"/>
        </w:rPr>
        <w:t xml:space="preserve"> and </w:t>
      </w:r>
      <w:proofErr w:type="spellStart"/>
      <w:r w:rsidR="00BE69DD">
        <w:rPr>
          <w:rFonts w:ascii="Times New Roman" w:hAnsi="Times New Roman" w:cs="Times New Roman"/>
          <w:sz w:val="24"/>
          <w:szCs w:val="24"/>
        </w:rPr>
        <w:t>Lavy</w:t>
      </w:r>
      <w:proofErr w:type="spellEnd"/>
      <w:r w:rsidR="00BE69DD">
        <w:rPr>
          <w:rFonts w:ascii="Times New Roman" w:hAnsi="Times New Roman" w:cs="Times New Roman"/>
          <w:sz w:val="24"/>
          <w:szCs w:val="24"/>
        </w:rPr>
        <w:t xml:space="preserve"> (1999) report</w:t>
      </w:r>
      <w:r w:rsidR="00BC2B48">
        <w:rPr>
          <w:rFonts w:ascii="Times New Roman" w:hAnsi="Times New Roman" w:cs="Times New Roman"/>
          <w:sz w:val="24"/>
          <w:szCs w:val="24"/>
        </w:rPr>
        <w:t>ed that smaller class sizes had positive effects on student achievement, particularly for minority students, but their findings are limited to elementary and middle school students and therefore cannot be assumed</w:t>
      </w:r>
      <w:r w:rsidR="006A5C3F">
        <w:rPr>
          <w:rFonts w:ascii="Times New Roman" w:hAnsi="Times New Roman" w:cs="Times New Roman"/>
          <w:sz w:val="24"/>
          <w:szCs w:val="24"/>
        </w:rPr>
        <w:t xml:space="preserve"> to translate to</w:t>
      </w:r>
      <w:r w:rsidR="00BC2B48">
        <w:rPr>
          <w:rFonts w:ascii="Times New Roman" w:hAnsi="Times New Roman" w:cs="Times New Roman"/>
          <w:sz w:val="24"/>
          <w:szCs w:val="24"/>
        </w:rPr>
        <w:t xml:space="preserve"> secondary </w:t>
      </w:r>
      <w:r w:rsidR="006A5C3F">
        <w:rPr>
          <w:rFonts w:ascii="Times New Roman" w:hAnsi="Times New Roman" w:cs="Times New Roman"/>
          <w:sz w:val="24"/>
          <w:szCs w:val="24"/>
        </w:rPr>
        <w:t>schools</w:t>
      </w:r>
      <w:r w:rsidR="00BC2B48">
        <w:rPr>
          <w:rFonts w:ascii="Times New Roman" w:hAnsi="Times New Roman" w:cs="Times New Roman"/>
          <w:sz w:val="24"/>
          <w:szCs w:val="24"/>
        </w:rPr>
        <w:t xml:space="preserve">. </w:t>
      </w:r>
    </w:p>
    <w:p w:rsidR="00895B1D" w:rsidRPr="00E545DA" w:rsidRDefault="00895B1D" w:rsidP="002E762A">
      <w:pPr>
        <w:spacing w:after="40" w:line="240" w:lineRule="auto"/>
        <w:rPr>
          <w:rFonts w:ascii="Times New Roman" w:hAnsi="Times New Roman" w:cs="Times New Roman"/>
          <w:sz w:val="24"/>
          <w:szCs w:val="24"/>
        </w:rPr>
      </w:pPr>
    </w:p>
    <w:p w:rsidR="00895B1D" w:rsidRPr="00E545DA" w:rsidRDefault="00400D8F" w:rsidP="002E762A">
      <w:pPr>
        <w:spacing w:after="40" w:line="240" w:lineRule="auto"/>
        <w:rPr>
          <w:rFonts w:ascii="Times New Roman" w:hAnsi="Times New Roman" w:cs="Times New Roman"/>
          <w:b/>
          <w:i/>
          <w:sz w:val="24"/>
          <w:szCs w:val="24"/>
        </w:rPr>
      </w:pPr>
      <w:r w:rsidRPr="00E545DA">
        <w:rPr>
          <w:rFonts w:ascii="Times New Roman" w:hAnsi="Times New Roman" w:cs="Times New Roman"/>
          <w:b/>
          <w:i/>
          <w:sz w:val="24"/>
          <w:szCs w:val="24"/>
        </w:rPr>
        <w:t>Data Analysis</w:t>
      </w:r>
    </w:p>
    <w:p w:rsidR="00895B1D" w:rsidRPr="00E545DA" w:rsidRDefault="00895B1D" w:rsidP="002E762A">
      <w:pPr>
        <w:spacing w:after="40" w:line="240" w:lineRule="auto"/>
        <w:rPr>
          <w:rFonts w:ascii="Times New Roman" w:hAnsi="Times New Roman" w:cs="Times New Roman"/>
          <w:sz w:val="24"/>
          <w:szCs w:val="24"/>
        </w:rPr>
      </w:pPr>
      <w:r w:rsidRPr="00E545DA">
        <w:rPr>
          <w:rFonts w:ascii="Times New Roman" w:hAnsi="Times New Roman" w:cs="Times New Roman"/>
          <w:sz w:val="24"/>
          <w:szCs w:val="24"/>
        </w:rPr>
        <w:tab/>
        <w:t>A Bayesian l</w:t>
      </w:r>
      <w:r w:rsidR="001D72E6" w:rsidRPr="00E545DA">
        <w:rPr>
          <w:rFonts w:ascii="Times New Roman" w:hAnsi="Times New Roman" w:cs="Times New Roman"/>
          <w:sz w:val="24"/>
          <w:szCs w:val="24"/>
        </w:rPr>
        <w:t xml:space="preserve">inear model </w:t>
      </w:r>
      <w:r w:rsidR="00A675D3" w:rsidRPr="00E545DA">
        <w:rPr>
          <w:rFonts w:ascii="Times New Roman" w:hAnsi="Times New Roman" w:cs="Times New Roman"/>
          <w:sz w:val="24"/>
          <w:szCs w:val="24"/>
        </w:rPr>
        <w:t>of the form</w:t>
      </w:r>
      <w:r w:rsidR="00634D01" w:rsidRPr="00E545D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AFGR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PTR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TotRev</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FRLunch</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d>
          <m:dPr>
            <m:ctrlPr>
              <w:rPr>
                <w:rFonts w:ascii="Cambria Math" w:hAnsi="Cambria Math" w:cs="Times New Roman"/>
                <w:i/>
                <w:sz w:val="24"/>
                <w:szCs w:val="24"/>
              </w:rPr>
            </m:ctrlPr>
          </m:dPr>
          <m:e>
            <m:r>
              <w:rPr>
                <w:rFonts w:ascii="Cambria Math" w:hAnsi="Cambria Math" w:cs="Times New Roman"/>
                <w:sz w:val="24"/>
                <w:szCs w:val="24"/>
              </w:rPr>
              <m:t>LEP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d>
          <m:dPr>
            <m:ctrlPr>
              <w:rPr>
                <w:rFonts w:ascii="Cambria Math" w:hAnsi="Cambria Math" w:cs="Times New Roman"/>
                <w:i/>
                <w:sz w:val="24"/>
                <w:szCs w:val="24"/>
              </w:rPr>
            </m:ctrlPr>
          </m:dPr>
          <m:e>
            <m:r>
              <w:rPr>
                <w:rFonts w:ascii="Cambria Math" w:hAnsi="Cambria Math" w:cs="Times New Roman"/>
                <w:sz w:val="24"/>
                <w:szCs w:val="24"/>
              </w:rPr>
              <m:t>PopDens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w:r w:rsidR="00634D01" w:rsidRPr="00E545DA">
        <w:rPr>
          <w:rFonts w:ascii="Times New Roman" w:eastAsiaTheme="minorEastAsia" w:hAnsi="Times New Roman" w:cs="Times New Roman"/>
          <w:sz w:val="24"/>
          <w:szCs w:val="24"/>
        </w:rPr>
        <w:t xml:space="preserve"> </w:t>
      </w:r>
      <w:r w:rsidR="001D72E6" w:rsidRPr="00E545DA">
        <w:rPr>
          <w:rFonts w:ascii="Times New Roman" w:hAnsi="Times New Roman" w:cs="Times New Roman"/>
          <w:sz w:val="24"/>
          <w:szCs w:val="24"/>
        </w:rPr>
        <w:t xml:space="preserve">was </w:t>
      </w:r>
      <w:r w:rsidR="000E043F">
        <w:rPr>
          <w:rFonts w:ascii="Times New Roman" w:hAnsi="Times New Roman" w:cs="Times New Roman"/>
          <w:sz w:val="24"/>
          <w:szCs w:val="24"/>
        </w:rPr>
        <w:t xml:space="preserve">initially </w:t>
      </w:r>
      <w:r w:rsidR="001D72E6" w:rsidRPr="00E545DA">
        <w:rPr>
          <w:rFonts w:ascii="Times New Roman" w:hAnsi="Times New Roman" w:cs="Times New Roman"/>
          <w:sz w:val="24"/>
          <w:szCs w:val="24"/>
        </w:rPr>
        <w:t>fit to the data</w:t>
      </w:r>
      <w:r w:rsidR="00634D01" w:rsidRPr="00E545DA">
        <w:rPr>
          <w:rFonts w:ascii="Times New Roman" w:hAnsi="Times New Roman" w:cs="Times New Roman"/>
          <w:sz w:val="24"/>
          <w:szCs w:val="24"/>
        </w:rPr>
        <w:t xml:space="preserve">. </w:t>
      </w:r>
      <w:r w:rsidR="001D72E6" w:rsidRPr="00E545DA">
        <w:rPr>
          <w:rFonts w:ascii="Times New Roman" w:hAnsi="Times New Roman" w:cs="Times New Roman"/>
          <w:sz w:val="24"/>
          <w:szCs w:val="24"/>
        </w:rPr>
        <w:t>The hierarchic</w:t>
      </w:r>
      <w:r w:rsidR="000E043F">
        <w:rPr>
          <w:rFonts w:ascii="Times New Roman" w:hAnsi="Times New Roman" w:cs="Times New Roman"/>
          <w:sz w:val="24"/>
          <w:szCs w:val="24"/>
        </w:rPr>
        <w:t xml:space="preserve">al structure used to create this </w:t>
      </w:r>
      <w:r w:rsidR="001D72E6" w:rsidRPr="00E545DA">
        <w:rPr>
          <w:rFonts w:ascii="Times New Roman" w:hAnsi="Times New Roman" w:cs="Times New Roman"/>
          <w:sz w:val="24"/>
          <w:szCs w:val="24"/>
        </w:rPr>
        <w:t xml:space="preserve">model is borrowed from </w:t>
      </w:r>
      <w:proofErr w:type="spellStart"/>
      <w:r w:rsidR="001D72E6" w:rsidRPr="00E545DA">
        <w:rPr>
          <w:rFonts w:ascii="Times New Roman" w:hAnsi="Times New Roman" w:cs="Times New Roman"/>
          <w:sz w:val="24"/>
          <w:szCs w:val="24"/>
        </w:rPr>
        <w:t>Kruschke</w:t>
      </w:r>
      <w:proofErr w:type="spellEnd"/>
      <w:r w:rsidR="001D72E6" w:rsidRPr="00E545DA">
        <w:rPr>
          <w:rFonts w:ascii="Times New Roman" w:hAnsi="Times New Roman" w:cs="Times New Roman"/>
          <w:sz w:val="24"/>
          <w:szCs w:val="24"/>
        </w:rPr>
        <w:t xml:space="preserve"> (</w:t>
      </w:r>
      <w:r w:rsidR="00634D01" w:rsidRPr="00E545DA">
        <w:rPr>
          <w:rFonts w:ascii="Times New Roman" w:hAnsi="Times New Roman" w:cs="Times New Roman"/>
          <w:sz w:val="24"/>
          <w:szCs w:val="24"/>
        </w:rPr>
        <w:t>2010) and is shown in Figure 1. The prior distribution for each parameter estimate is an uninformative normal with mean zero and precision</w:t>
      </w: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oMath>
      <w:r w:rsidR="00634D01" w:rsidRPr="00E545DA">
        <w:rPr>
          <w:rFonts w:ascii="Times New Roman" w:eastAsiaTheme="minorEastAsia" w:hAnsi="Times New Roman" w:cs="Times New Roman"/>
          <w:sz w:val="24"/>
          <w:szCs w:val="24"/>
        </w:rPr>
        <w:t>.</w:t>
      </w:r>
      <w:r w:rsidR="001C113C" w:rsidRPr="00E545DA">
        <w:rPr>
          <w:rFonts w:ascii="Times New Roman" w:eastAsiaTheme="minorEastAsia" w:hAnsi="Times New Roman" w:cs="Times New Roman"/>
          <w:sz w:val="24"/>
          <w:szCs w:val="24"/>
        </w:rPr>
        <w:t xml:space="preserve"> The data are modeled by a normal likelihood function with mean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e>
        </m:acc>
        <m:r>
          <w:rPr>
            <w:rFonts w:ascii="Cambria Math" w:eastAsiaTheme="minorEastAsia" w:hAnsi="Cambria Math" w:cs="Times New Roman"/>
            <w:sz w:val="24"/>
            <w:szCs w:val="24"/>
          </w:rPr>
          <m:t>+</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5</m:t>
            </m:r>
          </m:sup>
          <m:e>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ji</m:t>
                </m:r>
              </m:sub>
            </m:sSub>
          </m:e>
        </m:nary>
      </m:oMath>
      <w:r w:rsidR="001C113C" w:rsidRPr="00E545DA">
        <w:rPr>
          <w:rFonts w:ascii="Times New Roman" w:eastAsiaTheme="minorEastAsia" w:hAnsi="Times New Roman" w:cs="Times New Roman"/>
          <w:sz w:val="24"/>
          <w:szCs w:val="24"/>
        </w:rPr>
        <w:t xml:space="preserve"> and precision </w:t>
      </w:r>
      <m:oMath>
        <m:r>
          <w:rPr>
            <w:rFonts w:ascii="Cambria Math" w:eastAsiaTheme="minorEastAsia" w:hAnsi="Cambria Math" w:cs="Times New Roman"/>
            <w:sz w:val="24"/>
            <w:szCs w:val="24"/>
          </w:rPr>
          <m:t>τ~</m:t>
        </m:r>
      </m:oMath>
      <w:proofErr w:type="gramStart"/>
      <w:r w:rsidR="001C113C" w:rsidRPr="00E545DA">
        <w:rPr>
          <w:rFonts w:ascii="Times New Roman" w:eastAsiaTheme="minorEastAsia" w:hAnsi="Times New Roman" w:cs="Times New Roman"/>
          <w:sz w:val="24"/>
          <w:szCs w:val="24"/>
        </w:rPr>
        <w:t>Gamma(</w:t>
      </w:r>
      <w:proofErr w:type="gramEnd"/>
      <w:r w:rsidR="001C113C" w:rsidRPr="00E545DA">
        <w:rPr>
          <w:rFonts w:ascii="Times New Roman" w:eastAsiaTheme="minorEastAsia" w:hAnsi="Times New Roman" w:cs="Times New Roman"/>
          <w:sz w:val="24"/>
          <w:szCs w:val="24"/>
        </w:rPr>
        <w:t>0.01, 0.01).</w:t>
      </w:r>
    </w:p>
    <w:p w:rsidR="001D72E6" w:rsidRPr="00E545DA" w:rsidRDefault="001D72E6" w:rsidP="001D72E6">
      <w:pPr>
        <w:spacing w:after="40" w:line="240" w:lineRule="auto"/>
        <w:jc w:val="center"/>
        <w:rPr>
          <w:rFonts w:ascii="Times New Roman" w:hAnsi="Times New Roman" w:cs="Times New Roman"/>
          <w:sz w:val="24"/>
          <w:szCs w:val="24"/>
        </w:rPr>
      </w:pPr>
      <w:r w:rsidRPr="00E545DA">
        <w:rPr>
          <w:rFonts w:ascii="Times New Roman" w:hAnsi="Times New Roman" w:cs="Times New Roman"/>
          <w:noProof/>
          <w:sz w:val="24"/>
          <w:szCs w:val="24"/>
        </w:rPr>
        <w:lastRenderedPageBreak/>
        <w:drawing>
          <wp:inline distT="0" distB="0" distL="0" distR="0" wp14:anchorId="193CD8FA" wp14:editId="4E5C9F39">
            <wp:extent cx="3051169" cy="24029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56883" cy="2407459"/>
                    </a:xfrm>
                    <a:prstGeom prst="rect">
                      <a:avLst/>
                    </a:prstGeom>
                  </pic:spPr>
                </pic:pic>
              </a:graphicData>
            </a:graphic>
          </wp:inline>
        </w:drawing>
      </w:r>
    </w:p>
    <w:p w:rsidR="001D72E6" w:rsidRPr="00E545DA" w:rsidRDefault="001D72E6" w:rsidP="001D72E6">
      <w:pPr>
        <w:spacing w:after="40" w:line="240" w:lineRule="auto"/>
        <w:jc w:val="center"/>
        <w:rPr>
          <w:rFonts w:ascii="Times New Roman" w:hAnsi="Times New Roman" w:cs="Times New Roman"/>
          <w:i/>
          <w:sz w:val="24"/>
          <w:szCs w:val="24"/>
        </w:rPr>
      </w:pPr>
      <w:r w:rsidRPr="00E545DA">
        <w:rPr>
          <w:rFonts w:ascii="Times New Roman" w:hAnsi="Times New Roman" w:cs="Times New Roman"/>
          <w:i/>
          <w:sz w:val="24"/>
          <w:szCs w:val="24"/>
        </w:rPr>
        <w:t xml:space="preserve">Figure 1: Hierarchical Diagram of Multiple Regression Model, Fig. 17.4 in </w:t>
      </w:r>
      <w:proofErr w:type="spellStart"/>
      <w:r w:rsidRPr="00E545DA">
        <w:rPr>
          <w:rFonts w:ascii="Times New Roman" w:hAnsi="Times New Roman" w:cs="Times New Roman"/>
          <w:i/>
          <w:sz w:val="24"/>
          <w:szCs w:val="24"/>
        </w:rPr>
        <w:t>Kruschke</w:t>
      </w:r>
      <w:proofErr w:type="spellEnd"/>
      <w:r w:rsidRPr="00E545DA">
        <w:rPr>
          <w:rFonts w:ascii="Times New Roman" w:hAnsi="Times New Roman" w:cs="Times New Roman"/>
          <w:i/>
          <w:sz w:val="24"/>
          <w:szCs w:val="24"/>
        </w:rPr>
        <w:t xml:space="preserve"> (2010).</w:t>
      </w:r>
    </w:p>
    <w:p w:rsidR="002D4832" w:rsidRPr="00E545DA" w:rsidRDefault="002D4832" w:rsidP="001D72E6">
      <w:pPr>
        <w:spacing w:after="40" w:line="240" w:lineRule="auto"/>
        <w:jc w:val="center"/>
        <w:rPr>
          <w:rFonts w:ascii="Times New Roman" w:hAnsi="Times New Roman" w:cs="Times New Roman"/>
          <w:i/>
          <w:sz w:val="24"/>
          <w:szCs w:val="24"/>
        </w:rPr>
      </w:pPr>
    </w:p>
    <w:p w:rsidR="002D4832" w:rsidRPr="00E545DA" w:rsidRDefault="002D4832" w:rsidP="002D4832">
      <w:pPr>
        <w:spacing w:after="40" w:line="240" w:lineRule="auto"/>
        <w:rPr>
          <w:rFonts w:ascii="Times New Roman" w:eastAsiaTheme="minorEastAsia" w:hAnsi="Times New Roman" w:cs="Times New Roman"/>
          <w:sz w:val="24"/>
          <w:szCs w:val="24"/>
        </w:rPr>
      </w:pPr>
      <w:r w:rsidRPr="00E545DA">
        <w:rPr>
          <w:rFonts w:ascii="Times New Roman" w:hAnsi="Times New Roman" w:cs="Times New Roman"/>
          <w:sz w:val="24"/>
          <w:szCs w:val="24"/>
        </w:rPr>
        <w:tab/>
        <w:t xml:space="preserve">A </w:t>
      </w:r>
      <w:proofErr w:type="spellStart"/>
      <w:r w:rsidRPr="00E545DA">
        <w:rPr>
          <w:rFonts w:ascii="Times New Roman" w:hAnsi="Times New Roman" w:cs="Times New Roman"/>
          <w:sz w:val="24"/>
          <w:szCs w:val="24"/>
        </w:rPr>
        <w:t>frequentist</w:t>
      </w:r>
      <w:proofErr w:type="spellEnd"/>
      <w:r w:rsidRPr="00E545DA">
        <w:rPr>
          <w:rFonts w:ascii="Times New Roman" w:hAnsi="Times New Roman" w:cs="Times New Roman"/>
          <w:sz w:val="24"/>
          <w:szCs w:val="24"/>
        </w:rPr>
        <w:t xml:space="preserve"> </w:t>
      </w:r>
      <w:r w:rsidR="000E043F">
        <w:rPr>
          <w:rFonts w:ascii="Times New Roman" w:hAnsi="Times New Roman" w:cs="Times New Roman"/>
          <w:sz w:val="24"/>
          <w:szCs w:val="24"/>
        </w:rPr>
        <w:t xml:space="preserve">multiple </w:t>
      </w:r>
      <w:r w:rsidRPr="00E545DA">
        <w:rPr>
          <w:rFonts w:ascii="Times New Roman" w:hAnsi="Times New Roman" w:cs="Times New Roman"/>
          <w:sz w:val="24"/>
          <w:szCs w:val="24"/>
        </w:rPr>
        <w:t xml:space="preserve">regression model was first </w:t>
      </w:r>
      <w:r w:rsidR="000E043F">
        <w:rPr>
          <w:rFonts w:ascii="Times New Roman" w:hAnsi="Times New Roman" w:cs="Times New Roman"/>
          <w:sz w:val="24"/>
          <w:szCs w:val="24"/>
        </w:rPr>
        <w:t>fit to the data to determine</w:t>
      </w:r>
      <w:r w:rsidRPr="00E545DA">
        <w:rPr>
          <w:rFonts w:ascii="Times New Roman" w:hAnsi="Times New Roman" w:cs="Times New Roman"/>
          <w:sz w:val="24"/>
          <w:szCs w:val="24"/>
        </w:rPr>
        <w:t xml:space="preserve"> </w:t>
      </w:r>
      <w:r w:rsidR="000E043F">
        <w:rPr>
          <w:rFonts w:ascii="Times New Roman" w:hAnsi="Times New Roman" w:cs="Times New Roman"/>
          <w:sz w:val="24"/>
          <w:szCs w:val="24"/>
        </w:rPr>
        <w:t xml:space="preserve">if the data required </w:t>
      </w:r>
      <w:r w:rsidRPr="00E545DA">
        <w:rPr>
          <w:rFonts w:ascii="Times New Roman" w:hAnsi="Times New Roman" w:cs="Times New Roman"/>
          <w:sz w:val="24"/>
          <w:szCs w:val="24"/>
        </w:rPr>
        <w:t>transformation. A Q-Q plot of the model residuals indicated non-normality, as did the Shapiro-</w:t>
      </w:r>
      <w:proofErr w:type="spellStart"/>
      <w:r w:rsidRPr="00E545DA">
        <w:rPr>
          <w:rFonts w:ascii="Times New Roman" w:hAnsi="Times New Roman" w:cs="Times New Roman"/>
          <w:sz w:val="24"/>
          <w:szCs w:val="24"/>
        </w:rPr>
        <w:t>Wilk</w:t>
      </w:r>
      <w:proofErr w:type="spellEnd"/>
      <w:r w:rsidRPr="00E545DA">
        <w:rPr>
          <w:rFonts w:ascii="Times New Roman" w:hAnsi="Times New Roman" w:cs="Times New Roman"/>
          <w:sz w:val="24"/>
          <w:szCs w:val="24"/>
        </w:rPr>
        <w:t xml:space="preserve"> normality test with p = 0.001. A log-likelihood plot for the Box-Cox transformation parameter suggested </w:t>
      </w:r>
      <m:oMath>
        <m:r>
          <w:rPr>
            <w:rFonts w:ascii="Cambria Math" w:hAnsi="Cambria Math" w:cs="Times New Roman"/>
            <w:sz w:val="24"/>
            <w:szCs w:val="24"/>
          </w:rPr>
          <m:t>λ=3</m:t>
        </m:r>
      </m:oMath>
      <w:r w:rsidRPr="00E545DA">
        <w:rPr>
          <w:rFonts w:ascii="Times New Roman" w:eastAsiaTheme="minorEastAsia" w:hAnsi="Times New Roman" w:cs="Times New Roman"/>
          <w:sz w:val="24"/>
          <w:szCs w:val="24"/>
        </w:rPr>
        <w:t xml:space="preserve"> may be appropriate. A new model of the form </w:t>
      </w:r>
      <m:oMath>
        <m:sSubSup>
          <m:sSubSupPr>
            <m:ctrlPr>
              <w:rPr>
                <w:rFonts w:ascii="Cambria Math" w:hAnsi="Cambria Math" w:cs="Times New Roman"/>
                <w:i/>
                <w:sz w:val="24"/>
                <w:szCs w:val="24"/>
              </w:rPr>
            </m:ctrlPr>
          </m:sSubSupPr>
          <m:e>
            <m:r>
              <w:rPr>
                <w:rFonts w:ascii="Cambria Math" w:hAnsi="Cambria Math" w:cs="Times New Roman"/>
                <w:sz w:val="24"/>
                <w:szCs w:val="24"/>
              </w:rPr>
              <m:t>AFGR</m:t>
            </m:r>
          </m:e>
          <m:sub>
            <m:r>
              <w:rPr>
                <w:rFonts w:ascii="Cambria Math" w:hAnsi="Cambria Math" w:cs="Times New Roman"/>
                <w:sz w:val="24"/>
                <w:szCs w:val="24"/>
              </w:rPr>
              <m:t>i</m:t>
            </m:r>
          </m:sub>
          <m:sup>
            <m:r>
              <w:rPr>
                <w:rFonts w:ascii="Cambria Math" w:hAnsi="Cambria Math" w:cs="Times New Roman"/>
                <w:sz w:val="24"/>
                <w:szCs w:val="24"/>
              </w:rPr>
              <m:t>3</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PTR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TotRev</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FRLunch</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d>
          <m:dPr>
            <m:ctrlPr>
              <w:rPr>
                <w:rFonts w:ascii="Cambria Math" w:hAnsi="Cambria Math" w:cs="Times New Roman"/>
                <w:i/>
                <w:sz w:val="24"/>
                <w:szCs w:val="24"/>
              </w:rPr>
            </m:ctrlPr>
          </m:dPr>
          <m:e>
            <m:r>
              <w:rPr>
                <w:rFonts w:ascii="Cambria Math" w:hAnsi="Cambria Math" w:cs="Times New Roman"/>
                <w:sz w:val="24"/>
                <w:szCs w:val="24"/>
              </w:rPr>
              <m:t>LEP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d>
          <m:dPr>
            <m:ctrlPr>
              <w:rPr>
                <w:rFonts w:ascii="Cambria Math" w:hAnsi="Cambria Math" w:cs="Times New Roman"/>
                <w:i/>
                <w:sz w:val="24"/>
                <w:szCs w:val="24"/>
              </w:rPr>
            </m:ctrlPr>
          </m:dPr>
          <m:e>
            <m:r>
              <w:rPr>
                <w:rFonts w:ascii="Cambria Math" w:hAnsi="Cambria Math" w:cs="Times New Roman"/>
                <w:sz w:val="24"/>
                <w:szCs w:val="24"/>
              </w:rPr>
              <m:t>PopDens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w:r w:rsidRPr="00E545DA">
        <w:rPr>
          <w:rFonts w:ascii="Times New Roman" w:eastAsiaTheme="minorEastAsia" w:hAnsi="Times New Roman" w:cs="Times New Roman"/>
          <w:sz w:val="24"/>
          <w:szCs w:val="24"/>
        </w:rPr>
        <w:t xml:space="preserve"> was fit to the data. A scale-location plot indicated that the transformed model had constant residual variance, and a</w:t>
      </w:r>
      <w:r w:rsidR="00BA532A" w:rsidRPr="00E545DA">
        <w:rPr>
          <w:rFonts w:ascii="Times New Roman" w:eastAsiaTheme="minorEastAsia" w:hAnsi="Times New Roman" w:cs="Times New Roman"/>
          <w:sz w:val="24"/>
          <w:szCs w:val="24"/>
        </w:rPr>
        <w:t xml:space="preserve"> Q-Q plot showed approximate residual normality</w:t>
      </w:r>
      <w:r w:rsidRPr="00E545DA">
        <w:rPr>
          <w:rFonts w:ascii="Times New Roman" w:eastAsiaTheme="minorEastAsia" w:hAnsi="Times New Roman" w:cs="Times New Roman"/>
          <w:sz w:val="24"/>
          <w:szCs w:val="24"/>
        </w:rPr>
        <w:t xml:space="preserve">. The transformed response </w:t>
      </w:r>
      <m:oMath>
        <m:sSubSup>
          <m:sSubSupPr>
            <m:ctrlPr>
              <w:rPr>
                <w:rFonts w:ascii="Cambria Math" w:hAnsi="Cambria Math" w:cs="Times New Roman"/>
                <w:i/>
                <w:sz w:val="24"/>
                <w:szCs w:val="24"/>
              </w:rPr>
            </m:ctrlPr>
          </m:sSubSupPr>
          <m:e>
            <m:r>
              <w:rPr>
                <w:rFonts w:ascii="Cambria Math" w:hAnsi="Cambria Math" w:cs="Times New Roman"/>
                <w:sz w:val="24"/>
                <w:szCs w:val="24"/>
              </w:rPr>
              <m:t>AFGR</m:t>
            </m:r>
          </m:e>
          <m:sub>
            <m:r>
              <w:rPr>
                <w:rFonts w:ascii="Cambria Math" w:hAnsi="Cambria Math" w:cs="Times New Roman"/>
                <w:sz w:val="24"/>
                <w:szCs w:val="24"/>
              </w:rPr>
              <m:t>i</m:t>
            </m:r>
          </m:sub>
          <m:sup>
            <m:r>
              <w:rPr>
                <w:rFonts w:ascii="Cambria Math" w:hAnsi="Cambria Math" w:cs="Times New Roman"/>
                <w:sz w:val="24"/>
                <w:szCs w:val="24"/>
              </w:rPr>
              <m:t>3</m:t>
            </m:r>
          </m:sup>
        </m:sSubSup>
      </m:oMath>
      <w:r w:rsidRPr="00E545DA">
        <w:rPr>
          <w:rFonts w:ascii="Times New Roman" w:eastAsiaTheme="minorEastAsia" w:hAnsi="Times New Roman" w:cs="Times New Roman"/>
          <w:sz w:val="24"/>
          <w:szCs w:val="24"/>
        </w:rPr>
        <w:t xml:space="preserve"> is therefore used</w:t>
      </w:r>
      <w:r w:rsidR="000E043F">
        <w:rPr>
          <w:rFonts w:ascii="Times New Roman" w:eastAsiaTheme="minorEastAsia" w:hAnsi="Times New Roman" w:cs="Times New Roman"/>
          <w:sz w:val="24"/>
          <w:szCs w:val="24"/>
        </w:rPr>
        <w:t xml:space="preserve"> to form the Bayesian regression</w:t>
      </w:r>
      <w:r w:rsidR="00CD7FE8" w:rsidRPr="00E545DA">
        <w:rPr>
          <w:rFonts w:ascii="Times New Roman" w:eastAsiaTheme="minorEastAsia" w:hAnsi="Times New Roman" w:cs="Times New Roman"/>
          <w:sz w:val="24"/>
          <w:szCs w:val="24"/>
        </w:rPr>
        <w:t xml:space="preserve"> </w:t>
      </w:r>
      <w:r w:rsidRPr="00E545DA">
        <w:rPr>
          <w:rFonts w:ascii="Times New Roman" w:eastAsiaTheme="minorEastAsia" w:hAnsi="Times New Roman" w:cs="Times New Roman"/>
          <w:sz w:val="24"/>
          <w:szCs w:val="24"/>
        </w:rPr>
        <w:t xml:space="preserve">model. </w:t>
      </w:r>
    </w:p>
    <w:p w:rsidR="00CD7FE8" w:rsidRPr="00E545DA" w:rsidRDefault="00CD7FE8" w:rsidP="002D4832">
      <w:pPr>
        <w:spacing w:after="40" w:line="240" w:lineRule="auto"/>
        <w:rPr>
          <w:rFonts w:ascii="Times New Roman" w:eastAsiaTheme="minorEastAsia" w:hAnsi="Times New Roman" w:cs="Times New Roman"/>
          <w:sz w:val="24"/>
          <w:szCs w:val="24"/>
        </w:rPr>
      </w:pPr>
      <w:r w:rsidRPr="00E545DA">
        <w:rPr>
          <w:rFonts w:ascii="Times New Roman" w:eastAsiaTheme="minorEastAsia" w:hAnsi="Times New Roman" w:cs="Times New Roman"/>
          <w:sz w:val="24"/>
          <w:szCs w:val="24"/>
        </w:rPr>
        <w:tab/>
        <w:t>A Jags MCMC simulation was run with three chains with 10000 iterations each. No thinning was performed, and 5000 burn-in steps were</w:t>
      </w:r>
      <w:r w:rsidR="007A583D" w:rsidRPr="00E545DA">
        <w:rPr>
          <w:rFonts w:ascii="Times New Roman" w:eastAsiaTheme="minorEastAsia" w:hAnsi="Times New Roman" w:cs="Times New Roman"/>
          <w:sz w:val="24"/>
          <w:szCs w:val="24"/>
        </w:rPr>
        <w:t xml:space="preserve"> run. No scaling or centering was done to the predictor variables. </w:t>
      </w:r>
      <w:r w:rsidR="008A20F9" w:rsidRPr="00E545DA">
        <w:rPr>
          <w:rFonts w:ascii="Times New Roman" w:eastAsiaTheme="minorEastAsia" w:hAnsi="Times New Roman" w:cs="Times New Roman"/>
          <w:sz w:val="24"/>
          <w:szCs w:val="24"/>
        </w:rPr>
        <w:t xml:space="preserve">While the posterior densities for </w:t>
      </w:r>
      <w:r w:rsidR="00976F83">
        <w:rPr>
          <w:rFonts w:ascii="Times New Roman" w:eastAsiaTheme="minorEastAsia" w:hAnsi="Times New Roman" w:cs="Times New Roman"/>
          <w:sz w:val="24"/>
          <w:szCs w:val="24"/>
        </w:rPr>
        <w:t>some</w:t>
      </w:r>
      <w:r w:rsidR="008A20F9" w:rsidRPr="00E545DA">
        <w:rPr>
          <w:rFonts w:ascii="Times New Roman" w:eastAsiaTheme="minorEastAsia" w:hAnsi="Times New Roman" w:cs="Times New Roman"/>
          <w:sz w:val="24"/>
          <w:szCs w:val="24"/>
        </w:rPr>
        <w:t xml:space="preserve"> parameters were well-represented, several </w:t>
      </w:r>
      <w:r w:rsidR="00976F83">
        <w:rPr>
          <w:rFonts w:ascii="Times New Roman" w:eastAsiaTheme="minorEastAsia" w:hAnsi="Times New Roman" w:cs="Times New Roman"/>
          <w:sz w:val="24"/>
          <w:szCs w:val="24"/>
        </w:rPr>
        <w:t>extreme values were accepted in</w:t>
      </w:r>
      <w:r w:rsidR="008A20F9" w:rsidRPr="00E545DA">
        <w:rPr>
          <w:rFonts w:ascii="Times New Roman" w:eastAsiaTheme="minorEastAsia" w:hAnsi="Times New Roman" w:cs="Times New Roman"/>
          <w:sz w:val="24"/>
          <w:szCs w:val="24"/>
        </w:rPr>
        <w:t xml:space="preserve"> the chains</w:t>
      </w:r>
      <w:r w:rsidR="00976F83">
        <w:rPr>
          <w:rFonts w:ascii="Times New Roman" w:eastAsiaTheme="minorEastAsia" w:hAnsi="Times New Roman" w:cs="Times New Roman"/>
          <w:sz w:val="24"/>
          <w:szCs w:val="24"/>
        </w:rPr>
        <w:t xml:space="preserve"> of others</w:t>
      </w:r>
      <w:r w:rsidR="008A20F9" w:rsidRPr="00E545DA">
        <w:rPr>
          <w:rFonts w:ascii="Times New Roman" w:eastAsiaTheme="minorEastAsia" w:hAnsi="Times New Roman" w:cs="Times New Roman"/>
          <w:sz w:val="24"/>
          <w:szCs w:val="24"/>
        </w:rPr>
        <w:t xml:space="preserve">. Figure 2 shows the MCMC chains and posterior distributions for the </w:t>
      </w:r>
      <w:proofErr w:type="gramStart"/>
      <w:r w:rsidR="008A20F9" w:rsidRPr="00E545DA">
        <w:rPr>
          <w:rFonts w:ascii="Times New Roman" w:eastAsiaTheme="minorEastAsia" w:hAnsi="Times New Roman" w:cs="Times New Roman"/>
          <w:sz w:val="24"/>
          <w:szCs w:val="24"/>
        </w:rPr>
        <w:t xml:space="preserve">parameters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oMath>
      <w:r w:rsidR="008A20F9" w:rsidRPr="00E545DA">
        <w:rPr>
          <w:rFonts w:ascii="Times New Roman" w:eastAsiaTheme="minorEastAsia" w:hAnsi="Times New Roman" w:cs="Times New Roman"/>
          <w:sz w:val="24"/>
          <w:szCs w:val="24"/>
        </w:rPr>
        <w:t xml:space="preserve">. </w:t>
      </w:r>
      <w:r w:rsidR="00527B10">
        <w:rPr>
          <w:rFonts w:ascii="Times New Roman" w:eastAsiaTheme="minorEastAsia" w:hAnsi="Times New Roman" w:cs="Times New Roman"/>
          <w:sz w:val="24"/>
          <w:szCs w:val="24"/>
        </w:rPr>
        <w:t>S</w:t>
      </w:r>
      <w:r w:rsidR="008A20F9" w:rsidRPr="00E545DA">
        <w:rPr>
          <w:rFonts w:ascii="Times New Roman" w:eastAsiaTheme="minorEastAsia" w:hAnsi="Times New Roman" w:cs="Times New Roman"/>
          <w:sz w:val="24"/>
          <w:szCs w:val="24"/>
        </w:rPr>
        <w:t>everal extreme</w:t>
      </w:r>
      <w:r w:rsidR="00527B10">
        <w:rPr>
          <w:rFonts w:ascii="Times New Roman" w:eastAsiaTheme="minorEastAsia" w:hAnsi="Times New Roman" w:cs="Times New Roman"/>
          <w:sz w:val="24"/>
          <w:szCs w:val="24"/>
        </w:rPr>
        <w:t>-valued</w:t>
      </w:r>
      <w:r w:rsidR="008A20F9" w:rsidRPr="00E545DA">
        <w:rPr>
          <w:rFonts w:ascii="Times New Roman" w:eastAsiaTheme="minorEastAsia" w:hAnsi="Times New Roman" w:cs="Times New Roman"/>
          <w:sz w:val="24"/>
          <w:szCs w:val="24"/>
        </w:rPr>
        <w:t xml:space="preserve"> </w:t>
      </w:r>
      <w:r w:rsidR="0025218A" w:rsidRPr="00E545DA">
        <w:rPr>
          <w:rFonts w:ascii="Times New Roman" w:eastAsiaTheme="minorEastAsia" w:hAnsi="Times New Roman" w:cs="Times New Roman"/>
          <w:sz w:val="24"/>
          <w:szCs w:val="24"/>
        </w:rPr>
        <w:t>spikes</w:t>
      </w:r>
      <w:r w:rsidR="00527B10">
        <w:rPr>
          <w:rFonts w:ascii="Times New Roman" w:eastAsiaTheme="minorEastAsia" w:hAnsi="Times New Roman" w:cs="Times New Roman"/>
          <w:sz w:val="24"/>
          <w:szCs w:val="24"/>
        </w:rPr>
        <w:t xml:space="preserve"> are evident in the chains</w:t>
      </w:r>
      <w:r w:rsidR="0025218A" w:rsidRPr="00E545DA">
        <w:rPr>
          <w:rFonts w:ascii="Times New Roman" w:eastAsiaTheme="minorEastAsia" w:hAnsi="Times New Roman" w:cs="Times New Roman"/>
          <w:sz w:val="24"/>
          <w:szCs w:val="24"/>
        </w:rPr>
        <w:t>,</w:t>
      </w:r>
      <w:r w:rsidR="008A20F9" w:rsidRPr="00E545DA">
        <w:rPr>
          <w:rFonts w:ascii="Times New Roman" w:eastAsiaTheme="minorEastAsia" w:hAnsi="Times New Roman" w:cs="Times New Roman"/>
          <w:sz w:val="24"/>
          <w:szCs w:val="24"/>
        </w:rPr>
        <w:t xml:space="preserve"> and </w:t>
      </w:r>
      <w:proofErr w:type="gramStart"/>
      <w:r w:rsidR="008A20F9" w:rsidRPr="00E545DA">
        <w:rPr>
          <w:rFonts w:ascii="Times New Roman" w:eastAsiaTheme="minorEastAsia" w:hAnsi="Times New Roman" w:cs="Times New Roman"/>
          <w:sz w:val="24"/>
          <w:szCs w:val="24"/>
        </w:rPr>
        <w:t xml:space="preserve">this </w:t>
      </w:r>
      <w:r w:rsidR="0025218A" w:rsidRPr="00E545DA">
        <w:rPr>
          <w:rFonts w:ascii="Times New Roman" w:eastAsiaTheme="minorEastAsia" w:hAnsi="Times New Roman" w:cs="Times New Roman"/>
          <w:sz w:val="24"/>
          <w:szCs w:val="24"/>
        </w:rPr>
        <w:t>results</w:t>
      </w:r>
      <w:proofErr w:type="gramEnd"/>
      <w:r w:rsidR="0025218A" w:rsidRPr="00E545DA">
        <w:rPr>
          <w:rFonts w:ascii="Times New Roman" w:eastAsiaTheme="minorEastAsia" w:hAnsi="Times New Roman" w:cs="Times New Roman"/>
          <w:sz w:val="24"/>
          <w:szCs w:val="24"/>
        </w:rPr>
        <w:t xml:space="preserve"> in</w:t>
      </w:r>
      <w:r w:rsidR="008A20F9" w:rsidRPr="00E545DA">
        <w:rPr>
          <w:rFonts w:ascii="Times New Roman" w:eastAsiaTheme="minorEastAsia" w:hAnsi="Times New Roman" w:cs="Times New Roman"/>
          <w:sz w:val="24"/>
          <w:szCs w:val="24"/>
        </w:rPr>
        <w:t xml:space="preserve"> the posterior </w:t>
      </w:r>
      <w:r w:rsidR="0025218A" w:rsidRPr="00E545DA">
        <w:rPr>
          <w:rFonts w:ascii="Times New Roman" w:eastAsiaTheme="minorEastAsia" w:hAnsi="Times New Roman" w:cs="Times New Roman"/>
          <w:sz w:val="24"/>
          <w:szCs w:val="24"/>
        </w:rPr>
        <w:t>distributions spanning too wide an interval. Consequently</w:t>
      </w:r>
      <w:r w:rsidR="00527B10">
        <w:rPr>
          <w:rFonts w:ascii="Times New Roman" w:eastAsiaTheme="minorEastAsia" w:hAnsi="Times New Roman" w:cs="Times New Roman"/>
          <w:sz w:val="24"/>
          <w:szCs w:val="24"/>
        </w:rPr>
        <w:t>,</w:t>
      </w:r>
      <w:r w:rsidR="0025218A" w:rsidRPr="00E545DA">
        <w:rPr>
          <w:rFonts w:ascii="Times New Roman" w:eastAsiaTheme="minorEastAsia" w:hAnsi="Times New Roman" w:cs="Times New Roman"/>
          <w:sz w:val="24"/>
          <w:szCs w:val="24"/>
        </w:rPr>
        <w:t xml:space="preserve"> the bulk of the probability mass appears </w:t>
      </w:r>
      <w:r w:rsidR="00527B10">
        <w:rPr>
          <w:rFonts w:ascii="Times New Roman" w:eastAsiaTheme="minorEastAsia" w:hAnsi="Times New Roman" w:cs="Times New Roman"/>
          <w:sz w:val="24"/>
          <w:szCs w:val="24"/>
        </w:rPr>
        <w:t xml:space="preserve">inappropriately </w:t>
      </w:r>
      <w:r w:rsidR="0025218A" w:rsidRPr="00E545DA">
        <w:rPr>
          <w:rFonts w:ascii="Times New Roman" w:eastAsiaTheme="minorEastAsia" w:hAnsi="Times New Roman" w:cs="Times New Roman"/>
          <w:sz w:val="24"/>
          <w:szCs w:val="24"/>
        </w:rPr>
        <w:t xml:space="preserve">compacted </w:t>
      </w:r>
      <w:r w:rsidR="00527B10">
        <w:rPr>
          <w:rFonts w:ascii="Times New Roman" w:eastAsiaTheme="minorEastAsia" w:hAnsi="Times New Roman" w:cs="Times New Roman"/>
          <w:sz w:val="24"/>
          <w:szCs w:val="24"/>
        </w:rPr>
        <w:t>into</w:t>
      </w:r>
      <w:r w:rsidR="0025218A" w:rsidRPr="00E545DA">
        <w:rPr>
          <w:rFonts w:ascii="Times New Roman" w:eastAsiaTheme="minorEastAsia" w:hAnsi="Times New Roman" w:cs="Times New Roman"/>
          <w:sz w:val="24"/>
          <w:szCs w:val="24"/>
        </w:rPr>
        <w:t xml:space="preserve"> a</w:t>
      </w:r>
      <w:r w:rsidR="00527B10">
        <w:rPr>
          <w:rFonts w:ascii="Times New Roman" w:eastAsiaTheme="minorEastAsia" w:hAnsi="Times New Roman" w:cs="Times New Roman"/>
          <w:sz w:val="24"/>
          <w:szCs w:val="24"/>
        </w:rPr>
        <w:t xml:space="preserve"> narrow</w:t>
      </w:r>
      <w:r w:rsidR="0025218A" w:rsidRPr="00E545DA">
        <w:rPr>
          <w:rFonts w:ascii="Times New Roman" w:eastAsiaTheme="minorEastAsia" w:hAnsi="Times New Roman" w:cs="Times New Roman"/>
          <w:sz w:val="24"/>
          <w:szCs w:val="24"/>
        </w:rPr>
        <w:t xml:space="preserve"> interval. </w:t>
      </w:r>
    </w:p>
    <w:p w:rsidR="007A583D" w:rsidRPr="00E545DA" w:rsidRDefault="007A583D" w:rsidP="00766E51">
      <w:pPr>
        <w:spacing w:after="40" w:line="240" w:lineRule="auto"/>
        <w:jc w:val="center"/>
        <w:rPr>
          <w:rFonts w:ascii="Times New Roman" w:hAnsi="Times New Roman" w:cs="Times New Roman"/>
          <w:sz w:val="24"/>
          <w:szCs w:val="24"/>
        </w:rPr>
      </w:pPr>
      <w:r w:rsidRPr="00E545DA">
        <w:rPr>
          <w:rFonts w:ascii="Times New Roman" w:hAnsi="Times New Roman" w:cs="Times New Roman"/>
          <w:noProof/>
          <w:sz w:val="24"/>
          <w:szCs w:val="24"/>
        </w:rPr>
        <w:drawing>
          <wp:inline distT="0" distB="0" distL="0" distR="0" wp14:anchorId="52D4514D" wp14:editId="363FCEF0">
            <wp:extent cx="3434316" cy="16833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50984"/>
                    <a:stretch/>
                  </pic:blipFill>
                  <pic:spPr bwMode="auto">
                    <a:xfrm>
                      <a:off x="0" y="0"/>
                      <a:ext cx="3448630" cy="1690384"/>
                    </a:xfrm>
                    <a:prstGeom prst="rect">
                      <a:avLst/>
                    </a:prstGeom>
                    <a:ln>
                      <a:noFill/>
                    </a:ln>
                    <a:extLst>
                      <a:ext uri="{53640926-AAD7-44D8-BBD7-CCE9431645EC}">
                        <a14:shadowObscured xmlns:a14="http://schemas.microsoft.com/office/drawing/2010/main"/>
                      </a:ext>
                    </a:extLst>
                  </pic:spPr>
                </pic:pic>
              </a:graphicData>
            </a:graphic>
          </wp:inline>
        </w:drawing>
      </w:r>
    </w:p>
    <w:p w:rsidR="00400D8F" w:rsidRPr="00E545DA" w:rsidRDefault="0025218A" w:rsidP="0025218A">
      <w:pPr>
        <w:spacing w:after="40" w:line="240" w:lineRule="auto"/>
        <w:jc w:val="center"/>
        <w:rPr>
          <w:rFonts w:ascii="Times New Roman" w:eastAsiaTheme="minorEastAsia" w:hAnsi="Times New Roman" w:cs="Times New Roman"/>
          <w:i/>
          <w:sz w:val="24"/>
          <w:szCs w:val="24"/>
        </w:rPr>
      </w:pPr>
      <w:r w:rsidRPr="00E545DA">
        <w:rPr>
          <w:rFonts w:ascii="Times New Roman" w:hAnsi="Times New Roman" w:cs="Times New Roman"/>
          <w:i/>
          <w:sz w:val="24"/>
          <w:szCs w:val="24"/>
        </w:rPr>
        <w:t>Figure 2</w:t>
      </w:r>
      <w:proofErr w:type="gramStart"/>
      <w:r w:rsidRPr="00E545DA">
        <w:rPr>
          <w:rFonts w:ascii="Times New Roman" w:hAnsi="Times New Roman" w:cs="Times New Roman"/>
          <w:i/>
          <w:sz w:val="24"/>
          <w:szCs w:val="24"/>
        </w:rPr>
        <w:t>:Poster</w:t>
      </w:r>
      <w:r w:rsidR="00766E51" w:rsidRPr="00E545DA">
        <w:rPr>
          <w:rFonts w:ascii="Times New Roman" w:hAnsi="Times New Roman" w:cs="Times New Roman"/>
          <w:i/>
          <w:sz w:val="24"/>
          <w:szCs w:val="24"/>
        </w:rPr>
        <w:t>i</w:t>
      </w:r>
      <w:r w:rsidRPr="00E545DA">
        <w:rPr>
          <w:rFonts w:ascii="Times New Roman" w:hAnsi="Times New Roman" w:cs="Times New Roman"/>
          <w:i/>
          <w:sz w:val="24"/>
          <w:szCs w:val="24"/>
        </w:rPr>
        <w:t>or</w:t>
      </w:r>
      <w:proofErr w:type="gramEnd"/>
      <w:r w:rsidRPr="00E545DA">
        <w:rPr>
          <w:rFonts w:ascii="Times New Roman" w:hAnsi="Times New Roman" w:cs="Times New Roman"/>
          <w:i/>
          <w:sz w:val="24"/>
          <w:szCs w:val="24"/>
        </w:rPr>
        <w:t xml:space="preserve"> Distributions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oMath>
      <w:r w:rsidRPr="00E545DA">
        <w:rPr>
          <w:rFonts w:ascii="Times New Roman" w:eastAsiaTheme="minorEastAsia" w:hAnsi="Times New Roman" w:cs="Times New Roman"/>
          <w:i/>
          <w:sz w:val="24"/>
          <w:szCs w:val="24"/>
        </w:rPr>
        <w:t xml:space="preserve"> from Initial Model</w:t>
      </w:r>
    </w:p>
    <w:p w:rsidR="004902A8" w:rsidRPr="00E545DA" w:rsidRDefault="004902A8" w:rsidP="004902A8">
      <w:pPr>
        <w:spacing w:after="40" w:line="240" w:lineRule="auto"/>
        <w:rPr>
          <w:rFonts w:ascii="Times New Roman" w:eastAsiaTheme="minorEastAsia" w:hAnsi="Times New Roman" w:cs="Times New Roman"/>
          <w:sz w:val="24"/>
          <w:szCs w:val="24"/>
        </w:rPr>
      </w:pPr>
      <w:r w:rsidRPr="00E545DA">
        <w:rPr>
          <w:rFonts w:ascii="Times New Roman" w:eastAsiaTheme="minorEastAsia" w:hAnsi="Times New Roman" w:cs="Times New Roman"/>
          <w:sz w:val="24"/>
          <w:szCs w:val="24"/>
        </w:rPr>
        <w:tab/>
      </w:r>
    </w:p>
    <w:p w:rsidR="004902A8" w:rsidRPr="00E545DA" w:rsidRDefault="004902A8" w:rsidP="004902A8">
      <w:pPr>
        <w:spacing w:after="40" w:line="240" w:lineRule="auto"/>
        <w:rPr>
          <w:rFonts w:ascii="Times New Roman" w:eastAsiaTheme="minorEastAsia" w:hAnsi="Times New Roman" w:cs="Times New Roman"/>
          <w:sz w:val="24"/>
          <w:szCs w:val="24"/>
        </w:rPr>
      </w:pPr>
      <w:r w:rsidRPr="00E545DA">
        <w:rPr>
          <w:rFonts w:ascii="Times New Roman" w:eastAsiaTheme="minorEastAsia" w:hAnsi="Times New Roman" w:cs="Times New Roman"/>
          <w:sz w:val="24"/>
          <w:szCs w:val="24"/>
        </w:rPr>
        <w:tab/>
        <w:t>Rather than centering and scaling the predictor</w:t>
      </w:r>
      <w:r w:rsidR="000E043F">
        <w:rPr>
          <w:rFonts w:ascii="Times New Roman" w:eastAsiaTheme="minorEastAsia" w:hAnsi="Times New Roman" w:cs="Times New Roman"/>
          <w:sz w:val="24"/>
          <w:szCs w:val="24"/>
        </w:rPr>
        <w:t>s, which</w:t>
      </w:r>
      <w:r w:rsidRPr="00E545DA">
        <w:rPr>
          <w:rFonts w:ascii="Times New Roman" w:eastAsiaTheme="minorEastAsia" w:hAnsi="Times New Roman" w:cs="Times New Roman"/>
          <w:sz w:val="24"/>
          <w:szCs w:val="24"/>
        </w:rPr>
        <w:t xml:space="preserve"> </w:t>
      </w:r>
      <w:r w:rsidR="000E043F">
        <w:rPr>
          <w:rFonts w:ascii="Times New Roman" w:eastAsiaTheme="minorEastAsia" w:hAnsi="Times New Roman" w:cs="Times New Roman"/>
          <w:sz w:val="24"/>
          <w:szCs w:val="24"/>
        </w:rPr>
        <w:t>increases</w:t>
      </w:r>
      <w:r w:rsidRPr="00E545DA">
        <w:rPr>
          <w:rFonts w:ascii="Times New Roman" w:eastAsiaTheme="minorEastAsia" w:hAnsi="Times New Roman" w:cs="Times New Roman"/>
          <w:sz w:val="24"/>
          <w:szCs w:val="24"/>
        </w:rPr>
        <w:t xml:space="preserve"> the difficultly of interpreting the </w:t>
      </w:r>
      <w:r w:rsidR="00CB40BB">
        <w:rPr>
          <w:rFonts w:ascii="Times New Roman" w:eastAsiaTheme="minorEastAsia" w:hAnsi="Times New Roman" w:cs="Times New Roman"/>
          <w:sz w:val="24"/>
          <w:szCs w:val="24"/>
        </w:rPr>
        <w:t xml:space="preserve">results, the prior distribution </w:t>
      </w:r>
      <w:r w:rsidR="00763D1E" w:rsidRPr="00E545DA">
        <w:rPr>
          <w:rFonts w:ascii="Times New Roman" w:eastAsiaTheme="minorEastAsia" w:hAnsi="Times New Roman" w:cs="Times New Roman"/>
          <w:sz w:val="24"/>
          <w:szCs w:val="24"/>
        </w:rPr>
        <w:t xml:space="preserve">for the likelihood </w:t>
      </w:r>
      <w:r w:rsidR="00CB40BB">
        <w:rPr>
          <w:rFonts w:ascii="Times New Roman" w:eastAsiaTheme="minorEastAsia" w:hAnsi="Times New Roman" w:cs="Times New Roman"/>
          <w:sz w:val="24"/>
          <w:szCs w:val="24"/>
        </w:rPr>
        <w:t>standard deviation</w:t>
      </w:r>
      <w:r w:rsidR="00763D1E" w:rsidRPr="00E545DA">
        <w:rPr>
          <w:rFonts w:ascii="Times New Roman" w:eastAsiaTheme="minorEastAsia" w:hAnsi="Times New Roman" w:cs="Times New Roman"/>
          <w:sz w:val="24"/>
          <w:szCs w:val="24"/>
        </w:rPr>
        <w:t xml:space="preserve"> was changed to </w:t>
      </w:r>
      <w:r w:rsidR="00763D1E" w:rsidRPr="00E545DA">
        <w:rPr>
          <w:rFonts w:ascii="Times New Roman" w:eastAsiaTheme="minorEastAsia" w:hAnsi="Times New Roman" w:cs="Times New Roman"/>
          <w:sz w:val="24"/>
          <w:szCs w:val="24"/>
        </w:rPr>
        <w:lastRenderedPageBreak/>
        <w:t>a uniform distribution on the interval [0, 100]</w:t>
      </w:r>
      <w:r w:rsidR="00CB40BB">
        <w:rPr>
          <w:rFonts w:ascii="Times New Roman" w:eastAsiaTheme="minorEastAsia" w:hAnsi="Times New Roman" w:cs="Times New Roman"/>
          <w:sz w:val="24"/>
          <w:szCs w:val="24"/>
        </w:rPr>
        <w:t xml:space="preserve">, </w:t>
      </w:r>
      <w:proofErr w:type="gramStart"/>
      <w:r w:rsidR="00CB40BB">
        <w:rPr>
          <w:rFonts w:ascii="Times New Roman" w:eastAsiaTheme="minorEastAsia" w:hAnsi="Times New Roman" w:cs="Times New Roman"/>
          <w:sz w:val="24"/>
          <w:szCs w:val="24"/>
        </w:rPr>
        <w:t xml:space="preserve">and </w:t>
      </w:r>
      <w:proofErr w:type="gramEnd"/>
      <m:oMath>
        <m:r>
          <w:rPr>
            <w:rFonts w:ascii="Cambria Math" w:eastAsiaTheme="minorEastAsia" w:hAnsi="Cambria Math" w:cs="Times New Roman"/>
            <w:sz w:val="24"/>
            <w:szCs w:val="24"/>
          </w:rPr>
          <m:t>τ=</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den>
        </m:f>
      </m:oMath>
      <w:r w:rsidR="00763D1E" w:rsidRPr="00E545DA">
        <w:rPr>
          <w:rFonts w:ascii="Times New Roman" w:eastAsiaTheme="minorEastAsia" w:hAnsi="Times New Roman" w:cs="Times New Roman"/>
          <w:sz w:val="24"/>
          <w:szCs w:val="24"/>
        </w:rPr>
        <w:t>.</w:t>
      </w:r>
      <w:r w:rsidR="00FE4C10">
        <w:rPr>
          <w:rFonts w:ascii="Times New Roman" w:eastAsiaTheme="minorEastAsia" w:hAnsi="Times New Roman" w:cs="Times New Roman"/>
          <w:sz w:val="24"/>
          <w:szCs w:val="24"/>
        </w:rPr>
        <w:t xml:space="preserve"> This modification was first suggested by </w:t>
      </w:r>
      <w:proofErr w:type="spellStart"/>
      <w:r w:rsidR="00FE4C10">
        <w:rPr>
          <w:rFonts w:ascii="Times New Roman" w:eastAsiaTheme="minorEastAsia" w:hAnsi="Times New Roman" w:cs="Times New Roman"/>
          <w:sz w:val="24"/>
          <w:szCs w:val="24"/>
        </w:rPr>
        <w:t>Gelman</w:t>
      </w:r>
      <w:proofErr w:type="spellEnd"/>
      <w:r w:rsidR="00FE4C10">
        <w:rPr>
          <w:rFonts w:ascii="Times New Roman" w:eastAsiaTheme="minorEastAsia" w:hAnsi="Times New Roman" w:cs="Times New Roman"/>
          <w:sz w:val="24"/>
          <w:szCs w:val="24"/>
        </w:rPr>
        <w:t xml:space="preserve"> (2006) as a</w:t>
      </w:r>
      <w:r w:rsidR="00734E28">
        <w:rPr>
          <w:rFonts w:ascii="Times New Roman" w:eastAsiaTheme="minorEastAsia" w:hAnsi="Times New Roman" w:cs="Times New Roman"/>
          <w:sz w:val="24"/>
          <w:szCs w:val="24"/>
        </w:rPr>
        <w:t>n</w:t>
      </w:r>
      <w:r w:rsidR="00FE4C10">
        <w:rPr>
          <w:rFonts w:ascii="Times New Roman" w:eastAsiaTheme="minorEastAsia" w:hAnsi="Times New Roman" w:cs="Times New Roman"/>
          <w:sz w:val="24"/>
          <w:szCs w:val="24"/>
        </w:rPr>
        <w:t xml:space="preserve"> </w:t>
      </w:r>
      <w:r w:rsidR="00734E28">
        <w:rPr>
          <w:rFonts w:ascii="Times New Roman" w:eastAsiaTheme="minorEastAsia" w:hAnsi="Times New Roman" w:cs="Times New Roman"/>
          <w:sz w:val="24"/>
          <w:szCs w:val="24"/>
        </w:rPr>
        <w:t>effective non-informative prior for the variance of the mean response in Bayesian hierarchical models.</w:t>
      </w:r>
      <w:r w:rsidR="00763D1E" w:rsidRPr="00E545DA">
        <w:rPr>
          <w:rFonts w:ascii="Times New Roman" w:eastAsiaTheme="minorEastAsia" w:hAnsi="Times New Roman" w:cs="Times New Roman"/>
          <w:sz w:val="24"/>
          <w:szCs w:val="24"/>
        </w:rPr>
        <w:t xml:space="preserve"> This modification dramatically improved the performance of the MCMC chains. </w:t>
      </w:r>
      <w:r w:rsidR="00766E51" w:rsidRPr="00E545DA">
        <w:rPr>
          <w:rFonts w:ascii="Times New Roman" w:eastAsiaTheme="minorEastAsia" w:hAnsi="Times New Roman" w:cs="Times New Roman"/>
          <w:sz w:val="24"/>
          <w:szCs w:val="24"/>
        </w:rPr>
        <w:t xml:space="preserve">Figure 3 shows the resulting chains and posterior distributions </w:t>
      </w:r>
      <w:proofErr w:type="gramStart"/>
      <w:r w:rsidR="00766E51" w:rsidRPr="00E545DA">
        <w:rPr>
          <w:rFonts w:ascii="Times New Roman" w:eastAsiaTheme="minorEastAsia" w:hAnsi="Times New Roman" w:cs="Times New Roman"/>
          <w:sz w:val="24"/>
          <w:szCs w:val="24"/>
        </w:rPr>
        <w:t xml:space="preserve">for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oMath>
      <w:r w:rsidR="00766E51" w:rsidRPr="00E545DA">
        <w:rPr>
          <w:rFonts w:ascii="Times New Roman" w:eastAsiaTheme="minorEastAsia" w:hAnsi="Times New Roman" w:cs="Times New Roman"/>
          <w:sz w:val="24"/>
          <w:szCs w:val="24"/>
        </w:rPr>
        <w:t>, which clearly include far fewer outliers than the posteriors in Figure 2. The posterior distributions for the other paramete</w:t>
      </w:r>
      <w:r w:rsidR="00633745" w:rsidRPr="00E545DA">
        <w:rPr>
          <w:rFonts w:ascii="Times New Roman" w:eastAsiaTheme="minorEastAsia" w:hAnsi="Times New Roman" w:cs="Times New Roman"/>
          <w:sz w:val="24"/>
          <w:szCs w:val="24"/>
        </w:rPr>
        <w:t>rs are similarly well-represented</w:t>
      </w:r>
      <w:r w:rsidR="00766E51" w:rsidRPr="00E545DA">
        <w:rPr>
          <w:rFonts w:ascii="Times New Roman" w:eastAsiaTheme="minorEastAsia" w:hAnsi="Times New Roman" w:cs="Times New Roman"/>
          <w:sz w:val="24"/>
          <w:szCs w:val="24"/>
        </w:rPr>
        <w:t xml:space="preserve">, and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oMath>
      <w:r w:rsidR="00766E51" w:rsidRPr="00E545DA">
        <w:rPr>
          <w:rFonts w:ascii="Times New Roman" w:eastAsiaTheme="minorEastAsia" w:hAnsi="Times New Roman" w:cs="Times New Roman"/>
          <w:sz w:val="24"/>
          <w:szCs w:val="24"/>
        </w:rPr>
        <w:t xml:space="preserve"> for each parameter estimate is 1.001, which indicates convergence. </w:t>
      </w:r>
    </w:p>
    <w:p w:rsidR="00E22952" w:rsidRPr="00E545DA" w:rsidRDefault="00062D25" w:rsidP="00766E51">
      <w:pPr>
        <w:spacing w:after="40" w:line="240" w:lineRule="auto"/>
        <w:jc w:val="center"/>
        <w:rPr>
          <w:rFonts w:ascii="Times New Roman" w:hAnsi="Times New Roman" w:cs="Times New Roman"/>
          <w:sz w:val="24"/>
          <w:szCs w:val="24"/>
        </w:rPr>
      </w:pPr>
      <w:r w:rsidRPr="00E545DA">
        <w:rPr>
          <w:rFonts w:ascii="Times New Roman" w:hAnsi="Times New Roman" w:cs="Times New Roman"/>
          <w:noProof/>
          <w:sz w:val="24"/>
          <w:szCs w:val="24"/>
        </w:rPr>
        <w:drawing>
          <wp:inline distT="0" distB="0" distL="0" distR="0" wp14:anchorId="53528504" wp14:editId="1FC5C3C5">
            <wp:extent cx="3505200" cy="1755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49910"/>
                    <a:stretch/>
                  </pic:blipFill>
                  <pic:spPr bwMode="auto">
                    <a:xfrm>
                      <a:off x="0" y="0"/>
                      <a:ext cx="3501990" cy="1754127"/>
                    </a:xfrm>
                    <a:prstGeom prst="rect">
                      <a:avLst/>
                    </a:prstGeom>
                    <a:ln>
                      <a:noFill/>
                    </a:ln>
                    <a:extLst>
                      <a:ext uri="{53640926-AAD7-44D8-BBD7-CCE9431645EC}">
                        <a14:shadowObscured xmlns:a14="http://schemas.microsoft.com/office/drawing/2010/main"/>
                      </a:ext>
                    </a:extLst>
                  </pic:spPr>
                </pic:pic>
              </a:graphicData>
            </a:graphic>
          </wp:inline>
        </w:drawing>
      </w:r>
    </w:p>
    <w:p w:rsidR="00E22952" w:rsidRDefault="00E22952" w:rsidP="00E22952">
      <w:pPr>
        <w:spacing w:after="40" w:line="240" w:lineRule="auto"/>
        <w:jc w:val="center"/>
        <w:rPr>
          <w:rFonts w:ascii="Times New Roman" w:eastAsiaTheme="minorEastAsia" w:hAnsi="Times New Roman" w:cs="Times New Roman"/>
          <w:i/>
          <w:sz w:val="24"/>
          <w:szCs w:val="24"/>
        </w:rPr>
      </w:pPr>
      <w:r w:rsidRPr="00E545DA">
        <w:rPr>
          <w:rFonts w:ascii="Times New Roman" w:eastAsiaTheme="minorEastAsia" w:hAnsi="Times New Roman" w:cs="Times New Roman"/>
          <w:i/>
          <w:sz w:val="24"/>
          <w:szCs w:val="24"/>
        </w:rPr>
        <w:t xml:space="preserve">Figure 3: </w:t>
      </w:r>
      <w:r w:rsidRPr="00E545DA">
        <w:rPr>
          <w:rFonts w:ascii="Times New Roman" w:hAnsi="Times New Roman" w:cs="Times New Roman"/>
          <w:i/>
          <w:sz w:val="24"/>
          <w:szCs w:val="24"/>
        </w:rPr>
        <w:t xml:space="preserve">Posterior Distributions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oMath>
      <w:r w:rsidRPr="00E545DA">
        <w:rPr>
          <w:rFonts w:ascii="Times New Roman" w:eastAsiaTheme="minorEastAsia" w:hAnsi="Times New Roman" w:cs="Times New Roman"/>
          <w:i/>
          <w:sz w:val="24"/>
          <w:szCs w:val="24"/>
        </w:rPr>
        <w:t xml:space="preserve"> from </w:t>
      </w:r>
      <m:oMath>
        <m:r>
          <w:rPr>
            <w:rFonts w:ascii="Cambria Math" w:eastAsiaTheme="minorEastAsia" w:hAnsi="Cambria Math" w:cs="Times New Roman"/>
            <w:sz w:val="24"/>
            <w:szCs w:val="24"/>
          </w:rPr>
          <m:t>τ~dunif[0,100]</m:t>
        </m:r>
      </m:oMath>
      <w:r w:rsidRPr="00E545DA">
        <w:rPr>
          <w:rFonts w:ascii="Times New Roman" w:eastAsiaTheme="minorEastAsia" w:hAnsi="Times New Roman" w:cs="Times New Roman"/>
          <w:i/>
          <w:sz w:val="24"/>
          <w:szCs w:val="24"/>
        </w:rPr>
        <w:t xml:space="preserve"> Model</w:t>
      </w:r>
    </w:p>
    <w:p w:rsidR="000D41FA" w:rsidRPr="00E545DA" w:rsidRDefault="000D41FA" w:rsidP="00E22952">
      <w:pPr>
        <w:spacing w:after="40" w:line="240" w:lineRule="auto"/>
        <w:jc w:val="center"/>
        <w:rPr>
          <w:rFonts w:ascii="Times New Roman" w:eastAsiaTheme="minorEastAsia" w:hAnsi="Times New Roman" w:cs="Times New Roman"/>
          <w:i/>
          <w:sz w:val="24"/>
          <w:szCs w:val="24"/>
        </w:rPr>
      </w:pPr>
    </w:p>
    <w:p w:rsidR="00766E51" w:rsidRPr="00E545DA" w:rsidRDefault="00633745" w:rsidP="00633745">
      <w:pPr>
        <w:spacing w:after="40" w:line="240" w:lineRule="auto"/>
        <w:rPr>
          <w:rFonts w:ascii="Times New Roman" w:eastAsiaTheme="minorEastAsia" w:hAnsi="Times New Roman" w:cs="Times New Roman"/>
          <w:sz w:val="24"/>
          <w:szCs w:val="24"/>
        </w:rPr>
      </w:pPr>
      <w:r w:rsidRPr="00E545DA">
        <w:rPr>
          <w:rFonts w:ascii="Times New Roman" w:eastAsiaTheme="minorEastAsia" w:hAnsi="Times New Roman" w:cs="Times New Roman"/>
          <w:sz w:val="24"/>
          <w:szCs w:val="24"/>
        </w:rPr>
        <w:tab/>
        <w:t xml:space="preserve">To verify assumptions of residual normality and </w:t>
      </w:r>
      <w:r w:rsidR="00D73CF8" w:rsidRPr="00E545DA">
        <w:rPr>
          <w:rFonts w:ascii="Times New Roman" w:eastAsiaTheme="minorEastAsia" w:hAnsi="Times New Roman" w:cs="Times New Roman"/>
          <w:sz w:val="24"/>
          <w:szCs w:val="24"/>
        </w:rPr>
        <w:t>constant variance, a normal Q-Q plot and a</w:t>
      </w:r>
      <w:r w:rsidR="00734E28">
        <w:rPr>
          <w:rFonts w:ascii="Times New Roman" w:eastAsiaTheme="minorEastAsia" w:hAnsi="Times New Roman" w:cs="Times New Roman"/>
          <w:sz w:val="24"/>
          <w:szCs w:val="24"/>
        </w:rPr>
        <w:t xml:space="preserve"> plot of</w:t>
      </w:r>
      <w:r w:rsidR="00D73CF8" w:rsidRPr="00E545DA">
        <w:rPr>
          <w:rFonts w:ascii="Times New Roman" w:eastAsiaTheme="minorEastAsia" w:hAnsi="Times New Roman" w:cs="Times New Roman"/>
          <w:sz w:val="24"/>
          <w:szCs w:val="24"/>
        </w:rPr>
        <w:t xml:space="preserve"> </w:t>
      </w:r>
      <w:r w:rsidR="00734E28">
        <w:rPr>
          <w:rFonts w:ascii="Times New Roman" w:eastAsiaTheme="minorEastAsia" w:hAnsi="Times New Roman" w:cs="Times New Roman"/>
          <w:sz w:val="24"/>
          <w:szCs w:val="24"/>
        </w:rPr>
        <w:t>the residual versus</w:t>
      </w:r>
      <w:r w:rsidR="00D73CF8" w:rsidRPr="00E545DA">
        <w:rPr>
          <w:rFonts w:ascii="Times New Roman" w:eastAsiaTheme="minorEastAsia" w:hAnsi="Times New Roman" w:cs="Times New Roman"/>
          <w:sz w:val="24"/>
          <w:szCs w:val="24"/>
        </w:rPr>
        <w:t xml:space="preserve"> fitted values plot were created. These plots are shown in Figure 4 and confirm that the model assumptions are acceptable. </w:t>
      </w:r>
    </w:p>
    <w:p w:rsidR="00633745" w:rsidRPr="00E545DA" w:rsidRDefault="00633745" w:rsidP="00633745">
      <w:pPr>
        <w:spacing w:after="40" w:line="240" w:lineRule="auto"/>
        <w:jc w:val="center"/>
        <w:rPr>
          <w:rFonts w:ascii="Times New Roman" w:eastAsiaTheme="minorEastAsia" w:hAnsi="Times New Roman" w:cs="Times New Roman"/>
          <w:i/>
          <w:sz w:val="24"/>
          <w:szCs w:val="24"/>
        </w:rPr>
      </w:pPr>
      <w:r w:rsidRPr="00E545DA">
        <w:rPr>
          <w:rFonts w:ascii="Times New Roman" w:hAnsi="Times New Roman" w:cs="Times New Roman"/>
          <w:i/>
          <w:noProof/>
          <w:sz w:val="24"/>
          <w:szCs w:val="24"/>
        </w:rPr>
        <w:drawing>
          <wp:inline distT="0" distB="0" distL="0" distR="0" wp14:anchorId="79B25D0B" wp14:editId="4AA85DAA">
            <wp:extent cx="4114800" cy="20666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23653" cy="2071079"/>
                    </a:xfrm>
                    <a:prstGeom prst="rect">
                      <a:avLst/>
                    </a:prstGeom>
                  </pic:spPr>
                </pic:pic>
              </a:graphicData>
            </a:graphic>
          </wp:inline>
        </w:drawing>
      </w:r>
    </w:p>
    <w:p w:rsidR="00D73CF8" w:rsidRPr="00E545DA" w:rsidRDefault="00D73CF8" w:rsidP="00633745">
      <w:pPr>
        <w:spacing w:after="40" w:line="240" w:lineRule="auto"/>
        <w:jc w:val="center"/>
        <w:rPr>
          <w:rFonts w:ascii="Times New Roman" w:eastAsiaTheme="minorEastAsia" w:hAnsi="Times New Roman" w:cs="Times New Roman"/>
          <w:sz w:val="24"/>
          <w:szCs w:val="24"/>
        </w:rPr>
      </w:pPr>
      <w:r w:rsidRPr="00E545DA">
        <w:rPr>
          <w:rFonts w:ascii="Times New Roman" w:eastAsiaTheme="minorEastAsia" w:hAnsi="Times New Roman" w:cs="Times New Roman"/>
          <w:i/>
          <w:sz w:val="24"/>
          <w:szCs w:val="24"/>
        </w:rPr>
        <w:t>Figure 4: Residual vs. Fitted and Normal Q-Q Plot for Bayesian Model</w:t>
      </w:r>
    </w:p>
    <w:p w:rsidR="00D73CF8" w:rsidRPr="00E545DA" w:rsidRDefault="00D73CF8" w:rsidP="00633745">
      <w:pPr>
        <w:spacing w:after="40" w:line="240" w:lineRule="auto"/>
        <w:jc w:val="center"/>
        <w:rPr>
          <w:rFonts w:ascii="Times New Roman" w:eastAsiaTheme="minorEastAsia" w:hAnsi="Times New Roman" w:cs="Times New Roman"/>
          <w:sz w:val="24"/>
          <w:szCs w:val="24"/>
        </w:rPr>
      </w:pPr>
    </w:p>
    <w:p w:rsidR="00766E51" w:rsidRPr="00E545DA" w:rsidRDefault="00766E51" w:rsidP="00766E51">
      <w:pPr>
        <w:spacing w:after="40" w:line="240" w:lineRule="auto"/>
        <w:rPr>
          <w:rFonts w:ascii="Times New Roman" w:hAnsi="Times New Roman" w:cs="Times New Roman"/>
          <w:sz w:val="24"/>
          <w:szCs w:val="24"/>
        </w:rPr>
      </w:pPr>
      <w:r w:rsidRPr="00E545DA">
        <w:rPr>
          <w:rFonts w:ascii="Times New Roman" w:hAnsi="Times New Roman" w:cs="Times New Roman"/>
          <w:sz w:val="24"/>
          <w:szCs w:val="24"/>
        </w:rPr>
        <w:tab/>
        <w:t>The mean estimates and 95% highest density intervals (HDIs) for the posterior distributions of the parameters are shown in Table 1. Parameters that do not contain zero within their HDI are considered statistically significant, and those that contain zero are not considered significant.</w:t>
      </w:r>
      <w:r w:rsidR="00DC2BDB" w:rsidRPr="00E545DA">
        <w:rPr>
          <w:rFonts w:ascii="Times New Roman" w:hAnsi="Times New Roman" w:cs="Times New Roman"/>
          <w:sz w:val="24"/>
          <w:szCs w:val="24"/>
        </w:rPr>
        <w:t xml:space="preserve"> All parameters were significant and therefore will be retained. </w:t>
      </w:r>
    </w:p>
    <w:tbl>
      <w:tblPr>
        <w:tblStyle w:val="TableGrid"/>
        <w:tblW w:w="0" w:type="auto"/>
        <w:jc w:val="center"/>
        <w:tblLook w:val="04A0" w:firstRow="1" w:lastRow="0" w:firstColumn="1" w:lastColumn="0" w:noHBand="0" w:noVBand="1"/>
      </w:tblPr>
      <w:tblGrid>
        <w:gridCol w:w="2394"/>
        <w:gridCol w:w="2034"/>
        <w:gridCol w:w="3870"/>
      </w:tblGrid>
      <w:tr w:rsidR="00E545DA" w:rsidRPr="00E545DA" w:rsidTr="00DC2BDB">
        <w:trPr>
          <w:jc w:val="center"/>
        </w:trPr>
        <w:tc>
          <w:tcPr>
            <w:tcW w:w="2394" w:type="dxa"/>
            <w:shd w:val="clear" w:color="auto" w:fill="D9D9D9" w:themeFill="background1" w:themeFillShade="D9"/>
          </w:tcPr>
          <w:p w:rsidR="00DC2BDB" w:rsidRPr="000D41FA" w:rsidRDefault="00DC2BDB" w:rsidP="00DC2BDB">
            <w:pPr>
              <w:spacing w:after="40"/>
              <w:jc w:val="center"/>
              <w:rPr>
                <w:rFonts w:ascii="Times New Roman" w:hAnsi="Times New Roman" w:cs="Times New Roman"/>
                <w:b/>
                <w:sz w:val="20"/>
                <w:szCs w:val="20"/>
              </w:rPr>
            </w:pPr>
            <w:r w:rsidRPr="000D41FA">
              <w:rPr>
                <w:rFonts w:ascii="Times New Roman" w:hAnsi="Times New Roman" w:cs="Times New Roman"/>
                <w:b/>
                <w:sz w:val="20"/>
                <w:szCs w:val="20"/>
              </w:rPr>
              <w:t>Parameter</w:t>
            </w:r>
          </w:p>
        </w:tc>
        <w:tc>
          <w:tcPr>
            <w:tcW w:w="2034" w:type="dxa"/>
            <w:shd w:val="clear" w:color="auto" w:fill="D9D9D9" w:themeFill="background1" w:themeFillShade="D9"/>
          </w:tcPr>
          <w:p w:rsidR="00DC2BDB" w:rsidRPr="000D41FA" w:rsidRDefault="00DC2BDB" w:rsidP="00DC2BDB">
            <w:pPr>
              <w:spacing w:after="40"/>
              <w:jc w:val="center"/>
              <w:rPr>
                <w:rFonts w:ascii="Times New Roman" w:hAnsi="Times New Roman" w:cs="Times New Roman"/>
                <w:b/>
                <w:sz w:val="20"/>
                <w:szCs w:val="20"/>
              </w:rPr>
            </w:pPr>
            <w:r w:rsidRPr="000D41FA">
              <w:rPr>
                <w:rFonts w:ascii="Times New Roman" w:hAnsi="Times New Roman" w:cs="Times New Roman"/>
                <w:b/>
                <w:sz w:val="20"/>
                <w:szCs w:val="20"/>
              </w:rPr>
              <w:t>Mean Estimate</w:t>
            </w:r>
          </w:p>
        </w:tc>
        <w:tc>
          <w:tcPr>
            <w:tcW w:w="3870" w:type="dxa"/>
            <w:shd w:val="clear" w:color="auto" w:fill="D9D9D9" w:themeFill="background1" w:themeFillShade="D9"/>
          </w:tcPr>
          <w:p w:rsidR="00DC2BDB" w:rsidRPr="000D41FA" w:rsidRDefault="00DC2BDB" w:rsidP="00DC2BDB">
            <w:pPr>
              <w:spacing w:after="40"/>
              <w:jc w:val="center"/>
              <w:rPr>
                <w:rFonts w:ascii="Times New Roman" w:hAnsi="Times New Roman" w:cs="Times New Roman"/>
                <w:b/>
                <w:sz w:val="20"/>
                <w:szCs w:val="20"/>
              </w:rPr>
            </w:pPr>
            <w:r w:rsidRPr="000D41FA">
              <w:rPr>
                <w:rFonts w:ascii="Times New Roman" w:hAnsi="Times New Roman" w:cs="Times New Roman"/>
                <w:b/>
                <w:sz w:val="20"/>
                <w:szCs w:val="20"/>
              </w:rPr>
              <w:t>HDI</w:t>
            </w:r>
          </w:p>
        </w:tc>
      </w:tr>
      <w:tr w:rsidR="00E545DA" w:rsidRPr="00E545DA" w:rsidTr="00DC2BDB">
        <w:trPr>
          <w:jc w:val="center"/>
        </w:trPr>
        <w:tc>
          <w:tcPr>
            <w:tcW w:w="2394" w:type="dxa"/>
          </w:tcPr>
          <w:p w:rsidR="00DC2BDB" w:rsidRPr="000D41FA" w:rsidRDefault="00AA0E27" w:rsidP="00DC2BDB">
            <w:pPr>
              <w:spacing w:after="40"/>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0</m:t>
                    </m:r>
                  </m:sub>
                </m:sSub>
              </m:oMath>
            </m:oMathPara>
          </w:p>
        </w:tc>
        <w:tc>
          <w:tcPr>
            <w:tcW w:w="2034" w:type="dxa"/>
          </w:tcPr>
          <w:p w:rsidR="00DC2BDB" w:rsidRPr="000D41FA" w:rsidRDefault="00DC2BDB" w:rsidP="00DC2BDB">
            <w:pPr>
              <w:spacing w:after="40"/>
              <w:jc w:val="center"/>
              <w:rPr>
                <w:rFonts w:ascii="Times New Roman" w:hAnsi="Times New Roman" w:cs="Times New Roman"/>
                <w:sz w:val="20"/>
                <w:szCs w:val="20"/>
              </w:rPr>
            </w:pPr>
            <w:r w:rsidRPr="000D41FA">
              <w:rPr>
                <w:rFonts w:ascii="Times New Roman" w:hAnsi="Times New Roman" w:cs="Times New Roman"/>
                <w:sz w:val="20"/>
                <w:szCs w:val="20"/>
              </w:rPr>
              <w:t>1255003.42</w:t>
            </w:r>
          </w:p>
        </w:tc>
        <w:tc>
          <w:tcPr>
            <w:tcW w:w="3870" w:type="dxa"/>
          </w:tcPr>
          <w:p w:rsidR="00DC2BDB" w:rsidRPr="000D41FA" w:rsidRDefault="00DC2BDB" w:rsidP="00DC2BDB">
            <w:pPr>
              <w:spacing w:after="40"/>
              <w:jc w:val="center"/>
              <w:rPr>
                <w:rFonts w:ascii="Times New Roman" w:hAnsi="Times New Roman" w:cs="Times New Roman"/>
                <w:sz w:val="20"/>
                <w:szCs w:val="20"/>
              </w:rPr>
            </w:pPr>
            <w:r w:rsidRPr="000D41FA">
              <w:rPr>
                <w:rFonts w:ascii="Times New Roman" w:hAnsi="Times New Roman" w:cs="Times New Roman"/>
                <w:sz w:val="20"/>
                <w:szCs w:val="20"/>
              </w:rPr>
              <w:t>(1254570.92, 1255436.14)</w:t>
            </w:r>
          </w:p>
        </w:tc>
      </w:tr>
      <w:tr w:rsidR="00E545DA" w:rsidRPr="00E545DA" w:rsidTr="00DC2BDB">
        <w:trPr>
          <w:jc w:val="center"/>
        </w:trPr>
        <w:tc>
          <w:tcPr>
            <w:tcW w:w="2394" w:type="dxa"/>
          </w:tcPr>
          <w:p w:rsidR="00DC2BDB" w:rsidRPr="000D41FA" w:rsidRDefault="00AA0E27" w:rsidP="00DC2BDB">
            <w:pPr>
              <w:spacing w:after="40"/>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oMath>
            </m:oMathPara>
          </w:p>
        </w:tc>
        <w:tc>
          <w:tcPr>
            <w:tcW w:w="2034" w:type="dxa"/>
          </w:tcPr>
          <w:p w:rsidR="00DC2BDB" w:rsidRPr="000D41FA" w:rsidRDefault="00DC2BDB" w:rsidP="00DC2BDB">
            <w:pPr>
              <w:spacing w:after="40"/>
              <w:jc w:val="center"/>
              <w:rPr>
                <w:rFonts w:ascii="Times New Roman" w:hAnsi="Times New Roman" w:cs="Times New Roman"/>
                <w:sz w:val="20"/>
                <w:szCs w:val="20"/>
              </w:rPr>
            </w:pPr>
            <w:r w:rsidRPr="000D41FA">
              <w:rPr>
                <w:rFonts w:ascii="Times New Roman" w:hAnsi="Times New Roman" w:cs="Times New Roman"/>
                <w:sz w:val="20"/>
                <w:szCs w:val="20"/>
              </w:rPr>
              <w:t>-15788.32</w:t>
            </w:r>
          </w:p>
        </w:tc>
        <w:tc>
          <w:tcPr>
            <w:tcW w:w="3870" w:type="dxa"/>
          </w:tcPr>
          <w:p w:rsidR="00DC2BDB" w:rsidRPr="000D41FA" w:rsidRDefault="00DC2BDB" w:rsidP="00DC2BDB">
            <w:pPr>
              <w:spacing w:after="40"/>
              <w:jc w:val="center"/>
              <w:rPr>
                <w:rFonts w:ascii="Times New Roman" w:hAnsi="Times New Roman" w:cs="Times New Roman"/>
                <w:sz w:val="20"/>
                <w:szCs w:val="20"/>
              </w:rPr>
            </w:pPr>
            <w:r w:rsidRPr="000D41FA">
              <w:rPr>
                <w:rFonts w:ascii="Times New Roman" w:hAnsi="Times New Roman" w:cs="Times New Roman"/>
                <w:sz w:val="20"/>
                <w:szCs w:val="20"/>
              </w:rPr>
              <w:t>(-15803.01, -15773.78)</w:t>
            </w:r>
          </w:p>
        </w:tc>
      </w:tr>
      <w:tr w:rsidR="00E545DA" w:rsidRPr="00E545DA" w:rsidTr="00DC2BDB">
        <w:trPr>
          <w:jc w:val="center"/>
        </w:trPr>
        <w:tc>
          <w:tcPr>
            <w:tcW w:w="2394" w:type="dxa"/>
          </w:tcPr>
          <w:p w:rsidR="00DC2BDB" w:rsidRPr="000D41FA" w:rsidRDefault="00AA0E27" w:rsidP="00DC2BDB">
            <w:pPr>
              <w:spacing w:after="40"/>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2</m:t>
                    </m:r>
                  </m:sub>
                </m:sSub>
              </m:oMath>
            </m:oMathPara>
          </w:p>
        </w:tc>
        <w:tc>
          <w:tcPr>
            <w:tcW w:w="2034" w:type="dxa"/>
          </w:tcPr>
          <w:p w:rsidR="00DC2BDB" w:rsidRPr="000D41FA" w:rsidRDefault="00DC2BDB" w:rsidP="00DC2BDB">
            <w:pPr>
              <w:spacing w:after="40"/>
              <w:jc w:val="center"/>
              <w:rPr>
                <w:rFonts w:ascii="Times New Roman" w:hAnsi="Times New Roman" w:cs="Times New Roman"/>
                <w:sz w:val="20"/>
                <w:szCs w:val="20"/>
              </w:rPr>
            </w:pPr>
            <w:r w:rsidRPr="000D41FA">
              <w:rPr>
                <w:rFonts w:ascii="Times New Roman" w:hAnsi="Times New Roman" w:cs="Times New Roman"/>
                <w:sz w:val="20"/>
                <w:szCs w:val="20"/>
              </w:rPr>
              <w:t>-9.85</w:t>
            </w:r>
          </w:p>
        </w:tc>
        <w:tc>
          <w:tcPr>
            <w:tcW w:w="3870" w:type="dxa"/>
          </w:tcPr>
          <w:p w:rsidR="00DC2BDB" w:rsidRPr="000D41FA" w:rsidRDefault="00DC2BDB" w:rsidP="00DC2BDB">
            <w:pPr>
              <w:spacing w:after="40"/>
              <w:jc w:val="center"/>
              <w:rPr>
                <w:rFonts w:ascii="Times New Roman" w:hAnsi="Times New Roman" w:cs="Times New Roman"/>
                <w:sz w:val="20"/>
                <w:szCs w:val="20"/>
              </w:rPr>
            </w:pPr>
            <w:r w:rsidRPr="000D41FA">
              <w:rPr>
                <w:rFonts w:ascii="Times New Roman" w:hAnsi="Times New Roman" w:cs="Times New Roman"/>
                <w:sz w:val="20"/>
                <w:szCs w:val="20"/>
              </w:rPr>
              <w:t>(-9.867, -9.837)</w:t>
            </w:r>
          </w:p>
        </w:tc>
      </w:tr>
      <w:tr w:rsidR="00E545DA" w:rsidRPr="00E545DA" w:rsidTr="00DC2BDB">
        <w:trPr>
          <w:jc w:val="center"/>
        </w:trPr>
        <w:tc>
          <w:tcPr>
            <w:tcW w:w="2394" w:type="dxa"/>
          </w:tcPr>
          <w:p w:rsidR="00DC2BDB" w:rsidRPr="000D41FA" w:rsidRDefault="00AA0E27" w:rsidP="00DC2BDB">
            <w:pPr>
              <w:spacing w:after="40"/>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3</m:t>
                    </m:r>
                  </m:sub>
                </m:sSub>
              </m:oMath>
            </m:oMathPara>
          </w:p>
        </w:tc>
        <w:tc>
          <w:tcPr>
            <w:tcW w:w="2034" w:type="dxa"/>
          </w:tcPr>
          <w:p w:rsidR="00DC2BDB" w:rsidRPr="000D41FA" w:rsidRDefault="00DC2BDB" w:rsidP="00DC2BDB">
            <w:pPr>
              <w:spacing w:after="40"/>
              <w:jc w:val="center"/>
              <w:rPr>
                <w:rFonts w:ascii="Times New Roman" w:hAnsi="Times New Roman" w:cs="Times New Roman"/>
                <w:sz w:val="20"/>
                <w:szCs w:val="20"/>
              </w:rPr>
            </w:pPr>
            <w:r w:rsidRPr="000D41FA">
              <w:rPr>
                <w:rFonts w:ascii="Times New Roman" w:hAnsi="Times New Roman" w:cs="Times New Roman"/>
                <w:sz w:val="20"/>
                <w:szCs w:val="20"/>
              </w:rPr>
              <w:t>-874054.89</w:t>
            </w:r>
          </w:p>
        </w:tc>
        <w:tc>
          <w:tcPr>
            <w:tcW w:w="3870" w:type="dxa"/>
          </w:tcPr>
          <w:p w:rsidR="00DC2BDB" w:rsidRPr="000D41FA" w:rsidRDefault="00DC2BDB" w:rsidP="00DC2BDB">
            <w:pPr>
              <w:spacing w:after="40"/>
              <w:jc w:val="center"/>
              <w:rPr>
                <w:rFonts w:ascii="Times New Roman" w:hAnsi="Times New Roman" w:cs="Times New Roman"/>
                <w:sz w:val="20"/>
                <w:szCs w:val="20"/>
              </w:rPr>
            </w:pPr>
            <w:r w:rsidRPr="000D41FA">
              <w:rPr>
                <w:rFonts w:ascii="Times New Roman" w:hAnsi="Times New Roman" w:cs="Times New Roman"/>
                <w:sz w:val="20"/>
                <w:szCs w:val="20"/>
              </w:rPr>
              <w:t>(-874407.03, -873699.38)</w:t>
            </w:r>
          </w:p>
        </w:tc>
      </w:tr>
      <w:tr w:rsidR="00E545DA" w:rsidRPr="00E545DA" w:rsidTr="00DC2BDB">
        <w:trPr>
          <w:jc w:val="center"/>
        </w:trPr>
        <w:tc>
          <w:tcPr>
            <w:tcW w:w="2394" w:type="dxa"/>
          </w:tcPr>
          <w:p w:rsidR="00DC2BDB" w:rsidRPr="000D41FA" w:rsidRDefault="00AA0E27" w:rsidP="00DC2BDB">
            <w:pPr>
              <w:spacing w:after="40"/>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4</m:t>
                    </m:r>
                  </m:sub>
                </m:sSub>
              </m:oMath>
            </m:oMathPara>
          </w:p>
        </w:tc>
        <w:tc>
          <w:tcPr>
            <w:tcW w:w="2034" w:type="dxa"/>
          </w:tcPr>
          <w:p w:rsidR="00DC2BDB" w:rsidRPr="000D41FA" w:rsidRDefault="00DC2BDB" w:rsidP="00DC2BDB">
            <w:pPr>
              <w:spacing w:after="40"/>
              <w:jc w:val="center"/>
              <w:rPr>
                <w:rFonts w:ascii="Times New Roman" w:hAnsi="Times New Roman" w:cs="Times New Roman"/>
                <w:sz w:val="20"/>
                <w:szCs w:val="20"/>
              </w:rPr>
            </w:pPr>
            <w:r w:rsidRPr="000D41FA">
              <w:rPr>
                <w:rFonts w:ascii="Times New Roman" w:hAnsi="Times New Roman" w:cs="Times New Roman"/>
                <w:sz w:val="20"/>
                <w:szCs w:val="20"/>
              </w:rPr>
              <w:t>-76806.86</w:t>
            </w:r>
          </w:p>
        </w:tc>
        <w:tc>
          <w:tcPr>
            <w:tcW w:w="3870" w:type="dxa"/>
          </w:tcPr>
          <w:p w:rsidR="00DC2BDB" w:rsidRPr="000D41FA" w:rsidRDefault="00DC2BDB" w:rsidP="00DC2BDB">
            <w:pPr>
              <w:spacing w:after="40"/>
              <w:jc w:val="center"/>
              <w:rPr>
                <w:rFonts w:ascii="Times New Roman" w:hAnsi="Times New Roman" w:cs="Times New Roman"/>
                <w:sz w:val="20"/>
                <w:szCs w:val="20"/>
              </w:rPr>
            </w:pPr>
            <w:r w:rsidRPr="000D41FA">
              <w:rPr>
                <w:rFonts w:ascii="Times New Roman" w:hAnsi="Times New Roman" w:cs="Times New Roman"/>
                <w:sz w:val="20"/>
                <w:szCs w:val="20"/>
              </w:rPr>
              <w:t>(-77439.72, -76166.24)</w:t>
            </w:r>
          </w:p>
        </w:tc>
      </w:tr>
      <w:tr w:rsidR="00E545DA" w:rsidRPr="00E545DA" w:rsidTr="00DC2BDB">
        <w:trPr>
          <w:jc w:val="center"/>
        </w:trPr>
        <w:tc>
          <w:tcPr>
            <w:tcW w:w="2394" w:type="dxa"/>
          </w:tcPr>
          <w:p w:rsidR="00DC2BDB" w:rsidRPr="000D41FA" w:rsidRDefault="00AA0E27" w:rsidP="00DC2BDB">
            <w:pPr>
              <w:spacing w:after="40"/>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5</m:t>
                    </m:r>
                  </m:sub>
                </m:sSub>
              </m:oMath>
            </m:oMathPara>
          </w:p>
        </w:tc>
        <w:tc>
          <w:tcPr>
            <w:tcW w:w="2034" w:type="dxa"/>
          </w:tcPr>
          <w:p w:rsidR="00DC2BDB" w:rsidRPr="000D41FA" w:rsidRDefault="00DC2BDB" w:rsidP="00DC2BDB">
            <w:pPr>
              <w:spacing w:after="40"/>
              <w:jc w:val="center"/>
              <w:rPr>
                <w:rFonts w:ascii="Times New Roman" w:hAnsi="Times New Roman" w:cs="Times New Roman"/>
                <w:sz w:val="20"/>
                <w:szCs w:val="20"/>
              </w:rPr>
            </w:pPr>
            <w:r w:rsidRPr="000D41FA">
              <w:rPr>
                <w:rFonts w:ascii="Times New Roman" w:hAnsi="Times New Roman" w:cs="Times New Roman"/>
                <w:sz w:val="20"/>
                <w:szCs w:val="20"/>
              </w:rPr>
              <w:t>-0.0645</w:t>
            </w:r>
          </w:p>
        </w:tc>
        <w:tc>
          <w:tcPr>
            <w:tcW w:w="3870" w:type="dxa"/>
          </w:tcPr>
          <w:p w:rsidR="00DC2BDB" w:rsidRPr="000D41FA" w:rsidRDefault="00DC2BDB" w:rsidP="00DC2BDB">
            <w:pPr>
              <w:spacing w:after="40"/>
              <w:jc w:val="center"/>
              <w:rPr>
                <w:rFonts w:ascii="Times New Roman" w:hAnsi="Times New Roman" w:cs="Times New Roman"/>
                <w:sz w:val="20"/>
                <w:szCs w:val="20"/>
              </w:rPr>
            </w:pPr>
            <w:r w:rsidRPr="000D41FA">
              <w:rPr>
                <w:rFonts w:ascii="Times New Roman" w:hAnsi="Times New Roman" w:cs="Times New Roman"/>
                <w:sz w:val="20"/>
                <w:szCs w:val="20"/>
              </w:rPr>
              <w:t>(-0.068, -0.61)</w:t>
            </w:r>
          </w:p>
        </w:tc>
      </w:tr>
    </w:tbl>
    <w:p w:rsidR="00D73CF8" w:rsidRPr="00E545DA" w:rsidRDefault="00DC2BDB" w:rsidP="007B34A5">
      <w:pPr>
        <w:spacing w:after="40" w:line="240" w:lineRule="auto"/>
        <w:jc w:val="center"/>
        <w:rPr>
          <w:rFonts w:ascii="Times New Roman" w:hAnsi="Times New Roman" w:cs="Times New Roman"/>
          <w:i/>
          <w:sz w:val="24"/>
          <w:szCs w:val="24"/>
        </w:rPr>
      </w:pPr>
      <w:r w:rsidRPr="00E545DA">
        <w:rPr>
          <w:rFonts w:ascii="Times New Roman" w:hAnsi="Times New Roman" w:cs="Times New Roman"/>
          <w:i/>
          <w:sz w:val="24"/>
          <w:szCs w:val="24"/>
        </w:rPr>
        <w:t>Table 1: Parameter Estimates and 95% HDIs</w:t>
      </w:r>
    </w:p>
    <w:p w:rsidR="00D73CF8" w:rsidRDefault="00D73CF8" w:rsidP="00D73CF8">
      <w:pPr>
        <w:spacing w:after="40" w:line="240" w:lineRule="auto"/>
        <w:rPr>
          <w:rFonts w:ascii="Times New Roman" w:hAnsi="Times New Roman" w:cs="Times New Roman"/>
          <w:sz w:val="24"/>
          <w:szCs w:val="24"/>
        </w:rPr>
      </w:pPr>
      <w:r w:rsidRPr="00E545DA">
        <w:rPr>
          <w:rFonts w:ascii="Times New Roman" w:hAnsi="Times New Roman" w:cs="Times New Roman"/>
          <w:sz w:val="24"/>
          <w:szCs w:val="24"/>
        </w:rPr>
        <w:tab/>
        <w:t>Using the mean parameter estimates from Table 1, the final model is:</w:t>
      </w:r>
    </w:p>
    <w:p w:rsidR="007B34A5" w:rsidRPr="00E545DA" w:rsidRDefault="007B34A5" w:rsidP="00D73CF8">
      <w:pPr>
        <w:spacing w:after="40" w:line="240" w:lineRule="auto"/>
        <w:rPr>
          <w:rFonts w:ascii="Times New Roman" w:hAnsi="Times New Roman" w:cs="Times New Roman"/>
          <w:sz w:val="24"/>
          <w:szCs w:val="24"/>
        </w:rPr>
      </w:pPr>
    </w:p>
    <w:p w:rsidR="00D73CF8" w:rsidRPr="00E545DA" w:rsidRDefault="00AA0E27" w:rsidP="00D73CF8">
      <w:pPr>
        <w:spacing w:after="40" w:line="24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AFGR</m:t>
                  </m:r>
                </m:e>
              </m:acc>
            </m:e>
            <m:sub>
              <m:r>
                <w:rPr>
                  <w:rFonts w:ascii="Cambria Math" w:hAnsi="Cambria Math" w:cs="Times New Roman"/>
                  <w:sz w:val="24"/>
                  <w:szCs w:val="24"/>
                </w:rPr>
                <m:t>i</m:t>
              </m:r>
            </m:sub>
            <m:sup>
              <m:r>
                <w:rPr>
                  <w:rFonts w:ascii="Cambria Math" w:hAnsi="Cambria Math" w:cs="Times New Roman"/>
                  <w:sz w:val="24"/>
                  <w:szCs w:val="24"/>
                </w:rPr>
                <m:t>3</m:t>
              </m:r>
            </m:sup>
          </m:sSubSup>
          <m:r>
            <w:rPr>
              <w:rFonts w:ascii="Cambria Math" w:hAnsi="Cambria Math" w:cs="Times New Roman"/>
              <w:sz w:val="24"/>
              <w:szCs w:val="24"/>
            </w:rPr>
            <m:t>=1255003.4-15788.3</m:t>
          </m:r>
          <m:d>
            <m:dPr>
              <m:ctrlPr>
                <w:rPr>
                  <w:rFonts w:ascii="Cambria Math" w:hAnsi="Cambria Math" w:cs="Times New Roman"/>
                  <w:i/>
                  <w:sz w:val="24"/>
                  <w:szCs w:val="24"/>
                </w:rPr>
              </m:ctrlPr>
            </m:dPr>
            <m:e>
              <m:r>
                <w:rPr>
                  <w:rFonts w:ascii="Cambria Math" w:hAnsi="Cambria Math" w:cs="Times New Roman"/>
                  <w:sz w:val="24"/>
                  <w:szCs w:val="24"/>
                </w:rPr>
                <m:t>PTR</m:t>
              </m:r>
            </m:e>
          </m:d>
          <m:r>
            <w:rPr>
              <w:rFonts w:ascii="Cambria Math" w:hAnsi="Cambria Math" w:cs="Times New Roman"/>
              <w:sz w:val="24"/>
              <w:szCs w:val="24"/>
            </w:rPr>
            <m:t>-9.85</m:t>
          </m:r>
          <m:d>
            <m:dPr>
              <m:ctrlPr>
                <w:rPr>
                  <w:rFonts w:ascii="Cambria Math" w:hAnsi="Cambria Math" w:cs="Times New Roman"/>
                  <w:i/>
                  <w:sz w:val="24"/>
                  <w:szCs w:val="24"/>
                </w:rPr>
              </m:ctrlPr>
            </m:dPr>
            <m:e>
              <m:r>
                <w:rPr>
                  <w:rFonts w:ascii="Cambria Math" w:hAnsi="Cambria Math" w:cs="Times New Roman"/>
                  <w:sz w:val="24"/>
                  <w:szCs w:val="24"/>
                </w:rPr>
                <m:t>TotRev</m:t>
              </m:r>
            </m:e>
          </m:d>
          <m:r>
            <w:rPr>
              <w:rFonts w:ascii="Cambria Math" w:hAnsi="Cambria Math" w:cs="Times New Roman"/>
              <w:sz w:val="24"/>
              <w:szCs w:val="24"/>
            </w:rPr>
            <m:t>-874054.9</m:t>
          </m:r>
          <m:d>
            <m:dPr>
              <m:ctrlPr>
                <w:rPr>
                  <w:rFonts w:ascii="Cambria Math" w:hAnsi="Cambria Math" w:cs="Times New Roman"/>
                  <w:i/>
                  <w:sz w:val="24"/>
                  <w:szCs w:val="24"/>
                </w:rPr>
              </m:ctrlPr>
            </m:dPr>
            <m:e>
              <m:r>
                <w:rPr>
                  <w:rFonts w:ascii="Cambria Math" w:hAnsi="Cambria Math" w:cs="Times New Roman"/>
                  <w:sz w:val="24"/>
                  <w:szCs w:val="24"/>
                </w:rPr>
                <m:t>FRLunch</m:t>
              </m:r>
            </m:e>
          </m:d>
          <m:r>
            <w:rPr>
              <w:rFonts w:ascii="Cambria Math" w:eastAsiaTheme="minorEastAsia" w:hAnsi="Cambria Math" w:cs="Times New Roman"/>
              <w:sz w:val="24"/>
              <w:szCs w:val="24"/>
            </w:rPr>
            <m:t>-76806.9</m:t>
          </m:r>
          <m:d>
            <m:dPr>
              <m:ctrlPr>
                <w:rPr>
                  <w:rFonts w:ascii="Cambria Math" w:hAnsi="Cambria Math" w:cs="Times New Roman"/>
                  <w:i/>
                  <w:sz w:val="24"/>
                  <w:szCs w:val="24"/>
                </w:rPr>
              </m:ctrlPr>
            </m:dPr>
            <m:e>
              <m:r>
                <w:rPr>
                  <w:rFonts w:ascii="Cambria Math" w:hAnsi="Cambria Math" w:cs="Times New Roman"/>
                  <w:sz w:val="24"/>
                  <w:szCs w:val="24"/>
                </w:rPr>
                <m:t>LEP</m:t>
              </m:r>
            </m:e>
          </m:d>
          <m:r>
            <w:rPr>
              <w:rFonts w:ascii="Cambria Math" w:hAnsi="Cambria Math" w:cs="Times New Roman"/>
              <w:sz w:val="24"/>
              <w:szCs w:val="24"/>
            </w:rPr>
            <m:t>-.0645</m:t>
          </m:r>
          <m:d>
            <m:dPr>
              <m:ctrlPr>
                <w:rPr>
                  <w:rFonts w:ascii="Cambria Math" w:hAnsi="Cambria Math" w:cs="Times New Roman"/>
                  <w:i/>
                  <w:sz w:val="24"/>
                  <w:szCs w:val="24"/>
                </w:rPr>
              </m:ctrlPr>
            </m:dPr>
            <m:e>
              <m:r>
                <w:rPr>
                  <w:rFonts w:ascii="Cambria Math" w:hAnsi="Cambria Math" w:cs="Times New Roman"/>
                  <w:sz w:val="24"/>
                  <w:szCs w:val="24"/>
                </w:rPr>
                <m:t>PopDens</m:t>
              </m:r>
            </m:e>
          </m:d>
        </m:oMath>
      </m:oMathPara>
    </w:p>
    <w:p w:rsidR="00766E51" w:rsidRPr="00E545DA" w:rsidRDefault="00766E51" w:rsidP="00DC2BDB">
      <w:pPr>
        <w:spacing w:after="40" w:line="240" w:lineRule="auto"/>
        <w:rPr>
          <w:rFonts w:ascii="Times New Roman" w:hAnsi="Times New Roman" w:cs="Times New Roman"/>
          <w:sz w:val="24"/>
          <w:szCs w:val="24"/>
        </w:rPr>
      </w:pPr>
    </w:p>
    <w:p w:rsidR="00C03671" w:rsidRPr="00E545DA" w:rsidRDefault="00C03671" w:rsidP="00DC2BDB">
      <w:pPr>
        <w:spacing w:after="40" w:line="240" w:lineRule="auto"/>
        <w:rPr>
          <w:rFonts w:ascii="Times New Roman" w:hAnsi="Times New Roman" w:cs="Times New Roman"/>
          <w:b/>
          <w:i/>
          <w:sz w:val="24"/>
          <w:szCs w:val="24"/>
        </w:rPr>
      </w:pPr>
      <w:r w:rsidRPr="00E545DA">
        <w:rPr>
          <w:rFonts w:ascii="Times New Roman" w:hAnsi="Times New Roman" w:cs="Times New Roman"/>
          <w:b/>
          <w:i/>
          <w:sz w:val="24"/>
          <w:szCs w:val="24"/>
        </w:rPr>
        <w:t>Conclusion</w:t>
      </w:r>
    </w:p>
    <w:p w:rsidR="00C03671" w:rsidRDefault="00C03671" w:rsidP="00DC2BDB">
      <w:pPr>
        <w:spacing w:after="40" w:line="240" w:lineRule="auto"/>
        <w:rPr>
          <w:rFonts w:ascii="Times New Roman" w:hAnsi="Times New Roman" w:cs="Times New Roman"/>
          <w:sz w:val="24"/>
          <w:szCs w:val="24"/>
        </w:rPr>
      </w:pPr>
      <w:r w:rsidRPr="00E545DA">
        <w:rPr>
          <w:rFonts w:ascii="Times New Roman" w:hAnsi="Times New Roman" w:cs="Times New Roman"/>
          <w:sz w:val="24"/>
          <w:szCs w:val="24"/>
        </w:rPr>
        <w:tab/>
        <w:t xml:space="preserve">This analysis found that pupil-teacher ratio, total revenue per pupil, the proportion of students receiving free or reduced price lunch, the proportion of students with limited English proficiency, and population density are all significant state level predictors of state average freshman graduation rates. </w:t>
      </w:r>
      <w:r w:rsidR="001051F9">
        <w:rPr>
          <w:rFonts w:ascii="Times New Roman" w:hAnsi="Times New Roman" w:cs="Times New Roman"/>
          <w:sz w:val="24"/>
          <w:szCs w:val="24"/>
        </w:rPr>
        <w:t xml:space="preserve">Since these results are based on state characteristics, they represent only broad trends and cannot be used to make predictions or recommendations about individual students, classrooms, schools, or districts. As </w:t>
      </w:r>
      <w:r w:rsidR="001051F9" w:rsidRPr="00E545DA">
        <w:rPr>
          <w:rFonts w:ascii="Times New Roman" w:hAnsi="Times New Roman" w:cs="Times New Roman"/>
          <w:sz w:val="24"/>
          <w:szCs w:val="24"/>
        </w:rPr>
        <w:t xml:space="preserve">Jordan and </w:t>
      </w:r>
      <w:proofErr w:type="spellStart"/>
      <w:r w:rsidR="001051F9" w:rsidRPr="00E545DA">
        <w:rPr>
          <w:rFonts w:ascii="Times New Roman" w:hAnsi="Times New Roman" w:cs="Times New Roman"/>
          <w:sz w:val="24"/>
          <w:szCs w:val="24"/>
        </w:rPr>
        <w:t>Kostandini</w:t>
      </w:r>
      <w:proofErr w:type="spellEnd"/>
      <w:r w:rsidR="001051F9" w:rsidRPr="00E545DA">
        <w:rPr>
          <w:rFonts w:ascii="Times New Roman" w:hAnsi="Times New Roman" w:cs="Times New Roman"/>
          <w:sz w:val="24"/>
          <w:szCs w:val="24"/>
        </w:rPr>
        <w:t xml:space="preserve"> (2012)</w:t>
      </w:r>
      <w:r w:rsidR="001051F9">
        <w:rPr>
          <w:rFonts w:ascii="Times New Roman" w:hAnsi="Times New Roman" w:cs="Times New Roman"/>
          <w:sz w:val="24"/>
          <w:szCs w:val="24"/>
        </w:rPr>
        <w:t xml:space="preserve"> note, a complex mix of factors, including </w:t>
      </w:r>
      <w:r w:rsidR="00371D69">
        <w:rPr>
          <w:rFonts w:ascii="Times New Roman" w:hAnsi="Times New Roman" w:cs="Times New Roman"/>
          <w:sz w:val="24"/>
          <w:szCs w:val="24"/>
        </w:rPr>
        <w:t xml:space="preserve">but not limited to </w:t>
      </w:r>
      <w:r w:rsidR="001051F9">
        <w:rPr>
          <w:rFonts w:ascii="Times New Roman" w:hAnsi="Times New Roman" w:cs="Times New Roman"/>
          <w:sz w:val="24"/>
          <w:szCs w:val="24"/>
        </w:rPr>
        <w:t xml:space="preserve">student family characteristics, </w:t>
      </w:r>
      <w:r w:rsidR="00371D69">
        <w:rPr>
          <w:rFonts w:ascii="Times New Roman" w:hAnsi="Times New Roman" w:cs="Times New Roman"/>
          <w:sz w:val="24"/>
          <w:szCs w:val="24"/>
        </w:rPr>
        <w:t xml:space="preserve">peer characteristics, </w:t>
      </w:r>
      <w:r w:rsidR="001051F9">
        <w:rPr>
          <w:rFonts w:ascii="Times New Roman" w:hAnsi="Times New Roman" w:cs="Times New Roman"/>
          <w:sz w:val="24"/>
          <w:szCs w:val="24"/>
        </w:rPr>
        <w:t xml:space="preserve">religious beliefs, geographic location, </w:t>
      </w:r>
      <w:r w:rsidR="00371D69">
        <w:rPr>
          <w:rFonts w:ascii="Times New Roman" w:hAnsi="Times New Roman" w:cs="Times New Roman"/>
          <w:sz w:val="24"/>
          <w:szCs w:val="24"/>
        </w:rPr>
        <w:t xml:space="preserve">and race must be considered to understand dropout rates on a smaller scale. </w:t>
      </w:r>
    </w:p>
    <w:p w:rsidR="001051F9" w:rsidRDefault="001051F9" w:rsidP="00DC2BDB">
      <w:pPr>
        <w:spacing w:after="40" w:line="240" w:lineRule="auto"/>
        <w:rPr>
          <w:rFonts w:ascii="Times New Roman" w:eastAsiaTheme="minorEastAsia" w:hAnsi="Times New Roman" w:cs="Times New Roman"/>
          <w:sz w:val="24"/>
          <w:szCs w:val="24"/>
        </w:rPr>
      </w:pPr>
      <w:r>
        <w:rPr>
          <w:rFonts w:ascii="Times New Roman" w:hAnsi="Times New Roman" w:cs="Times New Roman"/>
          <w:sz w:val="24"/>
          <w:szCs w:val="24"/>
        </w:rPr>
        <w:tab/>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suggests that a one point increase in pupil teacher ratio is predicted to correspond with a mean 15788</w:t>
      </w:r>
      <w:r w:rsidR="007B34A5">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 xml:space="preserve"> point decrease in the cube of AFGR. This suggests that states w</w:t>
      </w:r>
      <w:r w:rsidR="00753961">
        <w:rPr>
          <w:rFonts w:ascii="Times New Roman" w:eastAsiaTheme="minorEastAsia" w:hAnsi="Times New Roman" w:cs="Times New Roman"/>
          <w:sz w:val="24"/>
          <w:szCs w:val="24"/>
        </w:rPr>
        <w:t xml:space="preserve">ith larger class sizes tend to </w:t>
      </w:r>
      <w:r>
        <w:rPr>
          <w:rFonts w:ascii="Times New Roman" w:eastAsiaTheme="minorEastAsia" w:hAnsi="Times New Roman" w:cs="Times New Roman"/>
          <w:sz w:val="24"/>
          <w:szCs w:val="24"/>
        </w:rPr>
        <w:t>have lower average</w:t>
      </w:r>
      <w:r w:rsidR="00753961">
        <w:rPr>
          <w:rFonts w:ascii="Times New Roman" w:eastAsiaTheme="minorEastAsia" w:hAnsi="Times New Roman" w:cs="Times New Roman"/>
          <w:sz w:val="24"/>
          <w:szCs w:val="24"/>
        </w:rPr>
        <w:t xml:space="preserve"> freshman graduation rates. Given the disagreement that has surrounded class size in the literature, this finding should be cautiously interpreted, although it does merit further investigation. </w:t>
      </w:r>
    </w:p>
    <w:p w:rsidR="0096357A" w:rsidRDefault="007B34A5" w:rsidP="00DC2BDB">
      <w:pPr>
        <w:spacing w:after="4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Total revenue per pupil, a factor contentiously debated in education policy circles, was found to be negatively associated with AFGR in the model. A one dollar increase in educational revenue per pupil is predicted to correspond with a 9.85 point </w:t>
      </w:r>
      <w:r w:rsidR="00C60501">
        <w:rPr>
          <w:rFonts w:ascii="Times New Roman" w:eastAsiaTheme="minorEastAsia" w:hAnsi="Times New Roman" w:cs="Times New Roman"/>
          <w:sz w:val="24"/>
          <w:szCs w:val="24"/>
        </w:rPr>
        <w:t>decrease</w:t>
      </w:r>
      <w:r>
        <w:rPr>
          <w:rFonts w:ascii="Times New Roman" w:eastAsiaTheme="minorEastAsia" w:hAnsi="Times New Roman" w:cs="Times New Roman"/>
          <w:sz w:val="24"/>
          <w:szCs w:val="24"/>
        </w:rPr>
        <w:t xml:space="preserve"> in </w:t>
      </w:r>
      <w:r w:rsidR="00C60501">
        <w:rPr>
          <w:rFonts w:ascii="Times New Roman" w:eastAsiaTheme="minorEastAsia" w:hAnsi="Times New Roman" w:cs="Times New Roman"/>
          <w:sz w:val="24"/>
          <w:szCs w:val="24"/>
        </w:rPr>
        <w:t xml:space="preserve">the cube of AFGR. This result is unexpected as past studies have typically report either no effect or a positive effect on student performance associated with increased educational expenditures. </w:t>
      </w:r>
      <w:r w:rsidR="00091FDB">
        <w:rPr>
          <w:rFonts w:ascii="Times New Roman" w:eastAsiaTheme="minorEastAsia" w:hAnsi="Times New Roman" w:cs="Times New Roman"/>
          <w:sz w:val="24"/>
          <w:szCs w:val="24"/>
        </w:rPr>
        <w:t>This may be in part due to the effect of areas like Washington D.C. and Alaska where revenue per pupil is considerably above average</w:t>
      </w:r>
      <w:r w:rsidR="000305B7">
        <w:rPr>
          <w:rFonts w:ascii="Times New Roman" w:eastAsiaTheme="minorEastAsia" w:hAnsi="Times New Roman" w:cs="Times New Roman"/>
          <w:sz w:val="24"/>
          <w:szCs w:val="24"/>
        </w:rPr>
        <w:t xml:space="preserve"> while</w:t>
      </w:r>
      <w:r w:rsidR="00B552DF">
        <w:rPr>
          <w:rFonts w:ascii="Times New Roman" w:eastAsiaTheme="minorEastAsia" w:hAnsi="Times New Roman" w:cs="Times New Roman"/>
          <w:sz w:val="24"/>
          <w:szCs w:val="24"/>
        </w:rPr>
        <w:t xml:space="preserve"> </w:t>
      </w:r>
      <w:r w:rsidR="00091FDB">
        <w:rPr>
          <w:rFonts w:ascii="Times New Roman" w:eastAsiaTheme="minorEastAsia" w:hAnsi="Times New Roman" w:cs="Times New Roman"/>
          <w:sz w:val="24"/>
          <w:szCs w:val="24"/>
        </w:rPr>
        <w:t>AFGRs are</w:t>
      </w:r>
      <w:r w:rsidR="0096357A">
        <w:rPr>
          <w:rFonts w:ascii="Times New Roman" w:eastAsiaTheme="minorEastAsia" w:hAnsi="Times New Roman" w:cs="Times New Roman"/>
          <w:sz w:val="24"/>
          <w:szCs w:val="24"/>
        </w:rPr>
        <w:t xml:space="preserve"> below average. As there are many ways </w:t>
      </w:r>
      <w:r w:rsidR="00650C76">
        <w:rPr>
          <w:rFonts w:ascii="Times New Roman" w:eastAsiaTheme="minorEastAsia" w:hAnsi="Times New Roman" w:cs="Times New Roman"/>
          <w:sz w:val="24"/>
          <w:szCs w:val="24"/>
        </w:rPr>
        <w:t xml:space="preserve">in which </w:t>
      </w:r>
      <w:r w:rsidR="0096357A">
        <w:rPr>
          <w:rFonts w:ascii="Times New Roman" w:eastAsiaTheme="minorEastAsia" w:hAnsi="Times New Roman" w:cs="Times New Roman"/>
          <w:sz w:val="24"/>
          <w:szCs w:val="24"/>
        </w:rPr>
        <w:t>expenditure per pupil can be measured, a different metric may very well yield a different result. Additional research is needed to clarify this effect.</w:t>
      </w:r>
    </w:p>
    <w:p w:rsidR="00DC2BDB" w:rsidRDefault="0096357A" w:rsidP="00DC2BDB">
      <w:pPr>
        <w:spacing w:after="4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Each increase</w:t>
      </w:r>
      <w:r w:rsidR="00CC602F">
        <w:rPr>
          <w:rFonts w:ascii="Times New Roman" w:eastAsiaTheme="minorEastAsia" w:hAnsi="Times New Roman" w:cs="Times New Roman"/>
          <w:sz w:val="24"/>
          <w:szCs w:val="24"/>
        </w:rPr>
        <w:t xml:space="preserve"> of one, or 100%,</w:t>
      </w:r>
      <w:r>
        <w:rPr>
          <w:rFonts w:ascii="Times New Roman" w:eastAsiaTheme="minorEastAsia" w:hAnsi="Times New Roman" w:cs="Times New Roman"/>
          <w:sz w:val="24"/>
          <w:szCs w:val="24"/>
        </w:rPr>
        <w:t xml:space="preserve"> in the students eligible for free or reduced l</w:t>
      </w:r>
      <w:r w:rsidR="004A1474">
        <w:rPr>
          <w:rFonts w:ascii="Times New Roman" w:eastAsiaTheme="minorEastAsia" w:hAnsi="Times New Roman" w:cs="Times New Roman"/>
          <w:sz w:val="24"/>
          <w:szCs w:val="24"/>
        </w:rPr>
        <w:t>unch corresponds with an 874054</w:t>
      </w:r>
      <w:r w:rsidR="00CC602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9 poi</w:t>
      </w:r>
      <w:r w:rsidR="00CC602F">
        <w:rPr>
          <w:rFonts w:ascii="Times New Roman" w:eastAsiaTheme="minorEastAsia" w:hAnsi="Times New Roman" w:cs="Times New Roman"/>
          <w:sz w:val="24"/>
          <w:szCs w:val="24"/>
        </w:rPr>
        <w:t xml:space="preserve">nt decrease in the cube of AFGR, so a one percent increase is predicted to have </w:t>
      </w:r>
      <w:proofErr w:type="gramStart"/>
      <w:r w:rsidR="00CC602F">
        <w:rPr>
          <w:rFonts w:ascii="Times New Roman" w:eastAsiaTheme="minorEastAsia" w:hAnsi="Times New Roman" w:cs="Times New Roman"/>
          <w:sz w:val="24"/>
          <w:szCs w:val="24"/>
        </w:rPr>
        <w:t>a</w:t>
      </w:r>
      <w:proofErr w:type="gramEnd"/>
      <w:r w:rsidR="00CC602F">
        <w:rPr>
          <w:rFonts w:ascii="Times New Roman" w:eastAsiaTheme="minorEastAsia" w:hAnsi="Times New Roman" w:cs="Times New Roman"/>
          <w:sz w:val="24"/>
          <w:szCs w:val="24"/>
        </w:rPr>
        <w:t xml:space="preserve"> 8740.549 point decrease in the cube of AFGR.</w:t>
      </w:r>
      <w:r>
        <w:rPr>
          <w:rFonts w:ascii="Times New Roman" w:eastAsiaTheme="minorEastAsia" w:hAnsi="Times New Roman" w:cs="Times New Roman"/>
          <w:sz w:val="24"/>
          <w:szCs w:val="24"/>
        </w:rPr>
        <w:t xml:space="preserve"> Schools with a greater proportion of students in poverty tend to have lower AFGRs. This finding was expected and corresponds with the near-consensus </w:t>
      </w:r>
      <w:r w:rsidR="00014332">
        <w:rPr>
          <w:rFonts w:ascii="Times New Roman" w:eastAsiaTheme="minorEastAsia" w:hAnsi="Times New Roman" w:cs="Times New Roman"/>
          <w:sz w:val="24"/>
          <w:szCs w:val="24"/>
        </w:rPr>
        <w:t xml:space="preserve">studies conducted over the last several decades. </w:t>
      </w:r>
    </w:p>
    <w:p w:rsidR="008275D3" w:rsidRDefault="008275D3" w:rsidP="00DC2BDB">
      <w:pPr>
        <w:spacing w:after="4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 percentage point increase in students with limited English proficiency is predicted to correspond with a 768</w:t>
      </w:r>
      <w:r w:rsidR="004A1474">
        <w:rPr>
          <w:rFonts w:ascii="Times New Roman" w:eastAsiaTheme="minorEastAsia" w:hAnsi="Times New Roman" w:cs="Times New Roman"/>
          <w:sz w:val="24"/>
          <w:szCs w:val="24"/>
        </w:rPr>
        <w:t>.06</w:t>
      </w:r>
      <w:r>
        <w:rPr>
          <w:rFonts w:ascii="Times New Roman" w:eastAsiaTheme="minorEastAsia" w:hAnsi="Times New Roman" w:cs="Times New Roman"/>
          <w:sz w:val="24"/>
          <w:szCs w:val="24"/>
        </w:rPr>
        <w:t>9 decrease in</w:t>
      </w:r>
      <w:r w:rsidR="00421444">
        <w:rPr>
          <w:rFonts w:ascii="Times New Roman" w:eastAsiaTheme="minorEastAsia" w:hAnsi="Times New Roman" w:cs="Times New Roman"/>
          <w:sz w:val="24"/>
          <w:szCs w:val="24"/>
        </w:rPr>
        <w:t xml:space="preserve"> the cube</w:t>
      </w:r>
      <w:r w:rsidR="003D1A0D">
        <w:rPr>
          <w:rFonts w:ascii="Times New Roman" w:eastAsiaTheme="minorEastAsia" w:hAnsi="Times New Roman" w:cs="Times New Roman"/>
          <w:sz w:val="24"/>
          <w:szCs w:val="24"/>
        </w:rPr>
        <w:t xml:space="preserve"> of</w:t>
      </w:r>
      <w:r>
        <w:rPr>
          <w:rFonts w:ascii="Times New Roman" w:eastAsiaTheme="minorEastAsia" w:hAnsi="Times New Roman" w:cs="Times New Roman"/>
          <w:sz w:val="24"/>
          <w:szCs w:val="24"/>
        </w:rPr>
        <w:t xml:space="preserve"> AFGR. </w:t>
      </w:r>
      <w:r w:rsidR="00F8703E">
        <w:rPr>
          <w:rFonts w:ascii="Times New Roman" w:eastAsiaTheme="minorEastAsia" w:hAnsi="Times New Roman" w:cs="Times New Roman"/>
          <w:sz w:val="24"/>
          <w:szCs w:val="24"/>
        </w:rPr>
        <w:t xml:space="preserve">Thus, states with higher proportions of LEP students are predicted to have lower AFGRs. </w:t>
      </w:r>
      <w:proofErr w:type="spellStart"/>
      <w:r w:rsidR="00F16549">
        <w:rPr>
          <w:rFonts w:ascii="Times New Roman" w:eastAsiaTheme="minorEastAsia" w:hAnsi="Times New Roman" w:cs="Times New Roman"/>
          <w:sz w:val="24"/>
          <w:szCs w:val="24"/>
        </w:rPr>
        <w:t>Orfield</w:t>
      </w:r>
      <w:proofErr w:type="spellEnd"/>
      <w:r w:rsidR="00F16549">
        <w:rPr>
          <w:rFonts w:ascii="Times New Roman" w:eastAsiaTheme="minorEastAsia" w:hAnsi="Times New Roman" w:cs="Times New Roman"/>
          <w:sz w:val="24"/>
          <w:szCs w:val="24"/>
        </w:rPr>
        <w:t xml:space="preserve"> and Swans</w:t>
      </w:r>
      <w:r w:rsidR="00F8703E">
        <w:rPr>
          <w:rFonts w:ascii="Times New Roman" w:eastAsiaTheme="minorEastAsia" w:hAnsi="Times New Roman" w:cs="Times New Roman"/>
          <w:sz w:val="24"/>
          <w:szCs w:val="24"/>
        </w:rPr>
        <w:t xml:space="preserve">on (2004) reported a similar result in a study of the nation’s largest 100 school districts. </w:t>
      </w:r>
      <w:r w:rsidR="00865E42">
        <w:rPr>
          <w:rFonts w:ascii="Times New Roman" w:eastAsiaTheme="minorEastAsia" w:hAnsi="Times New Roman" w:cs="Times New Roman"/>
          <w:sz w:val="24"/>
          <w:szCs w:val="24"/>
        </w:rPr>
        <w:t xml:space="preserve">They found </w:t>
      </w:r>
      <w:r w:rsidR="00F8703E">
        <w:rPr>
          <w:rFonts w:ascii="Times New Roman" w:eastAsiaTheme="minorEastAsia" w:hAnsi="Times New Roman" w:cs="Times New Roman"/>
          <w:sz w:val="24"/>
          <w:szCs w:val="24"/>
        </w:rPr>
        <w:t xml:space="preserve">English language learners </w:t>
      </w:r>
      <w:r w:rsidR="00865E42">
        <w:rPr>
          <w:rFonts w:ascii="Times New Roman" w:eastAsiaTheme="minorEastAsia" w:hAnsi="Times New Roman" w:cs="Times New Roman"/>
          <w:sz w:val="24"/>
          <w:szCs w:val="24"/>
        </w:rPr>
        <w:t xml:space="preserve">had below average graduation rates, which is likely due to inadequate academic supports. Further work, and perhaps funding, is needed to develop supports for LEP students, which may include interventions </w:t>
      </w:r>
      <w:r w:rsidR="00C66EBB">
        <w:rPr>
          <w:rFonts w:ascii="Times New Roman" w:eastAsiaTheme="minorEastAsia" w:hAnsi="Times New Roman" w:cs="Times New Roman"/>
          <w:sz w:val="24"/>
          <w:szCs w:val="24"/>
        </w:rPr>
        <w:t>such as</w:t>
      </w:r>
      <w:r w:rsidR="00865E42">
        <w:rPr>
          <w:rFonts w:ascii="Times New Roman" w:eastAsiaTheme="minorEastAsia" w:hAnsi="Times New Roman" w:cs="Times New Roman"/>
          <w:sz w:val="24"/>
          <w:szCs w:val="24"/>
        </w:rPr>
        <w:t xml:space="preserve"> the training of additional educators in LEP instruction or the development multilingual education programs.</w:t>
      </w:r>
    </w:p>
    <w:p w:rsidR="00C66EBB" w:rsidRPr="00E545DA" w:rsidRDefault="00C66EBB" w:rsidP="00DC2BDB">
      <w:pPr>
        <w:spacing w:after="40" w:line="240" w:lineRule="auto"/>
        <w:rPr>
          <w:rFonts w:ascii="Times New Roman" w:hAnsi="Times New Roman" w:cs="Times New Roman"/>
          <w:sz w:val="24"/>
          <w:szCs w:val="24"/>
        </w:rPr>
      </w:pPr>
      <w:r>
        <w:rPr>
          <w:rFonts w:ascii="Times New Roman" w:eastAsiaTheme="minorEastAsia" w:hAnsi="Times New Roman" w:cs="Times New Roman"/>
          <w:sz w:val="24"/>
          <w:szCs w:val="24"/>
        </w:rPr>
        <w:lastRenderedPageBreak/>
        <w:tab/>
        <w:t xml:space="preserve">Finally, states with higher population densities, a rough measure of urbanicity, tended to have lower AFGRs. </w:t>
      </w:r>
      <w:r w:rsidR="004B5F37">
        <w:rPr>
          <w:rFonts w:ascii="Times New Roman" w:eastAsiaTheme="minorEastAsia" w:hAnsi="Times New Roman" w:cs="Times New Roman"/>
          <w:sz w:val="24"/>
          <w:szCs w:val="24"/>
        </w:rPr>
        <w:t xml:space="preserve">For every additional person per square mile, the cube of AFRG is predicted to decrease by 0.0645 points. </w:t>
      </w:r>
      <w:r w:rsidR="00F16549">
        <w:rPr>
          <w:rFonts w:ascii="Times New Roman" w:eastAsiaTheme="minorEastAsia" w:hAnsi="Times New Roman" w:cs="Times New Roman"/>
          <w:sz w:val="24"/>
          <w:szCs w:val="24"/>
        </w:rPr>
        <w:t>This finding corresponds with the findings of Swanson (2004a) that urban areas contain many of the lowest-performing districts, many of which have high proportions of low income and minority students. In a 2009</w:t>
      </w:r>
      <w:r w:rsidR="00933B66">
        <w:rPr>
          <w:rFonts w:ascii="Times New Roman" w:eastAsiaTheme="minorEastAsia" w:hAnsi="Times New Roman" w:cs="Times New Roman"/>
          <w:sz w:val="24"/>
          <w:szCs w:val="24"/>
        </w:rPr>
        <w:t xml:space="preserve"> study</w:t>
      </w:r>
      <w:r w:rsidR="00F16549">
        <w:rPr>
          <w:rFonts w:ascii="Times New Roman" w:eastAsiaTheme="minorEastAsia" w:hAnsi="Times New Roman" w:cs="Times New Roman"/>
          <w:sz w:val="24"/>
          <w:szCs w:val="24"/>
        </w:rPr>
        <w:t xml:space="preserve">, Swanson reported that the </w:t>
      </w:r>
      <w:r w:rsidR="00AC172A">
        <w:rPr>
          <w:rFonts w:ascii="Times New Roman" w:eastAsiaTheme="minorEastAsia" w:hAnsi="Times New Roman" w:cs="Times New Roman"/>
          <w:sz w:val="24"/>
          <w:szCs w:val="24"/>
        </w:rPr>
        <w:t xml:space="preserve">average </w:t>
      </w:r>
      <w:r w:rsidR="00F16549">
        <w:rPr>
          <w:rFonts w:ascii="Times New Roman" w:eastAsiaTheme="minorEastAsia" w:hAnsi="Times New Roman" w:cs="Times New Roman"/>
          <w:sz w:val="24"/>
          <w:szCs w:val="24"/>
        </w:rPr>
        <w:t xml:space="preserve">graduation </w:t>
      </w:r>
      <w:r w:rsidR="00AC172A">
        <w:rPr>
          <w:rFonts w:ascii="Times New Roman" w:eastAsiaTheme="minorEastAsia" w:hAnsi="Times New Roman" w:cs="Times New Roman"/>
          <w:sz w:val="24"/>
          <w:szCs w:val="24"/>
        </w:rPr>
        <w:t xml:space="preserve">rate in the 50 largest U.S. cities was </w:t>
      </w:r>
      <w:r w:rsidR="00F16549">
        <w:rPr>
          <w:rFonts w:ascii="Times New Roman" w:eastAsiaTheme="minorEastAsia" w:hAnsi="Times New Roman" w:cs="Times New Roman"/>
          <w:sz w:val="24"/>
          <w:szCs w:val="24"/>
        </w:rPr>
        <w:t>51%,</w:t>
      </w:r>
      <w:r w:rsidR="00AC172A">
        <w:rPr>
          <w:rFonts w:ascii="Times New Roman" w:eastAsiaTheme="minorEastAsia" w:hAnsi="Times New Roman" w:cs="Times New Roman"/>
          <w:sz w:val="24"/>
          <w:szCs w:val="24"/>
        </w:rPr>
        <w:t xml:space="preserve"> while</w:t>
      </w:r>
      <w:r w:rsidR="00F16549">
        <w:rPr>
          <w:rFonts w:ascii="Times New Roman" w:eastAsiaTheme="minorEastAsia" w:hAnsi="Times New Roman" w:cs="Times New Roman"/>
          <w:sz w:val="24"/>
          <w:szCs w:val="24"/>
        </w:rPr>
        <w:t xml:space="preserve"> </w:t>
      </w:r>
      <w:r w:rsidR="00AC172A">
        <w:rPr>
          <w:rFonts w:ascii="Times New Roman" w:eastAsiaTheme="minorEastAsia" w:hAnsi="Times New Roman" w:cs="Times New Roman"/>
          <w:sz w:val="24"/>
          <w:szCs w:val="24"/>
        </w:rPr>
        <w:t>in suburban areas the rate was 71%. This difference has been largely explained by district wealth differences, although there are many other contributing factors that have been suggested in past literature. Additional research is needed to determine effective interventions in low-income urban areas.</w:t>
      </w:r>
    </w:p>
    <w:p w:rsidR="00BF4D72" w:rsidRDefault="00BF4D72" w:rsidP="00AC172A">
      <w:pPr>
        <w:tabs>
          <w:tab w:val="left" w:pos="8505"/>
        </w:tabs>
        <w:spacing w:after="40" w:line="240" w:lineRule="auto"/>
        <w:rPr>
          <w:rFonts w:ascii="Times New Roman" w:hAnsi="Times New Roman" w:cs="Times New Roman"/>
          <w:b/>
          <w:i/>
          <w:sz w:val="24"/>
          <w:szCs w:val="24"/>
        </w:rPr>
      </w:pPr>
    </w:p>
    <w:p w:rsidR="00BF4D72" w:rsidRDefault="00BF4D72" w:rsidP="00AC172A">
      <w:pPr>
        <w:tabs>
          <w:tab w:val="left" w:pos="8505"/>
        </w:tabs>
        <w:spacing w:after="40" w:line="240" w:lineRule="auto"/>
        <w:rPr>
          <w:rFonts w:ascii="Times New Roman" w:hAnsi="Times New Roman" w:cs="Times New Roman"/>
          <w:b/>
          <w:i/>
          <w:sz w:val="24"/>
          <w:szCs w:val="24"/>
        </w:rPr>
      </w:pPr>
      <w:r w:rsidRPr="00BF4D72">
        <w:rPr>
          <w:rFonts w:ascii="Times New Roman" w:hAnsi="Times New Roman" w:cs="Times New Roman"/>
          <w:b/>
          <w:i/>
          <w:sz w:val="24"/>
          <w:szCs w:val="24"/>
        </w:rPr>
        <w:t>Appendix</w:t>
      </w:r>
      <w:r>
        <w:rPr>
          <w:rFonts w:ascii="Times New Roman" w:hAnsi="Times New Roman" w:cs="Times New Roman"/>
          <w:b/>
          <w:i/>
          <w:sz w:val="24"/>
          <w:szCs w:val="24"/>
        </w:rPr>
        <w:t>: R Code</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gramStart"/>
      <w:r w:rsidRPr="00BF4D72">
        <w:rPr>
          <w:rFonts w:ascii="Times New Roman" w:hAnsi="Times New Roman" w:cs="Times New Roman"/>
          <w:i/>
          <w:sz w:val="24"/>
          <w:szCs w:val="24"/>
        </w:rPr>
        <w:t>require(</w:t>
      </w:r>
      <w:proofErr w:type="gramEnd"/>
      <w:r w:rsidRPr="00BF4D72">
        <w:rPr>
          <w:rFonts w:ascii="Times New Roman" w:hAnsi="Times New Roman" w:cs="Times New Roman"/>
          <w:i/>
          <w:sz w:val="24"/>
          <w:szCs w:val="24"/>
        </w:rPr>
        <w:t>R2jags)</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gramStart"/>
      <w:r w:rsidRPr="00BF4D72">
        <w:rPr>
          <w:rFonts w:ascii="Times New Roman" w:hAnsi="Times New Roman" w:cs="Times New Roman"/>
          <w:i/>
          <w:sz w:val="24"/>
          <w:szCs w:val="24"/>
        </w:rPr>
        <w:t>require(</w:t>
      </w:r>
      <w:proofErr w:type="gramEnd"/>
      <w:r w:rsidRPr="00BF4D72">
        <w:rPr>
          <w:rFonts w:ascii="Times New Roman" w:hAnsi="Times New Roman" w:cs="Times New Roman"/>
          <w:i/>
          <w:sz w:val="24"/>
          <w:szCs w:val="24"/>
        </w:rPr>
        <w:t>MASS)</w:t>
      </w:r>
    </w:p>
    <w:p w:rsidR="00BF4D72" w:rsidRDefault="00BF4D72" w:rsidP="00BF4D72">
      <w:pPr>
        <w:tabs>
          <w:tab w:val="left" w:pos="8505"/>
        </w:tabs>
        <w:spacing w:after="40" w:line="240" w:lineRule="auto"/>
        <w:rPr>
          <w:rFonts w:ascii="Times New Roman" w:hAnsi="Times New Roman" w:cs="Times New Roman"/>
          <w:i/>
          <w:sz w:val="24"/>
          <w:szCs w:val="24"/>
        </w:rPr>
      </w:pPr>
    </w:p>
    <w:p w:rsidR="00BF4D72" w:rsidRPr="00BF4D72" w:rsidRDefault="00BF4D72" w:rsidP="00BF4D72">
      <w:pPr>
        <w:tabs>
          <w:tab w:val="left" w:pos="8505"/>
        </w:tabs>
        <w:spacing w:after="40" w:line="240" w:lineRule="auto"/>
        <w:rPr>
          <w:rFonts w:ascii="Times New Roman" w:hAnsi="Times New Roman" w:cs="Times New Roman"/>
          <w:i/>
          <w:sz w:val="24"/>
          <w:szCs w:val="24"/>
        </w:rPr>
      </w:pPr>
      <w:r>
        <w:rPr>
          <w:rFonts w:ascii="Times New Roman" w:hAnsi="Times New Roman" w:cs="Times New Roman"/>
          <w:i/>
          <w:sz w:val="24"/>
          <w:szCs w:val="24"/>
        </w:rPr>
        <w:t>#Read data</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gramStart"/>
      <w:r w:rsidRPr="00BF4D72">
        <w:rPr>
          <w:rFonts w:ascii="Times New Roman" w:hAnsi="Times New Roman" w:cs="Times New Roman"/>
          <w:i/>
          <w:sz w:val="24"/>
          <w:szCs w:val="24"/>
        </w:rPr>
        <w:t>drop</w:t>
      </w:r>
      <w:proofErr w:type="gramEnd"/>
      <w:r w:rsidRPr="00BF4D72">
        <w:rPr>
          <w:rFonts w:ascii="Times New Roman" w:hAnsi="Times New Roman" w:cs="Times New Roman"/>
          <w:i/>
          <w:sz w:val="24"/>
          <w:szCs w:val="24"/>
        </w:rPr>
        <w:t xml:space="preserve"> &lt;- read.csv(</w:t>
      </w:r>
      <w:proofErr w:type="spellStart"/>
      <w:r w:rsidRPr="00BF4D72">
        <w:rPr>
          <w:rFonts w:ascii="Times New Roman" w:hAnsi="Times New Roman" w:cs="Times New Roman"/>
          <w:i/>
          <w:sz w:val="24"/>
          <w:szCs w:val="24"/>
        </w:rPr>
        <w:t>file.choose</w:t>
      </w:r>
      <w:proofErr w:type="spellEnd"/>
      <w:r w:rsidRPr="00BF4D72">
        <w:rPr>
          <w:rFonts w:ascii="Times New Roman" w:hAnsi="Times New Roman" w:cs="Times New Roman"/>
          <w:i/>
          <w:sz w:val="24"/>
          <w:szCs w:val="24"/>
        </w:rPr>
        <w:t xml:space="preserve">()) </w:t>
      </w:r>
    </w:p>
    <w:p w:rsidR="00BF4D72" w:rsidRPr="00BF4D72" w:rsidRDefault="00BF4D72" w:rsidP="00BF4D72">
      <w:pPr>
        <w:tabs>
          <w:tab w:val="left" w:pos="8505"/>
        </w:tabs>
        <w:spacing w:after="40" w:line="240" w:lineRule="auto"/>
        <w:rPr>
          <w:rFonts w:ascii="Times New Roman" w:hAnsi="Times New Roman" w:cs="Times New Roman"/>
          <w:i/>
          <w:sz w:val="24"/>
          <w:szCs w:val="24"/>
        </w:rPr>
      </w:pPr>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#Convert FR lunch + LEP to proportions</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gramStart"/>
      <w:r w:rsidRPr="00BF4D72">
        <w:rPr>
          <w:rFonts w:ascii="Times New Roman" w:hAnsi="Times New Roman" w:cs="Times New Roman"/>
          <w:i/>
          <w:sz w:val="24"/>
          <w:szCs w:val="24"/>
        </w:rPr>
        <w:t>for</w:t>
      </w:r>
      <w:proofErr w:type="gramEnd"/>
      <w:r w:rsidRPr="00BF4D72">
        <w:rPr>
          <w:rFonts w:ascii="Times New Roman" w:hAnsi="Times New Roman" w:cs="Times New Roman"/>
          <w:i/>
          <w:sz w:val="24"/>
          <w:szCs w:val="24"/>
        </w:rPr>
        <w:t xml:space="preserve"> (</w:t>
      </w:r>
      <w:proofErr w:type="spellStart"/>
      <w:r w:rsidRPr="00BF4D72">
        <w:rPr>
          <w:rFonts w:ascii="Times New Roman" w:hAnsi="Times New Roman" w:cs="Times New Roman"/>
          <w:i/>
          <w:sz w:val="24"/>
          <w:szCs w:val="24"/>
        </w:rPr>
        <w:t>i</w:t>
      </w:r>
      <w:proofErr w:type="spellEnd"/>
      <w:r w:rsidRPr="00BF4D72">
        <w:rPr>
          <w:rFonts w:ascii="Times New Roman" w:hAnsi="Times New Roman" w:cs="Times New Roman"/>
          <w:i/>
          <w:sz w:val="24"/>
          <w:szCs w:val="24"/>
        </w:rPr>
        <w:t xml:space="preserve"> in 5:6) {drop[,</w:t>
      </w:r>
      <w:proofErr w:type="spellStart"/>
      <w:r w:rsidRPr="00BF4D72">
        <w:rPr>
          <w:rFonts w:ascii="Times New Roman" w:hAnsi="Times New Roman" w:cs="Times New Roman"/>
          <w:i/>
          <w:sz w:val="24"/>
          <w:szCs w:val="24"/>
        </w:rPr>
        <w:t>i</w:t>
      </w:r>
      <w:proofErr w:type="spellEnd"/>
      <w:r w:rsidRPr="00BF4D72">
        <w:rPr>
          <w:rFonts w:ascii="Times New Roman" w:hAnsi="Times New Roman" w:cs="Times New Roman"/>
          <w:i/>
          <w:sz w:val="24"/>
          <w:szCs w:val="24"/>
        </w:rPr>
        <w:t>]&lt;-drop[,</w:t>
      </w:r>
      <w:proofErr w:type="spellStart"/>
      <w:r w:rsidRPr="00BF4D72">
        <w:rPr>
          <w:rFonts w:ascii="Times New Roman" w:hAnsi="Times New Roman" w:cs="Times New Roman"/>
          <w:i/>
          <w:sz w:val="24"/>
          <w:szCs w:val="24"/>
        </w:rPr>
        <w:t>i</w:t>
      </w:r>
      <w:proofErr w:type="spellEnd"/>
      <w:r w:rsidRPr="00BF4D72">
        <w:rPr>
          <w:rFonts w:ascii="Times New Roman" w:hAnsi="Times New Roman" w:cs="Times New Roman"/>
          <w:i/>
          <w:sz w:val="24"/>
          <w:szCs w:val="24"/>
        </w:rPr>
        <w:t>]/drop[,7]}</w:t>
      </w:r>
    </w:p>
    <w:p w:rsidR="00BF4D72" w:rsidRPr="00BF4D72" w:rsidRDefault="00BF4D72" w:rsidP="00BF4D72">
      <w:pPr>
        <w:tabs>
          <w:tab w:val="left" w:pos="8505"/>
        </w:tabs>
        <w:spacing w:after="40" w:line="240" w:lineRule="auto"/>
        <w:rPr>
          <w:rFonts w:ascii="Times New Roman" w:hAnsi="Times New Roman" w:cs="Times New Roman"/>
          <w:i/>
          <w:sz w:val="24"/>
          <w:szCs w:val="24"/>
        </w:rPr>
      </w:pPr>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w:t>
      </w:r>
      <w:r>
        <w:rPr>
          <w:rFonts w:ascii="Times New Roman" w:hAnsi="Times New Roman" w:cs="Times New Roman"/>
          <w:i/>
          <w:sz w:val="24"/>
          <w:szCs w:val="24"/>
        </w:rPr>
        <w:t>Make more readable column names</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spellStart"/>
      <w:r w:rsidRPr="00BF4D72">
        <w:rPr>
          <w:rFonts w:ascii="Times New Roman" w:hAnsi="Times New Roman" w:cs="Times New Roman"/>
          <w:i/>
          <w:sz w:val="24"/>
          <w:szCs w:val="24"/>
        </w:rPr>
        <w:t>cnames</w:t>
      </w:r>
      <w:proofErr w:type="spellEnd"/>
      <w:r w:rsidRPr="00BF4D72">
        <w:rPr>
          <w:rFonts w:ascii="Times New Roman" w:hAnsi="Times New Roman" w:cs="Times New Roman"/>
          <w:i/>
          <w:sz w:val="24"/>
          <w:szCs w:val="24"/>
        </w:rPr>
        <w:t xml:space="preserve"> &lt;- c("</w:t>
      </w:r>
      <w:proofErr w:type="spellStart"/>
      <w:r w:rsidRPr="00BF4D72">
        <w:rPr>
          <w:rFonts w:ascii="Times New Roman" w:hAnsi="Times New Roman" w:cs="Times New Roman"/>
          <w:i/>
          <w:sz w:val="24"/>
          <w:szCs w:val="24"/>
        </w:rPr>
        <w:t>state","PTR</w:t>
      </w:r>
      <w:proofErr w:type="spellEnd"/>
      <w:r w:rsidRPr="00BF4D72">
        <w:rPr>
          <w:rFonts w:ascii="Times New Roman" w:hAnsi="Times New Roman" w:cs="Times New Roman"/>
          <w:i/>
          <w:sz w:val="24"/>
          <w:szCs w:val="24"/>
        </w:rPr>
        <w:t>", "</w:t>
      </w:r>
      <w:proofErr w:type="spellStart"/>
      <w:r w:rsidRPr="00BF4D72">
        <w:rPr>
          <w:rFonts w:ascii="Times New Roman" w:hAnsi="Times New Roman" w:cs="Times New Roman"/>
          <w:i/>
          <w:sz w:val="24"/>
          <w:szCs w:val="24"/>
        </w:rPr>
        <w:t>TRev</w:t>
      </w:r>
      <w:proofErr w:type="spellEnd"/>
      <w:r w:rsidRPr="00BF4D72">
        <w:rPr>
          <w:rFonts w:ascii="Times New Roman" w:hAnsi="Times New Roman" w:cs="Times New Roman"/>
          <w:i/>
          <w:sz w:val="24"/>
          <w:szCs w:val="24"/>
        </w:rPr>
        <w:t>","</w:t>
      </w:r>
      <w:proofErr w:type="spellStart"/>
      <w:r w:rsidRPr="00BF4D72">
        <w:rPr>
          <w:rFonts w:ascii="Times New Roman" w:hAnsi="Times New Roman" w:cs="Times New Roman"/>
          <w:i/>
          <w:sz w:val="24"/>
          <w:szCs w:val="24"/>
        </w:rPr>
        <w:t>FGrad</w:t>
      </w:r>
      <w:proofErr w:type="spellEnd"/>
      <w:r w:rsidRPr="00BF4D72">
        <w:rPr>
          <w:rFonts w:ascii="Times New Roman" w:hAnsi="Times New Roman" w:cs="Times New Roman"/>
          <w:i/>
          <w:sz w:val="24"/>
          <w:szCs w:val="24"/>
        </w:rPr>
        <w:t>","</w:t>
      </w:r>
      <w:proofErr w:type="spellStart"/>
      <w:r w:rsidRPr="00BF4D72">
        <w:rPr>
          <w:rFonts w:ascii="Times New Roman" w:hAnsi="Times New Roman" w:cs="Times New Roman"/>
          <w:i/>
          <w:sz w:val="24"/>
          <w:szCs w:val="24"/>
        </w:rPr>
        <w:t>FRLun</w:t>
      </w:r>
      <w:proofErr w:type="spellEnd"/>
      <w:r w:rsidRPr="00BF4D72">
        <w:rPr>
          <w:rFonts w:ascii="Times New Roman" w:hAnsi="Times New Roman" w:cs="Times New Roman"/>
          <w:i/>
          <w:sz w:val="24"/>
          <w:szCs w:val="24"/>
        </w:rPr>
        <w:t>","LEP", "Total","</w:t>
      </w:r>
      <w:proofErr w:type="spellStart"/>
      <w:r w:rsidRPr="00BF4D72">
        <w:rPr>
          <w:rFonts w:ascii="Times New Roman" w:hAnsi="Times New Roman" w:cs="Times New Roman"/>
          <w:i/>
          <w:sz w:val="24"/>
          <w:szCs w:val="24"/>
        </w:rPr>
        <w:t>TotalState</w:t>
      </w:r>
      <w:proofErr w:type="spellEnd"/>
      <w:r w:rsidRPr="00BF4D72">
        <w:rPr>
          <w:rFonts w:ascii="Times New Roman" w:hAnsi="Times New Roman" w:cs="Times New Roman"/>
          <w:i/>
          <w:sz w:val="24"/>
          <w:szCs w:val="24"/>
        </w:rPr>
        <w:t>","</w:t>
      </w:r>
      <w:proofErr w:type="spellStart"/>
      <w:r w:rsidRPr="00BF4D72">
        <w:rPr>
          <w:rFonts w:ascii="Times New Roman" w:hAnsi="Times New Roman" w:cs="Times New Roman"/>
          <w:i/>
          <w:sz w:val="24"/>
          <w:szCs w:val="24"/>
        </w:rPr>
        <w:t>PopDens</w:t>
      </w:r>
      <w:proofErr w:type="spellEnd"/>
      <w:r w:rsidRPr="00BF4D72">
        <w:rPr>
          <w:rFonts w:ascii="Times New Roman" w:hAnsi="Times New Roman" w:cs="Times New Roman"/>
          <w:i/>
          <w:sz w:val="24"/>
          <w:szCs w:val="24"/>
        </w:rPr>
        <w:t>")</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spellStart"/>
      <w:proofErr w:type="gramStart"/>
      <w:r w:rsidRPr="00BF4D72">
        <w:rPr>
          <w:rFonts w:ascii="Times New Roman" w:hAnsi="Times New Roman" w:cs="Times New Roman"/>
          <w:i/>
          <w:sz w:val="24"/>
          <w:szCs w:val="24"/>
        </w:rPr>
        <w:t>colnames</w:t>
      </w:r>
      <w:proofErr w:type="spellEnd"/>
      <w:r w:rsidRPr="00BF4D72">
        <w:rPr>
          <w:rFonts w:ascii="Times New Roman" w:hAnsi="Times New Roman" w:cs="Times New Roman"/>
          <w:i/>
          <w:sz w:val="24"/>
          <w:szCs w:val="24"/>
        </w:rPr>
        <w:t>(</w:t>
      </w:r>
      <w:proofErr w:type="gramEnd"/>
      <w:r w:rsidRPr="00BF4D72">
        <w:rPr>
          <w:rFonts w:ascii="Times New Roman" w:hAnsi="Times New Roman" w:cs="Times New Roman"/>
          <w:i/>
          <w:sz w:val="24"/>
          <w:szCs w:val="24"/>
        </w:rPr>
        <w:t xml:space="preserve">drop) &lt;- </w:t>
      </w:r>
      <w:proofErr w:type="spellStart"/>
      <w:r w:rsidRPr="00BF4D72">
        <w:rPr>
          <w:rFonts w:ascii="Times New Roman" w:hAnsi="Times New Roman" w:cs="Times New Roman"/>
          <w:i/>
          <w:sz w:val="24"/>
          <w:szCs w:val="24"/>
        </w:rPr>
        <w:t>cnames</w:t>
      </w:r>
      <w:proofErr w:type="spellEnd"/>
    </w:p>
    <w:p w:rsidR="00BF4D72" w:rsidRDefault="00BF4D72" w:rsidP="00BF4D72">
      <w:pPr>
        <w:tabs>
          <w:tab w:val="left" w:pos="8505"/>
        </w:tabs>
        <w:spacing w:after="40" w:line="240" w:lineRule="auto"/>
        <w:rPr>
          <w:rFonts w:ascii="Times New Roman" w:hAnsi="Times New Roman" w:cs="Times New Roman"/>
          <w:i/>
          <w:sz w:val="24"/>
          <w:szCs w:val="24"/>
        </w:rPr>
      </w:pPr>
    </w:p>
    <w:p w:rsidR="00A26935" w:rsidRPr="00BF4D72" w:rsidRDefault="00A26935" w:rsidP="00BF4D72">
      <w:pPr>
        <w:tabs>
          <w:tab w:val="left" w:pos="8505"/>
        </w:tabs>
        <w:spacing w:after="40" w:line="240" w:lineRule="auto"/>
        <w:rPr>
          <w:rFonts w:ascii="Times New Roman" w:hAnsi="Times New Roman" w:cs="Times New Roman"/>
          <w:i/>
          <w:sz w:val="24"/>
          <w:szCs w:val="24"/>
        </w:rPr>
      </w:pPr>
      <w:r>
        <w:rPr>
          <w:rFonts w:ascii="Times New Roman" w:hAnsi="Times New Roman" w:cs="Times New Roman"/>
          <w:i/>
          <w:sz w:val="24"/>
          <w:szCs w:val="24"/>
        </w:rPr>
        <w:t>#Fit traditional MR model to determine if predictor/response transformation is necessary</w:t>
      </w:r>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w:t>
      </w:r>
      <w:proofErr w:type="spellStart"/>
      <w:r w:rsidRPr="00BF4D72">
        <w:rPr>
          <w:rFonts w:ascii="Times New Roman" w:hAnsi="Times New Roman" w:cs="Times New Roman"/>
          <w:i/>
          <w:sz w:val="24"/>
          <w:szCs w:val="24"/>
        </w:rPr>
        <w:t>BoxCox</w:t>
      </w:r>
      <w:proofErr w:type="spellEnd"/>
      <w:r w:rsidRPr="00BF4D72">
        <w:rPr>
          <w:rFonts w:ascii="Times New Roman" w:hAnsi="Times New Roman" w:cs="Times New Roman"/>
          <w:i/>
          <w:sz w:val="24"/>
          <w:szCs w:val="24"/>
        </w:rPr>
        <w:t xml:space="preserve"> transformation suggests lambda = 3</w:t>
      </w:r>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modl1=</w:t>
      </w:r>
      <w:proofErr w:type="gramStart"/>
      <w:r w:rsidRPr="00BF4D72">
        <w:rPr>
          <w:rFonts w:ascii="Times New Roman" w:hAnsi="Times New Roman" w:cs="Times New Roman"/>
          <w:i/>
          <w:sz w:val="24"/>
          <w:szCs w:val="24"/>
        </w:rPr>
        <w:t>lm(</w:t>
      </w:r>
      <w:proofErr w:type="spellStart"/>
      <w:proofErr w:type="gramEnd"/>
      <w:r w:rsidRPr="00BF4D72">
        <w:rPr>
          <w:rFonts w:ascii="Times New Roman" w:hAnsi="Times New Roman" w:cs="Times New Roman"/>
          <w:i/>
          <w:sz w:val="24"/>
          <w:szCs w:val="24"/>
        </w:rPr>
        <w:t>FGrad~PTR+TRev+FRLun+LEP+PopDens,drop</w:t>
      </w:r>
      <w:proofErr w:type="spellEnd"/>
      <w:r w:rsidRPr="00BF4D72">
        <w:rPr>
          <w:rFonts w:ascii="Times New Roman" w:hAnsi="Times New Roman" w:cs="Times New Roman"/>
          <w:i/>
          <w:sz w:val="24"/>
          <w:szCs w:val="24"/>
        </w:rPr>
        <w:t>)</w:t>
      </w:r>
    </w:p>
    <w:p w:rsidR="00E958BE" w:rsidRDefault="00E958BE" w:rsidP="00BF4D72">
      <w:pPr>
        <w:tabs>
          <w:tab w:val="left" w:pos="8505"/>
        </w:tabs>
        <w:spacing w:after="40" w:line="240" w:lineRule="auto"/>
        <w:rPr>
          <w:rFonts w:ascii="Times New Roman" w:hAnsi="Times New Roman" w:cs="Times New Roman"/>
          <w:i/>
          <w:sz w:val="24"/>
          <w:szCs w:val="24"/>
        </w:rPr>
      </w:pPr>
      <w:proofErr w:type="gramStart"/>
      <w:r>
        <w:rPr>
          <w:rFonts w:ascii="Times New Roman" w:hAnsi="Times New Roman" w:cs="Times New Roman"/>
          <w:i/>
          <w:sz w:val="24"/>
          <w:szCs w:val="24"/>
        </w:rPr>
        <w:t>par(</w:t>
      </w:r>
      <w:proofErr w:type="spellStart"/>
      <w:proofErr w:type="gramEnd"/>
      <w:r>
        <w:rPr>
          <w:rFonts w:ascii="Times New Roman" w:hAnsi="Times New Roman" w:cs="Times New Roman"/>
          <w:i/>
          <w:sz w:val="24"/>
          <w:szCs w:val="24"/>
        </w:rPr>
        <w:t>mfrow</w:t>
      </w:r>
      <w:proofErr w:type="spellEnd"/>
      <w:r>
        <w:rPr>
          <w:rFonts w:ascii="Times New Roman" w:hAnsi="Times New Roman" w:cs="Times New Roman"/>
          <w:i/>
          <w:sz w:val="24"/>
          <w:szCs w:val="24"/>
        </w:rPr>
        <w:t>=c(2,2))</w:t>
      </w:r>
    </w:p>
    <w:p w:rsidR="00A26935" w:rsidRDefault="00A26935" w:rsidP="00BF4D72">
      <w:pPr>
        <w:tabs>
          <w:tab w:val="left" w:pos="8505"/>
        </w:tabs>
        <w:spacing w:after="40" w:line="240" w:lineRule="auto"/>
        <w:rPr>
          <w:rFonts w:ascii="Times New Roman" w:hAnsi="Times New Roman" w:cs="Times New Roman"/>
          <w:i/>
          <w:sz w:val="24"/>
          <w:szCs w:val="24"/>
        </w:rPr>
      </w:pPr>
      <w:proofErr w:type="gramStart"/>
      <w:r>
        <w:rPr>
          <w:rFonts w:ascii="Times New Roman" w:hAnsi="Times New Roman" w:cs="Times New Roman"/>
          <w:i/>
          <w:sz w:val="24"/>
          <w:szCs w:val="24"/>
        </w:rPr>
        <w:t>plot(</w:t>
      </w:r>
      <w:proofErr w:type="gramEnd"/>
      <w:r>
        <w:rPr>
          <w:rFonts w:ascii="Times New Roman" w:hAnsi="Times New Roman" w:cs="Times New Roman"/>
          <w:i/>
          <w:sz w:val="24"/>
          <w:szCs w:val="24"/>
        </w:rPr>
        <w:t>modl1)</w:t>
      </w:r>
    </w:p>
    <w:p w:rsidR="00E958BE" w:rsidRDefault="00E958BE" w:rsidP="00BF4D72">
      <w:pPr>
        <w:tabs>
          <w:tab w:val="left" w:pos="8505"/>
        </w:tabs>
        <w:spacing w:after="40" w:line="240" w:lineRule="auto"/>
        <w:rPr>
          <w:rFonts w:ascii="Times New Roman" w:hAnsi="Times New Roman" w:cs="Times New Roman"/>
          <w:i/>
          <w:sz w:val="24"/>
          <w:szCs w:val="24"/>
        </w:rPr>
      </w:pPr>
      <w:proofErr w:type="spellStart"/>
      <w:proofErr w:type="gramStart"/>
      <w:r>
        <w:rPr>
          <w:rFonts w:ascii="Times New Roman" w:hAnsi="Times New Roman" w:cs="Times New Roman"/>
          <w:i/>
          <w:sz w:val="24"/>
          <w:szCs w:val="24"/>
        </w:rPr>
        <w:t>boxcox</w:t>
      </w:r>
      <w:proofErr w:type="spellEnd"/>
      <w:r>
        <w:rPr>
          <w:rFonts w:ascii="Times New Roman" w:hAnsi="Times New Roman" w:cs="Times New Roman"/>
          <w:i/>
          <w:sz w:val="24"/>
          <w:szCs w:val="24"/>
        </w:rPr>
        <w:t>(</w:t>
      </w:r>
      <w:proofErr w:type="gramEnd"/>
      <w:r w:rsidRPr="00BF4D72">
        <w:rPr>
          <w:rFonts w:ascii="Times New Roman" w:hAnsi="Times New Roman" w:cs="Times New Roman"/>
          <w:i/>
          <w:sz w:val="24"/>
          <w:szCs w:val="24"/>
        </w:rPr>
        <w:t>modl1</w:t>
      </w:r>
      <w:r>
        <w:rPr>
          <w:rFonts w:ascii="Times New Roman" w:hAnsi="Times New Roman" w:cs="Times New Roman"/>
          <w:i/>
          <w:sz w:val="24"/>
          <w:szCs w:val="24"/>
        </w:rPr>
        <w:t xml:space="preserve">,lambda = </w:t>
      </w:r>
      <w:proofErr w:type="spellStart"/>
      <w:r>
        <w:rPr>
          <w:rFonts w:ascii="Times New Roman" w:hAnsi="Times New Roman" w:cs="Times New Roman"/>
          <w:i/>
          <w:sz w:val="24"/>
          <w:szCs w:val="24"/>
        </w:rPr>
        <w:t>seq</w:t>
      </w:r>
      <w:proofErr w:type="spellEnd"/>
      <w:r>
        <w:rPr>
          <w:rFonts w:ascii="Times New Roman" w:hAnsi="Times New Roman" w:cs="Times New Roman"/>
          <w:i/>
          <w:sz w:val="24"/>
          <w:szCs w:val="24"/>
        </w:rPr>
        <w:t>(0,4,by = .01))</w:t>
      </w:r>
    </w:p>
    <w:p w:rsidR="00A26935" w:rsidRPr="00BF4D72" w:rsidRDefault="00A26935" w:rsidP="00A26935">
      <w:pPr>
        <w:tabs>
          <w:tab w:val="left" w:pos="8505"/>
        </w:tabs>
        <w:spacing w:after="40" w:line="240" w:lineRule="auto"/>
        <w:rPr>
          <w:rFonts w:ascii="Times New Roman" w:hAnsi="Times New Roman" w:cs="Times New Roman"/>
          <w:i/>
          <w:sz w:val="24"/>
          <w:szCs w:val="24"/>
        </w:rPr>
      </w:pPr>
      <w:r>
        <w:rPr>
          <w:rFonts w:ascii="Times New Roman" w:hAnsi="Times New Roman" w:cs="Times New Roman"/>
          <w:i/>
          <w:sz w:val="24"/>
          <w:szCs w:val="24"/>
        </w:rPr>
        <w:t>modl2</w:t>
      </w:r>
      <w:r w:rsidRPr="00BF4D72">
        <w:rPr>
          <w:rFonts w:ascii="Times New Roman" w:hAnsi="Times New Roman" w:cs="Times New Roman"/>
          <w:i/>
          <w:sz w:val="24"/>
          <w:szCs w:val="24"/>
        </w:rPr>
        <w:t>=</w:t>
      </w:r>
      <w:proofErr w:type="gramStart"/>
      <w:r w:rsidRPr="00BF4D72">
        <w:rPr>
          <w:rFonts w:ascii="Times New Roman" w:hAnsi="Times New Roman" w:cs="Times New Roman"/>
          <w:i/>
          <w:sz w:val="24"/>
          <w:szCs w:val="24"/>
        </w:rPr>
        <w:t>lm(</w:t>
      </w:r>
      <w:proofErr w:type="gramEnd"/>
      <w:r w:rsidRPr="00BF4D72">
        <w:rPr>
          <w:rFonts w:ascii="Times New Roman" w:hAnsi="Times New Roman" w:cs="Times New Roman"/>
          <w:i/>
          <w:sz w:val="24"/>
          <w:szCs w:val="24"/>
        </w:rPr>
        <w:t>FGrad</w:t>
      </w:r>
      <w:r>
        <w:rPr>
          <w:rFonts w:ascii="Times New Roman" w:hAnsi="Times New Roman" w:cs="Times New Roman"/>
          <w:i/>
          <w:sz w:val="24"/>
          <w:szCs w:val="24"/>
        </w:rPr>
        <w:t>^3</w:t>
      </w:r>
      <w:r w:rsidRPr="00BF4D72">
        <w:rPr>
          <w:rFonts w:ascii="Times New Roman" w:hAnsi="Times New Roman" w:cs="Times New Roman"/>
          <w:i/>
          <w:sz w:val="24"/>
          <w:szCs w:val="24"/>
        </w:rPr>
        <w:t>~PTR+TRev+FRLun+LEP+PopDens,drop)</w:t>
      </w:r>
    </w:p>
    <w:p w:rsidR="00A26935" w:rsidRDefault="00A26935" w:rsidP="00BF4D72">
      <w:pPr>
        <w:tabs>
          <w:tab w:val="left" w:pos="8505"/>
        </w:tabs>
        <w:spacing w:after="40" w:line="240" w:lineRule="auto"/>
        <w:rPr>
          <w:rFonts w:ascii="Times New Roman" w:hAnsi="Times New Roman" w:cs="Times New Roman"/>
          <w:i/>
          <w:sz w:val="24"/>
          <w:szCs w:val="24"/>
        </w:rPr>
      </w:pPr>
      <w:proofErr w:type="gramStart"/>
      <w:r>
        <w:rPr>
          <w:rFonts w:ascii="Times New Roman" w:hAnsi="Times New Roman" w:cs="Times New Roman"/>
          <w:i/>
          <w:sz w:val="24"/>
          <w:szCs w:val="24"/>
        </w:rPr>
        <w:t>plot(</w:t>
      </w:r>
      <w:proofErr w:type="gramEnd"/>
      <w:r>
        <w:rPr>
          <w:rFonts w:ascii="Times New Roman" w:hAnsi="Times New Roman" w:cs="Times New Roman"/>
          <w:i/>
          <w:sz w:val="24"/>
          <w:szCs w:val="24"/>
        </w:rPr>
        <w:t>modl2)</w:t>
      </w:r>
    </w:p>
    <w:p w:rsidR="00BF4D72" w:rsidRPr="00BF4D72" w:rsidRDefault="00BF4D72" w:rsidP="00BF4D72">
      <w:pPr>
        <w:tabs>
          <w:tab w:val="left" w:pos="8505"/>
        </w:tabs>
        <w:spacing w:after="40" w:line="240" w:lineRule="auto"/>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Transformed</w:t>
      </w:r>
      <w:proofErr w:type="gramEnd"/>
      <w:r>
        <w:rPr>
          <w:rFonts w:ascii="Times New Roman" w:hAnsi="Times New Roman" w:cs="Times New Roman"/>
          <w:i/>
          <w:sz w:val="24"/>
          <w:szCs w:val="24"/>
        </w:rPr>
        <w:t xml:space="preserve"> response vector</w:t>
      </w:r>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fgrad3 &lt;- drop$FGrad^3</w:t>
      </w:r>
    </w:p>
    <w:p w:rsidR="00BF4D72" w:rsidRPr="00BF4D72" w:rsidRDefault="00BF4D72" w:rsidP="00BF4D72">
      <w:pPr>
        <w:tabs>
          <w:tab w:val="left" w:pos="8505"/>
        </w:tabs>
        <w:spacing w:after="40" w:line="240" w:lineRule="auto"/>
        <w:rPr>
          <w:rFonts w:ascii="Times New Roman" w:hAnsi="Times New Roman" w:cs="Times New Roman"/>
          <w:i/>
          <w:sz w:val="24"/>
          <w:szCs w:val="24"/>
        </w:rPr>
      </w:pPr>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 xml:space="preserve"># </w:t>
      </w:r>
      <w:r w:rsidR="00A26935">
        <w:rPr>
          <w:rFonts w:ascii="Times New Roman" w:hAnsi="Times New Roman" w:cs="Times New Roman"/>
          <w:i/>
          <w:sz w:val="24"/>
          <w:szCs w:val="24"/>
        </w:rPr>
        <w:t>Model a</w:t>
      </w:r>
      <w:r>
        <w:rPr>
          <w:rFonts w:ascii="Times New Roman" w:hAnsi="Times New Roman" w:cs="Times New Roman"/>
          <w:i/>
          <w:sz w:val="24"/>
          <w:szCs w:val="24"/>
        </w:rPr>
        <w:t>ttempt 1: N</w:t>
      </w:r>
      <w:r w:rsidRPr="00BF4D72">
        <w:rPr>
          <w:rFonts w:ascii="Times New Roman" w:hAnsi="Times New Roman" w:cs="Times New Roman"/>
          <w:i/>
          <w:sz w:val="24"/>
          <w:szCs w:val="24"/>
        </w:rPr>
        <w:t>o standardization</w:t>
      </w:r>
      <w:r>
        <w:rPr>
          <w:rFonts w:ascii="Times New Roman" w:hAnsi="Times New Roman" w:cs="Times New Roman"/>
          <w:i/>
          <w:sz w:val="24"/>
          <w:szCs w:val="24"/>
        </w:rPr>
        <w:t>, ga</w:t>
      </w:r>
      <w:r w:rsidR="00A26935">
        <w:rPr>
          <w:rFonts w:ascii="Times New Roman" w:hAnsi="Times New Roman" w:cs="Times New Roman"/>
          <w:i/>
          <w:sz w:val="24"/>
          <w:szCs w:val="24"/>
        </w:rPr>
        <w:t>mma prior for mean resp. variance</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spellStart"/>
      <w:r w:rsidRPr="00BF4D72">
        <w:rPr>
          <w:rFonts w:ascii="Times New Roman" w:hAnsi="Times New Roman" w:cs="Times New Roman"/>
          <w:i/>
          <w:sz w:val="24"/>
          <w:szCs w:val="24"/>
        </w:rPr>
        <w:t>reg.mdl</w:t>
      </w:r>
      <w:proofErr w:type="spellEnd"/>
      <w:r w:rsidRPr="00BF4D72">
        <w:rPr>
          <w:rFonts w:ascii="Times New Roman" w:hAnsi="Times New Roman" w:cs="Times New Roman"/>
          <w:i/>
          <w:sz w:val="24"/>
          <w:szCs w:val="24"/>
        </w:rPr>
        <w:t>=</w:t>
      </w:r>
      <w:proofErr w:type="gramStart"/>
      <w:r w:rsidRPr="00BF4D72">
        <w:rPr>
          <w:rFonts w:ascii="Times New Roman" w:hAnsi="Times New Roman" w:cs="Times New Roman"/>
          <w:i/>
          <w:sz w:val="24"/>
          <w:szCs w:val="24"/>
        </w:rPr>
        <w:t>function(</w:t>
      </w:r>
      <w:proofErr w:type="gramEnd"/>
      <w:r w:rsidRPr="00BF4D72">
        <w:rPr>
          <w:rFonts w:ascii="Times New Roman" w:hAnsi="Times New Roman" w:cs="Times New Roman"/>
          <w:i/>
          <w:sz w:val="24"/>
          <w:szCs w:val="24"/>
        </w:rPr>
        <w:t>) {</w:t>
      </w:r>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 xml:space="preserve">  # </w:t>
      </w:r>
      <w:proofErr w:type="gramStart"/>
      <w:r w:rsidRPr="00BF4D72">
        <w:rPr>
          <w:rFonts w:ascii="Times New Roman" w:hAnsi="Times New Roman" w:cs="Times New Roman"/>
          <w:i/>
          <w:sz w:val="24"/>
          <w:szCs w:val="24"/>
        </w:rPr>
        <w:t>likelihood</w:t>
      </w:r>
      <w:proofErr w:type="gramEnd"/>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 xml:space="preserve">  </w:t>
      </w:r>
      <w:proofErr w:type="gramStart"/>
      <w:r w:rsidRPr="00BF4D72">
        <w:rPr>
          <w:rFonts w:ascii="Times New Roman" w:hAnsi="Times New Roman" w:cs="Times New Roman"/>
          <w:i/>
          <w:sz w:val="24"/>
          <w:szCs w:val="24"/>
        </w:rPr>
        <w:t>for</w:t>
      </w:r>
      <w:proofErr w:type="gramEnd"/>
      <w:r w:rsidRPr="00BF4D72">
        <w:rPr>
          <w:rFonts w:ascii="Times New Roman" w:hAnsi="Times New Roman" w:cs="Times New Roman"/>
          <w:i/>
          <w:sz w:val="24"/>
          <w:szCs w:val="24"/>
        </w:rPr>
        <w:t xml:space="preserve"> (</w:t>
      </w:r>
      <w:proofErr w:type="spellStart"/>
      <w:r w:rsidRPr="00BF4D72">
        <w:rPr>
          <w:rFonts w:ascii="Times New Roman" w:hAnsi="Times New Roman" w:cs="Times New Roman"/>
          <w:i/>
          <w:sz w:val="24"/>
          <w:szCs w:val="24"/>
        </w:rPr>
        <w:t>i</w:t>
      </w:r>
      <w:proofErr w:type="spellEnd"/>
      <w:r w:rsidRPr="00BF4D72">
        <w:rPr>
          <w:rFonts w:ascii="Times New Roman" w:hAnsi="Times New Roman" w:cs="Times New Roman"/>
          <w:i/>
          <w:sz w:val="24"/>
          <w:szCs w:val="24"/>
        </w:rPr>
        <w:t xml:space="preserve"> in 1:nData) {</w:t>
      </w:r>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 xml:space="preserve">    </w:t>
      </w:r>
      <w:proofErr w:type="gramStart"/>
      <w:r w:rsidRPr="00BF4D72">
        <w:rPr>
          <w:rFonts w:ascii="Times New Roman" w:hAnsi="Times New Roman" w:cs="Times New Roman"/>
          <w:i/>
          <w:sz w:val="24"/>
          <w:szCs w:val="24"/>
        </w:rPr>
        <w:t>y[</w:t>
      </w:r>
      <w:proofErr w:type="spellStart"/>
      <w:proofErr w:type="gramEnd"/>
      <w:r w:rsidRPr="00BF4D72">
        <w:rPr>
          <w:rFonts w:ascii="Times New Roman" w:hAnsi="Times New Roman" w:cs="Times New Roman"/>
          <w:i/>
          <w:sz w:val="24"/>
          <w:szCs w:val="24"/>
        </w:rPr>
        <w:t>i</w:t>
      </w:r>
      <w:proofErr w:type="spellEnd"/>
      <w:r w:rsidRPr="00BF4D72">
        <w:rPr>
          <w:rFonts w:ascii="Times New Roman" w:hAnsi="Times New Roman" w:cs="Times New Roman"/>
          <w:i/>
          <w:sz w:val="24"/>
          <w:szCs w:val="24"/>
        </w:rPr>
        <w:t>]~</w:t>
      </w:r>
      <w:proofErr w:type="spellStart"/>
      <w:r w:rsidRPr="00BF4D72">
        <w:rPr>
          <w:rFonts w:ascii="Times New Roman" w:hAnsi="Times New Roman" w:cs="Times New Roman"/>
          <w:i/>
          <w:sz w:val="24"/>
          <w:szCs w:val="24"/>
        </w:rPr>
        <w:t>dnorm</w:t>
      </w:r>
      <w:proofErr w:type="spellEnd"/>
      <w:r w:rsidRPr="00BF4D72">
        <w:rPr>
          <w:rFonts w:ascii="Times New Roman" w:hAnsi="Times New Roman" w:cs="Times New Roman"/>
          <w:i/>
          <w:sz w:val="24"/>
          <w:szCs w:val="24"/>
        </w:rPr>
        <w:t>(mu[</w:t>
      </w:r>
      <w:proofErr w:type="spellStart"/>
      <w:r w:rsidRPr="00BF4D72">
        <w:rPr>
          <w:rFonts w:ascii="Times New Roman" w:hAnsi="Times New Roman" w:cs="Times New Roman"/>
          <w:i/>
          <w:sz w:val="24"/>
          <w:szCs w:val="24"/>
        </w:rPr>
        <w:t>i</w:t>
      </w:r>
      <w:proofErr w:type="spellEnd"/>
      <w:r w:rsidRPr="00BF4D72">
        <w:rPr>
          <w:rFonts w:ascii="Times New Roman" w:hAnsi="Times New Roman" w:cs="Times New Roman"/>
          <w:i/>
          <w:sz w:val="24"/>
          <w:szCs w:val="24"/>
        </w:rPr>
        <w:t>],tau)</w:t>
      </w:r>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 xml:space="preserve">    </w:t>
      </w:r>
      <w:proofErr w:type="gramStart"/>
      <w:r w:rsidRPr="00BF4D72">
        <w:rPr>
          <w:rFonts w:ascii="Times New Roman" w:hAnsi="Times New Roman" w:cs="Times New Roman"/>
          <w:i/>
          <w:sz w:val="24"/>
          <w:szCs w:val="24"/>
        </w:rPr>
        <w:t>mu[</w:t>
      </w:r>
      <w:proofErr w:type="spellStart"/>
      <w:proofErr w:type="gramEnd"/>
      <w:r w:rsidRPr="00BF4D72">
        <w:rPr>
          <w:rFonts w:ascii="Times New Roman" w:hAnsi="Times New Roman" w:cs="Times New Roman"/>
          <w:i/>
          <w:sz w:val="24"/>
          <w:szCs w:val="24"/>
        </w:rPr>
        <w:t>i</w:t>
      </w:r>
      <w:proofErr w:type="spellEnd"/>
      <w:r w:rsidRPr="00BF4D72">
        <w:rPr>
          <w:rFonts w:ascii="Times New Roman" w:hAnsi="Times New Roman" w:cs="Times New Roman"/>
          <w:i/>
          <w:sz w:val="24"/>
          <w:szCs w:val="24"/>
        </w:rPr>
        <w:t xml:space="preserve">] &lt;- </w:t>
      </w:r>
      <w:proofErr w:type="spellStart"/>
      <w:r w:rsidRPr="00BF4D72">
        <w:rPr>
          <w:rFonts w:ascii="Times New Roman" w:hAnsi="Times New Roman" w:cs="Times New Roman"/>
          <w:i/>
          <w:sz w:val="24"/>
          <w:szCs w:val="24"/>
        </w:rPr>
        <w:t>inprod</w:t>
      </w:r>
      <w:proofErr w:type="spellEnd"/>
      <w:r w:rsidRPr="00BF4D72">
        <w:rPr>
          <w:rFonts w:ascii="Times New Roman" w:hAnsi="Times New Roman" w:cs="Times New Roman"/>
          <w:i/>
          <w:sz w:val="24"/>
          <w:szCs w:val="24"/>
        </w:rPr>
        <w:t>(B[],X[</w:t>
      </w:r>
      <w:proofErr w:type="spellStart"/>
      <w:r w:rsidRPr="00BF4D72">
        <w:rPr>
          <w:rFonts w:ascii="Times New Roman" w:hAnsi="Times New Roman" w:cs="Times New Roman"/>
          <w:i/>
          <w:sz w:val="24"/>
          <w:szCs w:val="24"/>
        </w:rPr>
        <w:t>i</w:t>
      </w:r>
      <w:proofErr w:type="spellEnd"/>
      <w:r w:rsidRPr="00BF4D72">
        <w:rPr>
          <w:rFonts w:ascii="Times New Roman" w:hAnsi="Times New Roman" w:cs="Times New Roman"/>
          <w:i/>
          <w:sz w:val="24"/>
          <w:szCs w:val="24"/>
        </w:rPr>
        <w:t>,])</w:t>
      </w:r>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 xml:space="preserve">  }</w:t>
      </w:r>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lastRenderedPageBreak/>
        <w:t xml:space="preserve">  #priors</w:t>
      </w:r>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 xml:space="preserve">  </w:t>
      </w:r>
      <w:proofErr w:type="gramStart"/>
      <w:r w:rsidRPr="00BF4D72">
        <w:rPr>
          <w:rFonts w:ascii="Times New Roman" w:hAnsi="Times New Roman" w:cs="Times New Roman"/>
          <w:i/>
          <w:sz w:val="24"/>
          <w:szCs w:val="24"/>
        </w:rPr>
        <w:t>for</w:t>
      </w:r>
      <w:proofErr w:type="gramEnd"/>
      <w:r w:rsidRPr="00BF4D72">
        <w:rPr>
          <w:rFonts w:ascii="Times New Roman" w:hAnsi="Times New Roman" w:cs="Times New Roman"/>
          <w:i/>
          <w:sz w:val="24"/>
          <w:szCs w:val="24"/>
        </w:rPr>
        <w:t xml:space="preserve"> (j in 1:nParms) {</w:t>
      </w:r>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 xml:space="preserve">    B[j</w:t>
      </w:r>
      <w:proofErr w:type="gramStart"/>
      <w:r w:rsidRPr="00BF4D72">
        <w:rPr>
          <w:rFonts w:ascii="Times New Roman" w:hAnsi="Times New Roman" w:cs="Times New Roman"/>
          <w:i/>
          <w:sz w:val="24"/>
          <w:szCs w:val="24"/>
        </w:rPr>
        <w:t>]~</w:t>
      </w:r>
      <w:proofErr w:type="spellStart"/>
      <w:proofErr w:type="gramEnd"/>
      <w:r w:rsidRPr="00BF4D72">
        <w:rPr>
          <w:rFonts w:ascii="Times New Roman" w:hAnsi="Times New Roman" w:cs="Times New Roman"/>
          <w:i/>
          <w:sz w:val="24"/>
          <w:szCs w:val="24"/>
        </w:rPr>
        <w:t>dnorm</w:t>
      </w:r>
      <w:proofErr w:type="spellEnd"/>
      <w:r w:rsidRPr="00BF4D72">
        <w:rPr>
          <w:rFonts w:ascii="Times New Roman" w:hAnsi="Times New Roman" w:cs="Times New Roman"/>
          <w:i/>
          <w:sz w:val="24"/>
          <w:szCs w:val="24"/>
        </w:rPr>
        <w:t>(0,1E-6)</w:t>
      </w:r>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 xml:space="preserve">  }</w:t>
      </w:r>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 xml:space="preserve">  </w:t>
      </w:r>
      <w:proofErr w:type="gramStart"/>
      <w:r w:rsidRPr="00BF4D72">
        <w:rPr>
          <w:rFonts w:ascii="Times New Roman" w:hAnsi="Times New Roman" w:cs="Times New Roman"/>
          <w:i/>
          <w:sz w:val="24"/>
          <w:szCs w:val="24"/>
        </w:rPr>
        <w:t>tau</w:t>
      </w:r>
      <w:proofErr w:type="gramEnd"/>
      <w:r w:rsidRPr="00BF4D72">
        <w:rPr>
          <w:rFonts w:ascii="Times New Roman" w:hAnsi="Times New Roman" w:cs="Times New Roman"/>
          <w:i/>
          <w:sz w:val="24"/>
          <w:szCs w:val="24"/>
        </w:rPr>
        <w:t xml:space="preserve"> ~ </w:t>
      </w:r>
      <w:proofErr w:type="spellStart"/>
      <w:r w:rsidRPr="00BF4D72">
        <w:rPr>
          <w:rFonts w:ascii="Times New Roman" w:hAnsi="Times New Roman" w:cs="Times New Roman"/>
          <w:i/>
          <w:sz w:val="24"/>
          <w:szCs w:val="24"/>
        </w:rPr>
        <w:t>dgamma</w:t>
      </w:r>
      <w:proofErr w:type="spellEnd"/>
      <w:r w:rsidRPr="00BF4D72">
        <w:rPr>
          <w:rFonts w:ascii="Times New Roman" w:hAnsi="Times New Roman" w:cs="Times New Roman"/>
          <w:i/>
          <w:sz w:val="24"/>
          <w:szCs w:val="24"/>
        </w:rPr>
        <w:t>(0.01,0.01)</w:t>
      </w:r>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 xml:space="preserve">  </w:t>
      </w:r>
      <w:proofErr w:type="gramStart"/>
      <w:r w:rsidRPr="00BF4D72">
        <w:rPr>
          <w:rFonts w:ascii="Times New Roman" w:hAnsi="Times New Roman" w:cs="Times New Roman"/>
          <w:i/>
          <w:sz w:val="24"/>
          <w:szCs w:val="24"/>
        </w:rPr>
        <w:t>sigma</w:t>
      </w:r>
      <w:proofErr w:type="gramEnd"/>
      <w:r w:rsidRPr="00BF4D72">
        <w:rPr>
          <w:rFonts w:ascii="Times New Roman" w:hAnsi="Times New Roman" w:cs="Times New Roman"/>
          <w:i/>
          <w:sz w:val="24"/>
          <w:szCs w:val="24"/>
        </w:rPr>
        <w:t xml:space="preserve"> &lt;- 1/</w:t>
      </w:r>
      <w:proofErr w:type="spellStart"/>
      <w:r w:rsidRPr="00BF4D72">
        <w:rPr>
          <w:rFonts w:ascii="Times New Roman" w:hAnsi="Times New Roman" w:cs="Times New Roman"/>
          <w:i/>
          <w:sz w:val="24"/>
          <w:szCs w:val="24"/>
        </w:rPr>
        <w:t>sqrt</w:t>
      </w:r>
      <w:proofErr w:type="spellEnd"/>
      <w:r w:rsidRPr="00BF4D72">
        <w:rPr>
          <w:rFonts w:ascii="Times New Roman" w:hAnsi="Times New Roman" w:cs="Times New Roman"/>
          <w:i/>
          <w:sz w:val="24"/>
          <w:szCs w:val="24"/>
        </w:rPr>
        <w:t>(tau)</w:t>
      </w:r>
    </w:p>
    <w:p w:rsid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w:t>
      </w:r>
    </w:p>
    <w:p w:rsidR="00A26935" w:rsidRPr="00BF4D72" w:rsidRDefault="00A26935" w:rsidP="00BF4D72">
      <w:pPr>
        <w:tabs>
          <w:tab w:val="left" w:pos="8505"/>
        </w:tabs>
        <w:spacing w:after="40" w:line="240" w:lineRule="auto"/>
        <w:rPr>
          <w:rFonts w:ascii="Times New Roman" w:hAnsi="Times New Roman" w:cs="Times New Roman"/>
          <w:i/>
          <w:sz w:val="24"/>
          <w:szCs w:val="24"/>
        </w:rPr>
      </w:pPr>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reg.data=</w:t>
      </w:r>
      <w:proofErr w:type="gramStart"/>
      <w:r w:rsidRPr="00BF4D72">
        <w:rPr>
          <w:rFonts w:ascii="Times New Roman" w:hAnsi="Times New Roman" w:cs="Times New Roman"/>
          <w:i/>
          <w:sz w:val="24"/>
          <w:szCs w:val="24"/>
        </w:rPr>
        <w:t>with(</w:t>
      </w:r>
      <w:proofErr w:type="gramEnd"/>
      <w:r w:rsidRPr="00BF4D72">
        <w:rPr>
          <w:rFonts w:ascii="Times New Roman" w:hAnsi="Times New Roman" w:cs="Times New Roman"/>
          <w:i/>
          <w:sz w:val="24"/>
          <w:szCs w:val="24"/>
        </w:rPr>
        <w:t>drop,list(y=fgrad3,X=cbind(1,PTR,TRev,FRLun,LEP,PopDens),</w:t>
      </w:r>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 xml:space="preserve">                           </w:t>
      </w:r>
      <w:proofErr w:type="spellStart"/>
      <w:proofErr w:type="gramStart"/>
      <w:r w:rsidRPr="00BF4D72">
        <w:rPr>
          <w:rFonts w:ascii="Times New Roman" w:hAnsi="Times New Roman" w:cs="Times New Roman"/>
          <w:i/>
          <w:sz w:val="24"/>
          <w:szCs w:val="24"/>
        </w:rPr>
        <w:t>nData</w:t>
      </w:r>
      <w:proofErr w:type="spellEnd"/>
      <w:r w:rsidRPr="00BF4D72">
        <w:rPr>
          <w:rFonts w:ascii="Times New Roman" w:hAnsi="Times New Roman" w:cs="Times New Roman"/>
          <w:i/>
          <w:sz w:val="24"/>
          <w:szCs w:val="24"/>
        </w:rPr>
        <w:t>=</w:t>
      </w:r>
      <w:proofErr w:type="spellStart"/>
      <w:proofErr w:type="gramEnd"/>
      <w:r w:rsidRPr="00BF4D72">
        <w:rPr>
          <w:rFonts w:ascii="Times New Roman" w:hAnsi="Times New Roman" w:cs="Times New Roman"/>
          <w:i/>
          <w:sz w:val="24"/>
          <w:szCs w:val="24"/>
        </w:rPr>
        <w:t>nrow</w:t>
      </w:r>
      <w:proofErr w:type="spellEnd"/>
      <w:r w:rsidRPr="00BF4D72">
        <w:rPr>
          <w:rFonts w:ascii="Times New Roman" w:hAnsi="Times New Roman" w:cs="Times New Roman"/>
          <w:i/>
          <w:sz w:val="24"/>
          <w:szCs w:val="24"/>
        </w:rPr>
        <w:t>(drop),</w:t>
      </w:r>
      <w:proofErr w:type="spellStart"/>
      <w:r w:rsidRPr="00BF4D72">
        <w:rPr>
          <w:rFonts w:ascii="Times New Roman" w:hAnsi="Times New Roman" w:cs="Times New Roman"/>
          <w:i/>
          <w:sz w:val="24"/>
          <w:szCs w:val="24"/>
        </w:rPr>
        <w:t>nParms</w:t>
      </w:r>
      <w:proofErr w:type="spellEnd"/>
      <w:r w:rsidRPr="00BF4D72">
        <w:rPr>
          <w:rFonts w:ascii="Times New Roman" w:hAnsi="Times New Roman" w:cs="Times New Roman"/>
          <w:i/>
          <w:sz w:val="24"/>
          <w:szCs w:val="24"/>
        </w:rPr>
        <w:t>=6))</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spellStart"/>
      <w:r w:rsidRPr="00BF4D72">
        <w:rPr>
          <w:rFonts w:ascii="Times New Roman" w:hAnsi="Times New Roman" w:cs="Times New Roman"/>
          <w:i/>
          <w:sz w:val="24"/>
          <w:szCs w:val="24"/>
        </w:rPr>
        <w:t>reg.inits</w:t>
      </w:r>
      <w:proofErr w:type="spellEnd"/>
      <w:r w:rsidRPr="00BF4D72">
        <w:rPr>
          <w:rFonts w:ascii="Times New Roman" w:hAnsi="Times New Roman" w:cs="Times New Roman"/>
          <w:i/>
          <w:sz w:val="24"/>
          <w:szCs w:val="24"/>
        </w:rPr>
        <w:t>=</w:t>
      </w:r>
      <w:proofErr w:type="gramStart"/>
      <w:r w:rsidRPr="00BF4D72">
        <w:rPr>
          <w:rFonts w:ascii="Times New Roman" w:hAnsi="Times New Roman" w:cs="Times New Roman"/>
          <w:i/>
          <w:sz w:val="24"/>
          <w:szCs w:val="24"/>
        </w:rPr>
        <w:t>function(</w:t>
      </w:r>
      <w:proofErr w:type="gramEnd"/>
      <w:r w:rsidRPr="00BF4D72">
        <w:rPr>
          <w:rFonts w:ascii="Times New Roman" w:hAnsi="Times New Roman" w:cs="Times New Roman"/>
          <w:i/>
          <w:sz w:val="24"/>
          <w:szCs w:val="24"/>
        </w:rPr>
        <w:t>) list(tau=</w:t>
      </w:r>
      <w:proofErr w:type="spellStart"/>
      <w:r w:rsidRPr="00BF4D72">
        <w:rPr>
          <w:rFonts w:ascii="Times New Roman" w:hAnsi="Times New Roman" w:cs="Times New Roman"/>
          <w:i/>
          <w:sz w:val="24"/>
          <w:szCs w:val="24"/>
        </w:rPr>
        <w:t>rgamma</w:t>
      </w:r>
      <w:proofErr w:type="spellEnd"/>
      <w:r w:rsidRPr="00BF4D72">
        <w:rPr>
          <w:rFonts w:ascii="Times New Roman" w:hAnsi="Times New Roman" w:cs="Times New Roman"/>
          <w:i/>
          <w:sz w:val="24"/>
          <w:szCs w:val="24"/>
        </w:rPr>
        <w:t>(1,0.1,0.1),B=</w:t>
      </w:r>
      <w:proofErr w:type="spellStart"/>
      <w:r w:rsidRPr="00BF4D72">
        <w:rPr>
          <w:rFonts w:ascii="Times New Roman" w:hAnsi="Times New Roman" w:cs="Times New Roman"/>
          <w:i/>
          <w:sz w:val="24"/>
          <w:szCs w:val="24"/>
        </w:rPr>
        <w:t>rnorm</w:t>
      </w:r>
      <w:proofErr w:type="spellEnd"/>
      <w:r w:rsidRPr="00BF4D72">
        <w:rPr>
          <w:rFonts w:ascii="Times New Roman" w:hAnsi="Times New Roman" w:cs="Times New Roman"/>
          <w:i/>
          <w:sz w:val="24"/>
          <w:szCs w:val="24"/>
        </w:rPr>
        <w:t>(6,0,10))</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spellStart"/>
      <w:proofErr w:type="gramStart"/>
      <w:r w:rsidRPr="00BF4D72">
        <w:rPr>
          <w:rFonts w:ascii="Times New Roman" w:hAnsi="Times New Roman" w:cs="Times New Roman"/>
          <w:i/>
          <w:sz w:val="24"/>
          <w:szCs w:val="24"/>
        </w:rPr>
        <w:t>nChains</w:t>
      </w:r>
      <w:proofErr w:type="spellEnd"/>
      <w:r w:rsidRPr="00BF4D72">
        <w:rPr>
          <w:rFonts w:ascii="Times New Roman" w:hAnsi="Times New Roman" w:cs="Times New Roman"/>
          <w:i/>
          <w:sz w:val="24"/>
          <w:szCs w:val="24"/>
        </w:rPr>
        <w:t>=</w:t>
      </w:r>
      <w:proofErr w:type="gramEnd"/>
      <w:r w:rsidRPr="00BF4D72">
        <w:rPr>
          <w:rFonts w:ascii="Times New Roman" w:hAnsi="Times New Roman" w:cs="Times New Roman"/>
          <w:i/>
          <w:sz w:val="24"/>
          <w:szCs w:val="24"/>
        </w:rPr>
        <w:t>3</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spellStart"/>
      <w:proofErr w:type="gramStart"/>
      <w:r w:rsidRPr="00BF4D72">
        <w:rPr>
          <w:rFonts w:ascii="Times New Roman" w:hAnsi="Times New Roman" w:cs="Times New Roman"/>
          <w:i/>
          <w:sz w:val="24"/>
          <w:szCs w:val="24"/>
        </w:rPr>
        <w:t>burnIn</w:t>
      </w:r>
      <w:proofErr w:type="spellEnd"/>
      <w:r w:rsidRPr="00BF4D72">
        <w:rPr>
          <w:rFonts w:ascii="Times New Roman" w:hAnsi="Times New Roman" w:cs="Times New Roman"/>
          <w:i/>
          <w:sz w:val="24"/>
          <w:szCs w:val="24"/>
        </w:rPr>
        <w:t>=</w:t>
      </w:r>
      <w:proofErr w:type="gramEnd"/>
      <w:r w:rsidRPr="00BF4D72">
        <w:rPr>
          <w:rFonts w:ascii="Times New Roman" w:hAnsi="Times New Roman" w:cs="Times New Roman"/>
          <w:i/>
          <w:sz w:val="24"/>
          <w:szCs w:val="24"/>
        </w:rPr>
        <w:t>5000</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spellStart"/>
      <w:proofErr w:type="gramStart"/>
      <w:r w:rsidRPr="00BF4D72">
        <w:rPr>
          <w:rFonts w:ascii="Times New Roman" w:hAnsi="Times New Roman" w:cs="Times New Roman"/>
          <w:i/>
          <w:sz w:val="24"/>
          <w:szCs w:val="24"/>
        </w:rPr>
        <w:t>nIter</w:t>
      </w:r>
      <w:proofErr w:type="spellEnd"/>
      <w:r w:rsidRPr="00BF4D72">
        <w:rPr>
          <w:rFonts w:ascii="Times New Roman" w:hAnsi="Times New Roman" w:cs="Times New Roman"/>
          <w:i/>
          <w:sz w:val="24"/>
          <w:szCs w:val="24"/>
        </w:rPr>
        <w:t>=</w:t>
      </w:r>
      <w:proofErr w:type="gramEnd"/>
      <w:r w:rsidRPr="00BF4D72">
        <w:rPr>
          <w:rFonts w:ascii="Times New Roman" w:hAnsi="Times New Roman" w:cs="Times New Roman"/>
          <w:i/>
          <w:sz w:val="24"/>
          <w:szCs w:val="24"/>
        </w:rPr>
        <w:t>10000</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spellStart"/>
      <w:proofErr w:type="gramStart"/>
      <w:r w:rsidRPr="00BF4D72">
        <w:rPr>
          <w:rFonts w:ascii="Times New Roman" w:hAnsi="Times New Roman" w:cs="Times New Roman"/>
          <w:i/>
          <w:sz w:val="24"/>
          <w:szCs w:val="24"/>
        </w:rPr>
        <w:t>nThin</w:t>
      </w:r>
      <w:proofErr w:type="spellEnd"/>
      <w:r w:rsidRPr="00BF4D72">
        <w:rPr>
          <w:rFonts w:ascii="Times New Roman" w:hAnsi="Times New Roman" w:cs="Times New Roman"/>
          <w:i/>
          <w:sz w:val="24"/>
          <w:szCs w:val="24"/>
        </w:rPr>
        <w:t>=</w:t>
      </w:r>
      <w:proofErr w:type="gramEnd"/>
      <w:r w:rsidRPr="00BF4D72">
        <w:rPr>
          <w:rFonts w:ascii="Times New Roman" w:hAnsi="Times New Roman" w:cs="Times New Roman"/>
          <w:i/>
          <w:sz w:val="24"/>
          <w:szCs w:val="24"/>
        </w:rPr>
        <w:t>1</w:t>
      </w:r>
    </w:p>
    <w:p w:rsidR="00BF4D72" w:rsidRDefault="00BF4D72" w:rsidP="00BF4D72">
      <w:pPr>
        <w:tabs>
          <w:tab w:val="left" w:pos="8505"/>
        </w:tabs>
        <w:spacing w:after="40" w:line="240" w:lineRule="auto"/>
        <w:rPr>
          <w:rFonts w:ascii="Times New Roman" w:hAnsi="Times New Roman" w:cs="Times New Roman"/>
          <w:i/>
          <w:sz w:val="24"/>
          <w:szCs w:val="24"/>
        </w:rPr>
      </w:pPr>
      <w:proofErr w:type="spellStart"/>
      <w:proofErr w:type="gramStart"/>
      <w:r w:rsidRPr="00BF4D72">
        <w:rPr>
          <w:rFonts w:ascii="Times New Roman" w:hAnsi="Times New Roman" w:cs="Times New Roman"/>
          <w:i/>
          <w:sz w:val="24"/>
          <w:szCs w:val="24"/>
        </w:rPr>
        <w:t>params</w:t>
      </w:r>
      <w:proofErr w:type="spellEnd"/>
      <w:r w:rsidRPr="00BF4D72">
        <w:rPr>
          <w:rFonts w:ascii="Times New Roman" w:hAnsi="Times New Roman" w:cs="Times New Roman"/>
          <w:i/>
          <w:sz w:val="24"/>
          <w:szCs w:val="24"/>
        </w:rPr>
        <w:t>=</w:t>
      </w:r>
      <w:proofErr w:type="gramEnd"/>
      <w:r w:rsidRPr="00BF4D72">
        <w:rPr>
          <w:rFonts w:ascii="Times New Roman" w:hAnsi="Times New Roman" w:cs="Times New Roman"/>
          <w:i/>
          <w:sz w:val="24"/>
          <w:szCs w:val="24"/>
        </w:rPr>
        <w:t>c('</w:t>
      </w:r>
      <w:proofErr w:type="spellStart"/>
      <w:r w:rsidRPr="00BF4D72">
        <w:rPr>
          <w:rFonts w:ascii="Times New Roman" w:hAnsi="Times New Roman" w:cs="Times New Roman"/>
          <w:i/>
          <w:sz w:val="24"/>
          <w:szCs w:val="24"/>
        </w:rPr>
        <w:t>sigma','B</w:t>
      </w:r>
      <w:proofErr w:type="spellEnd"/>
      <w:r w:rsidRPr="00BF4D72">
        <w:rPr>
          <w:rFonts w:ascii="Times New Roman" w:hAnsi="Times New Roman" w:cs="Times New Roman"/>
          <w:i/>
          <w:sz w:val="24"/>
          <w:szCs w:val="24"/>
        </w:rPr>
        <w:t>')</w:t>
      </w:r>
    </w:p>
    <w:p w:rsidR="004C3E64" w:rsidRPr="00BF4D72" w:rsidRDefault="004C3E64" w:rsidP="00BF4D72">
      <w:pPr>
        <w:tabs>
          <w:tab w:val="left" w:pos="8505"/>
        </w:tabs>
        <w:spacing w:after="40" w:line="240" w:lineRule="auto"/>
        <w:rPr>
          <w:rFonts w:ascii="Times New Roman" w:hAnsi="Times New Roman" w:cs="Times New Roman"/>
          <w:i/>
          <w:sz w:val="24"/>
          <w:szCs w:val="24"/>
        </w:rPr>
      </w:pPr>
      <w:r>
        <w:rPr>
          <w:rFonts w:ascii="Times New Roman" w:hAnsi="Times New Roman" w:cs="Times New Roman"/>
          <w:i/>
          <w:sz w:val="24"/>
          <w:szCs w:val="24"/>
        </w:rPr>
        <w:t>#Run simulation</w:t>
      </w:r>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reg.fit=</w:t>
      </w:r>
      <w:proofErr w:type="gramStart"/>
      <w:r w:rsidRPr="00BF4D72">
        <w:rPr>
          <w:rFonts w:ascii="Times New Roman" w:hAnsi="Times New Roman" w:cs="Times New Roman"/>
          <w:i/>
          <w:sz w:val="24"/>
          <w:szCs w:val="24"/>
        </w:rPr>
        <w:t>jags(</w:t>
      </w:r>
      <w:proofErr w:type="gramEnd"/>
      <w:r w:rsidRPr="00BF4D72">
        <w:rPr>
          <w:rFonts w:ascii="Times New Roman" w:hAnsi="Times New Roman" w:cs="Times New Roman"/>
          <w:i/>
          <w:sz w:val="24"/>
          <w:szCs w:val="24"/>
        </w:rPr>
        <w:t>reg.data,reg.inits,params,reg.mdl,nChains,nIter,burnIn,nThin)</w:t>
      </w:r>
    </w:p>
    <w:p w:rsidR="0002586B" w:rsidRDefault="0002586B" w:rsidP="00BF4D72">
      <w:pPr>
        <w:tabs>
          <w:tab w:val="left" w:pos="8505"/>
        </w:tabs>
        <w:spacing w:after="40" w:line="240" w:lineRule="auto"/>
        <w:rPr>
          <w:rFonts w:ascii="Times New Roman" w:hAnsi="Times New Roman" w:cs="Times New Roman"/>
          <w:i/>
          <w:sz w:val="24"/>
          <w:szCs w:val="24"/>
        </w:rPr>
      </w:pP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gramStart"/>
      <w:r w:rsidRPr="00BF4D72">
        <w:rPr>
          <w:rFonts w:ascii="Times New Roman" w:hAnsi="Times New Roman" w:cs="Times New Roman"/>
          <w:i/>
          <w:sz w:val="24"/>
          <w:szCs w:val="24"/>
        </w:rPr>
        <w:t>print(</w:t>
      </w:r>
      <w:proofErr w:type="spellStart"/>
      <w:proofErr w:type="gramEnd"/>
      <w:r w:rsidRPr="00BF4D72">
        <w:rPr>
          <w:rFonts w:ascii="Times New Roman" w:hAnsi="Times New Roman" w:cs="Times New Roman"/>
          <w:i/>
          <w:sz w:val="24"/>
          <w:szCs w:val="24"/>
        </w:rPr>
        <w:t>reg.fit</w:t>
      </w:r>
      <w:proofErr w:type="spellEnd"/>
      <w:r w:rsidRPr="00BF4D72">
        <w:rPr>
          <w:rFonts w:ascii="Times New Roman" w:hAnsi="Times New Roman" w:cs="Times New Roman"/>
          <w:i/>
          <w:sz w:val="24"/>
          <w:szCs w:val="24"/>
        </w:rPr>
        <w:t>)</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gramStart"/>
      <w:r w:rsidRPr="00BF4D72">
        <w:rPr>
          <w:rFonts w:ascii="Times New Roman" w:hAnsi="Times New Roman" w:cs="Times New Roman"/>
          <w:i/>
          <w:sz w:val="24"/>
          <w:szCs w:val="24"/>
        </w:rPr>
        <w:t>plot(</w:t>
      </w:r>
      <w:proofErr w:type="spellStart"/>
      <w:proofErr w:type="gramEnd"/>
      <w:r w:rsidRPr="00BF4D72">
        <w:rPr>
          <w:rFonts w:ascii="Times New Roman" w:hAnsi="Times New Roman" w:cs="Times New Roman"/>
          <w:i/>
          <w:sz w:val="24"/>
          <w:szCs w:val="24"/>
        </w:rPr>
        <w:t>reg.fit</w:t>
      </w:r>
      <w:proofErr w:type="spellEnd"/>
      <w:r w:rsidRPr="00BF4D72">
        <w:rPr>
          <w:rFonts w:ascii="Times New Roman" w:hAnsi="Times New Roman" w:cs="Times New Roman"/>
          <w:i/>
          <w:sz w:val="24"/>
          <w:szCs w:val="24"/>
        </w:rPr>
        <w:t>)</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spellStart"/>
      <w:proofErr w:type="gramStart"/>
      <w:r w:rsidRPr="00BF4D72">
        <w:rPr>
          <w:rFonts w:ascii="Times New Roman" w:hAnsi="Times New Roman" w:cs="Times New Roman"/>
          <w:i/>
          <w:sz w:val="24"/>
          <w:szCs w:val="24"/>
        </w:rPr>
        <w:t>mcmcChain</w:t>
      </w:r>
      <w:proofErr w:type="spellEnd"/>
      <w:r w:rsidRPr="00BF4D72">
        <w:rPr>
          <w:rFonts w:ascii="Times New Roman" w:hAnsi="Times New Roman" w:cs="Times New Roman"/>
          <w:i/>
          <w:sz w:val="24"/>
          <w:szCs w:val="24"/>
        </w:rPr>
        <w:t>=</w:t>
      </w:r>
      <w:proofErr w:type="spellStart"/>
      <w:proofErr w:type="gramEnd"/>
      <w:r w:rsidRPr="00BF4D72">
        <w:rPr>
          <w:rFonts w:ascii="Times New Roman" w:hAnsi="Times New Roman" w:cs="Times New Roman"/>
          <w:i/>
          <w:sz w:val="24"/>
          <w:szCs w:val="24"/>
        </w:rPr>
        <w:t>as.mcmc</w:t>
      </w:r>
      <w:proofErr w:type="spellEnd"/>
      <w:r w:rsidRPr="00BF4D72">
        <w:rPr>
          <w:rFonts w:ascii="Times New Roman" w:hAnsi="Times New Roman" w:cs="Times New Roman"/>
          <w:i/>
          <w:sz w:val="24"/>
          <w:szCs w:val="24"/>
        </w:rPr>
        <w:t>(</w:t>
      </w:r>
      <w:proofErr w:type="spellStart"/>
      <w:r w:rsidRPr="00BF4D72">
        <w:rPr>
          <w:rFonts w:ascii="Times New Roman" w:hAnsi="Times New Roman" w:cs="Times New Roman"/>
          <w:i/>
          <w:sz w:val="24"/>
          <w:szCs w:val="24"/>
        </w:rPr>
        <w:t>reg.fit$BUGSoutput$sims.matrix</w:t>
      </w:r>
      <w:proofErr w:type="spellEnd"/>
      <w:r w:rsidRPr="00BF4D72">
        <w:rPr>
          <w:rFonts w:ascii="Times New Roman" w:hAnsi="Times New Roman" w:cs="Times New Roman"/>
          <w:i/>
          <w:sz w:val="24"/>
          <w:szCs w:val="24"/>
        </w:rPr>
        <w:t>)</w:t>
      </w:r>
    </w:p>
    <w:p w:rsidR="004C3E64" w:rsidRPr="00BF4D72" w:rsidRDefault="00BF4D72" w:rsidP="00BF4D72">
      <w:pPr>
        <w:tabs>
          <w:tab w:val="left" w:pos="8505"/>
        </w:tabs>
        <w:spacing w:after="40" w:line="240" w:lineRule="auto"/>
        <w:rPr>
          <w:rFonts w:ascii="Times New Roman" w:hAnsi="Times New Roman" w:cs="Times New Roman"/>
          <w:i/>
          <w:sz w:val="24"/>
          <w:szCs w:val="24"/>
        </w:rPr>
      </w:pPr>
      <w:proofErr w:type="gramStart"/>
      <w:r w:rsidRPr="00BF4D72">
        <w:rPr>
          <w:rFonts w:ascii="Times New Roman" w:hAnsi="Times New Roman" w:cs="Times New Roman"/>
          <w:i/>
          <w:sz w:val="24"/>
          <w:szCs w:val="24"/>
        </w:rPr>
        <w:t>windows()</w:t>
      </w:r>
      <w:proofErr w:type="gramEnd"/>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gramStart"/>
      <w:r w:rsidRPr="00BF4D72">
        <w:rPr>
          <w:rFonts w:ascii="Times New Roman" w:hAnsi="Times New Roman" w:cs="Times New Roman"/>
          <w:i/>
          <w:sz w:val="24"/>
          <w:szCs w:val="24"/>
        </w:rPr>
        <w:t>plot(</w:t>
      </w:r>
      <w:proofErr w:type="spellStart"/>
      <w:proofErr w:type="gramEnd"/>
      <w:r w:rsidRPr="00BF4D72">
        <w:rPr>
          <w:rFonts w:ascii="Times New Roman" w:hAnsi="Times New Roman" w:cs="Times New Roman"/>
          <w:i/>
          <w:sz w:val="24"/>
          <w:szCs w:val="24"/>
        </w:rPr>
        <w:t>mcmcChain</w:t>
      </w:r>
      <w:proofErr w:type="spellEnd"/>
      <w:r w:rsidRPr="00BF4D72">
        <w:rPr>
          <w:rFonts w:ascii="Times New Roman" w:hAnsi="Times New Roman" w:cs="Times New Roman"/>
          <w:i/>
          <w:sz w:val="24"/>
          <w:szCs w:val="24"/>
        </w:rPr>
        <w:t>)</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spellStart"/>
      <w:proofErr w:type="gramStart"/>
      <w:r w:rsidRPr="00BF4D72">
        <w:rPr>
          <w:rFonts w:ascii="Times New Roman" w:hAnsi="Times New Roman" w:cs="Times New Roman"/>
          <w:i/>
          <w:sz w:val="24"/>
          <w:szCs w:val="24"/>
        </w:rPr>
        <w:t>colnames</w:t>
      </w:r>
      <w:proofErr w:type="spellEnd"/>
      <w:r w:rsidRPr="00BF4D72">
        <w:rPr>
          <w:rFonts w:ascii="Times New Roman" w:hAnsi="Times New Roman" w:cs="Times New Roman"/>
          <w:i/>
          <w:sz w:val="24"/>
          <w:szCs w:val="24"/>
        </w:rPr>
        <w:t>(</w:t>
      </w:r>
      <w:proofErr w:type="spellStart"/>
      <w:proofErr w:type="gramEnd"/>
      <w:r w:rsidRPr="00BF4D72">
        <w:rPr>
          <w:rFonts w:ascii="Times New Roman" w:hAnsi="Times New Roman" w:cs="Times New Roman"/>
          <w:i/>
          <w:sz w:val="24"/>
          <w:szCs w:val="24"/>
        </w:rPr>
        <w:t>mcmcChain</w:t>
      </w:r>
      <w:proofErr w:type="spellEnd"/>
      <w:r w:rsidRPr="00BF4D72">
        <w:rPr>
          <w:rFonts w:ascii="Times New Roman" w:hAnsi="Times New Roman" w:cs="Times New Roman"/>
          <w:i/>
          <w:sz w:val="24"/>
          <w:szCs w:val="24"/>
        </w:rPr>
        <w:t>)</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spellStart"/>
      <w:r w:rsidRPr="00BF4D72">
        <w:rPr>
          <w:rFonts w:ascii="Times New Roman" w:hAnsi="Times New Roman" w:cs="Times New Roman"/>
          <w:i/>
          <w:sz w:val="24"/>
          <w:szCs w:val="24"/>
        </w:rPr>
        <w:t>colnames</w:t>
      </w:r>
      <w:proofErr w:type="spellEnd"/>
      <w:r w:rsidRPr="00BF4D72">
        <w:rPr>
          <w:rFonts w:ascii="Times New Roman" w:hAnsi="Times New Roman" w:cs="Times New Roman"/>
          <w:i/>
          <w:sz w:val="24"/>
          <w:szCs w:val="24"/>
        </w:rPr>
        <w:t>(</w:t>
      </w:r>
      <w:proofErr w:type="spellStart"/>
      <w:r w:rsidRPr="00BF4D72">
        <w:rPr>
          <w:rFonts w:ascii="Times New Roman" w:hAnsi="Times New Roman" w:cs="Times New Roman"/>
          <w:i/>
          <w:sz w:val="24"/>
          <w:szCs w:val="24"/>
        </w:rPr>
        <w:t>mcmcChain</w:t>
      </w:r>
      <w:proofErr w:type="spellEnd"/>
      <w:r w:rsidRPr="00BF4D72">
        <w:rPr>
          <w:rFonts w:ascii="Times New Roman" w:hAnsi="Times New Roman" w:cs="Times New Roman"/>
          <w:i/>
          <w:sz w:val="24"/>
          <w:szCs w:val="24"/>
        </w:rPr>
        <w:t>) &lt;- c("B0","B1","B2","B3","B4","B5","deviance","sigma")</w:t>
      </w:r>
    </w:p>
    <w:p w:rsidR="00BF4D72" w:rsidRPr="00BF4D72" w:rsidRDefault="00BF4D72" w:rsidP="00BF4D72">
      <w:pPr>
        <w:tabs>
          <w:tab w:val="left" w:pos="8505"/>
        </w:tabs>
        <w:spacing w:after="40" w:line="240" w:lineRule="auto"/>
        <w:rPr>
          <w:rFonts w:ascii="Times New Roman" w:hAnsi="Times New Roman" w:cs="Times New Roman"/>
          <w:i/>
          <w:sz w:val="24"/>
          <w:szCs w:val="24"/>
        </w:rPr>
      </w:pPr>
    </w:p>
    <w:p w:rsidR="00BF4D72" w:rsidRPr="00BF4D72" w:rsidRDefault="00BF4D72" w:rsidP="00BF4D72">
      <w:pPr>
        <w:tabs>
          <w:tab w:val="left" w:pos="8505"/>
        </w:tabs>
        <w:spacing w:after="40" w:line="240" w:lineRule="auto"/>
        <w:rPr>
          <w:rFonts w:ascii="Times New Roman" w:hAnsi="Times New Roman" w:cs="Times New Roman"/>
          <w:i/>
          <w:sz w:val="24"/>
          <w:szCs w:val="24"/>
        </w:rPr>
      </w:pPr>
      <w:r>
        <w:rPr>
          <w:rFonts w:ascii="Times New Roman" w:hAnsi="Times New Roman" w:cs="Times New Roman"/>
          <w:i/>
          <w:sz w:val="24"/>
          <w:szCs w:val="24"/>
        </w:rPr>
        <w:t># V</w:t>
      </w:r>
      <w:r w:rsidRPr="00BF4D72">
        <w:rPr>
          <w:rFonts w:ascii="Times New Roman" w:hAnsi="Times New Roman" w:cs="Times New Roman"/>
          <w:i/>
          <w:sz w:val="24"/>
          <w:szCs w:val="24"/>
        </w:rPr>
        <w:t>ersion 2</w:t>
      </w:r>
      <w:r>
        <w:rPr>
          <w:rFonts w:ascii="Times New Roman" w:hAnsi="Times New Roman" w:cs="Times New Roman"/>
          <w:i/>
          <w:sz w:val="24"/>
          <w:szCs w:val="24"/>
        </w:rPr>
        <w:t>:</w:t>
      </w:r>
      <w:r w:rsidRPr="00BF4D72">
        <w:rPr>
          <w:rFonts w:ascii="Times New Roman" w:hAnsi="Times New Roman" w:cs="Times New Roman"/>
          <w:i/>
          <w:sz w:val="24"/>
          <w:szCs w:val="24"/>
        </w:rPr>
        <w:t xml:space="preserve"> </w:t>
      </w:r>
      <w:r w:rsidR="00A26935">
        <w:rPr>
          <w:rFonts w:ascii="Times New Roman" w:hAnsi="Times New Roman" w:cs="Times New Roman"/>
          <w:i/>
          <w:sz w:val="24"/>
          <w:szCs w:val="24"/>
        </w:rPr>
        <w:t>uniform</w:t>
      </w:r>
      <w:r w:rsidRPr="00BF4D72">
        <w:rPr>
          <w:rFonts w:ascii="Times New Roman" w:hAnsi="Times New Roman" w:cs="Times New Roman"/>
          <w:i/>
          <w:sz w:val="24"/>
          <w:szCs w:val="24"/>
        </w:rPr>
        <w:t xml:space="preserve"> prior for error structure</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spellStart"/>
      <w:r w:rsidRPr="00BF4D72">
        <w:rPr>
          <w:rFonts w:ascii="Times New Roman" w:hAnsi="Times New Roman" w:cs="Times New Roman"/>
          <w:i/>
          <w:sz w:val="24"/>
          <w:szCs w:val="24"/>
        </w:rPr>
        <w:t>reg.mdl</w:t>
      </w:r>
      <w:proofErr w:type="spellEnd"/>
      <w:r w:rsidRPr="00BF4D72">
        <w:rPr>
          <w:rFonts w:ascii="Times New Roman" w:hAnsi="Times New Roman" w:cs="Times New Roman"/>
          <w:i/>
          <w:sz w:val="24"/>
          <w:szCs w:val="24"/>
        </w:rPr>
        <w:t>=</w:t>
      </w:r>
      <w:proofErr w:type="gramStart"/>
      <w:r w:rsidRPr="00BF4D72">
        <w:rPr>
          <w:rFonts w:ascii="Times New Roman" w:hAnsi="Times New Roman" w:cs="Times New Roman"/>
          <w:i/>
          <w:sz w:val="24"/>
          <w:szCs w:val="24"/>
        </w:rPr>
        <w:t>function(</w:t>
      </w:r>
      <w:proofErr w:type="gramEnd"/>
      <w:r w:rsidRPr="00BF4D72">
        <w:rPr>
          <w:rFonts w:ascii="Times New Roman" w:hAnsi="Times New Roman" w:cs="Times New Roman"/>
          <w:i/>
          <w:sz w:val="24"/>
          <w:szCs w:val="24"/>
        </w:rPr>
        <w:t>) {</w:t>
      </w:r>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 xml:space="preserve">  # </w:t>
      </w:r>
      <w:proofErr w:type="gramStart"/>
      <w:r w:rsidRPr="00BF4D72">
        <w:rPr>
          <w:rFonts w:ascii="Times New Roman" w:hAnsi="Times New Roman" w:cs="Times New Roman"/>
          <w:i/>
          <w:sz w:val="24"/>
          <w:szCs w:val="24"/>
        </w:rPr>
        <w:t>likelihood</w:t>
      </w:r>
      <w:proofErr w:type="gramEnd"/>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 xml:space="preserve">  </w:t>
      </w:r>
      <w:proofErr w:type="gramStart"/>
      <w:r w:rsidRPr="00BF4D72">
        <w:rPr>
          <w:rFonts w:ascii="Times New Roman" w:hAnsi="Times New Roman" w:cs="Times New Roman"/>
          <w:i/>
          <w:sz w:val="24"/>
          <w:szCs w:val="24"/>
        </w:rPr>
        <w:t>for</w:t>
      </w:r>
      <w:proofErr w:type="gramEnd"/>
      <w:r w:rsidRPr="00BF4D72">
        <w:rPr>
          <w:rFonts w:ascii="Times New Roman" w:hAnsi="Times New Roman" w:cs="Times New Roman"/>
          <w:i/>
          <w:sz w:val="24"/>
          <w:szCs w:val="24"/>
        </w:rPr>
        <w:t xml:space="preserve"> (</w:t>
      </w:r>
      <w:proofErr w:type="spellStart"/>
      <w:r w:rsidRPr="00BF4D72">
        <w:rPr>
          <w:rFonts w:ascii="Times New Roman" w:hAnsi="Times New Roman" w:cs="Times New Roman"/>
          <w:i/>
          <w:sz w:val="24"/>
          <w:szCs w:val="24"/>
        </w:rPr>
        <w:t>i</w:t>
      </w:r>
      <w:proofErr w:type="spellEnd"/>
      <w:r w:rsidRPr="00BF4D72">
        <w:rPr>
          <w:rFonts w:ascii="Times New Roman" w:hAnsi="Times New Roman" w:cs="Times New Roman"/>
          <w:i/>
          <w:sz w:val="24"/>
          <w:szCs w:val="24"/>
        </w:rPr>
        <w:t xml:space="preserve"> in 1:nData) {</w:t>
      </w:r>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 xml:space="preserve">    </w:t>
      </w:r>
      <w:proofErr w:type="gramStart"/>
      <w:r w:rsidRPr="00BF4D72">
        <w:rPr>
          <w:rFonts w:ascii="Times New Roman" w:hAnsi="Times New Roman" w:cs="Times New Roman"/>
          <w:i/>
          <w:sz w:val="24"/>
          <w:szCs w:val="24"/>
        </w:rPr>
        <w:t>y[</w:t>
      </w:r>
      <w:proofErr w:type="spellStart"/>
      <w:proofErr w:type="gramEnd"/>
      <w:r w:rsidRPr="00BF4D72">
        <w:rPr>
          <w:rFonts w:ascii="Times New Roman" w:hAnsi="Times New Roman" w:cs="Times New Roman"/>
          <w:i/>
          <w:sz w:val="24"/>
          <w:szCs w:val="24"/>
        </w:rPr>
        <w:t>i</w:t>
      </w:r>
      <w:proofErr w:type="spellEnd"/>
      <w:r w:rsidRPr="00BF4D72">
        <w:rPr>
          <w:rFonts w:ascii="Times New Roman" w:hAnsi="Times New Roman" w:cs="Times New Roman"/>
          <w:i/>
          <w:sz w:val="24"/>
          <w:szCs w:val="24"/>
        </w:rPr>
        <w:t>]~</w:t>
      </w:r>
      <w:proofErr w:type="spellStart"/>
      <w:r w:rsidRPr="00BF4D72">
        <w:rPr>
          <w:rFonts w:ascii="Times New Roman" w:hAnsi="Times New Roman" w:cs="Times New Roman"/>
          <w:i/>
          <w:sz w:val="24"/>
          <w:szCs w:val="24"/>
        </w:rPr>
        <w:t>dnorm</w:t>
      </w:r>
      <w:proofErr w:type="spellEnd"/>
      <w:r w:rsidRPr="00BF4D72">
        <w:rPr>
          <w:rFonts w:ascii="Times New Roman" w:hAnsi="Times New Roman" w:cs="Times New Roman"/>
          <w:i/>
          <w:sz w:val="24"/>
          <w:szCs w:val="24"/>
        </w:rPr>
        <w:t>(mu[</w:t>
      </w:r>
      <w:proofErr w:type="spellStart"/>
      <w:r w:rsidRPr="00BF4D72">
        <w:rPr>
          <w:rFonts w:ascii="Times New Roman" w:hAnsi="Times New Roman" w:cs="Times New Roman"/>
          <w:i/>
          <w:sz w:val="24"/>
          <w:szCs w:val="24"/>
        </w:rPr>
        <w:t>i</w:t>
      </w:r>
      <w:proofErr w:type="spellEnd"/>
      <w:r w:rsidRPr="00BF4D72">
        <w:rPr>
          <w:rFonts w:ascii="Times New Roman" w:hAnsi="Times New Roman" w:cs="Times New Roman"/>
          <w:i/>
          <w:sz w:val="24"/>
          <w:szCs w:val="24"/>
        </w:rPr>
        <w:t>],tau)</w:t>
      </w:r>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 xml:space="preserve">    </w:t>
      </w:r>
      <w:proofErr w:type="gramStart"/>
      <w:r w:rsidRPr="00BF4D72">
        <w:rPr>
          <w:rFonts w:ascii="Times New Roman" w:hAnsi="Times New Roman" w:cs="Times New Roman"/>
          <w:i/>
          <w:sz w:val="24"/>
          <w:szCs w:val="24"/>
        </w:rPr>
        <w:t>mu[</w:t>
      </w:r>
      <w:proofErr w:type="spellStart"/>
      <w:proofErr w:type="gramEnd"/>
      <w:r w:rsidRPr="00BF4D72">
        <w:rPr>
          <w:rFonts w:ascii="Times New Roman" w:hAnsi="Times New Roman" w:cs="Times New Roman"/>
          <w:i/>
          <w:sz w:val="24"/>
          <w:szCs w:val="24"/>
        </w:rPr>
        <w:t>i</w:t>
      </w:r>
      <w:proofErr w:type="spellEnd"/>
      <w:r w:rsidRPr="00BF4D72">
        <w:rPr>
          <w:rFonts w:ascii="Times New Roman" w:hAnsi="Times New Roman" w:cs="Times New Roman"/>
          <w:i/>
          <w:sz w:val="24"/>
          <w:szCs w:val="24"/>
        </w:rPr>
        <w:t xml:space="preserve">] &lt;- </w:t>
      </w:r>
      <w:proofErr w:type="spellStart"/>
      <w:r w:rsidRPr="00BF4D72">
        <w:rPr>
          <w:rFonts w:ascii="Times New Roman" w:hAnsi="Times New Roman" w:cs="Times New Roman"/>
          <w:i/>
          <w:sz w:val="24"/>
          <w:szCs w:val="24"/>
        </w:rPr>
        <w:t>inprod</w:t>
      </w:r>
      <w:proofErr w:type="spellEnd"/>
      <w:r w:rsidRPr="00BF4D72">
        <w:rPr>
          <w:rFonts w:ascii="Times New Roman" w:hAnsi="Times New Roman" w:cs="Times New Roman"/>
          <w:i/>
          <w:sz w:val="24"/>
          <w:szCs w:val="24"/>
        </w:rPr>
        <w:t>(B[],X[</w:t>
      </w:r>
      <w:proofErr w:type="spellStart"/>
      <w:r w:rsidRPr="00BF4D72">
        <w:rPr>
          <w:rFonts w:ascii="Times New Roman" w:hAnsi="Times New Roman" w:cs="Times New Roman"/>
          <w:i/>
          <w:sz w:val="24"/>
          <w:szCs w:val="24"/>
        </w:rPr>
        <w:t>i</w:t>
      </w:r>
      <w:proofErr w:type="spellEnd"/>
      <w:r w:rsidRPr="00BF4D72">
        <w:rPr>
          <w:rFonts w:ascii="Times New Roman" w:hAnsi="Times New Roman" w:cs="Times New Roman"/>
          <w:i/>
          <w:sz w:val="24"/>
          <w:szCs w:val="24"/>
        </w:rPr>
        <w:t>,])</w:t>
      </w:r>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 xml:space="preserve">  }</w:t>
      </w:r>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 xml:space="preserve">  #priors</w:t>
      </w:r>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 xml:space="preserve">  </w:t>
      </w:r>
      <w:proofErr w:type="gramStart"/>
      <w:r w:rsidRPr="00BF4D72">
        <w:rPr>
          <w:rFonts w:ascii="Times New Roman" w:hAnsi="Times New Roman" w:cs="Times New Roman"/>
          <w:i/>
          <w:sz w:val="24"/>
          <w:szCs w:val="24"/>
        </w:rPr>
        <w:t>for</w:t>
      </w:r>
      <w:proofErr w:type="gramEnd"/>
      <w:r w:rsidRPr="00BF4D72">
        <w:rPr>
          <w:rFonts w:ascii="Times New Roman" w:hAnsi="Times New Roman" w:cs="Times New Roman"/>
          <w:i/>
          <w:sz w:val="24"/>
          <w:szCs w:val="24"/>
        </w:rPr>
        <w:t xml:space="preserve"> (j in 1:nParms) {</w:t>
      </w:r>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 xml:space="preserve">    B[j</w:t>
      </w:r>
      <w:proofErr w:type="gramStart"/>
      <w:r w:rsidRPr="00BF4D72">
        <w:rPr>
          <w:rFonts w:ascii="Times New Roman" w:hAnsi="Times New Roman" w:cs="Times New Roman"/>
          <w:i/>
          <w:sz w:val="24"/>
          <w:szCs w:val="24"/>
        </w:rPr>
        <w:t>]~</w:t>
      </w:r>
      <w:proofErr w:type="spellStart"/>
      <w:proofErr w:type="gramEnd"/>
      <w:r w:rsidRPr="00BF4D72">
        <w:rPr>
          <w:rFonts w:ascii="Times New Roman" w:hAnsi="Times New Roman" w:cs="Times New Roman"/>
          <w:i/>
          <w:sz w:val="24"/>
          <w:szCs w:val="24"/>
        </w:rPr>
        <w:t>dnorm</w:t>
      </w:r>
      <w:proofErr w:type="spellEnd"/>
      <w:r w:rsidRPr="00BF4D72">
        <w:rPr>
          <w:rFonts w:ascii="Times New Roman" w:hAnsi="Times New Roman" w:cs="Times New Roman"/>
          <w:i/>
          <w:sz w:val="24"/>
          <w:szCs w:val="24"/>
        </w:rPr>
        <w:t>(0,1E-6)</w:t>
      </w:r>
    </w:p>
    <w:p w:rsid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 xml:space="preserve">  }</w:t>
      </w:r>
    </w:p>
    <w:p w:rsidR="00BF4D72" w:rsidRPr="00BF4D72" w:rsidRDefault="0002586B" w:rsidP="00BF4D72">
      <w:pPr>
        <w:tabs>
          <w:tab w:val="left" w:pos="8505"/>
        </w:tabs>
        <w:spacing w:after="40" w:line="240" w:lineRule="auto"/>
        <w:rPr>
          <w:rFonts w:ascii="Times New Roman" w:hAnsi="Times New Roman" w:cs="Times New Roman"/>
          <w:i/>
          <w:sz w:val="24"/>
          <w:szCs w:val="24"/>
        </w:rPr>
      </w:pPr>
      <w:r>
        <w:rPr>
          <w:rFonts w:ascii="Times New Roman" w:hAnsi="Times New Roman" w:cs="Times New Roman"/>
          <w:i/>
          <w:sz w:val="24"/>
          <w:szCs w:val="24"/>
        </w:rPr>
        <w:t xml:space="preserve">#Try uniform prior for standard deviation as suggested by </w:t>
      </w:r>
      <w:proofErr w:type="spellStart"/>
      <w:r>
        <w:rPr>
          <w:rFonts w:ascii="Times New Roman" w:hAnsi="Times New Roman" w:cs="Times New Roman"/>
          <w:i/>
          <w:sz w:val="24"/>
          <w:szCs w:val="24"/>
        </w:rPr>
        <w:t>Gelman</w:t>
      </w:r>
      <w:proofErr w:type="spellEnd"/>
      <w:r>
        <w:rPr>
          <w:rFonts w:ascii="Times New Roman" w:hAnsi="Times New Roman" w:cs="Times New Roman"/>
          <w:i/>
          <w:sz w:val="24"/>
          <w:szCs w:val="24"/>
        </w:rPr>
        <w:t xml:space="preserve"> </w:t>
      </w:r>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 xml:space="preserve">  </w:t>
      </w:r>
      <w:proofErr w:type="spellStart"/>
      <w:proofErr w:type="gramStart"/>
      <w:r w:rsidRPr="00BF4D72">
        <w:rPr>
          <w:rFonts w:ascii="Times New Roman" w:hAnsi="Times New Roman" w:cs="Times New Roman"/>
          <w:i/>
          <w:sz w:val="24"/>
          <w:szCs w:val="24"/>
        </w:rPr>
        <w:t>sigma~</w:t>
      </w:r>
      <w:proofErr w:type="gramEnd"/>
      <w:r w:rsidRPr="00BF4D72">
        <w:rPr>
          <w:rFonts w:ascii="Times New Roman" w:hAnsi="Times New Roman" w:cs="Times New Roman"/>
          <w:i/>
          <w:sz w:val="24"/>
          <w:szCs w:val="24"/>
        </w:rPr>
        <w:t>dunif</w:t>
      </w:r>
      <w:proofErr w:type="spellEnd"/>
      <w:r w:rsidRPr="00BF4D72">
        <w:rPr>
          <w:rFonts w:ascii="Times New Roman" w:hAnsi="Times New Roman" w:cs="Times New Roman"/>
          <w:i/>
          <w:sz w:val="24"/>
          <w:szCs w:val="24"/>
        </w:rPr>
        <w:t>(0,100)</w:t>
      </w:r>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 xml:space="preserve">  </w:t>
      </w:r>
      <w:proofErr w:type="gramStart"/>
      <w:r w:rsidRPr="00BF4D72">
        <w:rPr>
          <w:rFonts w:ascii="Times New Roman" w:hAnsi="Times New Roman" w:cs="Times New Roman"/>
          <w:i/>
          <w:sz w:val="24"/>
          <w:szCs w:val="24"/>
        </w:rPr>
        <w:t>tau</w:t>
      </w:r>
      <w:proofErr w:type="gramEnd"/>
      <w:r w:rsidRPr="00BF4D72">
        <w:rPr>
          <w:rFonts w:ascii="Times New Roman" w:hAnsi="Times New Roman" w:cs="Times New Roman"/>
          <w:i/>
          <w:sz w:val="24"/>
          <w:szCs w:val="24"/>
        </w:rPr>
        <w:t>&lt;- 1/sigma^2</w:t>
      </w:r>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lastRenderedPageBreak/>
        <w:t>}</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spellStart"/>
      <w:r w:rsidRPr="00BF4D72">
        <w:rPr>
          <w:rFonts w:ascii="Times New Roman" w:hAnsi="Times New Roman" w:cs="Times New Roman"/>
          <w:i/>
          <w:sz w:val="24"/>
          <w:szCs w:val="24"/>
        </w:rPr>
        <w:t>reg.inits</w:t>
      </w:r>
      <w:proofErr w:type="spellEnd"/>
      <w:r w:rsidRPr="00BF4D72">
        <w:rPr>
          <w:rFonts w:ascii="Times New Roman" w:hAnsi="Times New Roman" w:cs="Times New Roman"/>
          <w:i/>
          <w:sz w:val="24"/>
          <w:szCs w:val="24"/>
        </w:rPr>
        <w:t>=</w:t>
      </w:r>
      <w:proofErr w:type="gramStart"/>
      <w:r w:rsidRPr="00BF4D72">
        <w:rPr>
          <w:rFonts w:ascii="Times New Roman" w:hAnsi="Times New Roman" w:cs="Times New Roman"/>
          <w:i/>
          <w:sz w:val="24"/>
          <w:szCs w:val="24"/>
        </w:rPr>
        <w:t>function(</w:t>
      </w:r>
      <w:proofErr w:type="gramEnd"/>
      <w:r w:rsidRPr="00BF4D72">
        <w:rPr>
          <w:rFonts w:ascii="Times New Roman" w:hAnsi="Times New Roman" w:cs="Times New Roman"/>
          <w:i/>
          <w:sz w:val="24"/>
          <w:szCs w:val="24"/>
        </w:rPr>
        <w:t>) list(sigma=</w:t>
      </w:r>
      <w:proofErr w:type="spellStart"/>
      <w:r w:rsidRPr="00BF4D72">
        <w:rPr>
          <w:rFonts w:ascii="Times New Roman" w:hAnsi="Times New Roman" w:cs="Times New Roman"/>
          <w:i/>
          <w:sz w:val="24"/>
          <w:szCs w:val="24"/>
        </w:rPr>
        <w:t>runif</w:t>
      </w:r>
      <w:proofErr w:type="spellEnd"/>
      <w:r w:rsidRPr="00BF4D72">
        <w:rPr>
          <w:rFonts w:ascii="Times New Roman" w:hAnsi="Times New Roman" w:cs="Times New Roman"/>
          <w:i/>
          <w:sz w:val="24"/>
          <w:szCs w:val="24"/>
        </w:rPr>
        <w:t>(1,0,10),B=</w:t>
      </w:r>
      <w:proofErr w:type="spellStart"/>
      <w:r w:rsidRPr="00BF4D72">
        <w:rPr>
          <w:rFonts w:ascii="Times New Roman" w:hAnsi="Times New Roman" w:cs="Times New Roman"/>
          <w:i/>
          <w:sz w:val="24"/>
          <w:szCs w:val="24"/>
        </w:rPr>
        <w:t>rnorm</w:t>
      </w:r>
      <w:proofErr w:type="spellEnd"/>
      <w:r w:rsidRPr="00BF4D72">
        <w:rPr>
          <w:rFonts w:ascii="Times New Roman" w:hAnsi="Times New Roman" w:cs="Times New Roman"/>
          <w:i/>
          <w:sz w:val="24"/>
          <w:szCs w:val="24"/>
        </w:rPr>
        <w:t>(6,0,10))</w:t>
      </w:r>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reg.fit=</w:t>
      </w:r>
      <w:proofErr w:type="gramStart"/>
      <w:r w:rsidRPr="00BF4D72">
        <w:rPr>
          <w:rFonts w:ascii="Times New Roman" w:hAnsi="Times New Roman" w:cs="Times New Roman"/>
          <w:i/>
          <w:sz w:val="24"/>
          <w:szCs w:val="24"/>
        </w:rPr>
        <w:t>jags(</w:t>
      </w:r>
      <w:proofErr w:type="gramEnd"/>
      <w:r w:rsidRPr="00BF4D72">
        <w:rPr>
          <w:rFonts w:ascii="Times New Roman" w:hAnsi="Times New Roman" w:cs="Times New Roman"/>
          <w:i/>
          <w:sz w:val="24"/>
          <w:szCs w:val="24"/>
        </w:rPr>
        <w:t>reg.data,reg.inits,params,reg.mdl,nChains,nIter,burnIn,nThin)</w:t>
      </w:r>
    </w:p>
    <w:p w:rsidR="00BF4D72" w:rsidRPr="00BF4D72" w:rsidRDefault="00BF4D72" w:rsidP="00BF4D72">
      <w:pPr>
        <w:tabs>
          <w:tab w:val="left" w:pos="8505"/>
        </w:tabs>
        <w:spacing w:after="40" w:line="240" w:lineRule="auto"/>
        <w:rPr>
          <w:rFonts w:ascii="Times New Roman" w:hAnsi="Times New Roman" w:cs="Times New Roman"/>
          <w:i/>
          <w:sz w:val="24"/>
          <w:szCs w:val="24"/>
        </w:rPr>
      </w:pP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gramStart"/>
      <w:r w:rsidRPr="00BF4D72">
        <w:rPr>
          <w:rFonts w:ascii="Times New Roman" w:hAnsi="Times New Roman" w:cs="Times New Roman"/>
          <w:i/>
          <w:sz w:val="24"/>
          <w:szCs w:val="24"/>
        </w:rPr>
        <w:t>print(</w:t>
      </w:r>
      <w:proofErr w:type="spellStart"/>
      <w:proofErr w:type="gramEnd"/>
      <w:r w:rsidRPr="00BF4D72">
        <w:rPr>
          <w:rFonts w:ascii="Times New Roman" w:hAnsi="Times New Roman" w:cs="Times New Roman"/>
          <w:i/>
          <w:sz w:val="24"/>
          <w:szCs w:val="24"/>
        </w:rPr>
        <w:t>reg.fit</w:t>
      </w:r>
      <w:proofErr w:type="spellEnd"/>
      <w:r w:rsidRPr="00BF4D72">
        <w:rPr>
          <w:rFonts w:ascii="Times New Roman" w:hAnsi="Times New Roman" w:cs="Times New Roman"/>
          <w:i/>
          <w:sz w:val="24"/>
          <w:szCs w:val="24"/>
        </w:rPr>
        <w:t>)</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gramStart"/>
      <w:r w:rsidRPr="00BF4D72">
        <w:rPr>
          <w:rFonts w:ascii="Times New Roman" w:hAnsi="Times New Roman" w:cs="Times New Roman"/>
          <w:i/>
          <w:sz w:val="24"/>
          <w:szCs w:val="24"/>
        </w:rPr>
        <w:t>windows()</w:t>
      </w:r>
      <w:proofErr w:type="gramEnd"/>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gramStart"/>
      <w:r w:rsidRPr="00BF4D72">
        <w:rPr>
          <w:rFonts w:ascii="Times New Roman" w:hAnsi="Times New Roman" w:cs="Times New Roman"/>
          <w:i/>
          <w:sz w:val="24"/>
          <w:szCs w:val="24"/>
        </w:rPr>
        <w:t>plot(</w:t>
      </w:r>
      <w:proofErr w:type="spellStart"/>
      <w:proofErr w:type="gramEnd"/>
      <w:r w:rsidRPr="00BF4D72">
        <w:rPr>
          <w:rFonts w:ascii="Times New Roman" w:hAnsi="Times New Roman" w:cs="Times New Roman"/>
          <w:i/>
          <w:sz w:val="24"/>
          <w:szCs w:val="24"/>
        </w:rPr>
        <w:t>reg.fit</w:t>
      </w:r>
      <w:proofErr w:type="spellEnd"/>
      <w:r w:rsidRPr="00BF4D72">
        <w:rPr>
          <w:rFonts w:ascii="Times New Roman" w:hAnsi="Times New Roman" w:cs="Times New Roman"/>
          <w:i/>
          <w:sz w:val="24"/>
          <w:szCs w:val="24"/>
        </w:rPr>
        <w:t>)</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spellStart"/>
      <w:proofErr w:type="gramStart"/>
      <w:r w:rsidRPr="00BF4D72">
        <w:rPr>
          <w:rFonts w:ascii="Times New Roman" w:hAnsi="Times New Roman" w:cs="Times New Roman"/>
          <w:i/>
          <w:sz w:val="24"/>
          <w:szCs w:val="24"/>
        </w:rPr>
        <w:t>mcmcChain</w:t>
      </w:r>
      <w:proofErr w:type="spellEnd"/>
      <w:r w:rsidRPr="00BF4D72">
        <w:rPr>
          <w:rFonts w:ascii="Times New Roman" w:hAnsi="Times New Roman" w:cs="Times New Roman"/>
          <w:i/>
          <w:sz w:val="24"/>
          <w:szCs w:val="24"/>
        </w:rPr>
        <w:t>=</w:t>
      </w:r>
      <w:proofErr w:type="spellStart"/>
      <w:proofErr w:type="gramEnd"/>
      <w:r w:rsidRPr="00BF4D72">
        <w:rPr>
          <w:rFonts w:ascii="Times New Roman" w:hAnsi="Times New Roman" w:cs="Times New Roman"/>
          <w:i/>
          <w:sz w:val="24"/>
          <w:szCs w:val="24"/>
        </w:rPr>
        <w:t>as.mcmc</w:t>
      </w:r>
      <w:proofErr w:type="spellEnd"/>
      <w:r w:rsidRPr="00BF4D72">
        <w:rPr>
          <w:rFonts w:ascii="Times New Roman" w:hAnsi="Times New Roman" w:cs="Times New Roman"/>
          <w:i/>
          <w:sz w:val="24"/>
          <w:szCs w:val="24"/>
        </w:rPr>
        <w:t>(</w:t>
      </w:r>
      <w:proofErr w:type="spellStart"/>
      <w:r w:rsidRPr="00BF4D72">
        <w:rPr>
          <w:rFonts w:ascii="Times New Roman" w:hAnsi="Times New Roman" w:cs="Times New Roman"/>
          <w:i/>
          <w:sz w:val="24"/>
          <w:szCs w:val="24"/>
        </w:rPr>
        <w:t>reg.fit$BUGSoutput$sims.matrix</w:t>
      </w:r>
      <w:proofErr w:type="spellEnd"/>
      <w:r w:rsidRPr="00BF4D72">
        <w:rPr>
          <w:rFonts w:ascii="Times New Roman" w:hAnsi="Times New Roman" w:cs="Times New Roman"/>
          <w:i/>
          <w:sz w:val="24"/>
          <w:szCs w:val="24"/>
        </w:rPr>
        <w:t>)</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gramStart"/>
      <w:r w:rsidRPr="00BF4D72">
        <w:rPr>
          <w:rFonts w:ascii="Times New Roman" w:hAnsi="Times New Roman" w:cs="Times New Roman"/>
          <w:i/>
          <w:sz w:val="24"/>
          <w:szCs w:val="24"/>
        </w:rPr>
        <w:t>windows()</w:t>
      </w:r>
      <w:proofErr w:type="gramEnd"/>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spellStart"/>
      <w:r w:rsidRPr="00BF4D72">
        <w:rPr>
          <w:rFonts w:ascii="Times New Roman" w:hAnsi="Times New Roman" w:cs="Times New Roman"/>
          <w:i/>
          <w:sz w:val="24"/>
          <w:szCs w:val="24"/>
        </w:rPr>
        <w:t>colnames</w:t>
      </w:r>
      <w:proofErr w:type="spellEnd"/>
      <w:r w:rsidRPr="00BF4D72">
        <w:rPr>
          <w:rFonts w:ascii="Times New Roman" w:hAnsi="Times New Roman" w:cs="Times New Roman"/>
          <w:i/>
          <w:sz w:val="24"/>
          <w:szCs w:val="24"/>
        </w:rPr>
        <w:t>(</w:t>
      </w:r>
      <w:proofErr w:type="spellStart"/>
      <w:r w:rsidRPr="00BF4D72">
        <w:rPr>
          <w:rFonts w:ascii="Times New Roman" w:hAnsi="Times New Roman" w:cs="Times New Roman"/>
          <w:i/>
          <w:sz w:val="24"/>
          <w:szCs w:val="24"/>
        </w:rPr>
        <w:t>mcmcChain</w:t>
      </w:r>
      <w:proofErr w:type="spellEnd"/>
      <w:r w:rsidRPr="00BF4D72">
        <w:rPr>
          <w:rFonts w:ascii="Times New Roman" w:hAnsi="Times New Roman" w:cs="Times New Roman"/>
          <w:i/>
          <w:sz w:val="24"/>
          <w:szCs w:val="24"/>
        </w:rPr>
        <w:t>) &lt;- c("B0","B1","B2","B3","B4","B5","deviance","sigma")</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gramStart"/>
      <w:r w:rsidRPr="00BF4D72">
        <w:rPr>
          <w:rFonts w:ascii="Times New Roman" w:hAnsi="Times New Roman" w:cs="Times New Roman"/>
          <w:i/>
          <w:sz w:val="24"/>
          <w:szCs w:val="24"/>
        </w:rPr>
        <w:t>plot(</w:t>
      </w:r>
      <w:proofErr w:type="spellStart"/>
      <w:proofErr w:type="gramEnd"/>
      <w:r w:rsidRPr="00BF4D72">
        <w:rPr>
          <w:rFonts w:ascii="Times New Roman" w:hAnsi="Times New Roman" w:cs="Times New Roman"/>
          <w:i/>
          <w:sz w:val="24"/>
          <w:szCs w:val="24"/>
        </w:rPr>
        <w:t>mcmcChain</w:t>
      </w:r>
      <w:proofErr w:type="spellEnd"/>
      <w:r w:rsidRPr="00BF4D72">
        <w:rPr>
          <w:rFonts w:ascii="Times New Roman" w:hAnsi="Times New Roman" w:cs="Times New Roman"/>
          <w:i/>
          <w:sz w:val="24"/>
          <w:szCs w:val="24"/>
        </w:rPr>
        <w:t>)</w:t>
      </w:r>
    </w:p>
    <w:p w:rsidR="00BF4D72" w:rsidRPr="00BF4D72" w:rsidRDefault="00BF4D72" w:rsidP="00BF4D72">
      <w:pPr>
        <w:tabs>
          <w:tab w:val="left" w:pos="8505"/>
        </w:tabs>
        <w:spacing w:after="40" w:line="240" w:lineRule="auto"/>
        <w:rPr>
          <w:rFonts w:ascii="Times New Roman" w:hAnsi="Times New Roman" w:cs="Times New Roman"/>
          <w:i/>
          <w:sz w:val="24"/>
          <w:szCs w:val="24"/>
        </w:rPr>
      </w:pPr>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betas.mod=</w:t>
      </w:r>
      <w:proofErr w:type="spellStart"/>
      <w:proofErr w:type="gramStart"/>
      <w:r w:rsidRPr="00BF4D72">
        <w:rPr>
          <w:rFonts w:ascii="Times New Roman" w:hAnsi="Times New Roman" w:cs="Times New Roman"/>
          <w:i/>
          <w:sz w:val="24"/>
          <w:szCs w:val="24"/>
        </w:rPr>
        <w:t>cbind</w:t>
      </w:r>
      <w:proofErr w:type="spellEnd"/>
      <w:r w:rsidRPr="00BF4D72">
        <w:rPr>
          <w:rFonts w:ascii="Times New Roman" w:hAnsi="Times New Roman" w:cs="Times New Roman"/>
          <w:i/>
          <w:sz w:val="24"/>
          <w:szCs w:val="24"/>
        </w:rPr>
        <w:t>(</w:t>
      </w:r>
      <w:proofErr w:type="gramEnd"/>
      <w:r w:rsidRPr="00BF4D72">
        <w:rPr>
          <w:rFonts w:ascii="Times New Roman" w:hAnsi="Times New Roman" w:cs="Times New Roman"/>
          <w:i/>
          <w:sz w:val="24"/>
          <w:szCs w:val="24"/>
        </w:rPr>
        <w:t>B[,1],B[,2:6])</w:t>
      </w:r>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 xml:space="preserve"># </w:t>
      </w:r>
      <w:proofErr w:type="gramStart"/>
      <w:r w:rsidRPr="00BF4D72">
        <w:rPr>
          <w:rFonts w:ascii="Times New Roman" w:hAnsi="Times New Roman" w:cs="Times New Roman"/>
          <w:i/>
          <w:sz w:val="24"/>
          <w:szCs w:val="24"/>
        </w:rPr>
        <w:t>examine</w:t>
      </w:r>
      <w:proofErr w:type="gramEnd"/>
      <w:r w:rsidRPr="00BF4D72">
        <w:rPr>
          <w:rFonts w:ascii="Times New Roman" w:hAnsi="Times New Roman" w:cs="Times New Roman"/>
          <w:i/>
          <w:sz w:val="24"/>
          <w:szCs w:val="24"/>
        </w:rPr>
        <w:t xml:space="preserve"> correlation structure of parameter </w:t>
      </w:r>
      <w:proofErr w:type="spellStart"/>
      <w:r w:rsidRPr="00BF4D72">
        <w:rPr>
          <w:rFonts w:ascii="Times New Roman" w:hAnsi="Times New Roman" w:cs="Times New Roman"/>
          <w:i/>
          <w:sz w:val="24"/>
          <w:szCs w:val="24"/>
        </w:rPr>
        <w:t>ests</w:t>
      </w:r>
      <w:proofErr w:type="spellEnd"/>
      <w:r w:rsidRPr="00BF4D72">
        <w:rPr>
          <w:rFonts w:ascii="Times New Roman" w:hAnsi="Times New Roman" w:cs="Times New Roman"/>
          <w:i/>
          <w:sz w:val="24"/>
          <w:szCs w:val="24"/>
        </w:rPr>
        <w:t>.</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gramStart"/>
      <w:r w:rsidRPr="00BF4D72">
        <w:rPr>
          <w:rFonts w:ascii="Times New Roman" w:hAnsi="Times New Roman" w:cs="Times New Roman"/>
          <w:i/>
          <w:sz w:val="24"/>
          <w:szCs w:val="24"/>
        </w:rPr>
        <w:t>round(</w:t>
      </w:r>
      <w:proofErr w:type="spellStart"/>
      <w:proofErr w:type="gramEnd"/>
      <w:r w:rsidRPr="00BF4D72">
        <w:rPr>
          <w:rFonts w:ascii="Times New Roman" w:hAnsi="Times New Roman" w:cs="Times New Roman"/>
          <w:i/>
          <w:sz w:val="24"/>
          <w:szCs w:val="24"/>
        </w:rPr>
        <w:t>cov</w:t>
      </w:r>
      <w:proofErr w:type="spellEnd"/>
      <w:r w:rsidRPr="00BF4D72">
        <w:rPr>
          <w:rFonts w:ascii="Times New Roman" w:hAnsi="Times New Roman" w:cs="Times New Roman"/>
          <w:i/>
          <w:sz w:val="24"/>
          <w:szCs w:val="24"/>
        </w:rPr>
        <w:t>(betas.mod),3)</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gramStart"/>
      <w:r w:rsidRPr="00BF4D72">
        <w:rPr>
          <w:rFonts w:ascii="Times New Roman" w:hAnsi="Times New Roman" w:cs="Times New Roman"/>
          <w:i/>
          <w:sz w:val="24"/>
          <w:szCs w:val="24"/>
        </w:rPr>
        <w:t>round(</w:t>
      </w:r>
      <w:proofErr w:type="spellStart"/>
      <w:proofErr w:type="gramEnd"/>
      <w:r w:rsidRPr="00BF4D72">
        <w:rPr>
          <w:rFonts w:ascii="Times New Roman" w:hAnsi="Times New Roman" w:cs="Times New Roman"/>
          <w:i/>
          <w:sz w:val="24"/>
          <w:szCs w:val="24"/>
        </w:rPr>
        <w:t>vcov</w:t>
      </w:r>
      <w:proofErr w:type="spellEnd"/>
      <w:r w:rsidRPr="00BF4D72">
        <w:rPr>
          <w:rFonts w:ascii="Times New Roman" w:hAnsi="Times New Roman" w:cs="Times New Roman"/>
          <w:i/>
          <w:sz w:val="24"/>
          <w:szCs w:val="24"/>
        </w:rPr>
        <w:t>(modl1),3)</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gramStart"/>
      <w:r w:rsidRPr="00BF4D72">
        <w:rPr>
          <w:rFonts w:ascii="Times New Roman" w:hAnsi="Times New Roman" w:cs="Times New Roman"/>
          <w:i/>
          <w:sz w:val="24"/>
          <w:szCs w:val="24"/>
        </w:rPr>
        <w:t>round(</w:t>
      </w:r>
      <w:proofErr w:type="spellStart"/>
      <w:proofErr w:type="gramEnd"/>
      <w:r w:rsidRPr="00BF4D72">
        <w:rPr>
          <w:rFonts w:ascii="Times New Roman" w:hAnsi="Times New Roman" w:cs="Times New Roman"/>
          <w:i/>
          <w:sz w:val="24"/>
          <w:szCs w:val="24"/>
        </w:rPr>
        <w:t>cov</w:t>
      </w:r>
      <w:proofErr w:type="spellEnd"/>
      <w:r w:rsidRPr="00BF4D72">
        <w:rPr>
          <w:rFonts w:ascii="Times New Roman" w:hAnsi="Times New Roman" w:cs="Times New Roman"/>
          <w:i/>
          <w:sz w:val="24"/>
          <w:szCs w:val="24"/>
        </w:rPr>
        <w:t>(B),3)</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gramStart"/>
      <w:r w:rsidRPr="00BF4D72">
        <w:rPr>
          <w:rFonts w:ascii="Times New Roman" w:hAnsi="Times New Roman" w:cs="Times New Roman"/>
          <w:i/>
          <w:sz w:val="24"/>
          <w:szCs w:val="24"/>
        </w:rPr>
        <w:t>round(</w:t>
      </w:r>
      <w:proofErr w:type="spellStart"/>
      <w:proofErr w:type="gramEnd"/>
      <w:r w:rsidRPr="00BF4D72">
        <w:rPr>
          <w:rFonts w:ascii="Times New Roman" w:hAnsi="Times New Roman" w:cs="Times New Roman"/>
          <w:i/>
          <w:sz w:val="24"/>
          <w:szCs w:val="24"/>
        </w:rPr>
        <w:t>cor</w:t>
      </w:r>
      <w:proofErr w:type="spellEnd"/>
      <w:r w:rsidRPr="00BF4D72">
        <w:rPr>
          <w:rFonts w:ascii="Times New Roman" w:hAnsi="Times New Roman" w:cs="Times New Roman"/>
          <w:i/>
          <w:sz w:val="24"/>
          <w:szCs w:val="24"/>
        </w:rPr>
        <w:t>(betas.mod),3)</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gramStart"/>
      <w:r w:rsidRPr="00BF4D72">
        <w:rPr>
          <w:rFonts w:ascii="Times New Roman" w:hAnsi="Times New Roman" w:cs="Times New Roman"/>
          <w:i/>
          <w:sz w:val="24"/>
          <w:szCs w:val="24"/>
        </w:rPr>
        <w:t>round(</w:t>
      </w:r>
      <w:proofErr w:type="spellStart"/>
      <w:proofErr w:type="gramEnd"/>
      <w:r w:rsidRPr="00BF4D72">
        <w:rPr>
          <w:rFonts w:ascii="Times New Roman" w:hAnsi="Times New Roman" w:cs="Times New Roman"/>
          <w:i/>
          <w:sz w:val="24"/>
          <w:szCs w:val="24"/>
        </w:rPr>
        <w:t>cor</w:t>
      </w:r>
      <w:proofErr w:type="spellEnd"/>
      <w:r w:rsidRPr="00BF4D72">
        <w:rPr>
          <w:rFonts w:ascii="Times New Roman" w:hAnsi="Times New Roman" w:cs="Times New Roman"/>
          <w:i/>
          <w:sz w:val="24"/>
          <w:szCs w:val="24"/>
        </w:rPr>
        <w:t>(B),3)</w:t>
      </w:r>
    </w:p>
    <w:p w:rsidR="00BF4D72" w:rsidRPr="00BF4D72" w:rsidRDefault="00BF4D72" w:rsidP="00BF4D72">
      <w:pPr>
        <w:tabs>
          <w:tab w:val="left" w:pos="8505"/>
        </w:tabs>
        <w:spacing w:after="40" w:line="240" w:lineRule="auto"/>
        <w:rPr>
          <w:rFonts w:ascii="Times New Roman" w:hAnsi="Times New Roman" w:cs="Times New Roman"/>
          <w:i/>
          <w:sz w:val="24"/>
          <w:szCs w:val="24"/>
        </w:rPr>
      </w:pPr>
    </w:p>
    <w:p w:rsidR="00BF4D72" w:rsidRPr="00BF4D72" w:rsidRDefault="00BF4D72" w:rsidP="00BF4D72">
      <w:pPr>
        <w:tabs>
          <w:tab w:val="left" w:pos="8505"/>
        </w:tabs>
        <w:spacing w:after="40" w:line="240" w:lineRule="auto"/>
        <w:rPr>
          <w:rFonts w:ascii="Times New Roman" w:hAnsi="Times New Roman" w:cs="Times New Roman"/>
          <w:i/>
          <w:sz w:val="24"/>
          <w:szCs w:val="24"/>
        </w:rPr>
      </w:pPr>
      <w:r w:rsidRPr="00BF4D72">
        <w:rPr>
          <w:rFonts w:ascii="Times New Roman" w:hAnsi="Times New Roman" w:cs="Times New Roman"/>
          <w:i/>
          <w:sz w:val="24"/>
          <w:szCs w:val="24"/>
        </w:rPr>
        <w:t># checking model fit - residual analysis</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spellStart"/>
      <w:r w:rsidRPr="00BF4D72">
        <w:rPr>
          <w:rFonts w:ascii="Times New Roman" w:hAnsi="Times New Roman" w:cs="Times New Roman"/>
          <w:i/>
          <w:sz w:val="24"/>
          <w:szCs w:val="24"/>
        </w:rPr>
        <w:t>beta.bar</w:t>
      </w:r>
      <w:proofErr w:type="spellEnd"/>
      <w:r w:rsidRPr="00BF4D72">
        <w:rPr>
          <w:rFonts w:ascii="Times New Roman" w:hAnsi="Times New Roman" w:cs="Times New Roman"/>
          <w:i/>
          <w:sz w:val="24"/>
          <w:szCs w:val="24"/>
        </w:rPr>
        <w:t>=</w:t>
      </w:r>
      <w:proofErr w:type="spellStart"/>
      <w:proofErr w:type="gramStart"/>
      <w:r w:rsidRPr="00BF4D72">
        <w:rPr>
          <w:rFonts w:ascii="Times New Roman" w:hAnsi="Times New Roman" w:cs="Times New Roman"/>
          <w:i/>
          <w:sz w:val="24"/>
          <w:szCs w:val="24"/>
        </w:rPr>
        <w:t>colMeans</w:t>
      </w:r>
      <w:proofErr w:type="spellEnd"/>
      <w:r w:rsidRPr="00BF4D72">
        <w:rPr>
          <w:rFonts w:ascii="Times New Roman" w:hAnsi="Times New Roman" w:cs="Times New Roman"/>
          <w:i/>
          <w:sz w:val="24"/>
          <w:szCs w:val="24"/>
        </w:rPr>
        <w:t>(</w:t>
      </w:r>
      <w:proofErr w:type="gramEnd"/>
      <w:r w:rsidRPr="00BF4D72">
        <w:rPr>
          <w:rFonts w:ascii="Times New Roman" w:hAnsi="Times New Roman" w:cs="Times New Roman"/>
          <w:i/>
          <w:sz w:val="24"/>
          <w:szCs w:val="24"/>
        </w:rPr>
        <w:t>betas.mod)</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spellStart"/>
      <w:r w:rsidRPr="00BF4D72">
        <w:rPr>
          <w:rFonts w:ascii="Times New Roman" w:hAnsi="Times New Roman" w:cs="Times New Roman"/>
          <w:i/>
          <w:sz w:val="24"/>
          <w:szCs w:val="24"/>
        </w:rPr>
        <w:t>mod.fitted</w:t>
      </w:r>
      <w:proofErr w:type="spellEnd"/>
      <w:r w:rsidRPr="00BF4D72">
        <w:rPr>
          <w:rFonts w:ascii="Times New Roman" w:hAnsi="Times New Roman" w:cs="Times New Roman"/>
          <w:i/>
          <w:sz w:val="24"/>
          <w:szCs w:val="24"/>
        </w:rPr>
        <w:t>=</w:t>
      </w:r>
      <w:proofErr w:type="spellStart"/>
      <w:r w:rsidRPr="00BF4D72">
        <w:rPr>
          <w:rFonts w:ascii="Times New Roman" w:hAnsi="Times New Roman" w:cs="Times New Roman"/>
          <w:i/>
          <w:sz w:val="24"/>
          <w:szCs w:val="24"/>
        </w:rPr>
        <w:t>cbind</w:t>
      </w:r>
      <w:proofErr w:type="spellEnd"/>
      <w:r w:rsidRPr="00BF4D72">
        <w:rPr>
          <w:rFonts w:ascii="Times New Roman" w:hAnsi="Times New Roman" w:cs="Times New Roman"/>
          <w:i/>
          <w:sz w:val="24"/>
          <w:szCs w:val="24"/>
        </w:rPr>
        <w:t>(1,as.matrix(drop[,c(2,3,5,6,9)]))%*%</w:t>
      </w:r>
      <w:proofErr w:type="spellStart"/>
      <w:r w:rsidRPr="00BF4D72">
        <w:rPr>
          <w:rFonts w:ascii="Times New Roman" w:hAnsi="Times New Roman" w:cs="Times New Roman"/>
          <w:i/>
          <w:sz w:val="24"/>
          <w:szCs w:val="24"/>
        </w:rPr>
        <w:t>beta.bar</w:t>
      </w:r>
      <w:proofErr w:type="spellEnd"/>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spellStart"/>
      <w:r w:rsidRPr="00BF4D72">
        <w:rPr>
          <w:rFonts w:ascii="Times New Roman" w:hAnsi="Times New Roman" w:cs="Times New Roman"/>
          <w:i/>
          <w:sz w:val="24"/>
          <w:szCs w:val="24"/>
        </w:rPr>
        <w:t>mod.resid</w:t>
      </w:r>
      <w:proofErr w:type="spellEnd"/>
      <w:r w:rsidRPr="00BF4D72">
        <w:rPr>
          <w:rFonts w:ascii="Times New Roman" w:hAnsi="Times New Roman" w:cs="Times New Roman"/>
          <w:i/>
          <w:sz w:val="24"/>
          <w:szCs w:val="24"/>
        </w:rPr>
        <w:t>=fgrad3-mod.fitted</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gramStart"/>
      <w:r w:rsidRPr="00BF4D72">
        <w:rPr>
          <w:rFonts w:ascii="Times New Roman" w:hAnsi="Times New Roman" w:cs="Times New Roman"/>
          <w:i/>
          <w:sz w:val="24"/>
          <w:szCs w:val="24"/>
        </w:rPr>
        <w:t>windows()</w:t>
      </w:r>
      <w:proofErr w:type="gramEnd"/>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gramStart"/>
      <w:r w:rsidRPr="00BF4D72">
        <w:rPr>
          <w:rFonts w:ascii="Times New Roman" w:hAnsi="Times New Roman" w:cs="Times New Roman"/>
          <w:i/>
          <w:sz w:val="24"/>
          <w:szCs w:val="24"/>
        </w:rPr>
        <w:t>plot(</w:t>
      </w:r>
      <w:proofErr w:type="gramEnd"/>
      <w:r w:rsidRPr="00BF4D72">
        <w:rPr>
          <w:rFonts w:ascii="Times New Roman" w:hAnsi="Times New Roman" w:cs="Times New Roman"/>
          <w:i/>
          <w:sz w:val="24"/>
          <w:szCs w:val="24"/>
        </w:rPr>
        <w:t>density(</w:t>
      </w:r>
      <w:proofErr w:type="spellStart"/>
      <w:r w:rsidRPr="00BF4D72">
        <w:rPr>
          <w:rFonts w:ascii="Times New Roman" w:hAnsi="Times New Roman" w:cs="Times New Roman"/>
          <w:i/>
          <w:sz w:val="24"/>
          <w:szCs w:val="24"/>
        </w:rPr>
        <w:t>mod.fitted</w:t>
      </w:r>
      <w:proofErr w:type="spellEnd"/>
      <w:r w:rsidRPr="00BF4D72">
        <w:rPr>
          <w:rFonts w:ascii="Times New Roman" w:hAnsi="Times New Roman" w:cs="Times New Roman"/>
          <w:i/>
          <w:sz w:val="24"/>
          <w:szCs w:val="24"/>
        </w:rPr>
        <w:t>))</w:t>
      </w:r>
    </w:p>
    <w:p w:rsidR="00BF4D72" w:rsidRPr="00BF4D72" w:rsidRDefault="00BF4D72" w:rsidP="00BF4D72">
      <w:pPr>
        <w:tabs>
          <w:tab w:val="left" w:pos="8505"/>
        </w:tabs>
        <w:spacing w:after="40" w:line="240" w:lineRule="auto"/>
        <w:rPr>
          <w:rFonts w:ascii="Times New Roman" w:hAnsi="Times New Roman" w:cs="Times New Roman"/>
          <w:i/>
          <w:sz w:val="24"/>
          <w:szCs w:val="24"/>
        </w:rPr>
      </w:pP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gramStart"/>
      <w:r w:rsidRPr="00BF4D72">
        <w:rPr>
          <w:rFonts w:ascii="Times New Roman" w:hAnsi="Times New Roman" w:cs="Times New Roman"/>
          <w:i/>
          <w:sz w:val="24"/>
          <w:szCs w:val="24"/>
        </w:rPr>
        <w:t>par(</w:t>
      </w:r>
      <w:proofErr w:type="spellStart"/>
      <w:proofErr w:type="gramEnd"/>
      <w:r w:rsidRPr="00BF4D72">
        <w:rPr>
          <w:rFonts w:ascii="Times New Roman" w:hAnsi="Times New Roman" w:cs="Times New Roman"/>
          <w:i/>
          <w:sz w:val="24"/>
          <w:szCs w:val="24"/>
        </w:rPr>
        <w:t>mfrow</w:t>
      </w:r>
      <w:proofErr w:type="spellEnd"/>
      <w:r w:rsidRPr="00BF4D72">
        <w:rPr>
          <w:rFonts w:ascii="Times New Roman" w:hAnsi="Times New Roman" w:cs="Times New Roman"/>
          <w:i/>
          <w:sz w:val="24"/>
          <w:szCs w:val="24"/>
        </w:rPr>
        <w:t>=c(2,2))</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gramStart"/>
      <w:r w:rsidRPr="00BF4D72">
        <w:rPr>
          <w:rFonts w:ascii="Times New Roman" w:hAnsi="Times New Roman" w:cs="Times New Roman"/>
          <w:i/>
          <w:sz w:val="24"/>
          <w:szCs w:val="24"/>
        </w:rPr>
        <w:t>plot(</w:t>
      </w:r>
      <w:proofErr w:type="spellStart"/>
      <w:proofErr w:type="gramEnd"/>
      <w:r w:rsidRPr="00BF4D72">
        <w:rPr>
          <w:rFonts w:ascii="Times New Roman" w:hAnsi="Times New Roman" w:cs="Times New Roman"/>
          <w:i/>
          <w:sz w:val="24"/>
          <w:szCs w:val="24"/>
        </w:rPr>
        <w:t>mod.resid~mod.fitted,main</w:t>
      </w:r>
      <w:proofErr w:type="spellEnd"/>
      <w:r w:rsidRPr="00BF4D72">
        <w:rPr>
          <w:rFonts w:ascii="Times New Roman" w:hAnsi="Times New Roman" w:cs="Times New Roman"/>
          <w:i/>
          <w:sz w:val="24"/>
          <w:szCs w:val="24"/>
        </w:rPr>
        <w:t>='Bayesian Model Residuals Vs. Fitted')</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spellStart"/>
      <w:proofErr w:type="gramStart"/>
      <w:r w:rsidRPr="00BF4D72">
        <w:rPr>
          <w:rFonts w:ascii="Times New Roman" w:hAnsi="Times New Roman" w:cs="Times New Roman"/>
          <w:i/>
          <w:sz w:val="24"/>
          <w:szCs w:val="24"/>
        </w:rPr>
        <w:t>abline</w:t>
      </w:r>
      <w:proofErr w:type="spellEnd"/>
      <w:r w:rsidRPr="00BF4D72">
        <w:rPr>
          <w:rFonts w:ascii="Times New Roman" w:hAnsi="Times New Roman" w:cs="Times New Roman"/>
          <w:i/>
          <w:sz w:val="24"/>
          <w:szCs w:val="24"/>
        </w:rPr>
        <w:t>(</w:t>
      </w:r>
      <w:proofErr w:type="gramEnd"/>
      <w:r w:rsidRPr="00BF4D72">
        <w:rPr>
          <w:rFonts w:ascii="Times New Roman" w:hAnsi="Times New Roman" w:cs="Times New Roman"/>
          <w:i/>
          <w:sz w:val="24"/>
          <w:szCs w:val="24"/>
        </w:rPr>
        <w:t>h=0,lty=2)</w:t>
      </w:r>
    </w:p>
    <w:p w:rsidR="00393435" w:rsidRPr="00BF4D72" w:rsidRDefault="00BF4D72" w:rsidP="00BF4D72">
      <w:pPr>
        <w:tabs>
          <w:tab w:val="left" w:pos="8505"/>
        </w:tabs>
        <w:spacing w:after="40" w:line="240" w:lineRule="auto"/>
        <w:rPr>
          <w:rFonts w:ascii="Times New Roman" w:hAnsi="Times New Roman" w:cs="Times New Roman"/>
          <w:i/>
          <w:sz w:val="24"/>
          <w:szCs w:val="24"/>
        </w:rPr>
      </w:pPr>
      <w:proofErr w:type="gramStart"/>
      <w:r w:rsidRPr="00BF4D72">
        <w:rPr>
          <w:rFonts w:ascii="Times New Roman" w:hAnsi="Times New Roman" w:cs="Times New Roman"/>
          <w:i/>
          <w:sz w:val="24"/>
          <w:szCs w:val="24"/>
        </w:rPr>
        <w:t>windows()</w:t>
      </w:r>
      <w:proofErr w:type="gramEnd"/>
    </w:p>
    <w:p w:rsidR="00BF4D72" w:rsidRDefault="00BF4D72" w:rsidP="00BF4D72">
      <w:pPr>
        <w:tabs>
          <w:tab w:val="left" w:pos="8505"/>
        </w:tabs>
        <w:spacing w:after="40" w:line="240" w:lineRule="auto"/>
        <w:rPr>
          <w:rFonts w:ascii="Times New Roman" w:hAnsi="Times New Roman" w:cs="Times New Roman"/>
          <w:i/>
          <w:sz w:val="24"/>
          <w:szCs w:val="24"/>
        </w:rPr>
      </w:pPr>
      <w:proofErr w:type="gramStart"/>
      <w:r w:rsidRPr="00BF4D72">
        <w:rPr>
          <w:rFonts w:ascii="Times New Roman" w:hAnsi="Times New Roman" w:cs="Times New Roman"/>
          <w:i/>
          <w:sz w:val="24"/>
          <w:szCs w:val="24"/>
        </w:rPr>
        <w:t>par(</w:t>
      </w:r>
      <w:proofErr w:type="spellStart"/>
      <w:proofErr w:type="gramEnd"/>
      <w:r w:rsidRPr="00BF4D72">
        <w:rPr>
          <w:rFonts w:ascii="Times New Roman" w:hAnsi="Times New Roman" w:cs="Times New Roman"/>
          <w:i/>
          <w:sz w:val="24"/>
          <w:szCs w:val="24"/>
        </w:rPr>
        <w:t>mfrow</w:t>
      </w:r>
      <w:proofErr w:type="spellEnd"/>
      <w:r w:rsidRPr="00BF4D72">
        <w:rPr>
          <w:rFonts w:ascii="Times New Roman" w:hAnsi="Times New Roman" w:cs="Times New Roman"/>
          <w:i/>
          <w:sz w:val="24"/>
          <w:szCs w:val="24"/>
        </w:rPr>
        <w:t>=c(1,2))</w:t>
      </w:r>
    </w:p>
    <w:p w:rsidR="00393435" w:rsidRPr="00BF4D72" w:rsidRDefault="00393435" w:rsidP="00BF4D72">
      <w:pPr>
        <w:tabs>
          <w:tab w:val="left" w:pos="8505"/>
        </w:tabs>
        <w:spacing w:after="40" w:line="240" w:lineRule="auto"/>
        <w:rPr>
          <w:rFonts w:ascii="Times New Roman" w:hAnsi="Times New Roman" w:cs="Times New Roman"/>
          <w:i/>
          <w:sz w:val="24"/>
          <w:szCs w:val="24"/>
        </w:rPr>
      </w:pPr>
      <w:r>
        <w:rPr>
          <w:rFonts w:ascii="Times New Roman" w:hAnsi="Times New Roman" w:cs="Times New Roman"/>
          <w:i/>
          <w:sz w:val="24"/>
          <w:szCs w:val="24"/>
        </w:rPr>
        <w:t xml:space="preserve">#Compare to </w:t>
      </w:r>
      <w:proofErr w:type="spellStart"/>
      <w:r>
        <w:rPr>
          <w:rFonts w:ascii="Times New Roman" w:hAnsi="Times New Roman" w:cs="Times New Roman"/>
          <w:i/>
          <w:sz w:val="24"/>
          <w:szCs w:val="24"/>
        </w:rPr>
        <w:t>frequentist</w:t>
      </w:r>
      <w:proofErr w:type="spellEnd"/>
      <w:r>
        <w:rPr>
          <w:rFonts w:ascii="Times New Roman" w:hAnsi="Times New Roman" w:cs="Times New Roman"/>
          <w:i/>
          <w:sz w:val="24"/>
          <w:szCs w:val="24"/>
        </w:rPr>
        <w:t xml:space="preserve"> MR fit</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gramStart"/>
      <w:r w:rsidRPr="00BF4D72">
        <w:rPr>
          <w:rFonts w:ascii="Times New Roman" w:hAnsi="Times New Roman" w:cs="Times New Roman"/>
          <w:i/>
          <w:sz w:val="24"/>
          <w:szCs w:val="24"/>
        </w:rPr>
        <w:t>plot(</w:t>
      </w:r>
      <w:proofErr w:type="gramEnd"/>
      <w:r w:rsidRPr="00BF4D72">
        <w:rPr>
          <w:rFonts w:ascii="Times New Roman" w:hAnsi="Times New Roman" w:cs="Times New Roman"/>
          <w:i/>
          <w:sz w:val="24"/>
          <w:szCs w:val="24"/>
        </w:rPr>
        <w:t>modl1,which=1)</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spellStart"/>
      <w:proofErr w:type="gramStart"/>
      <w:r w:rsidRPr="00BF4D72">
        <w:rPr>
          <w:rFonts w:ascii="Times New Roman" w:hAnsi="Times New Roman" w:cs="Times New Roman"/>
          <w:i/>
          <w:sz w:val="24"/>
          <w:szCs w:val="24"/>
        </w:rPr>
        <w:t>qqnorm</w:t>
      </w:r>
      <w:proofErr w:type="spellEnd"/>
      <w:r w:rsidRPr="00BF4D72">
        <w:rPr>
          <w:rFonts w:ascii="Times New Roman" w:hAnsi="Times New Roman" w:cs="Times New Roman"/>
          <w:i/>
          <w:sz w:val="24"/>
          <w:szCs w:val="24"/>
        </w:rPr>
        <w:t>(</w:t>
      </w:r>
      <w:proofErr w:type="spellStart"/>
      <w:proofErr w:type="gramEnd"/>
      <w:r w:rsidRPr="00BF4D72">
        <w:rPr>
          <w:rFonts w:ascii="Times New Roman" w:hAnsi="Times New Roman" w:cs="Times New Roman"/>
          <w:i/>
          <w:sz w:val="24"/>
          <w:szCs w:val="24"/>
        </w:rPr>
        <w:t>mod.resid</w:t>
      </w:r>
      <w:proofErr w:type="spellEnd"/>
      <w:r w:rsidRPr="00BF4D72">
        <w:rPr>
          <w:rFonts w:ascii="Times New Roman" w:hAnsi="Times New Roman" w:cs="Times New Roman"/>
          <w:i/>
          <w:sz w:val="24"/>
          <w:szCs w:val="24"/>
        </w:rPr>
        <w:t>)</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spellStart"/>
      <w:proofErr w:type="gramStart"/>
      <w:r w:rsidRPr="00BF4D72">
        <w:rPr>
          <w:rFonts w:ascii="Times New Roman" w:hAnsi="Times New Roman" w:cs="Times New Roman"/>
          <w:i/>
          <w:sz w:val="24"/>
          <w:szCs w:val="24"/>
        </w:rPr>
        <w:t>qqline</w:t>
      </w:r>
      <w:proofErr w:type="spellEnd"/>
      <w:r w:rsidRPr="00BF4D72">
        <w:rPr>
          <w:rFonts w:ascii="Times New Roman" w:hAnsi="Times New Roman" w:cs="Times New Roman"/>
          <w:i/>
          <w:sz w:val="24"/>
          <w:szCs w:val="24"/>
        </w:rPr>
        <w:t>(</w:t>
      </w:r>
      <w:proofErr w:type="spellStart"/>
      <w:proofErr w:type="gramEnd"/>
      <w:r w:rsidRPr="00BF4D72">
        <w:rPr>
          <w:rFonts w:ascii="Times New Roman" w:hAnsi="Times New Roman" w:cs="Times New Roman"/>
          <w:i/>
          <w:sz w:val="24"/>
          <w:szCs w:val="24"/>
        </w:rPr>
        <w:t>mod.resid</w:t>
      </w:r>
      <w:proofErr w:type="spellEnd"/>
      <w:r w:rsidRPr="00BF4D72">
        <w:rPr>
          <w:rFonts w:ascii="Times New Roman" w:hAnsi="Times New Roman" w:cs="Times New Roman"/>
          <w:i/>
          <w:sz w:val="24"/>
          <w:szCs w:val="24"/>
        </w:rPr>
        <w:t>)</w:t>
      </w:r>
    </w:p>
    <w:p w:rsidR="00BF4D72" w:rsidRPr="00BF4D72" w:rsidRDefault="00BF4D72" w:rsidP="00BF4D72">
      <w:pPr>
        <w:tabs>
          <w:tab w:val="left" w:pos="8505"/>
        </w:tabs>
        <w:spacing w:after="40" w:line="240" w:lineRule="auto"/>
        <w:rPr>
          <w:rFonts w:ascii="Times New Roman" w:hAnsi="Times New Roman" w:cs="Times New Roman"/>
          <w:i/>
          <w:sz w:val="24"/>
          <w:szCs w:val="24"/>
        </w:rPr>
      </w:pPr>
      <w:proofErr w:type="gramStart"/>
      <w:r w:rsidRPr="00BF4D72">
        <w:rPr>
          <w:rFonts w:ascii="Times New Roman" w:hAnsi="Times New Roman" w:cs="Times New Roman"/>
          <w:i/>
          <w:sz w:val="24"/>
          <w:szCs w:val="24"/>
        </w:rPr>
        <w:t>plot(</w:t>
      </w:r>
      <w:proofErr w:type="gramEnd"/>
      <w:r w:rsidRPr="00BF4D72">
        <w:rPr>
          <w:rFonts w:ascii="Times New Roman" w:hAnsi="Times New Roman" w:cs="Times New Roman"/>
          <w:i/>
          <w:sz w:val="24"/>
          <w:szCs w:val="24"/>
        </w:rPr>
        <w:t>modl1,which=2)</w:t>
      </w:r>
    </w:p>
    <w:p w:rsidR="00BF4D72" w:rsidRPr="00BF4D72" w:rsidRDefault="00BF4D72" w:rsidP="00BF4D72">
      <w:pPr>
        <w:tabs>
          <w:tab w:val="left" w:pos="8505"/>
        </w:tabs>
        <w:spacing w:after="40" w:line="240" w:lineRule="auto"/>
        <w:rPr>
          <w:rFonts w:ascii="Times New Roman" w:hAnsi="Times New Roman" w:cs="Times New Roman"/>
          <w:i/>
          <w:sz w:val="24"/>
          <w:szCs w:val="24"/>
        </w:rPr>
      </w:pPr>
    </w:p>
    <w:p w:rsidR="00393435" w:rsidRDefault="00393435" w:rsidP="00AC172A">
      <w:pPr>
        <w:tabs>
          <w:tab w:val="left" w:pos="8505"/>
        </w:tabs>
        <w:spacing w:after="40" w:line="240" w:lineRule="auto"/>
        <w:rPr>
          <w:rFonts w:ascii="Times New Roman" w:hAnsi="Times New Roman" w:cs="Times New Roman"/>
          <w:i/>
          <w:sz w:val="24"/>
          <w:szCs w:val="24"/>
        </w:rPr>
      </w:pPr>
    </w:p>
    <w:p w:rsidR="00393435" w:rsidRDefault="00393435" w:rsidP="00AC172A">
      <w:pPr>
        <w:tabs>
          <w:tab w:val="left" w:pos="8505"/>
        </w:tabs>
        <w:spacing w:after="40" w:line="240" w:lineRule="auto"/>
        <w:rPr>
          <w:rFonts w:ascii="Times New Roman" w:hAnsi="Times New Roman" w:cs="Times New Roman"/>
          <w:i/>
          <w:sz w:val="24"/>
          <w:szCs w:val="24"/>
        </w:rPr>
      </w:pPr>
    </w:p>
    <w:p w:rsidR="006C681D" w:rsidRPr="001805C8" w:rsidRDefault="00865E42" w:rsidP="00AC172A">
      <w:pPr>
        <w:tabs>
          <w:tab w:val="left" w:pos="8505"/>
        </w:tabs>
        <w:spacing w:after="40" w:line="240" w:lineRule="auto"/>
        <w:rPr>
          <w:rFonts w:ascii="Times New Roman" w:hAnsi="Times New Roman" w:cs="Times New Roman"/>
          <w:i/>
          <w:sz w:val="24"/>
          <w:szCs w:val="24"/>
        </w:rPr>
      </w:pPr>
      <w:bookmarkStart w:id="0" w:name="_GoBack"/>
      <w:bookmarkEnd w:id="0"/>
      <w:r w:rsidRPr="00BF4D72">
        <w:rPr>
          <w:rFonts w:ascii="Times New Roman" w:hAnsi="Times New Roman" w:cs="Times New Roman"/>
          <w:b/>
          <w:i/>
          <w:sz w:val="24"/>
          <w:szCs w:val="24"/>
        </w:rPr>
        <w:tab/>
      </w:r>
      <w:r w:rsidR="0096357A" w:rsidRPr="00BF4D72">
        <w:rPr>
          <w:rFonts w:ascii="Times New Roman" w:hAnsi="Times New Roman" w:cs="Times New Roman"/>
          <w:b/>
          <w:i/>
          <w:sz w:val="24"/>
          <w:szCs w:val="24"/>
        </w:rPr>
        <w:tab/>
      </w:r>
    </w:p>
    <w:p w:rsidR="006C681D" w:rsidRDefault="006C681D" w:rsidP="002E762A">
      <w:pPr>
        <w:spacing w:after="40" w:line="240" w:lineRule="auto"/>
        <w:rPr>
          <w:rFonts w:ascii="Times New Roman" w:hAnsi="Times New Roman" w:cs="Times New Roman"/>
          <w:b/>
          <w:i/>
          <w:sz w:val="24"/>
          <w:szCs w:val="24"/>
        </w:rPr>
      </w:pPr>
      <w:r w:rsidRPr="00E545DA">
        <w:rPr>
          <w:rFonts w:ascii="Times New Roman" w:hAnsi="Times New Roman" w:cs="Times New Roman"/>
          <w:b/>
          <w:i/>
          <w:sz w:val="24"/>
          <w:szCs w:val="24"/>
        </w:rPr>
        <w:lastRenderedPageBreak/>
        <w:t>References</w:t>
      </w:r>
    </w:p>
    <w:p w:rsidR="00BE69DD" w:rsidRPr="00BE69DD" w:rsidRDefault="00BE69DD" w:rsidP="002E762A">
      <w:pPr>
        <w:spacing w:after="40" w:line="240" w:lineRule="auto"/>
        <w:rPr>
          <w:rFonts w:ascii="Times New Roman" w:hAnsi="Times New Roman" w:cs="Times New Roman"/>
          <w:b/>
          <w:i/>
          <w:sz w:val="24"/>
          <w:szCs w:val="24"/>
        </w:rPr>
      </w:pPr>
      <w:proofErr w:type="spellStart"/>
      <w:r w:rsidRPr="00BE69DD">
        <w:rPr>
          <w:rFonts w:ascii="Times New Roman" w:hAnsi="Times New Roman" w:cs="Times New Roman"/>
          <w:color w:val="222222"/>
          <w:sz w:val="24"/>
          <w:szCs w:val="24"/>
          <w:shd w:val="clear" w:color="auto" w:fill="FFFFFF"/>
        </w:rPr>
        <w:t>Angrist</w:t>
      </w:r>
      <w:proofErr w:type="spellEnd"/>
      <w:r w:rsidRPr="00BE69DD">
        <w:rPr>
          <w:rFonts w:ascii="Times New Roman" w:hAnsi="Times New Roman" w:cs="Times New Roman"/>
          <w:color w:val="222222"/>
          <w:sz w:val="24"/>
          <w:szCs w:val="24"/>
          <w:shd w:val="clear" w:color="auto" w:fill="FFFFFF"/>
        </w:rPr>
        <w:t xml:space="preserve">, J. D., &amp; </w:t>
      </w:r>
      <w:proofErr w:type="spellStart"/>
      <w:r w:rsidRPr="00BE69DD">
        <w:rPr>
          <w:rFonts w:ascii="Times New Roman" w:hAnsi="Times New Roman" w:cs="Times New Roman"/>
          <w:color w:val="222222"/>
          <w:sz w:val="24"/>
          <w:szCs w:val="24"/>
          <w:shd w:val="clear" w:color="auto" w:fill="FFFFFF"/>
        </w:rPr>
        <w:t>Lavy</w:t>
      </w:r>
      <w:proofErr w:type="spellEnd"/>
      <w:r w:rsidRPr="00BE69DD">
        <w:rPr>
          <w:rFonts w:ascii="Times New Roman" w:hAnsi="Times New Roman" w:cs="Times New Roman"/>
          <w:color w:val="222222"/>
          <w:sz w:val="24"/>
          <w:szCs w:val="24"/>
          <w:shd w:val="clear" w:color="auto" w:fill="FFFFFF"/>
        </w:rPr>
        <w:t xml:space="preserve">, V. (1999). </w:t>
      </w:r>
      <w:proofErr w:type="gramStart"/>
      <w:r w:rsidRPr="00BE69DD">
        <w:rPr>
          <w:rFonts w:ascii="Times New Roman" w:hAnsi="Times New Roman" w:cs="Times New Roman"/>
          <w:color w:val="222222"/>
          <w:sz w:val="24"/>
          <w:szCs w:val="24"/>
          <w:shd w:val="clear" w:color="auto" w:fill="FFFFFF"/>
        </w:rPr>
        <w:t xml:space="preserve">Using Maimonides' rule to estimate the effect of class size on </w:t>
      </w:r>
      <w:r>
        <w:rPr>
          <w:rFonts w:ascii="Times New Roman" w:hAnsi="Times New Roman" w:cs="Times New Roman"/>
          <w:color w:val="222222"/>
          <w:sz w:val="24"/>
          <w:szCs w:val="24"/>
          <w:shd w:val="clear" w:color="auto" w:fill="FFFFFF"/>
        </w:rPr>
        <w:tab/>
      </w:r>
      <w:r w:rsidRPr="00BE69DD">
        <w:rPr>
          <w:rFonts w:ascii="Times New Roman" w:hAnsi="Times New Roman" w:cs="Times New Roman"/>
          <w:color w:val="222222"/>
          <w:sz w:val="24"/>
          <w:szCs w:val="24"/>
          <w:shd w:val="clear" w:color="auto" w:fill="FFFFFF"/>
        </w:rPr>
        <w:t>scholastic achievement.</w:t>
      </w:r>
      <w:proofErr w:type="gramEnd"/>
      <w:r w:rsidRPr="00BE69DD">
        <w:rPr>
          <w:rStyle w:val="apple-converted-space"/>
          <w:rFonts w:ascii="Times New Roman" w:hAnsi="Times New Roman" w:cs="Times New Roman"/>
          <w:color w:val="222222"/>
          <w:sz w:val="24"/>
          <w:szCs w:val="24"/>
          <w:shd w:val="clear" w:color="auto" w:fill="FFFFFF"/>
        </w:rPr>
        <w:t> </w:t>
      </w:r>
      <w:r w:rsidRPr="00BE69DD">
        <w:rPr>
          <w:rFonts w:ascii="Times New Roman" w:hAnsi="Times New Roman" w:cs="Times New Roman"/>
          <w:i/>
          <w:iCs/>
          <w:color w:val="222222"/>
          <w:sz w:val="24"/>
          <w:szCs w:val="24"/>
          <w:shd w:val="clear" w:color="auto" w:fill="FFFFFF"/>
        </w:rPr>
        <w:t>The Quarterly Journal of Economics</w:t>
      </w:r>
      <w:proofErr w:type="gramStart"/>
      <w:r w:rsidRPr="00BE69DD">
        <w:rPr>
          <w:rFonts w:ascii="Times New Roman" w:hAnsi="Times New Roman" w:cs="Times New Roman"/>
          <w:color w:val="222222"/>
          <w:sz w:val="24"/>
          <w:szCs w:val="24"/>
          <w:shd w:val="clear" w:color="auto" w:fill="FFFFFF"/>
        </w:rPr>
        <w:t>,</w:t>
      </w:r>
      <w:r w:rsidRPr="00BE69DD">
        <w:rPr>
          <w:rFonts w:ascii="Times New Roman" w:hAnsi="Times New Roman" w:cs="Times New Roman"/>
          <w:i/>
          <w:iCs/>
          <w:color w:val="222222"/>
          <w:sz w:val="24"/>
          <w:szCs w:val="24"/>
          <w:shd w:val="clear" w:color="auto" w:fill="FFFFFF"/>
        </w:rPr>
        <w:t>114</w:t>
      </w:r>
      <w:proofErr w:type="gramEnd"/>
      <w:r w:rsidRPr="00BE69DD">
        <w:rPr>
          <w:rFonts w:ascii="Times New Roman" w:hAnsi="Times New Roman" w:cs="Times New Roman"/>
          <w:color w:val="222222"/>
          <w:sz w:val="24"/>
          <w:szCs w:val="24"/>
          <w:shd w:val="clear" w:color="auto" w:fill="FFFFFF"/>
        </w:rPr>
        <w:t>(2), 533-575.</w:t>
      </w:r>
    </w:p>
    <w:p w:rsidR="008C7CAA" w:rsidRPr="00BE69DD" w:rsidRDefault="008C7CAA" w:rsidP="002E762A">
      <w:pPr>
        <w:spacing w:after="40" w:line="240" w:lineRule="auto"/>
        <w:rPr>
          <w:rFonts w:ascii="Times New Roman" w:hAnsi="Times New Roman" w:cs="Times New Roman"/>
          <w:sz w:val="24"/>
          <w:szCs w:val="24"/>
          <w:shd w:val="clear" w:color="auto" w:fill="FFFFFF"/>
        </w:rPr>
      </w:pPr>
      <w:proofErr w:type="spellStart"/>
      <w:proofErr w:type="gramStart"/>
      <w:r w:rsidRPr="00BE69DD">
        <w:rPr>
          <w:rFonts w:ascii="Times New Roman" w:hAnsi="Times New Roman" w:cs="Times New Roman"/>
          <w:sz w:val="24"/>
          <w:szCs w:val="24"/>
          <w:shd w:val="clear" w:color="auto" w:fill="FFFFFF"/>
        </w:rPr>
        <w:t>Balfanz</w:t>
      </w:r>
      <w:proofErr w:type="spellEnd"/>
      <w:r w:rsidRPr="00BE69DD">
        <w:rPr>
          <w:rFonts w:ascii="Times New Roman" w:hAnsi="Times New Roman" w:cs="Times New Roman"/>
          <w:sz w:val="24"/>
          <w:szCs w:val="24"/>
          <w:shd w:val="clear" w:color="auto" w:fill="FFFFFF"/>
        </w:rPr>
        <w:t xml:space="preserve">, R., &amp; </w:t>
      </w:r>
      <w:proofErr w:type="spellStart"/>
      <w:r w:rsidRPr="00BE69DD">
        <w:rPr>
          <w:rFonts w:ascii="Times New Roman" w:hAnsi="Times New Roman" w:cs="Times New Roman"/>
          <w:sz w:val="24"/>
          <w:szCs w:val="24"/>
          <w:shd w:val="clear" w:color="auto" w:fill="FFFFFF"/>
        </w:rPr>
        <w:t>Legters</w:t>
      </w:r>
      <w:proofErr w:type="spellEnd"/>
      <w:r w:rsidRPr="00BE69DD">
        <w:rPr>
          <w:rFonts w:ascii="Times New Roman" w:hAnsi="Times New Roman" w:cs="Times New Roman"/>
          <w:sz w:val="24"/>
          <w:szCs w:val="24"/>
          <w:shd w:val="clear" w:color="auto" w:fill="FFFFFF"/>
        </w:rPr>
        <w:t>, N. (2006).</w:t>
      </w:r>
      <w:proofErr w:type="gramEnd"/>
      <w:r w:rsidRPr="00BE69DD">
        <w:rPr>
          <w:rFonts w:ascii="Times New Roman" w:hAnsi="Times New Roman" w:cs="Times New Roman"/>
          <w:sz w:val="24"/>
          <w:szCs w:val="24"/>
          <w:shd w:val="clear" w:color="auto" w:fill="FFFFFF"/>
        </w:rPr>
        <w:t xml:space="preserve"> </w:t>
      </w:r>
      <w:r w:rsidRPr="00BE69DD">
        <w:rPr>
          <w:rFonts w:ascii="Times New Roman" w:hAnsi="Times New Roman" w:cs="Times New Roman"/>
          <w:i/>
          <w:sz w:val="24"/>
          <w:szCs w:val="24"/>
          <w:shd w:val="clear" w:color="auto" w:fill="FFFFFF"/>
        </w:rPr>
        <w:t xml:space="preserve">The Graduation Rate Crisis We Know and What Can </w:t>
      </w:r>
      <w:proofErr w:type="gramStart"/>
      <w:r w:rsidRPr="00BE69DD">
        <w:rPr>
          <w:rFonts w:ascii="Times New Roman" w:hAnsi="Times New Roman" w:cs="Times New Roman"/>
          <w:i/>
          <w:sz w:val="24"/>
          <w:szCs w:val="24"/>
          <w:shd w:val="clear" w:color="auto" w:fill="FFFFFF"/>
        </w:rPr>
        <w:t>be</w:t>
      </w:r>
      <w:proofErr w:type="gramEnd"/>
      <w:r w:rsidRPr="00BE69DD">
        <w:rPr>
          <w:rFonts w:ascii="Times New Roman" w:hAnsi="Times New Roman" w:cs="Times New Roman"/>
          <w:i/>
          <w:sz w:val="24"/>
          <w:szCs w:val="24"/>
          <w:shd w:val="clear" w:color="auto" w:fill="FFFFFF"/>
        </w:rPr>
        <w:t xml:space="preserve"> Done </w:t>
      </w:r>
      <w:r w:rsidR="008E2756" w:rsidRPr="00BE69DD">
        <w:rPr>
          <w:rFonts w:ascii="Times New Roman" w:hAnsi="Times New Roman" w:cs="Times New Roman"/>
          <w:i/>
          <w:sz w:val="24"/>
          <w:szCs w:val="24"/>
          <w:shd w:val="clear" w:color="auto" w:fill="FFFFFF"/>
        </w:rPr>
        <w:tab/>
      </w:r>
      <w:r w:rsidRPr="00BE69DD">
        <w:rPr>
          <w:rFonts w:ascii="Times New Roman" w:hAnsi="Times New Roman" w:cs="Times New Roman"/>
          <w:i/>
          <w:sz w:val="24"/>
          <w:szCs w:val="24"/>
          <w:shd w:val="clear" w:color="auto" w:fill="FFFFFF"/>
        </w:rPr>
        <w:t>About It Education Week Commentary</w:t>
      </w:r>
      <w:r w:rsidRPr="00BE69DD">
        <w:rPr>
          <w:rFonts w:ascii="Times New Roman" w:hAnsi="Times New Roman" w:cs="Times New Roman"/>
          <w:sz w:val="24"/>
          <w:szCs w:val="24"/>
          <w:shd w:val="clear" w:color="auto" w:fill="FFFFFF"/>
        </w:rPr>
        <w:t>, July 12, 2006</w:t>
      </w:r>
      <w:r w:rsidR="00880B40" w:rsidRPr="00BE69DD">
        <w:rPr>
          <w:rFonts w:ascii="Times New Roman" w:hAnsi="Times New Roman" w:cs="Times New Roman"/>
          <w:sz w:val="24"/>
          <w:szCs w:val="24"/>
          <w:shd w:val="clear" w:color="auto" w:fill="FFFFFF"/>
        </w:rPr>
        <w:t>.</w:t>
      </w:r>
    </w:p>
    <w:p w:rsidR="008E2756" w:rsidRPr="00E545DA" w:rsidRDefault="008E2756" w:rsidP="002E762A">
      <w:pPr>
        <w:spacing w:after="40" w:line="240" w:lineRule="auto"/>
        <w:rPr>
          <w:rFonts w:ascii="Times New Roman" w:hAnsi="Times New Roman" w:cs="Times New Roman"/>
          <w:b/>
          <w:i/>
          <w:sz w:val="24"/>
          <w:szCs w:val="24"/>
        </w:rPr>
      </w:pPr>
      <w:r w:rsidRPr="00BE69DD">
        <w:rPr>
          <w:rFonts w:ascii="Times New Roman" w:hAnsi="Times New Roman" w:cs="Times New Roman"/>
          <w:sz w:val="24"/>
          <w:szCs w:val="24"/>
          <w:shd w:val="clear" w:color="auto" w:fill="FFFFFF"/>
        </w:rPr>
        <w:t>Baker, B. The</w:t>
      </w:r>
      <w:r w:rsidRPr="00E545DA">
        <w:rPr>
          <w:rFonts w:ascii="Times New Roman" w:hAnsi="Times New Roman" w:cs="Times New Roman"/>
          <w:sz w:val="24"/>
          <w:szCs w:val="24"/>
          <w:shd w:val="clear" w:color="auto" w:fill="FFFFFF"/>
        </w:rPr>
        <w:t xml:space="preserve"> Albert </w:t>
      </w:r>
      <w:proofErr w:type="spellStart"/>
      <w:r w:rsidRPr="00E545DA">
        <w:rPr>
          <w:rFonts w:ascii="Times New Roman" w:hAnsi="Times New Roman" w:cs="Times New Roman"/>
          <w:sz w:val="24"/>
          <w:szCs w:val="24"/>
          <w:shd w:val="clear" w:color="auto" w:fill="FFFFFF"/>
        </w:rPr>
        <w:t>Shanker</w:t>
      </w:r>
      <w:proofErr w:type="spellEnd"/>
      <w:r w:rsidRPr="00E545DA">
        <w:rPr>
          <w:rFonts w:ascii="Times New Roman" w:hAnsi="Times New Roman" w:cs="Times New Roman"/>
          <w:sz w:val="24"/>
          <w:szCs w:val="24"/>
          <w:shd w:val="clear" w:color="auto" w:fill="FFFFFF"/>
        </w:rPr>
        <w:t xml:space="preserve"> Institute, (2012).</w:t>
      </w:r>
      <w:r w:rsidRPr="00E545DA">
        <w:rPr>
          <w:rStyle w:val="apple-converted-space"/>
          <w:rFonts w:ascii="Times New Roman" w:hAnsi="Times New Roman" w:cs="Times New Roman"/>
          <w:sz w:val="24"/>
          <w:szCs w:val="24"/>
          <w:shd w:val="clear" w:color="auto" w:fill="FFFFFF"/>
        </w:rPr>
        <w:t> </w:t>
      </w:r>
      <w:r w:rsidRPr="00E545DA">
        <w:rPr>
          <w:rFonts w:ascii="Times New Roman" w:hAnsi="Times New Roman" w:cs="Times New Roman"/>
          <w:i/>
          <w:iCs/>
          <w:sz w:val="24"/>
          <w:szCs w:val="24"/>
          <w:shd w:val="clear" w:color="auto" w:fill="FFFFFF"/>
        </w:rPr>
        <w:t xml:space="preserve">Revisiting the age old question: does money </w:t>
      </w:r>
      <w:r w:rsidRPr="00E545DA">
        <w:rPr>
          <w:rFonts w:ascii="Times New Roman" w:hAnsi="Times New Roman" w:cs="Times New Roman"/>
          <w:i/>
          <w:iCs/>
          <w:sz w:val="24"/>
          <w:szCs w:val="24"/>
          <w:shd w:val="clear" w:color="auto" w:fill="FFFFFF"/>
        </w:rPr>
        <w:tab/>
        <w:t>matter in education</w:t>
      </w:r>
      <w:proofErr w:type="gramStart"/>
      <w:r w:rsidRPr="00E545DA">
        <w:rPr>
          <w:rFonts w:ascii="Times New Roman" w:hAnsi="Times New Roman" w:cs="Times New Roman"/>
          <w:i/>
          <w:iCs/>
          <w:sz w:val="24"/>
          <w:szCs w:val="24"/>
          <w:shd w:val="clear" w:color="auto" w:fill="FFFFFF"/>
        </w:rPr>
        <w:t>?</w:t>
      </w:r>
      <w:r w:rsidRPr="00E545DA">
        <w:rPr>
          <w:rFonts w:ascii="Times New Roman" w:hAnsi="Times New Roman" w:cs="Times New Roman"/>
          <w:sz w:val="24"/>
          <w:szCs w:val="24"/>
          <w:shd w:val="clear" w:color="auto" w:fill="FFFFFF"/>
        </w:rPr>
        <w:t>.</w:t>
      </w:r>
      <w:proofErr w:type="gramEnd"/>
      <w:r w:rsidRPr="00E545DA">
        <w:rPr>
          <w:rFonts w:ascii="Times New Roman" w:hAnsi="Times New Roman" w:cs="Times New Roman"/>
          <w:sz w:val="24"/>
          <w:szCs w:val="24"/>
          <w:shd w:val="clear" w:color="auto" w:fill="FFFFFF"/>
        </w:rPr>
        <w:t xml:space="preserve"> Retrieved from website: </w:t>
      </w:r>
      <w:r w:rsidRPr="00E545DA">
        <w:rPr>
          <w:rFonts w:ascii="Times New Roman" w:hAnsi="Times New Roman" w:cs="Times New Roman"/>
          <w:sz w:val="24"/>
          <w:szCs w:val="24"/>
          <w:shd w:val="clear" w:color="auto" w:fill="FFFFFF"/>
        </w:rPr>
        <w:tab/>
        <w:t>http://www.shankerinstitute.org/images/doesmoneymatter_final.pdf</w:t>
      </w:r>
    </w:p>
    <w:p w:rsidR="000410F3" w:rsidRPr="00E545DA" w:rsidRDefault="000410F3" w:rsidP="002E762A">
      <w:pPr>
        <w:spacing w:after="40" w:line="240" w:lineRule="auto"/>
        <w:rPr>
          <w:rFonts w:ascii="Times New Roman" w:hAnsi="Times New Roman" w:cs="Times New Roman"/>
          <w:sz w:val="24"/>
          <w:szCs w:val="24"/>
          <w:shd w:val="clear" w:color="auto" w:fill="FFFFFF"/>
        </w:rPr>
      </w:pPr>
      <w:proofErr w:type="spellStart"/>
      <w:proofErr w:type="gramStart"/>
      <w:r w:rsidRPr="00E545DA">
        <w:rPr>
          <w:rFonts w:ascii="Times New Roman" w:hAnsi="Times New Roman" w:cs="Times New Roman"/>
          <w:sz w:val="24"/>
          <w:szCs w:val="24"/>
          <w:shd w:val="clear" w:color="auto" w:fill="FFFFFF"/>
        </w:rPr>
        <w:t>Cataldi</w:t>
      </w:r>
      <w:proofErr w:type="spellEnd"/>
      <w:r w:rsidRPr="00E545DA">
        <w:rPr>
          <w:rFonts w:ascii="Times New Roman" w:hAnsi="Times New Roman" w:cs="Times New Roman"/>
          <w:sz w:val="24"/>
          <w:szCs w:val="24"/>
          <w:shd w:val="clear" w:color="auto" w:fill="FFFFFF"/>
        </w:rPr>
        <w:t xml:space="preserve">, E. F., &amp; </w:t>
      </w:r>
      <w:proofErr w:type="spellStart"/>
      <w:r w:rsidRPr="00E545DA">
        <w:rPr>
          <w:rFonts w:ascii="Times New Roman" w:hAnsi="Times New Roman" w:cs="Times New Roman"/>
          <w:sz w:val="24"/>
          <w:szCs w:val="24"/>
          <w:shd w:val="clear" w:color="auto" w:fill="FFFFFF"/>
        </w:rPr>
        <w:t>Kewal</w:t>
      </w:r>
      <w:proofErr w:type="spellEnd"/>
      <w:r w:rsidR="00880B40" w:rsidRPr="00E545DA">
        <w:rPr>
          <w:rFonts w:ascii="Times New Roman" w:hAnsi="Times New Roman" w:cs="Times New Roman"/>
          <w:sz w:val="24"/>
          <w:szCs w:val="24"/>
          <w:shd w:val="clear" w:color="auto" w:fill="FFFFFF"/>
        </w:rPr>
        <w:t xml:space="preserve"> </w:t>
      </w:r>
      <w:proofErr w:type="spellStart"/>
      <w:r w:rsidRPr="00E545DA">
        <w:rPr>
          <w:rFonts w:ascii="Times New Roman" w:hAnsi="Times New Roman" w:cs="Times New Roman"/>
          <w:sz w:val="24"/>
          <w:szCs w:val="24"/>
          <w:shd w:val="clear" w:color="auto" w:fill="FFFFFF"/>
        </w:rPr>
        <w:t>Ramani</w:t>
      </w:r>
      <w:proofErr w:type="spellEnd"/>
      <w:r w:rsidRPr="00E545DA">
        <w:rPr>
          <w:rFonts w:ascii="Times New Roman" w:hAnsi="Times New Roman" w:cs="Times New Roman"/>
          <w:sz w:val="24"/>
          <w:szCs w:val="24"/>
          <w:shd w:val="clear" w:color="auto" w:fill="FFFFFF"/>
        </w:rPr>
        <w:t>, A. (2009).</w:t>
      </w:r>
      <w:proofErr w:type="gramEnd"/>
      <w:r w:rsidRPr="00E545DA">
        <w:rPr>
          <w:rFonts w:ascii="Times New Roman" w:hAnsi="Times New Roman" w:cs="Times New Roman"/>
          <w:sz w:val="24"/>
          <w:szCs w:val="24"/>
          <w:shd w:val="clear" w:color="auto" w:fill="FFFFFF"/>
        </w:rPr>
        <w:t xml:space="preserve"> </w:t>
      </w:r>
      <w:r w:rsidRPr="00E545DA">
        <w:rPr>
          <w:rFonts w:ascii="Times New Roman" w:hAnsi="Times New Roman" w:cs="Times New Roman"/>
          <w:i/>
          <w:sz w:val="24"/>
          <w:szCs w:val="24"/>
          <w:shd w:val="clear" w:color="auto" w:fill="FFFFFF"/>
        </w:rPr>
        <w:t xml:space="preserve">High School Dropout and Completion Rates in the </w:t>
      </w:r>
      <w:r w:rsidR="006C681D" w:rsidRPr="00E545DA">
        <w:rPr>
          <w:rFonts w:ascii="Times New Roman" w:hAnsi="Times New Roman" w:cs="Times New Roman"/>
          <w:i/>
          <w:sz w:val="24"/>
          <w:szCs w:val="24"/>
          <w:shd w:val="clear" w:color="auto" w:fill="FFFFFF"/>
        </w:rPr>
        <w:tab/>
      </w:r>
      <w:r w:rsidRPr="00E545DA">
        <w:rPr>
          <w:rFonts w:ascii="Times New Roman" w:hAnsi="Times New Roman" w:cs="Times New Roman"/>
          <w:i/>
          <w:sz w:val="24"/>
          <w:szCs w:val="24"/>
          <w:shd w:val="clear" w:color="auto" w:fill="FFFFFF"/>
        </w:rPr>
        <w:t xml:space="preserve">United </w:t>
      </w:r>
      <w:r w:rsidR="00B4741E" w:rsidRPr="00E545DA">
        <w:rPr>
          <w:rFonts w:ascii="Times New Roman" w:hAnsi="Times New Roman" w:cs="Times New Roman"/>
          <w:i/>
          <w:sz w:val="24"/>
          <w:szCs w:val="24"/>
          <w:shd w:val="clear" w:color="auto" w:fill="FFFFFF"/>
        </w:rPr>
        <w:tab/>
      </w:r>
      <w:r w:rsidRPr="00E545DA">
        <w:rPr>
          <w:rFonts w:ascii="Times New Roman" w:hAnsi="Times New Roman" w:cs="Times New Roman"/>
          <w:i/>
          <w:sz w:val="24"/>
          <w:szCs w:val="24"/>
          <w:shd w:val="clear" w:color="auto" w:fill="FFFFFF"/>
        </w:rPr>
        <w:t>States: 2007 Compendium Report</w:t>
      </w:r>
      <w:r w:rsidRPr="00E545DA">
        <w:rPr>
          <w:rFonts w:ascii="Times New Roman" w:hAnsi="Times New Roman" w:cs="Times New Roman"/>
          <w:sz w:val="24"/>
          <w:szCs w:val="24"/>
          <w:shd w:val="clear" w:color="auto" w:fill="FFFFFF"/>
        </w:rPr>
        <w:t xml:space="preserve">. </w:t>
      </w:r>
      <w:proofErr w:type="gramStart"/>
      <w:r w:rsidRPr="00E545DA">
        <w:rPr>
          <w:rFonts w:ascii="Times New Roman" w:hAnsi="Times New Roman" w:cs="Times New Roman"/>
          <w:sz w:val="24"/>
          <w:szCs w:val="24"/>
          <w:shd w:val="clear" w:color="auto" w:fill="FFFFFF"/>
        </w:rPr>
        <w:t>NCES 2009-064.</w:t>
      </w:r>
      <w:r w:rsidRPr="00E545DA">
        <w:rPr>
          <w:rFonts w:ascii="Times New Roman" w:hAnsi="Times New Roman" w:cs="Times New Roman"/>
          <w:iCs/>
          <w:sz w:val="24"/>
          <w:szCs w:val="24"/>
          <w:shd w:val="clear" w:color="auto" w:fill="FFFFFF"/>
        </w:rPr>
        <w:t xml:space="preserve">National Center for </w:t>
      </w:r>
      <w:r w:rsidR="006C681D" w:rsidRPr="00E545DA">
        <w:rPr>
          <w:rFonts w:ascii="Times New Roman" w:hAnsi="Times New Roman" w:cs="Times New Roman"/>
          <w:iCs/>
          <w:sz w:val="24"/>
          <w:szCs w:val="24"/>
          <w:shd w:val="clear" w:color="auto" w:fill="FFFFFF"/>
        </w:rPr>
        <w:tab/>
      </w:r>
      <w:r w:rsidRPr="00E545DA">
        <w:rPr>
          <w:rFonts w:ascii="Times New Roman" w:hAnsi="Times New Roman" w:cs="Times New Roman"/>
          <w:iCs/>
          <w:sz w:val="24"/>
          <w:szCs w:val="24"/>
          <w:shd w:val="clear" w:color="auto" w:fill="FFFFFF"/>
        </w:rPr>
        <w:t>Education Statistics</w:t>
      </w:r>
      <w:r w:rsidRPr="00E545DA">
        <w:rPr>
          <w:rFonts w:ascii="Times New Roman" w:hAnsi="Times New Roman" w:cs="Times New Roman"/>
          <w:sz w:val="24"/>
          <w:szCs w:val="24"/>
          <w:shd w:val="clear" w:color="auto" w:fill="FFFFFF"/>
        </w:rPr>
        <w:t>.</w:t>
      </w:r>
      <w:proofErr w:type="gramEnd"/>
    </w:p>
    <w:p w:rsidR="00A2326E" w:rsidRPr="00E545DA" w:rsidRDefault="00B4741E" w:rsidP="008C428D">
      <w:pPr>
        <w:spacing w:after="40" w:line="240" w:lineRule="auto"/>
        <w:rPr>
          <w:rFonts w:ascii="Times New Roman" w:hAnsi="Times New Roman" w:cs="Times New Roman"/>
          <w:sz w:val="24"/>
          <w:szCs w:val="24"/>
          <w:shd w:val="clear" w:color="auto" w:fill="FFFFFF"/>
        </w:rPr>
      </w:pPr>
      <w:proofErr w:type="gramStart"/>
      <w:r w:rsidRPr="00E545DA">
        <w:rPr>
          <w:rFonts w:ascii="Times New Roman" w:hAnsi="Times New Roman" w:cs="Times New Roman"/>
          <w:sz w:val="24"/>
          <w:szCs w:val="24"/>
          <w:shd w:val="clear" w:color="auto" w:fill="FFFFFF"/>
        </w:rPr>
        <w:t xml:space="preserve">Chapman, C., Laird, J., &amp; </w:t>
      </w:r>
      <w:proofErr w:type="spellStart"/>
      <w:r w:rsidRPr="00E545DA">
        <w:rPr>
          <w:rFonts w:ascii="Times New Roman" w:hAnsi="Times New Roman" w:cs="Times New Roman"/>
          <w:sz w:val="24"/>
          <w:szCs w:val="24"/>
          <w:shd w:val="clear" w:color="auto" w:fill="FFFFFF"/>
        </w:rPr>
        <w:t>KewalRamani</w:t>
      </w:r>
      <w:proofErr w:type="spellEnd"/>
      <w:r w:rsidRPr="00E545DA">
        <w:rPr>
          <w:rFonts w:ascii="Times New Roman" w:hAnsi="Times New Roman" w:cs="Times New Roman"/>
          <w:sz w:val="24"/>
          <w:szCs w:val="24"/>
          <w:shd w:val="clear" w:color="auto" w:fill="FFFFFF"/>
        </w:rPr>
        <w:t>, A. (2013).</w:t>
      </w:r>
      <w:proofErr w:type="gramEnd"/>
      <w:r w:rsidRPr="00E545DA">
        <w:rPr>
          <w:rStyle w:val="apple-converted-space"/>
          <w:rFonts w:ascii="Times New Roman" w:hAnsi="Times New Roman" w:cs="Times New Roman"/>
          <w:sz w:val="24"/>
          <w:szCs w:val="24"/>
          <w:shd w:val="clear" w:color="auto" w:fill="FFFFFF"/>
        </w:rPr>
        <w:t> </w:t>
      </w:r>
      <w:r w:rsidRPr="00E545DA">
        <w:rPr>
          <w:rFonts w:ascii="Times New Roman" w:hAnsi="Times New Roman" w:cs="Times New Roman"/>
          <w:i/>
          <w:iCs/>
          <w:sz w:val="24"/>
          <w:szCs w:val="24"/>
          <w:shd w:val="clear" w:color="auto" w:fill="FFFFFF"/>
        </w:rPr>
        <w:t xml:space="preserve">Trends in high school dropout and </w:t>
      </w:r>
      <w:r w:rsidR="006C681D" w:rsidRPr="00E545DA">
        <w:rPr>
          <w:rFonts w:ascii="Times New Roman" w:hAnsi="Times New Roman" w:cs="Times New Roman"/>
          <w:i/>
          <w:iCs/>
          <w:sz w:val="24"/>
          <w:szCs w:val="24"/>
          <w:shd w:val="clear" w:color="auto" w:fill="FFFFFF"/>
        </w:rPr>
        <w:tab/>
      </w:r>
      <w:r w:rsidRPr="00E545DA">
        <w:rPr>
          <w:rFonts w:ascii="Times New Roman" w:hAnsi="Times New Roman" w:cs="Times New Roman"/>
          <w:i/>
          <w:iCs/>
          <w:sz w:val="24"/>
          <w:szCs w:val="24"/>
          <w:shd w:val="clear" w:color="auto" w:fill="FFFFFF"/>
        </w:rPr>
        <w:t>completion rates in the United States: 1972-2009</w:t>
      </w:r>
      <w:r w:rsidRPr="00E545DA">
        <w:rPr>
          <w:rFonts w:ascii="Times New Roman" w:hAnsi="Times New Roman" w:cs="Times New Roman"/>
          <w:sz w:val="24"/>
          <w:szCs w:val="24"/>
          <w:shd w:val="clear" w:color="auto" w:fill="FFFFFF"/>
        </w:rPr>
        <w:t xml:space="preserve">. </w:t>
      </w:r>
      <w:proofErr w:type="spellStart"/>
      <w:proofErr w:type="gramStart"/>
      <w:r w:rsidRPr="00E545DA">
        <w:rPr>
          <w:rFonts w:ascii="Times New Roman" w:hAnsi="Times New Roman" w:cs="Times New Roman"/>
          <w:sz w:val="24"/>
          <w:szCs w:val="24"/>
          <w:shd w:val="clear" w:color="auto" w:fill="FFFFFF"/>
        </w:rPr>
        <w:t>BiblioGov</w:t>
      </w:r>
      <w:proofErr w:type="spellEnd"/>
      <w:r w:rsidR="00E545DA" w:rsidRPr="00E545DA">
        <w:rPr>
          <w:rFonts w:ascii="Times New Roman" w:hAnsi="Times New Roman" w:cs="Times New Roman"/>
          <w:sz w:val="24"/>
          <w:szCs w:val="24"/>
          <w:shd w:val="clear" w:color="auto" w:fill="FFFFFF"/>
        </w:rPr>
        <w:t>.</w:t>
      </w:r>
      <w:proofErr w:type="gramEnd"/>
    </w:p>
    <w:p w:rsidR="00E545DA" w:rsidRPr="00527B10" w:rsidRDefault="00E545DA" w:rsidP="008C428D">
      <w:pPr>
        <w:spacing w:after="40" w:line="240" w:lineRule="auto"/>
        <w:rPr>
          <w:rFonts w:ascii="Times New Roman" w:hAnsi="Times New Roman" w:cs="Times New Roman"/>
          <w:sz w:val="24"/>
          <w:szCs w:val="24"/>
          <w:shd w:val="clear" w:color="auto" w:fill="FFFFFF"/>
        </w:rPr>
      </w:pPr>
      <w:proofErr w:type="spellStart"/>
      <w:proofErr w:type="gramStart"/>
      <w:r w:rsidRPr="00527B10">
        <w:rPr>
          <w:rFonts w:ascii="Times New Roman" w:hAnsi="Times New Roman" w:cs="Times New Roman"/>
          <w:sz w:val="24"/>
          <w:szCs w:val="24"/>
          <w:shd w:val="clear" w:color="auto" w:fill="FFFFFF"/>
        </w:rPr>
        <w:t>Eide</w:t>
      </w:r>
      <w:proofErr w:type="spellEnd"/>
      <w:r w:rsidRPr="00527B10">
        <w:rPr>
          <w:rFonts w:ascii="Times New Roman" w:hAnsi="Times New Roman" w:cs="Times New Roman"/>
          <w:sz w:val="24"/>
          <w:szCs w:val="24"/>
          <w:shd w:val="clear" w:color="auto" w:fill="FFFFFF"/>
        </w:rPr>
        <w:t>, E., &amp; Showalter, M. H. (1998).</w:t>
      </w:r>
      <w:proofErr w:type="gramEnd"/>
      <w:r w:rsidRPr="00527B10">
        <w:rPr>
          <w:rFonts w:ascii="Times New Roman" w:hAnsi="Times New Roman" w:cs="Times New Roman"/>
          <w:sz w:val="24"/>
          <w:szCs w:val="24"/>
          <w:shd w:val="clear" w:color="auto" w:fill="FFFFFF"/>
        </w:rPr>
        <w:t xml:space="preserve"> The effect of school quality on student performance: A </w:t>
      </w:r>
      <w:r w:rsidRPr="00527B10">
        <w:rPr>
          <w:rFonts w:ascii="Times New Roman" w:hAnsi="Times New Roman" w:cs="Times New Roman"/>
          <w:sz w:val="24"/>
          <w:szCs w:val="24"/>
          <w:shd w:val="clear" w:color="auto" w:fill="FFFFFF"/>
        </w:rPr>
        <w:tab/>
      </w:r>
      <w:proofErr w:type="spellStart"/>
      <w:r w:rsidRPr="00527B10">
        <w:rPr>
          <w:rFonts w:ascii="Times New Roman" w:hAnsi="Times New Roman" w:cs="Times New Roman"/>
          <w:sz w:val="24"/>
          <w:szCs w:val="24"/>
          <w:shd w:val="clear" w:color="auto" w:fill="FFFFFF"/>
        </w:rPr>
        <w:t>quantile</w:t>
      </w:r>
      <w:proofErr w:type="spellEnd"/>
      <w:r w:rsidRPr="00527B10">
        <w:rPr>
          <w:rFonts w:ascii="Times New Roman" w:hAnsi="Times New Roman" w:cs="Times New Roman"/>
          <w:sz w:val="24"/>
          <w:szCs w:val="24"/>
          <w:shd w:val="clear" w:color="auto" w:fill="FFFFFF"/>
        </w:rPr>
        <w:t xml:space="preserve"> regression approach.</w:t>
      </w:r>
      <w:r w:rsidRPr="00527B10">
        <w:rPr>
          <w:rStyle w:val="apple-converted-space"/>
          <w:rFonts w:ascii="Times New Roman" w:hAnsi="Times New Roman" w:cs="Times New Roman"/>
          <w:sz w:val="24"/>
          <w:szCs w:val="24"/>
          <w:shd w:val="clear" w:color="auto" w:fill="FFFFFF"/>
        </w:rPr>
        <w:t> </w:t>
      </w:r>
      <w:r w:rsidRPr="00527B10">
        <w:rPr>
          <w:rFonts w:ascii="Times New Roman" w:hAnsi="Times New Roman" w:cs="Times New Roman"/>
          <w:i/>
          <w:iCs/>
          <w:sz w:val="24"/>
          <w:szCs w:val="24"/>
          <w:shd w:val="clear" w:color="auto" w:fill="FFFFFF"/>
        </w:rPr>
        <w:t>Economics Letters</w:t>
      </w:r>
      <w:r w:rsidRPr="00527B10">
        <w:rPr>
          <w:rFonts w:ascii="Times New Roman" w:hAnsi="Times New Roman" w:cs="Times New Roman"/>
          <w:sz w:val="24"/>
          <w:szCs w:val="24"/>
          <w:shd w:val="clear" w:color="auto" w:fill="FFFFFF"/>
        </w:rPr>
        <w:t>,</w:t>
      </w:r>
      <w:r w:rsidRPr="00527B10">
        <w:rPr>
          <w:rStyle w:val="apple-converted-space"/>
          <w:rFonts w:ascii="Times New Roman" w:hAnsi="Times New Roman" w:cs="Times New Roman"/>
          <w:sz w:val="24"/>
          <w:szCs w:val="24"/>
          <w:shd w:val="clear" w:color="auto" w:fill="FFFFFF"/>
        </w:rPr>
        <w:t> </w:t>
      </w:r>
      <w:r w:rsidRPr="00527B10">
        <w:rPr>
          <w:rFonts w:ascii="Times New Roman" w:hAnsi="Times New Roman" w:cs="Times New Roman"/>
          <w:i/>
          <w:iCs/>
          <w:sz w:val="24"/>
          <w:szCs w:val="24"/>
          <w:shd w:val="clear" w:color="auto" w:fill="FFFFFF"/>
        </w:rPr>
        <w:t>58</w:t>
      </w:r>
      <w:r w:rsidRPr="00527B10">
        <w:rPr>
          <w:rFonts w:ascii="Times New Roman" w:hAnsi="Times New Roman" w:cs="Times New Roman"/>
          <w:sz w:val="24"/>
          <w:szCs w:val="24"/>
          <w:shd w:val="clear" w:color="auto" w:fill="FFFFFF"/>
        </w:rPr>
        <w:t>(3), 345-350.</w:t>
      </w:r>
    </w:p>
    <w:p w:rsidR="00527B10" w:rsidRPr="00527B10" w:rsidRDefault="00527B10" w:rsidP="008C428D">
      <w:pPr>
        <w:spacing w:after="40" w:line="240" w:lineRule="auto"/>
        <w:rPr>
          <w:rFonts w:ascii="Times New Roman" w:hAnsi="Times New Roman" w:cs="Times New Roman"/>
          <w:sz w:val="24"/>
          <w:szCs w:val="24"/>
          <w:shd w:val="clear" w:color="auto" w:fill="FFFFFF"/>
        </w:rPr>
      </w:pPr>
      <w:proofErr w:type="spellStart"/>
      <w:r w:rsidRPr="00527B10">
        <w:rPr>
          <w:rFonts w:ascii="Times New Roman" w:hAnsi="Times New Roman" w:cs="Times New Roman"/>
          <w:color w:val="222222"/>
          <w:sz w:val="24"/>
          <w:szCs w:val="24"/>
          <w:shd w:val="clear" w:color="auto" w:fill="FFFFFF"/>
        </w:rPr>
        <w:t>Gelman</w:t>
      </w:r>
      <w:proofErr w:type="spellEnd"/>
      <w:r w:rsidRPr="00527B10">
        <w:rPr>
          <w:rFonts w:ascii="Times New Roman" w:hAnsi="Times New Roman" w:cs="Times New Roman"/>
          <w:color w:val="222222"/>
          <w:sz w:val="24"/>
          <w:szCs w:val="24"/>
          <w:shd w:val="clear" w:color="auto" w:fill="FFFFFF"/>
        </w:rPr>
        <w:t xml:space="preserve">, A. (2006). Prior distributions for variance parameters in hierarchical models (comment </w:t>
      </w:r>
      <w:r>
        <w:rPr>
          <w:rFonts w:ascii="Times New Roman" w:hAnsi="Times New Roman" w:cs="Times New Roman"/>
          <w:color w:val="222222"/>
          <w:sz w:val="24"/>
          <w:szCs w:val="24"/>
          <w:shd w:val="clear" w:color="auto" w:fill="FFFFFF"/>
        </w:rPr>
        <w:tab/>
      </w:r>
      <w:r w:rsidRPr="00527B10">
        <w:rPr>
          <w:rFonts w:ascii="Times New Roman" w:hAnsi="Times New Roman" w:cs="Times New Roman"/>
          <w:color w:val="222222"/>
          <w:sz w:val="24"/>
          <w:szCs w:val="24"/>
          <w:shd w:val="clear" w:color="auto" w:fill="FFFFFF"/>
        </w:rPr>
        <w:t>on article by Browne and Draper).</w:t>
      </w:r>
      <w:r w:rsidRPr="00527B10">
        <w:rPr>
          <w:rStyle w:val="apple-converted-space"/>
          <w:rFonts w:ascii="Times New Roman" w:hAnsi="Times New Roman" w:cs="Times New Roman"/>
          <w:color w:val="222222"/>
          <w:sz w:val="24"/>
          <w:szCs w:val="24"/>
          <w:shd w:val="clear" w:color="auto" w:fill="FFFFFF"/>
        </w:rPr>
        <w:t> </w:t>
      </w:r>
      <w:proofErr w:type="gramStart"/>
      <w:r w:rsidRPr="00527B10">
        <w:rPr>
          <w:rFonts w:ascii="Times New Roman" w:hAnsi="Times New Roman" w:cs="Times New Roman"/>
          <w:i/>
          <w:iCs/>
          <w:color w:val="222222"/>
          <w:sz w:val="24"/>
          <w:szCs w:val="24"/>
          <w:shd w:val="clear" w:color="auto" w:fill="FFFFFF"/>
        </w:rPr>
        <w:t>Bayesian analysis</w:t>
      </w:r>
      <w:r w:rsidRPr="00527B10">
        <w:rPr>
          <w:rFonts w:ascii="Times New Roman" w:hAnsi="Times New Roman" w:cs="Times New Roman"/>
          <w:color w:val="222222"/>
          <w:sz w:val="24"/>
          <w:szCs w:val="24"/>
          <w:shd w:val="clear" w:color="auto" w:fill="FFFFFF"/>
        </w:rPr>
        <w:t>,</w:t>
      </w:r>
      <w:r w:rsidRPr="00527B10">
        <w:rPr>
          <w:rStyle w:val="apple-converted-space"/>
          <w:rFonts w:ascii="Times New Roman" w:hAnsi="Times New Roman" w:cs="Times New Roman"/>
          <w:color w:val="222222"/>
          <w:sz w:val="24"/>
          <w:szCs w:val="24"/>
          <w:shd w:val="clear" w:color="auto" w:fill="FFFFFF"/>
        </w:rPr>
        <w:t> </w:t>
      </w:r>
      <w:r w:rsidRPr="00527B10">
        <w:rPr>
          <w:rFonts w:ascii="Times New Roman" w:hAnsi="Times New Roman" w:cs="Times New Roman"/>
          <w:i/>
          <w:iCs/>
          <w:color w:val="222222"/>
          <w:sz w:val="24"/>
          <w:szCs w:val="24"/>
          <w:shd w:val="clear" w:color="auto" w:fill="FFFFFF"/>
        </w:rPr>
        <w:t>1</w:t>
      </w:r>
      <w:r w:rsidRPr="00527B10">
        <w:rPr>
          <w:rFonts w:ascii="Times New Roman" w:hAnsi="Times New Roman" w:cs="Times New Roman"/>
          <w:color w:val="222222"/>
          <w:sz w:val="24"/>
          <w:szCs w:val="24"/>
          <w:shd w:val="clear" w:color="auto" w:fill="FFFFFF"/>
        </w:rPr>
        <w:t>(3), 515-534.</w:t>
      </w:r>
      <w:proofErr w:type="gramEnd"/>
    </w:p>
    <w:p w:rsidR="00B4741E" w:rsidRPr="00527B10" w:rsidRDefault="00B4741E" w:rsidP="008C428D">
      <w:pPr>
        <w:spacing w:after="40" w:line="240" w:lineRule="auto"/>
        <w:rPr>
          <w:rFonts w:ascii="Times New Roman" w:hAnsi="Times New Roman" w:cs="Times New Roman"/>
          <w:sz w:val="24"/>
          <w:szCs w:val="24"/>
          <w:shd w:val="clear" w:color="auto" w:fill="FFFFFF"/>
        </w:rPr>
      </w:pPr>
      <w:r w:rsidRPr="00527B10">
        <w:rPr>
          <w:rFonts w:ascii="Times New Roman" w:hAnsi="Times New Roman" w:cs="Times New Roman"/>
          <w:sz w:val="24"/>
          <w:szCs w:val="24"/>
          <w:shd w:val="clear" w:color="auto" w:fill="FFFFFF"/>
        </w:rPr>
        <w:t xml:space="preserve">Greene, J. P., &amp; </w:t>
      </w:r>
      <w:proofErr w:type="gramStart"/>
      <w:r w:rsidRPr="00527B10">
        <w:rPr>
          <w:rFonts w:ascii="Times New Roman" w:hAnsi="Times New Roman" w:cs="Times New Roman"/>
          <w:sz w:val="24"/>
          <w:szCs w:val="24"/>
          <w:shd w:val="clear" w:color="auto" w:fill="FFFFFF"/>
        </w:rPr>
        <w:t>Winters</w:t>
      </w:r>
      <w:proofErr w:type="gramEnd"/>
      <w:r w:rsidRPr="00527B10">
        <w:rPr>
          <w:rFonts w:ascii="Times New Roman" w:hAnsi="Times New Roman" w:cs="Times New Roman"/>
          <w:sz w:val="24"/>
          <w:szCs w:val="24"/>
          <w:shd w:val="clear" w:color="auto" w:fill="FFFFFF"/>
        </w:rPr>
        <w:t>, M. A. (2001).</w:t>
      </w:r>
      <w:r w:rsidRPr="00527B10">
        <w:rPr>
          <w:rStyle w:val="apple-converted-space"/>
          <w:rFonts w:ascii="Times New Roman" w:hAnsi="Times New Roman" w:cs="Times New Roman"/>
          <w:sz w:val="24"/>
          <w:szCs w:val="24"/>
          <w:shd w:val="clear" w:color="auto" w:fill="FFFFFF"/>
        </w:rPr>
        <w:t> </w:t>
      </w:r>
      <w:r w:rsidRPr="00527B10">
        <w:rPr>
          <w:rFonts w:ascii="Times New Roman" w:hAnsi="Times New Roman" w:cs="Times New Roman"/>
          <w:i/>
          <w:iCs/>
          <w:sz w:val="24"/>
          <w:szCs w:val="24"/>
          <w:shd w:val="clear" w:color="auto" w:fill="FFFFFF"/>
        </w:rPr>
        <w:t>High school graduation rates in the United States</w:t>
      </w:r>
      <w:r w:rsidRPr="00527B10">
        <w:rPr>
          <w:rFonts w:ascii="Times New Roman" w:hAnsi="Times New Roman" w:cs="Times New Roman"/>
          <w:sz w:val="24"/>
          <w:szCs w:val="24"/>
          <w:shd w:val="clear" w:color="auto" w:fill="FFFFFF"/>
        </w:rPr>
        <w:t xml:space="preserve">. </w:t>
      </w:r>
      <w:proofErr w:type="gramStart"/>
      <w:r w:rsidRPr="00527B10">
        <w:rPr>
          <w:rFonts w:ascii="Times New Roman" w:hAnsi="Times New Roman" w:cs="Times New Roman"/>
          <w:sz w:val="24"/>
          <w:szCs w:val="24"/>
          <w:shd w:val="clear" w:color="auto" w:fill="FFFFFF"/>
        </w:rPr>
        <w:t xml:space="preserve">Black </w:t>
      </w:r>
      <w:r w:rsidR="006C681D" w:rsidRPr="00527B10">
        <w:rPr>
          <w:rFonts w:ascii="Times New Roman" w:hAnsi="Times New Roman" w:cs="Times New Roman"/>
          <w:sz w:val="24"/>
          <w:szCs w:val="24"/>
          <w:shd w:val="clear" w:color="auto" w:fill="FFFFFF"/>
        </w:rPr>
        <w:tab/>
      </w:r>
      <w:r w:rsidRPr="00527B10">
        <w:rPr>
          <w:rFonts w:ascii="Times New Roman" w:hAnsi="Times New Roman" w:cs="Times New Roman"/>
          <w:sz w:val="24"/>
          <w:szCs w:val="24"/>
          <w:shd w:val="clear" w:color="auto" w:fill="FFFFFF"/>
        </w:rPr>
        <w:t>Alliance for Educational Options.</w:t>
      </w:r>
      <w:proofErr w:type="gramEnd"/>
    </w:p>
    <w:p w:rsidR="00E545DA" w:rsidRPr="00527B10" w:rsidRDefault="00E545DA" w:rsidP="008C428D">
      <w:pPr>
        <w:spacing w:after="40" w:line="240" w:lineRule="auto"/>
        <w:rPr>
          <w:rFonts w:ascii="Times New Roman" w:hAnsi="Times New Roman" w:cs="Times New Roman"/>
          <w:sz w:val="24"/>
          <w:szCs w:val="24"/>
          <w:shd w:val="clear" w:color="auto" w:fill="FFFFFF"/>
        </w:rPr>
      </w:pPr>
      <w:proofErr w:type="spellStart"/>
      <w:r w:rsidRPr="00527B10">
        <w:rPr>
          <w:rFonts w:ascii="Times New Roman" w:hAnsi="Times New Roman" w:cs="Times New Roman"/>
          <w:sz w:val="24"/>
          <w:szCs w:val="24"/>
          <w:shd w:val="clear" w:color="auto" w:fill="FFFFFF"/>
        </w:rPr>
        <w:t>Hanushek</w:t>
      </w:r>
      <w:proofErr w:type="spellEnd"/>
      <w:r w:rsidRPr="00527B10">
        <w:rPr>
          <w:rFonts w:ascii="Times New Roman" w:hAnsi="Times New Roman" w:cs="Times New Roman"/>
          <w:sz w:val="24"/>
          <w:szCs w:val="24"/>
          <w:shd w:val="clear" w:color="auto" w:fill="FFFFFF"/>
        </w:rPr>
        <w:t xml:space="preserve">, E. A. (1996). </w:t>
      </w:r>
      <w:proofErr w:type="gramStart"/>
      <w:r w:rsidRPr="00527B10">
        <w:rPr>
          <w:rFonts w:ascii="Times New Roman" w:hAnsi="Times New Roman" w:cs="Times New Roman"/>
          <w:sz w:val="24"/>
          <w:szCs w:val="24"/>
          <w:shd w:val="clear" w:color="auto" w:fill="FFFFFF"/>
        </w:rPr>
        <w:t>School resources and student performance.</w:t>
      </w:r>
      <w:proofErr w:type="gramEnd"/>
      <w:r w:rsidRPr="00527B10">
        <w:rPr>
          <w:rStyle w:val="apple-converted-space"/>
          <w:rFonts w:ascii="Times New Roman" w:hAnsi="Times New Roman" w:cs="Times New Roman"/>
          <w:sz w:val="24"/>
          <w:szCs w:val="24"/>
          <w:shd w:val="clear" w:color="auto" w:fill="FFFFFF"/>
        </w:rPr>
        <w:t> </w:t>
      </w:r>
      <w:r w:rsidRPr="00527B10">
        <w:rPr>
          <w:rFonts w:ascii="Times New Roman" w:hAnsi="Times New Roman" w:cs="Times New Roman"/>
          <w:i/>
          <w:iCs/>
          <w:sz w:val="24"/>
          <w:szCs w:val="24"/>
          <w:shd w:val="clear" w:color="auto" w:fill="FFFFFF"/>
        </w:rPr>
        <w:t>Does money matter</w:t>
      </w:r>
      <w:r w:rsidRPr="00527B10">
        <w:rPr>
          <w:rFonts w:ascii="Times New Roman" w:hAnsi="Times New Roman" w:cs="Times New Roman"/>
          <w:sz w:val="24"/>
          <w:szCs w:val="24"/>
          <w:shd w:val="clear" w:color="auto" w:fill="FFFFFF"/>
        </w:rPr>
        <w:t>, 43-73</w:t>
      </w:r>
    </w:p>
    <w:p w:rsidR="00A2326E" w:rsidRPr="00F8703E" w:rsidRDefault="00A2326E" w:rsidP="008C428D">
      <w:pPr>
        <w:spacing w:after="40" w:line="240" w:lineRule="auto"/>
        <w:rPr>
          <w:rFonts w:ascii="Times New Roman" w:hAnsi="Times New Roman" w:cs="Times New Roman"/>
          <w:sz w:val="24"/>
          <w:szCs w:val="24"/>
          <w:shd w:val="clear" w:color="auto" w:fill="FFFFFF"/>
        </w:rPr>
      </w:pPr>
      <w:proofErr w:type="spellStart"/>
      <w:proofErr w:type="gramStart"/>
      <w:r w:rsidRPr="00527B10">
        <w:rPr>
          <w:rFonts w:ascii="Times New Roman" w:hAnsi="Times New Roman" w:cs="Times New Roman"/>
          <w:sz w:val="24"/>
          <w:szCs w:val="24"/>
          <w:shd w:val="clear" w:color="auto" w:fill="FFFFFF"/>
        </w:rPr>
        <w:t>Kabaker</w:t>
      </w:r>
      <w:proofErr w:type="spellEnd"/>
      <w:r w:rsidRPr="00527B10">
        <w:rPr>
          <w:rFonts w:ascii="Times New Roman" w:hAnsi="Times New Roman" w:cs="Times New Roman"/>
          <w:sz w:val="24"/>
          <w:szCs w:val="24"/>
          <w:shd w:val="clear" w:color="auto" w:fill="FFFFFF"/>
        </w:rPr>
        <w:t>, J. (2010, 09).</w:t>
      </w:r>
      <w:proofErr w:type="gramEnd"/>
      <w:r w:rsidRPr="00527B10">
        <w:rPr>
          <w:rStyle w:val="apple-converted-space"/>
          <w:rFonts w:ascii="Times New Roman" w:hAnsi="Times New Roman" w:cs="Times New Roman"/>
          <w:sz w:val="24"/>
          <w:szCs w:val="24"/>
          <w:shd w:val="clear" w:color="auto" w:fill="FFFFFF"/>
        </w:rPr>
        <w:t> </w:t>
      </w:r>
      <w:proofErr w:type="gramStart"/>
      <w:r w:rsidRPr="00527B10">
        <w:rPr>
          <w:rFonts w:ascii="Times New Roman" w:hAnsi="Times New Roman" w:cs="Times New Roman"/>
          <w:i/>
          <w:iCs/>
          <w:sz w:val="24"/>
          <w:szCs w:val="24"/>
          <w:shd w:val="clear" w:color="auto" w:fill="FFFFFF"/>
        </w:rPr>
        <w:t xml:space="preserve">Examining the data: State per pupil expenditures and state graduation </w:t>
      </w:r>
      <w:r w:rsidRPr="00527B10">
        <w:rPr>
          <w:rFonts w:ascii="Times New Roman" w:hAnsi="Times New Roman" w:cs="Times New Roman"/>
          <w:i/>
          <w:iCs/>
          <w:sz w:val="24"/>
          <w:szCs w:val="24"/>
          <w:shd w:val="clear" w:color="auto" w:fill="FFFFFF"/>
        </w:rPr>
        <w:tab/>
        <w:t>rates</w:t>
      </w:r>
      <w:r w:rsidRPr="00527B10">
        <w:rPr>
          <w:rFonts w:ascii="Times New Roman" w:hAnsi="Times New Roman" w:cs="Times New Roman"/>
          <w:sz w:val="24"/>
          <w:szCs w:val="24"/>
          <w:shd w:val="clear" w:color="auto" w:fill="FFFFFF"/>
        </w:rPr>
        <w:t>.</w:t>
      </w:r>
      <w:proofErr w:type="gramEnd"/>
      <w:r w:rsidRPr="00527B10">
        <w:rPr>
          <w:rFonts w:ascii="Times New Roman" w:hAnsi="Times New Roman" w:cs="Times New Roman"/>
          <w:sz w:val="24"/>
          <w:szCs w:val="24"/>
          <w:shd w:val="clear" w:color="auto" w:fill="FFFFFF"/>
        </w:rPr>
        <w:t xml:space="preserve"> Retrieved from </w:t>
      </w:r>
      <w:r w:rsidRPr="00527B10">
        <w:rPr>
          <w:rFonts w:ascii="Times New Roman" w:hAnsi="Times New Roman" w:cs="Times New Roman"/>
          <w:sz w:val="24"/>
          <w:szCs w:val="24"/>
          <w:shd w:val="clear" w:color="auto" w:fill="FFFFFF"/>
        </w:rPr>
        <w:tab/>
      </w:r>
      <w:hyperlink r:id="rId11" w:history="1">
        <w:r w:rsidRPr="00527B10">
          <w:rPr>
            <w:rStyle w:val="Hyperlink"/>
            <w:rFonts w:ascii="Times New Roman" w:hAnsi="Times New Roman" w:cs="Times New Roman"/>
            <w:color w:val="auto"/>
            <w:sz w:val="24"/>
            <w:szCs w:val="24"/>
            <w:shd w:val="clear" w:color="auto" w:fill="FFFFFF"/>
          </w:rPr>
          <w:t>http://edmoney.newamerica.net/blogposts/2010/examining_the_data_state_per_pupil_exp</w:t>
        </w:r>
        <w:r w:rsidRPr="00527B10">
          <w:rPr>
            <w:rStyle w:val="Hyperlink"/>
            <w:rFonts w:ascii="Times New Roman" w:hAnsi="Times New Roman" w:cs="Times New Roman"/>
            <w:color w:val="auto"/>
            <w:sz w:val="24"/>
            <w:szCs w:val="24"/>
            <w:u w:val="none"/>
            <w:shd w:val="clear" w:color="auto" w:fill="FFFFFF"/>
          </w:rPr>
          <w:tab/>
        </w:r>
        <w:r w:rsidRPr="00527B10">
          <w:rPr>
            <w:rStyle w:val="Hyperlink"/>
            <w:rFonts w:ascii="Times New Roman" w:hAnsi="Times New Roman" w:cs="Times New Roman"/>
            <w:color w:val="auto"/>
            <w:sz w:val="24"/>
            <w:szCs w:val="24"/>
            <w:shd w:val="clear" w:color="auto" w:fill="FFFFFF"/>
          </w:rPr>
          <w:t>en</w:t>
        </w:r>
      </w:hyperlink>
      <w:r w:rsidRPr="00527B10">
        <w:rPr>
          <w:rFonts w:ascii="Times New Roman" w:hAnsi="Times New Roman" w:cs="Times New Roman"/>
          <w:sz w:val="24"/>
          <w:szCs w:val="24"/>
          <w:shd w:val="clear" w:color="auto" w:fill="FFFFFF"/>
        </w:rPr>
        <w:t>ditures_and_state_graduation</w:t>
      </w:r>
      <w:r w:rsidRPr="00F8703E">
        <w:rPr>
          <w:rFonts w:ascii="Times New Roman" w:hAnsi="Times New Roman" w:cs="Times New Roman"/>
          <w:sz w:val="24"/>
          <w:szCs w:val="24"/>
          <w:shd w:val="clear" w:color="auto" w:fill="FFFFFF"/>
        </w:rPr>
        <w:t>_rates-36914</w:t>
      </w:r>
    </w:p>
    <w:p w:rsidR="00E545DA" w:rsidRPr="00F8703E" w:rsidRDefault="00E545DA" w:rsidP="008C428D">
      <w:pPr>
        <w:spacing w:after="40" w:line="240" w:lineRule="auto"/>
        <w:rPr>
          <w:rFonts w:ascii="Times New Roman" w:hAnsi="Times New Roman" w:cs="Times New Roman"/>
          <w:sz w:val="24"/>
          <w:szCs w:val="24"/>
          <w:shd w:val="clear" w:color="auto" w:fill="FFFFFF"/>
        </w:rPr>
      </w:pPr>
      <w:proofErr w:type="gramStart"/>
      <w:r w:rsidRPr="00F8703E">
        <w:rPr>
          <w:rFonts w:ascii="Times New Roman" w:hAnsi="Times New Roman" w:cs="Times New Roman"/>
          <w:sz w:val="24"/>
          <w:szCs w:val="24"/>
          <w:shd w:val="clear" w:color="auto" w:fill="FFFFFF"/>
        </w:rPr>
        <w:t>Krueger, A. B., &amp; Whitmore, D. M. (2001).</w:t>
      </w:r>
      <w:proofErr w:type="gramEnd"/>
      <w:r w:rsidRPr="00F8703E">
        <w:rPr>
          <w:rFonts w:ascii="Times New Roman" w:hAnsi="Times New Roman" w:cs="Times New Roman"/>
          <w:sz w:val="24"/>
          <w:szCs w:val="24"/>
          <w:shd w:val="clear" w:color="auto" w:fill="FFFFFF"/>
        </w:rPr>
        <w:t xml:space="preserve"> The effect of attending a small class in the early </w:t>
      </w:r>
      <w:r w:rsidR="00BE69DD" w:rsidRPr="00F8703E">
        <w:rPr>
          <w:rFonts w:ascii="Times New Roman" w:hAnsi="Times New Roman" w:cs="Times New Roman"/>
          <w:sz w:val="24"/>
          <w:szCs w:val="24"/>
          <w:shd w:val="clear" w:color="auto" w:fill="FFFFFF"/>
        </w:rPr>
        <w:tab/>
      </w:r>
      <w:r w:rsidRPr="00F8703E">
        <w:rPr>
          <w:rFonts w:ascii="Times New Roman" w:hAnsi="Times New Roman" w:cs="Times New Roman"/>
          <w:sz w:val="24"/>
          <w:szCs w:val="24"/>
          <w:shd w:val="clear" w:color="auto" w:fill="FFFFFF"/>
        </w:rPr>
        <w:t>grades on college</w:t>
      </w:r>
      <w:r w:rsidRPr="00F8703E">
        <w:rPr>
          <w:rFonts w:ascii="Cambria Math" w:hAnsi="Cambria Math" w:cs="Cambria Math"/>
          <w:sz w:val="24"/>
          <w:szCs w:val="24"/>
          <w:shd w:val="clear" w:color="auto" w:fill="FFFFFF"/>
        </w:rPr>
        <w:t>‐</w:t>
      </w:r>
      <w:r w:rsidRPr="00F8703E">
        <w:rPr>
          <w:rFonts w:ascii="Times New Roman" w:hAnsi="Times New Roman" w:cs="Times New Roman"/>
          <w:sz w:val="24"/>
          <w:szCs w:val="24"/>
          <w:shd w:val="clear" w:color="auto" w:fill="FFFFFF"/>
        </w:rPr>
        <w:t xml:space="preserve">test taking and middle school test results: Evidence from Project </w:t>
      </w:r>
      <w:r w:rsidR="00BE69DD" w:rsidRPr="00F8703E">
        <w:rPr>
          <w:rFonts w:ascii="Times New Roman" w:hAnsi="Times New Roman" w:cs="Times New Roman"/>
          <w:sz w:val="24"/>
          <w:szCs w:val="24"/>
          <w:shd w:val="clear" w:color="auto" w:fill="FFFFFF"/>
        </w:rPr>
        <w:tab/>
      </w:r>
      <w:r w:rsidRPr="00F8703E">
        <w:rPr>
          <w:rFonts w:ascii="Times New Roman" w:hAnsi="Times New Roman" w:cs="Times New Roman"/>
          <w:sz w:val="24"/>
          <w:szCs w:val="24"/>
          <w:shd w:val="clear" w:color="auto" w:fill="FFFFFF"/>
        </w:rPr>
        <w:t>STAR.</w:t>
      </w:r>
      <w:r w:rsidRPr="00F8703E">
        <w:rPr>
          <w:rStyle w:val="apple-converted-space"/>
          <w:rFonts w:ascii="Times New Roman" w:hAnsi="Times New Roman" w:cs="Times New Roman"/>
          <w:sz w:val="24"/>
          <w:szCs w:val="24"/>
          <w:shd w:val="clear" w:color="auto" w:fill="FFFFFF"/>
        </w:rPr>
        <w:t> </w:t>
      </w:r>
      <w:r w:rsidRPr="00F8703E">
        <w:rPr>
          <w:rFonts w:ascii="Times New Roman" w:hAnsi="Times New Roman" w:cs="Times New Roman"/>
          <w:i/>
          <w:iCs/>
          <w:sz w:val="24"/>
          <w:szCs w:val="24"/>
          <w:shd w:val="clear" w:color="auto" w:fill="FFFFFF"/>
        </w:rPr>
        <w:t>The Economic Journal</w:t>
      </w:r>
      <w:r w:rsidRPr="00F8703E">
        <w:rPr>
          <w:rFonts w:ascii="Times New Roman" w:hAnsi="Times New Roman" w:cs="Times New Roman"/>
          <w:sz w:val="24"/>
          <w:szCs w:val="24"/>
          <w:shd w:val="clear" w:color="auto" w:fill="FFFFFF"/>
        </w:rPr>
        <w:t>,</w:t>
      </w:r>
      <w:r w:rsidRPr="00F8703E">
        <w:rPr>
          <w:rStyle w:val="apple-converted-space"/>
          <w:rFonts w:ascii="Times New Roman" w:hAnsi="Times New Roman" w:cs="Times New Roman"/>
          <w:sz w:val="24"/>
          <w:szCs w:val="24"/>
          <w:shd w:val="clear" w:color="auto" w:fill="FFFFFF"/>
        </w:rPr>
        <w:t> </w:t>
      </w:r>
      <w:r w:rsidRPr="00F8703E">
        <w:rPr>
          <w:rFonts w:ascii="Times New Roman" w:hAnsi="Times New Roman" w:cs="Times New Roman"/>
          <w:i/>
          <w:iCs/>
          <w:sz w:val="24"/>
          <w:szCs w:val="24"/>
          <w:shd w:val="clear" w:color="auto" w:fill="FFFFFF"/>
        </w:rPr>
        <w:t>111</w:t>
      </w:r>
      <w:r w:rsidRPr="00F8703E">
        <w:rPr>
          <w:rFonts w:ascii="Times New Roman" w:hAnsi="Times New Roman" w:cs="Times New Roman"/>
          <w:sz w:val="24"/>
          <w:szCs w:val="24"/>
          <w:shd w:val="clear" w:color="auto" w:fill="FFFFFF"/>
        </w:rPr>
        <w:t>(468), 1-28</w:t>
      </w:r>
    </w:p>
    <w:p w:rsidR="001D72E6" w:rsidRPr="00F8703E" w:rsidRDefault="001D72E6" w:rsidP="008C428D">
      <w:pPr>
        <w:spacing w:after="40" w:line="240" w:lineRule="auto"/>
        <w:rPr>
          <w:rFonts w:ascii="Times New Roman" w:hAnsi="Times New Roman" w:cs="Times New Roman"/>
          <w:sz w:val="24"/>
          <w:szCs w:val="24"/>
          <w:shd w:val="clear" w:color="auto" w:fill="FFFFFF"/>
        </w:rPr>
      </w:pPr>
      <w:proofErr w:type="spellStart"/>
      <w:r w:rsidRPr="00F8703E">
        <w:rPr>
          <w:rFonts w:ascii="Times New Roman" w:hAnsi="Times New Roman" w:cs="Times New Roman"/>
          <w:sz w:val="24"/>
          <w:szCs w:val="24"/>
          <w:shd w:val="clear" w:color="auto" w:fill="FFFFFF"/>
        </w:rPr>
        <w:t>Kruschke</w:t>
      </w:r>
      <w:proofErr w:type="spellEnd"/>
      <w:r w:rsidRPr="00F8703E">
        <w:rPr>
          <w:rFonts w:ascii="Times New Roman" w:hAnsi="Times New Roman" w:cs="Times New Roman"/>
          <w:sz w:val="24"/>
          <w:szCs w:val="24"/>
          <w:shd w:val="clear" w:color="auto" w:fill="FFFFFF"/>
        </w:rPr>
        <w:t>, J. (2010).</w:t>
      </w:r>
      <w:r w:rsidRPr="00F8703E">
        <w:rPr>
          <w:rStyle w:val="apple-converted-space"/>
          <w:rFonts w:ascii="Times New Roman" w:hAnsi="Times New Roman" w:cs="Times New Roman"/>
          <w:sz w:val="24"/>
          <w:szCs w:val="24"/>
          <w:shd w:val="clear" w:color="auto" w:fill="FFFFFF"/>
        </w:rPr>
        <w:t> </w:t>
      </w:r>
      <w:r w:rsidRPr="00F8703E">
        <w:rPr>
          <w:rFonts w:ascii="Times New Roman" w:hAnsi="Times New Roman" w:cs="Times New Roman"/>
          <w:i/>
          <w:iCs/>
          <w:sz w:val="24"/>
          <w:szCs w:val="24"/>
          <w:shd w:val="clear" w:color="auto" w:fill="FFFFFF"/>
        </w:rPr>
        <w:t>Doing Bayesian Data Analysis: A Tutorial Introduction with R</w:t>
      </w:r>
      <w:r w:rsidRPr="00F8703E">
        <w:rPr>
          <w:rFonts w:ascii="Times New Roman" w:hAnsi="Times New Roman" w:cs="Times New Roman"/>
          <w:sz w:val="24"/>
          <w:szCs w:val="24"/>
          <w:shd w:val="clear" w:color="auto" w:fill="FFFFFF"/>
        </w:rPr>
        <w:t xml:space="preserve">. Academic </w:t>
      </w:r>
      <w:r w:rsidR="008E2756" w:rsidRPr="00F8703E">
        <w:rPr>
          <w:rFonts w:ascii="Times New Roman" w:hAnsi="Times New Roman" w:cs="Times New Roman"/>
          <w:sz w:val="24"/>
          <w:szCs w:val="24"/>
          <w:shd w:val="clear" w:color="auto" w:fill="FFFFFF"/>
        </w:rPr>
        <w:tab/>
      </w:r>
      <w:r w:rsidRPr="00F8703E">
        <w:rPr>
          <w:rFonts w:ascii="Times New Roman" w:hAnsi="Times New Roman" w:cs="Times New Roman"/>
          <w:sz w:val="24"/>
          <w:szCs w:val="24"/>
          <w:shd w:val="clear" w:color="auto" w:fill="FFFFFF"/>
        </w:rPr>
        <w:t>Press</w:t>
      </w:r>
    </w:p>
    <w:p w:rsidR="00E236BF" w:rsidRPr="00F8703E" w:rsidRDefault="00E236BF" w:rsidP="008C428D">
      <w:pPr>
        <w:spacing w:after="40" w:line="240" w:lineRule="auto"/>
        <w:rPr>
          <w:rFonts w:ascii="Times New Roman" w:hAnsi="Times New Roman" w:cs="Times New Roman"/>
          <w:sz w:val="24"/>
          <w:szCs w:val="24"/>
          <w:shd w:val="clear" w:color="auto" w:fill="FFFFFF"/>
        </w:rPr>
      </w:pPr>
      <w:proofErr w:type="gramStart"/>
      <w:r w:rsidRPr="00F8703E">
        <w:rPr>
          <w:rFonts w:ascii="Times New Roman" w:hAnsi="Times New Roman" w:cs="Times New Roman"/>
          <w:sz w:val="24"/>
          <w:szCs w:val="24"/>
          <w:shd w:val="clear" w:color="auto" w:fill="FFFFFF"/>
        </w:rPr>
        <w:t xml:space="preserve">Jordan, J. L., </w:t>
      </w:r>
      <w:proofErr w:type="spellStart"/>
      <w:r w:rsidRPr="00F8703E">
        <w:rPr>
          <w:rFonts w:ascii="Times New Roman" w:hAnsi="Times New Roman" w:cs="Times New Roman"/>
          <w:sz w:val="24"/>
          <w:szCs w:val="24"/>
          <w:shd w:val="clear" w:color="auto" w:fill="FFFFFF"/>
        </w:rPr>
        <w:t>Kostandini</w:t>
      </w:r>
      <w:proofErr w:type="spellEnd"/>
      <w:r w:rsidRPr="00E545DA">
        <w:rPr>
          <w:rFonts w:ascii="Times New Roman" w:hAnsi="Times New Roman" w:cs="Times New Roman"/>
          <w:sz w:val="24"/>
          <w:szCs w:val="24"/>
          <w:shd w:val="clear" w:color="auto" w:fill="FFFFFF"/>
        </w:rPr>
        <w:t xml:space="preserve">, G., &amp; </w:t>
      </w:r>
      <w:proofErr w:type="spellStart"/>
      <w:r w:rsidRPr="00E545DA">
        <w:rPr>
          <w:rFonts w:ascii="Times New Roman" w:hAnsi="Times New Roman" w:cs="Times New Roman"/>
          <w:sz w:val="24"/>
          <w:szCs w:val="24"/>
          <w:shd w:val="clear" w:color="auto" w:fill="FFFFFF"/>
        </w:rPr>
        <w:t>Mykerezi</w:t>
      </w:r>
      <w:proofErr w:type="spellEnd"/>
      <w:r w:rsidRPr="00E545DA">
        <w:rPr>
          <w:rFonts w:ascii="Times New Roman" w:hAnsi="Times New Roman" w:cs="Times New Roman"/>
          <w:sz w:val="24"/>
          <w:szCs w:val="24"/>
          <w:shd w:val="clear" w:color="auto" w:fill="FFFFFF"/>
        </w:rPr>
        <w:t>, E. (2012).</w:t>
      </w:r>
      <w:proofErr w:type="gramEnd"/>
      <w:r w:rsidRPr="00E545DA">
        <w:rPr>
          <w:rFonts w:ascii="Times New Roman" w:hAnsi="Times New Roman" w:cs="Times New Roman"/>
          <w:sz w:val="24"/>
          <w:szCs w:val="24"/>
          <w:shd w:val="clear" w:color="auto" w:fill="FFFFFF"/>
        </w:rPr>
        <w:t xml:space="preserve"> Rural and Urban High School Dropout </w:t>
      </w:r>
      <w:r w:rsidR="008C428D" w:rsidRPr="00F8703E">
        <w:rPr>
          <w:rFonts w:ascii="Times New Roman" w:hAnsi="Times New Roman" w:cs="Times New Roman"/>
          <w:sz w:val="24"/>
          <w:szCs w:val="24"/>
          <w:shd w:val="clear" w:color="auto" w:fill="FFFFFF"/>
        </w:rPr>
        <w:tab/>
      </w:r>
      <w:r w:rsidRPr="00F8703E">
        <w:rPr>
          <w:rFonts w:ascii="Times New Roman" w:hAnsi="Times New Roman" w:cs="Times New Roman"/>
          <w:sz w:val="24"/>
          <w:szCs w:val="24"/>
          <w:shd w:val="clear" w:color="auto" w:fill="FFFFFF"/>
        </w:rPr>
        <w:t>Rates: Are They Different</w:t>
      </w:r>
      <w:proofErr w:type="gramStart"/>
      <w:r w:rsidRPr="00F8703E">
        <w:rPr>
          <w:rFonts w:ascii="Times New Roman" w:hAnsi="Times New Roman" w:cs="Times New Roman"/>
          <w:sz w:val="24"/>
          <w:szCs w:val="24"/>
          <w:shd w:val="clear" w:color="auto" w:fill="FFFFFF"/>
        </w:rPr>
        <w:t>?.</w:t>
      </w:r>
      <w:proofErr w:type="gramEnd"/>
      <w:r w:rsidRPr="00F8703E">
        <w:rPr>
          <w:rStyle w:val="apple-converted-space"/>
          <w:rFonts w:ascii="Times New Roman" w:hAnsi="Times New Roman" w:cs="Times New Roman"/>
          <w:sz w:val="24"/>
          <w:szCs w:val="24"/>
          <w:shd w:val="clear" w:color="auto" w:fill="FFFFFF"/>
        </w:rPr>
        <w:t> </w:t>
      </w:r>
      <w:r w:rsidRPr="00F8703E">
        <w:rPr>
          <w:rFonts w:ascii="Times New Roman" w:hAnsi="Times New Roman" w:cs="Times New Roman"/>
          <w:i/>
          <w:iCs/>
          <w:sz w:val="24"/>
          <w:szCs w:val="24"/>
          <w:shd w:val="clear" w:color="auto" w:fill="FFFFFF"/>
        </w:rPr>
        <w:t>Journal of Research in Rural Education</w:t>
      </w:r>
      <w:r w:rsidRPr="00F8703E">
        <w:rPr>
          <w:rFonts w:ascii="Times New Roman" w:hAnsi="Times New Roman" w:cs="Times New Roman"/>
          <w:sz w:val="24"/>
          <w:szCs w:val="24"/>
          <w:shd w:val="clear" w:color="auto" w:fill="FFFFFF"/>
        </w:rPr>
        <w:t>,</w:t>
      </w:r>
      <w:r w:rsidRPr="00F8703E">
        <w:rPr>
          <w:rStyle w:val="apple-converted-space"/>
          <w:rFonts w:ascii="Times New Roman" w:hAnsi="Times New Roman" w:cs="Times New Roman"/>
          <w:sz w:val="24"/>
          <w:szCs w:val="24"/>
          <w:shd w:val="clear" w:color="auto" w:fill="FFFFFF"/>
        </w:rPr>
        <w:t> </w:t>
      </w:r>
      <w:r w:rsidRPr="00F8703E">
        <w:rPr>
          <w:rFonts w:ascii="Times New Roman" w:hAnsi="Times New Roman" w:cs="Times New Roman"/>
          <w:i/>
          <w:iCs/>
          <w:sz w:val="24"/>
          <w:szCs w:val="24"/>
          <w:shd w:val="clear" w:color="auto" w:fill="FFFFFF"/>
        </w:rPr>
        <w:t>27</w:t>
      </w:r>
      <w:r w:rsidRPr="00F8703E">
        <w:rPr>
          <w:rFonts w:ascii="Times New Roman" w:hAnsi="Times New Roman" w:cs="Times New Roman"/>
          <w:sz w:val="24"/>
          <w:szCs w:val="24"/>
          <w:shd w:val="clear" w:color="auto" w:fill="FFFFFF"/>
        </w:rPr>
        <w:t>(12), 1-21.</w:t>
      </w:r>
    </w:p>
    <w:p w:rsidR="00F8703E" w:rsidRDefault="00F8703E" w:rsidP="008C428D">
      <w:pPr>
        <w:spacing w:after="40" w:line="240" w:lineRule="auto"/>
        <w:rPr>
          <w:rFonts w:ascii="Times New Roman" w:hAnsi="Times New Roman" w:cs="Times New Roman"/>
          <w:i/>
          <w:sz w:val="24"/>
          <w:szCs w:val="24"/>
          <w:shd w:val="clear" w:color="auto" w:fill="FFFFFF"/>
        </w:rPr>
      </w:pPr>
      <w:proofErr w:type="spellStart"/>
      <w:proofErr w:type="gramStart"/>
      <w:r w:rsidRPr="00F8703E">
        <w:rPr>
          <w:rFonts w:ascii="Times New Roman" w:hAnsi="Times New Roman" w:cs="Times New Roman"/>
          <w:sz w:val="24"/>
          <w:szCs w:val="24"/>
          <w:shd w:val="clear" w:color="auto" w:fill="FFFFFF"/>
        </w:rPr>
        <w:t>Orfield</w:t>
      </w:r>
      <w:proofErr w:type="spellEnd"/>
      <w:r w:rsidRPr="00F8703E">
        <w:rPr>
          <w:rFonts w:ascii="Times New Roman" w:hAnsi="Times New Roman" w:cs="Times New Roman"/>
          <w:sz w:val="24"/>
          <w:szCs w:val="24"/>
          <w:shd w:val="clear" w:color="auto" w:fill="FFFFFF"/>
        </w:rPr>
        <w:t>, G.</w:t>
      </w:r>
      <w:r>
        <w:rPr>
          <w:rFonts w:ascii="Times New Roman" w:hAnsi="Times New Roman" w:cs="Times New Roman"/>
          <w:sz w:val="24"/>
          <w:szCs w:val="24"/>
          <w:shd w:val="clear" w:color="auto" w:fill="FFFFFF"/>
        </w:rPr>
        <w:t xml:space="preserve"> &amp; Swanson, C.B.</w:t>
      </w:r>
      <w:r w:rsidRPr="00F8703E">
        <w:rPr>
          <w:rFonts w:ascii="Times New Roman" w:hAnsi="Times New Roman" w:cs="Times New Roman"/>
          <w:sz w:val="24"/>
          <w:szCs w:val="24"/>
          <w:shd w:val="clear" w:color="auto" w:fill="FFFFFF"/>
        </w:rPr>
        <w:t xml:space="preserve"> (2004).</w:t>
      </w:r>
      <w:proofErr w:type="gramEnd"/>
      <w:r w:rsidRPr="00F8703E">
        <w:rPr>
          <w:rFonts w:ascii="Times New Roman" w:hAnsi="Times New Roman" w:cs="Times New Roman"/>
          <w:sz w:val="24"/>
          <w:szCs w:val="24"/>
          <w:shd w:val="clear" w:color="auto" w:fill="FFFFFF"/>
        </w:rPr>
        <w:t xml:space="preserve"> </w:t>
      </w:r>
      <w:proofErr w:type="gramStart"/>
      <w:r w:rsidRPr="008A262D">
        <w:rPr>
          <w:rFonts w:ascii="Times New Roman" w:hAnsi="Times New Roman" w:cs="Times New Roman"/>
          <w:i/>
          <w:sz w:val="24"/>
          <w:szCs w:val="24"/>
          <w:shd w:val="clear" w:color="auto" w:fill="FFFFFF"/>
        </w:rPr>
        <w:t xml:space="preserve">Losing our future: How minority youth are being left </w:t>
      </w:r>
      <w:r w:rsidR="008A262D" w:rsidRPr="008A262D">
        <w:rPr>
          <w:rFonts w:ascii="Times New Roman" w:hAnsi="Times New Roman" w:cs="Times New Roman"/>
          <w:i/>
          <w:sz w:val="24"/>
          <w:szCs w:val="24"/>
          <w:shd w:val="clear" w:color="auto" w:fill="FFFFFF"/>
        </w:rPr>
        <w:tab/>
      </w:r>
      <w:r w:rsidRPr="008A262D">
        <w:rPr>
          <w:rFonts w:ascii="Times New Roman" w:hAnsi="Times New Roman" w:cs="Times New Roman"/>
          <w:i/>
          <w:sz w:val="24"/>
          <w:szCs w:val="24"/>
          <w:shd w:val="clear" w:color="auto" w:fill="FFFFFF"/>
        </w:rPr>
        <w:t xml:space="preserve">behind by the </w:t>
      </w:r>
      <w:r w:rsidRPr="008A262D">
        <w:rPr>
          <w:rFonts w:ascii="Times New Roman" w:hAnsi="Times New Roman" w:cs="Times New Roman"/>
          <w:i/>
          <w:sz w:val="24"/>
          <w:szCs w:val="24"/>
          <w:shd w:val="clear" w:color="auto" w:fill="FFFFFF"/>
        </w:rPr>
        <w:tab/>
        <w:t>graduation rate crisis.</w:t>
      </w:r>
      <w:proofErr w:type="gramEnd"/>
    </w:p>
    <w:p w:rsidR="00F16549" w:rsidRPr="00F16549" w:rsidRDefault="00F16549" w:rsidP="008C428D">
      <w:pPr>
        <w:spacing w:after="40" w:line="240" w:lineRule="auto"/>
        <w:rPr>
          <w:rFonts w:ascii="Times New Roman" w:hAnsi="Times New Roman" w:cs="Times New Roman"/>
          <w:sz w:val="24"/>
          <w:szCs w:val="24"/>
          <w:shd w:val="clear" w:color="auto" w:fill="FFFFFF"/>
        </w:rPr>
      </w:pPr>
      <w:r w:rsidRPr="00F16549">
        <w:rPr>
          <w:rFonts w:ascii="Times New Roman" w:hAnsi="Times New Roman" w:cs="Times New Roman"/>
          <w:sz w:val="24"/>
          <w:szCs w:val="24"/>
          <w:shd w:val="clear" w:color="auto" w:fill="FFFFFF"/>
        </w:rPr>
        <w:t>Swanson, C. B. (2004</w:t>
      </w:r>
      <w:r>
        <w:rPr>
          <w:rFonts w:ascii="Times New Roman" w:hAnsi="Times New Roman" w:cs="Times New Roman"/>
          <w:sz w:val="24"/>
          <w:szCs w:val="24"/>
          <w:shd w:val="clear" w:color="auto" w:fill="FFFFFF"/>
        </w:rPr>
        <w:t>a</w:t>
      </w:r>
      <w:r w:rsidRPr="00F16549">
        <w:rPr>
          <w:rFonts w:ascii="Times New Roman" w:hAnsi="Times New Roman" w:cs="Times New Roman"/>
          <w:sz w:val="24"/>
          <w:szCs w:val="24"/>
          <w:shd w:val="clear" w:color="auto" w:fill="FFFFFF"/>
        </w:rPr>
        <w:t xml:space="preserve">). </w:t>
      </w:r>
      <w:r w:rsidRPr="00F16549">
        <w:rPr>
          <w:rFonts w:ascii="Times New Roman" w:hAnsi="Times New Roman" w:cs="Times New Roman"/>
          <w:i/>
          <w:sz w:val="24"/>
          <w:szCs w:val="24"/>
          <w:shd w:val="clear" w:color="auto" w:fill="FFFFFF"/>
        </w:rPr>
        <w:t xml:space="preserve">The real truth about low graduation rates, an evidence-based </w:t>
      </w:r>
      <w:r w:rsidRPr="00F16549">
        <w:rPr>
          <w:rFonts w:ascii="Times New Roman" w:hAnsi="Times New Roman" w:cs="Times New Roman"/>
          <w:i/>
          <w:sz w:val="24"/>
          <w:szCs w:val="24"/>
          <w:shd w:val="clear" w:color="auto" w:fill="FFFFFF"/>
        </w:rPr>
        <w:tab/>
        <w:t>commentary.</w:t>
      </w:r>
    </w:p>
    <w:p w:rsidR="00E236BF" w:rsidRPr="00E545DA" w:rsidRDefault="00E236BF" w:rsidP="008C428D">
      <w:pPr>
        <w:spacing w:after="40" w:line="240" w:lineRule="auto"/>
        <w:rPr>
          <w:rFonts w:ascii="Times New Roman" w:hAnsi="Times New Roman" w:cs="Times New Roman"/>
          <w:sz w:val="24"/>
          <w:szCs w:val="24"/>
          <w:shd w:val="clear" w:color="auto" w:fill="FFFFFF"/>
        </w:rPr>
      </w:pPr>
      <w:r w:rsidRPr="00E545DA">
        <w:rPr>
          <w:rFonts w:ascii="Times New Roman" w:hAnsi="Times New Roman" w:cs="Times New Roman"/>
          <w:sz w:val="24"/>
          <w:szCs w:val="24"/>
          <w:shd w:val="clear" w:color="auto" w:fill="FFFFFF"/>
        </w:rPr>
        <w:t>Swanson, C. B. (2004</w:t>
      </w:r>
      <w:r w:rsidR="00F16549">
        <w:rPr>
          <w:rFonts w:ascii="Times New Roman" w:hAnsi="Times New Roman" w:cs="Times New Roman"/>
          <w:sz w:val="24"/>
          <w:szCs w:val="24"/>
          <w:shd w:val="clear" w:color="auto" w:fill="FFFFFF"/>
        </w:rPr>
        <w:t>b</w:t>
      </w:r>
      <w:r w:rsidRPr="00E545DA">
        <w:rPr>
          <w:rFonts w:ascii="Times New Roman" w:hAnsi="Times New Roman" w:cs="Times New Roman"/>
          <w:sz w:val="24"/>
          <w:szCs w:val="24"/>
          <w:shd w:val="clear" w:color="auto" w:fill="FFFFFF"/>
        </w:rPr>
        <w:t xml:space="preserve">). </w:t>
      </w:r>
      <w:r w:rsidRPr="00E545DA">
        <w:rPr>
          <w:rFonts w:ascii="Times New Roman" w:hAnsi="Times New Roman" w:cs="Times New Roman"/>
          <w:i/>
          <w:sz w:val="24"/>
          <w:szCs w:val="24"/>
          <w:shd w:val="clear" w:color="auto" w:fill="FFFFFF"/>
        </w:rPr>
        <w:t>Who Graduates? Who Doesn't</w:t>
      </w:r>
      <w:proofErr w:type="gramStart"/>
      <w:r w:rsidRPr="00E545DA">
        <w:rPr>
          <w:rFonts w:ascii="Times New Roman" w:hAnsi="Times New Roman" w:cs="Times New Roman"/>
          <w:i/>
          <w:sz w:val="24"/>
          <w:szCs w:val="24"/>
          <w:shd w:val="clear" w:color="auto" w:fill="FFFFFF"/>
        </w:rPr>
        <w:t>?:</w:t>
      </w:r>
      <w:proofErr w:type="gramEnd"/>
      <w:r w:rsidRPr="00E545DA">
        <w:rPr>
          <w:rFonts w:ascii="Times New Roman" w:hAnsi="Times New Roman" w:cs="Times New Roman"/>
          <w:i/>
          <w:sz w:val="24"/>
          <w:szCs w:val="24"/>
          <w:shd w:val="clear" w:color="auto" w:fill="FFFFFF"/>
        </w:rPr>
        <w:t xml:space="preserve"> A Statistical Portrait of Public High </w:t>
      </w:r>
      <w:r w:rsidR="008C428D" w:rsidRPr="00E545DA">
        <w:rPr>
          <w:rFonts w:ascii="Times New Roman" w:hAnsi="Times New Roman" w:cs="Times New Roman"/>
          <w:i/>
          <w:sz w:val="24"/>
          <w:szCs w:val="24"/>
          <w:shd w:val="clear" w:color="auto" w:fill="FFFFFF"/>
        </w:rPr>
        <w:tab/>
      </w:r>
      <w:r w:rsidRPr="00E545DA">
        <w:rPr>
          <w:rFonts w:ascii="Times New Roman" w:hAnsi="Times New Roman" w:cs="Times New Roman"/>
          <w:i/>
          <w:sz w:val="24"/>
          <w:szCs w:val="24"/>
          <w:shd w:val="clear" w:color="auto" w:fill="FFFFFF"/>
        </w:rPr>
        <w:t>School Graduation, Class of 2001</w:t>
      </w:r>
      <w:r w:rsidRPr="00E545DA">
        <w:rPr>
          <w:rFonts w:ascii="Times New Roman" w:hAnsi="Times New Roman" w:cs="Times New Roman"/>
          <w:sz w:val="24"/>
          <w:szCs w:val="24"/>
          <w:shd w:val="clear" w:color="auto" w:fill="FFFFFF"/>
        </w:rPr>
        <w:t>.</w:t>
      </w:r>
    </w:p>
    <w:p w:rsidR="00E236BF" w:rsidRDefault="00E236BF" w:rsidP="008C428D">
      <w:pPr>
        <w:spacing w:after="40" w:line="240" w:lineRule="auto"/>
        <w:rPr>
          <w:rFonts w:ascii="Times New Roman" w:hAnsi="Times New Roman" w:cs="Times New Roman"/>
          <w:sz w:val="24"/>
          <w:szCs w:val="24"/>
          <w:shd w:val="clear" w:color="auto" w:fill="FFFFFF"/>
        </w:rPr>
      </w:pPr>
      <w:r w:rsidRPr="00E545DA">
        <w:rPr>
          <w:rFonts w:ascii="Times New Roman" w:hAnsi="Times New Roman" w:cs="Times New Roman"/>
          <w:sz w:val="24"/>
          <w:szCs w:val="24"/>
          <w:shd w:val="clear" w:color="auto" w:fill="FFFFFF"/>
        </w:rPr>
        <w:t>Swanson CB</w:t>
      </w:r>
      <w:r w:rsidR="00880B40" w:rsidRPr="00E545DA">
        <w:rPr>
          <w:rFonts w:ascii="Times New Roman" w:hAnsi="Times New Roman" w:cs="Times New Roman"/>
          <w:sz w:val="24"/>
          <w:szCs w:val="24"/>
          <w:shd w:val="clear" w:color="auto" w:fill="FFFFFF"/>
        </w:rPr>
        <w:t xml:space="preserve"> (2009)</w:t>
      </w:r>
      <w:r w:rsidRPr="00E545DA">
        <w:rPr>
          <w:rFonts w:ascii="Times New Roman" w:hAnsi="Times New Roman" w:cs="Times New Roman"/>
          <w:sz w:val="24"/>
          <w:szCs w:val="24"/>
          <w:shd w:val="clear" w:color="auto" w:fill="FFFFFF"/>
        </w:rPr>
        <w:t>.</w:t>
      </w:r>
      <w:r w:rsidRPr="00E545DA">
        <w:rPr>
          <w:rStyle w:val="apple-converted-space"/>
          <w:rFonts w:ascii="Times New Roman" w:hAnsi="Times New Roman" w:cs="Times New Roman"/>
          <w:sz w:val="24"/>
          <w:szCs w:val="24"/>
          <w:shd w:val="clear" w:color="auto" w:fill="FFFFFF"/>
        </w:rPr>
        <w:t> </w:t>
      </w:r>
      <w:r w:rsidR="00880B40" w:rsidRPr="00E545DA">
        <w:rPr>
          <w:rStyle w:val="ref-journal"/>
          <w:rFonts w:ascii="Times New Roman" w:hAnsi="Times New Roman" w:cs="Times New Roman"/>
          <w:i/>
          <w:sz w:val="24"/>
          <w:szCs w:val="24"/>
          <w:shd w:val="clear" w:color="auto" w:fill="FFFFFF"/>
        </w:rPr>
        <w:t>Cities in c</w:t>
      </w:r>
      <w:r w:rsidRPr="00E545DA">
        <w:rPr>
          <w:rStyle w:val="ref-journal"/>
          <w:rFonts w:ascii="Times New Roman" w:hAnsi="Times New Roman" w:cs="Times New Roman"/>
          <w:i/>
          <w:sz w:val="24"/>
          <w:szCs w:val="24"/>
          <w:shd w:val="clear" w:color="auto" w:fill="FFFFFF"/>
        </w:rPr>
        <w:t xml:space="preserve">risis </w:t>
      </w:r>
      <w:r w:rsidR="00880B40" w:rsidRPr="00E545DA">
        <w:rPr>
          <w:rStyle w:val="ref-journal"/>
          <w:rFonts w:ascii="Times New Roman" w:hAnsi="Times New Roman" w:cs="Times New Roman"/>
          <w:i/>
          <w:sz w:val="24"/>
          <w:szCs w:val="24"/>
          <w:shd w:val="clear" w:color="auto" w:fill="FFFFFF"/>
        </w:rPr>
        <w:t>2009: Closing the graduation g</w:t>
      </w:r>
      <w:r w:rsidRPr="00E545DA">
        <w:rPr>
          <w:rStyle w:val="ref-journal"/>
          <w:rFonts w:ascii="Times New Roman" w:hAnsi="Times New Roman" w:cs="Times New Roman"/>
          <w:i/>
          <w:sz w:val="24"/>
          <w:szCs w:val="24"/>
          <w:shd w:val="clear" w:color="auto" w:fill="FFFFFF"/>
        </w:rPr>
        <w:t>ap</w:t>
      </w:r>
      <w:r w:rsidRPr="00E545DA">
        <w:rPr>
          <w:rStyle w:val="ref-journal"/>
          <w:rFonts w:ascii="Times New Roman" w:hAnsi="Times New Roman" w:cs="Times New Roman"/>
          <w:sz w:val="24"/>
          <w:szCs w:val="24"/>
          <w:shd w:val="clear" w:color="auto" w:fill="FFFFFF"/>
        </w:rPr>
        <w:t>.</w:t>
      </w:r>
      <w:r w:rsidRPr="00E545DA">
        <w:rPr>
          <w:rStyle w:val="apple-converted-space"/>
          <w:rFonts w:ascii="Times New Roman" w:hAnsi="Times New Roman" w:cs="Times New Roman"/>
          <w:sz w:val="24"/>
          <w:szCs w:val="24"/>
          <w:shd w:val="clear" w:color="auto" w:fill="FFFFFF"/>
        </w:rPr>
        <w:t> </w:t>
      </w:r>
      <w:r w:rsidRPr="00E545DA">
        <w:rPr>
          <w:rFonts w:ascii="Times New Roman" w:hAnsi="Times New Roman" w:cs="Times New Roman"/>
          <w:sz w:val="24"/>
          <w:szCs w:val="24"/>
          <w:shd w:val="clear" w:color="auto" w:fill="FFFFFF"/>
        </w:rPr>
        <w:t xml:space="preserve">Bethesda, MD: Editorial </w:t>
      </w:r>
      <w:r w:rsidRPr="00E545DA">
        <w:rPr>
          <w:rFonts w:ascii="Times New Roman" w:hAnsi="Times New Roman" w:cs="Times New Roman"/>
          <w:sz w:val="24"/>
          <w:szCs w:val="24"/>
          <w:shd w:val="clear" w:color="auto" w:fill="FFFFFF"/>
        </w:rPr>
        <w:tab/>
      </w:r>
      <w:r w:rsidR="00880B40" w:rsidRPr="00E545DA">
        <w:rPr>
          <w:rFonts w:ascii="Times New Roman" w:hAnsi="Times New Roman" w:cs="Times New Roman"/>
          <w:sz w:val="24"/>
          <w:szCs w:val="24"/>
          <w:shd w:val="clear" w:color="auto" w:fill="FFFFFF"/>
        </w:rPr>
        <w:t>Project in Education.</w:t>
      </w:r>
    </w:p>
    <w:p w:rsidR="00F8703E" w:rsidRPr="00F8703E" w:rsidRDefault="00F8703E" w:rsidP="00F8703E">
      <w:pPr>
        <w:spacing w:after="40"/>
        <w:rPr>
          <w:rFonts w:ascii="Times New Roman" w:hAnsi="Times New Roman" w:cs="Times New Roman"/>
          <w:sz w:val="24"/>
          <w:szCs w:val="24"/>
        </w:rPr>
      </w:pPr>
      <w:r w:rsidRPr="00E545DA">
        <w:rPr>
          <w:rFonts w:ascii="Times New Roman" w:hAnsi="Times New Roman" w:cs="Times New Roman"/>
          <w:sz w:val="24"/>
          <w:szCs w:val="24"/>
        </w:rPr>
        <w:t xml:space="preserve">U.S. Census </w:t>
      </w:r>
      <w:proofErr w:type="gramStart"/>
      <w:r w:rsidRPr="00E545DA">
        <w:rPr>
          <w:rFonts w:ascii="Times New Roman" w:hAnsi="Times New Roman" w:cs="Times New Roman"/>
          <w:sz w:val="24"/>
          <w:szCs w:val="24"/>
        </w:rPr>
        <w:t>Bureau  (</w:t>
      </w:r>
      <w:proofErr w:type="gramEnd"/>
      <w:r w:rsidRPr="00E545DA">
        <w:rPr>
          <w:rFonts w:ascii="Times New Roman" w:hAnsi="Times New Roman" w:cs="Times New Roman"/>
          <w:sz w:val="24"/>
          <w:szCs w:val="24"/>
        </w:rPr>
        <w:t xml:space="preserve">2012). </w:t>
      </w:r>
      <w:proofErr w:type="gramStart"/>
      <w:r w:rsidRPr="00E545DA">
        <w:rPr>
          <w:rFonts w:ascii="Times New Roman" w:hAnsi="Times New Roman" w:cs="Times New Roman"/>
          <w:i/>
          <w:sz w:val="24"/>
          <w:szCs w:val="24"/>
        </w:rPr>
        <w:t xml:space="preserve">State population – rank, percent change, and population </w:t>
      </w:r>
      <w:r w:rsidRPr="00E545DA">
        <w:rPr>
          <w:rFonts w:ascii="Times New Roman" w:hAnsi="Times New Roman" w:cs="Times New Roman"/>
          <w:i/>
          <w:sz w:val="24"/>
          <w:szCs w:val="24"/>
        </w:rPr>
        <w:tab/>
        <w:t>density</w:t>
      </w:r>
      <w:r w:rsidRPr="00E545DA">
        <w:rPr>
          <w:rFonts w:ascii="Times New Roman" w:hAnsi="Times New Roman" w:cs="Times New Roman"/>
          <w:sz w:val="24"/>
          <w:szCs w:val="24"/>
        </w:rPr>
        <w:t>.</w:t>
      </w:r>
      <w:proofErr w:type="gramEnd"/>
      <w:r w:rsidRPr="00E545DA">
        <w:rPr>
          <w:rFonts w:ascii="Times New Roman" w:hAnsi="Times New Roman" w:cs="Times New Roman"/>
          <w:sz w:val="24"/>
          <w:szCs w:val="24"/>
        </w:rPr>
        <w:t xml:space="preserve"> Statistical abstract of the United States: </w:t>
      </w:r>
      <w:r>
        <w:rPr>
          <w:rFonts w:ascii="Times New Roman" w:hAnsi="Times New Roman" w:cs="Times New Roman"/>
          <w:sz w:val="24"/>
          <w:szCs w:val="24"/>
        </w:rPr>
        <w:t xml:space="preserve">2012 (p. 19). Washington, D.C. </w:t>
      </w:r>
    </w:p>
    <w:p w:rsidR="006C681D" w:rsidRPr="00E545DA" w:rsidRDefault="006C681D" w:rsidP="008C428D">
      <w:pPr>
        <w:spacing w:after="40" w:line="240" w:lineRule="auto"/>
        <w:rPr>
          <w:rFonts w:ascii="Times New Roman" w:hAnsi="Times New Roman" w:cs="Times New Roman"/>
          <w:sz w:val="24"/>
          <w:szCs w:val="24"/>
          <w:shd w:val="clear" w:color="auto" w:fill="FFFFFF"/>
        </w:rPr>
      </w:pPr>
      <w:r w:rsidRPr="00E545DA">
        <w:rPr>
          <w:rFonts w:ascii="Times New Roman" w:hAnsi="Times New Roman" w:cs="Times New Roman"/>
          <w:sz w:val="24"/>
          <w:szCs w:val="24"/>
          <w:shd w:val="clear" w:color="auto" w:fill="FFFFFF"/>
        </w:rPr>
        <w:t xml:space="preserve">U.S. Department of Education, National Center for Education Statistics, Common Core of Data </w:t>
      </w:r>
      <w:r w:rsidRPr="00E545DA">
        <w:rPr>
          <w:rFonts w:ascii="Times New Roman" w:hAnsi="Times New Roman" w:cs="Times New Roman"/>
          <w:sz w:val="24"/>
          <w:szCs w:val="24"/>
          <w:shd w:val="clear" w:color="auto" w:fill="FFFFFF"/>
        </w:rPr>
        <w:tab/>
        <w:t xml:space="preserve">(CCD), "State Dropout and Completion Data File", 2009-10; "State </w:t>
      </w:r>
      <w:proofErr w:type="spellStart"/>
      <w:r w:rsidRPr="00E545DA">
        <w:rPr>
          <w:rFonts w:ascii="Times New Roman" w:hAnsi="Times New Roman" w:cs="Times New Roman"/>
          <w:sz w:val="24"/>
          <w:szCs w:val="24"/>
          <w:shd w:val="clear" w:color="auto" w:fill="FFFFFF"/>
        </w:rPr>
        <w:t>Nonfiscal</w:t>
      </w:r>
      <w:proofErr w:type="spellEnd"/>
      <w:r w:rsidRPr="00E545DA">
        <w:rPr>
          <w:rFonts w:ascii="Times New Roman" w:hAnsi="Times New Roman" w:cs="Times New Roman"/>
          <w:sz w:val="24"/>
          <w:szCs w:val="24"/>
          <w:shd w:val="clear" w:color="auto" w:fill="FFFFFF"/>
        </w:rPr>
        <w:t xml:space="preserve"> Public </w:t>
      </w:r>
      <w:r w:rsidRPr="00E545DA">
        <w:rPr>
          <w:rFonts w:ascii="Times New Roman" w:hAnsi="Times New Roman" w:cs="Times New Roman"/>
          <w:sz w:val="24"/>
          <w:szCs w:val="24"/>
          <w:shd w:val="clear" w:color="auto" w:fill="FFFFFF"/>
        </w:rPr>
        <w:lastRenderedPageBreak/>
        <w:tab/>
        <w:t>Elementary/Secondary Education Survey", 2010-11.</w:t>
      </w:r>
      <w:r w:rsidR="00604D6A" w:rsidRPr="00E545DA">
        <w:rPr>
          <w:rFonts w:ascii="Times New Roman" w:hAnsi="Times New Roman" w:cs="Times New Roman"/>
          <w:sz w:val="24"/>
          <w:szCs w:val="24"/>
          <w:shd w:val="clear" w:color="auto" w:fill="FFFFFF"/>
        </w:rPr>
        <w:t xml:space="preserve"> Retrieved from website: </w:t>
      </w:r>
      <w:r w:rsidR="00604D6A" w:rsidRPr="00E545DA">
        <w:rPr>
          <w:rFonts w:ascii="Times New Roman" w:hAnsi="Times New Roman" w:cs="Times New Roman"/>
          <w:sz w:val="24"/>
          <w:szCs w:val="24"/>
          <w:shd w:val="clear" w:color="auto" w:fill="FFFFFF"/>
        </w:rPr>
        <w:tab/>
      </w:r>
      <w:hyperlink r:id="rId12" w:history="1">
        <w:r w:rsidR="00604D6A" w:rsidRPr="00E545DA">
          <w:rPr>
            <w:rStyle w:val="Hyperlink"/>
            <w:rFonts w:ascii="Times New Roman" w:hAnsi="Times New Roman" w:cs="Times New Roman"/>
            <w:color w:val="auto"/>
            <w:sz w:val="24"/>
            <w:szCs w:val="24"/>
          </w:rPr>
          <w:t>http://nces.ed.gov/ccd/</w:t>
        </w:r>
      </w:hyperlink>
    </w:p>
    <w:p w:rsidR="005C131A" w:rsidRPr="00E545DA" w:rsidRDefault="005C131A" w:rsidP="008C428D">
      <w:pPr>
        <w:spacing w:after="40" w:line="240" w:lineRule="auto"/>
        <w:rPr>
          <w:rFonts w:ascii="Times New Roman" w:hAnsi="Times New Roman" w:cs="Times New Roman"/>
          <w:sz w:val="24"/>
          <w:szCs w:val="24"/>
        </w:rPr>
      </w:pPr>
      <w:proofErr w:type="gramStart"/>
      <w:r w:rsidRPr="00E545DA">
        <w:rPr>
          <w:rFonts w:ascii="Times New Roman" w:hAnsi="Times New Roman" w:cs="Times New Roman"/>
          <w:sz w:val="24"/>
          <w:szCs w:val="24"/>
          <w:shd w:val="clear" w:color="auto" w:fill="FFFFFF"/>
        </w:rPr>
        <w:t>U.S. Department of Labor, Bureau of Labor Statistics.</w:t>
      </w:r>
      <w:proofErr w:type="gramEnd"/>
      <w:r w:rsidRPr="00E545DA">
        <w:rPr>
          <w:rFonts w:ascii="Times New Roman" w:hAnsi="Times New Roman" w:cs="Times New Roman"/>
          <w:sz w:val="24"/>
          <w:szCs w:val="24"/>
          <w:shd w:val="clear" w:color="auto" w:fill="FFFFFF"/>
        </w:rPr>
        <w:t xml:space="preserve"> </w:t>
      </w:r>
      <w:proofErr w:type="gramStart"/>
      <w:r w:rsidRPr="00E545DA">
        <w:rPr>
          <w:rFonts w:ascii="Times New Roman" w:hAnsi="Times New Roman" w:cs="Times New Roman"/>
          <w:sz w:val="24"/>
          <w:szCs w:val="24"/>
          <w:shd w:val="clear" w:color="auto" w:fill="FFFFFF"/>
        </w:rPr>
        <w:t>(2013).</w:t>
      </w:r>
      <w:r w:rsidRPr="00E545DA">
        <w:rPr>
          <w:rStyle w:val="apple-converted-space"/>
          <w:rFonts w:ascii="Times New Roman" w:hAnsi="Times New Roman" w:cs="Times New Roman"/>
          <w:sz w:val="24"/>
          <w:szCs w:val="24"/>
          <w:shd w:val="clear" w:color="auto" w:fill="FFFFFF"/>
        </w:rPr>
        <w:t> </w:t>
      </w:r>
      <w:r w:rsidRPr="00E545DA">
        <w:rPr>
          <w:rFonts w:ascii="Times New Roman" w:hAnsi="Times New Roman" w:cs="Times New Roman"/>
          <w:i/>
          <w:iCs/>
          <w:sz w:val="24"/>
          <w:szCs w:val="24"/>
          <w:shd w:val="clear" w:color="auto" w:fill="FFFFFF"/>
        </w:rPr>
        <w:t xml:space="preserve">Earnings and unemployment rates </w:t>
      </w:r>
      <w:r w:rsidR="006C681D" w:rsidRPr="00E545DA">
        <w:rPr>
          <w:rFonts w:ascii="Times New Roman" w:hAnsi="Times New Roman" w:cs="Times New Roman"/>
          <w:i/>
          <w:iCs/>
          <w:sz w:val="24"/>
          <w:szCs w:val="24"/>
          <w:shd w:val="clear" w:color="auto" w:fill="FFFFFF"/>
        </w:rPr>
        <w:tab/>
      </w:r>
      <w:r w:rsidRPr="00E545DA">
        <w:rPr>
          <w:rFonts w:ascii="Times New Roman" w:hAnsi="Times New Roman" w:cs="Times New Roman"/>
          <w:i/>
          <w:iCs/>
          <w:sz w:val="24"/>
          <w:szCs w:val="24"/>
          <w:shd w:val="clear" w:color="auto" w:fill="FFFFFF"/>
        </w:rPr>
        <w:t>by educational attainment</w:t>
      </w:r>
      <w:r w:rsidRPr="00E545DA">
        <w:rPr>
          <w:rFonts w:ascii="Times New Roman" w:hAnsi="Times New Roman" w:cs="Times New Roman"/>
          <w:sz w:val="24"/>
          <w:szCs w:val="24"/>
          <w:shd w:val="clear" w:color="auto" w:fill="FFFFFF"/>
        </w:rPr>
        <w:t>.</w:t>
      </w:r>
      <w:proofErr w:type="gramEnd"/>
      <w:r w:rsidRPr="00E545DA">
        <w:rPr>
          <w:rFonts w:ascii="Times New Roman" w:hAnsi="Times New Roman" w:cs="Times New Roman"/>
          <w:sz w:val="24"/>
          <w:szCs w:val="24"/>
          <w:shd w:val="clear" w:color="auto" w:fill="FFFFFF"/>
        </w:rPr>
        <w:t xml:space="preserve"> Retrieved from website: </w:t>
      </w:r>
      <w:r w:rsidR="006C681D" w:rsidRPr="00E545DA">
        <w:rPr>
          <w:rFonts w:ascii="Times New Roman" w:hAnsi="Times New Roman" w:cs="Times New Roman"/>
          <w:sz w:val="24"/>
          <w:szCs w:val="24"/>
          <w:shd w:val="clear" w:color="auto" w:fill="FFFFFF"/>
        </w:rPr>
        <w:tab/>
      </w:r>
      <w:hyperlink r:id="rId13" w:history="1">
        <w:r w:rsidR="00566300" w:rsidRPr="00E545DA">
          <w:rPr>
            <w:rStyle w:val="Hyperlink"/>
            <w:rFonts w:ascii="Times New Roman" w:hAnsi="Times New Roman" w:cs="Times New Roman"/>
            <w:color w:val="auto"/>
            <w:sz w:val="24"/>
            <w:szCs w:val="24"/>
            <w:shd w:val="clear" w:color="auto" w:fill="FFFFFF"/>
          </w:rPr>
          <w:t>http://www.bls.gov/emp/ep_chart_001</w:t>
        </w:r>
      </w:hyperlink>
      <w:r w:rsidRPr="00E545DA">
        <w:rPr>
          <w:rFonts w:ascii="Times New Roman" w:hAnsi="Times New Roman" w:cs="Times New Roman"/>
          <w:sz w:val="24"/>
          <w:szCs w:val="24"/>
          <w:shd w:val="clear" w:color="auto" w:fill="FFFFFF"/>
        </w:rPr>
        <w:t>.htm</w:t>
      </w:r>
    </w:p>
    <w:sectPr w:rsidR="005C131A" w:rsidRPr="00E545D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E27" w:rsidRDefault="00AA0E27" w:rsidP="002D4832">
      <w:pPr>
        <w:spacing w:after="0" w:line="240" w:lineRule="auto"/>
      </w:pPr>
      <w:r>
        <w:separator/>
      </w:r>
    </w:p>
  </w:endnote>
  <w:endnote w:type="continuationSeparator" w:id="0">
    <w:p w:rsidR="00AA0E27" w:rsidRDefault="00AA0E27" w:rsidP="002D4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3048188"/>
      <w:docPartObj>
        <w:docPartGallery w:val="Page Numbers (Bottom of Page)"/>
        <w:docPartUnique/>
      </w:docPartObj>
    </w:sdtPr>
    <w:sdtEndPr>
      <w:rPr>
        <w:noProof/>
      </w:rPr>
    </w:sdtEndPr>
    <w:sdtContent>
      <w:p w:rsidR="00421444" w:rsidRDefault="00421444">
        <w:pPr>
          <w:pStyle w:val="Footer"/>
          <w:jc w:val="right"/>
        </w:pPr>
        <w:r>
          <w:fldChar w:fldCharType="begin"/>
        </w:r>
        <w:r>
          <w:instrText xml:space="preserve"> PAGE   \* MERGEFORMAT </w:instrText>
        </w:r>
        <w:r>
          <w:fldChar w:fldCharType="separate"/>
        </w:r>
        <w:r w:rsidR="00393435">
          <w:rPr>
            <w:noProof/>
          </w:rPr>
          <w:t>1</w:t>
        </w:r>
        <w:r>
          <w:rPr>
            <w:noProof/>
          </w:rPr>
          <w:fldChar w:fldCharType="end"/>
        </w:r>
      </w:p>
    </w:sdtContent>
  </w:sdt>
  <w:p w:rsidR="00421444" w:rsidRDefault="004214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E27" w:rsidRDefault="00AA0E27" w:rsidP="002D4832">
      <w:pPr>
        <w:spacing w:after="0" w:line="240" w:lineRule="auto"/>
      </w:pPr>
      <w:r>
        <w:separator/>
      </w:r>
    </w:p>
  </w:footnote>
  <w:footnote w:type="continuationSeparator" w:id="0">
    <w:p w:rsidR="00AA0E27" w:rsidRDefault="00AA0E27" w:rsidP="002D48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A67"/>
    <w:rsid w:val="00001D3C"/>
    <w:rsid w:val="00002835"/>
    <w:rsid w:val="00005DF7"/>
    <w:rsid w:val="0000738D"/>
    <w:rsid w:val="00011B5C"/>
    <w:rsid w:val="00014332"/>
    <w:rsid w:val="0001582E"/>
    <w:rsid w:val="00017ED6"/>
    <w:rsid w:val="00025838"/>
    <w:rsid w:val="0002586B"/>
    <w:rsid w:val="000260EC"/>
    <w:rsid w:val="00026E7D"/>
    <w:rsid w:val="000305B7"/>
    <w:rsid w:val="000410F3"/>
    <w:rsid w:val="000416C1"/>
    <w:rsid w:val="00042620"/>
    <w:rsid w:val="00045A4E"/>
    <w:rsid w:val="00052EB4"/>
    <w:rsid w:val="00055955"/>
    <w:rsid w:val="00062D25"/>
    <w:rsid w:val="00063BC2"/>
    <w:rsid w:val="0006635C"/>
    <w:rsid w:val="0007150A"/>
    <w:rsid w:val="000724B1"/>
    <w:rsid w:val="00074428"/>
    <w:rsid w:val="0008700F"/>
    <w:rsid w:val="0009179C"/>
    <w:rsid w:val="00091FDB"/>
    <w:rsid w:val="00093320"/>
    <w:rsid w:val="000933A8"/>
    <w:rsid w:val="000B40C9"/>
    <w:rsid w:val="000C3254"/>
    <w:rsid w:val="000C587B"/>
    <w:rsid w:val="000D015D"/>
    <w:rsid w:val="000D4193"/>
    <w:rsid w:val="000D41FA"/>
    <w:rsid w:val="000E043F"/>
    <w:rsid w:val="000E2E38"/>
    <w:rsid w:val="000E3DE2"/>
    <w:rsid w:val="000E57FD"/>
    <w:rsid w:val="000E7A14"/>
    <w:rsid w:val="000F294B"/>
    <w:rsid w:val="000F3AFC"/>
    <w:rsid w:val="000F69F8"/>
    <w:rsid w:val="00105046"/>
    <w:rsid w:val="001051F9"/>
    <w:rsid w:val="00107E84"/>
    <w:rsid w:val="00110E83"/>
    <w:rsid w:val="0011631C"/>
    <w:rsid w:val="00117493"/>
    <w:rsid w:val="00124962"/>
    <w:rsid w:val="00132967"/>
    <w:rsid w:val="00135160"/>
    <w:rsid w:val="00136308"/>
    <w:rsid w:val="001368B7"/>
    <w:rsid w:val="00142148"/>
    <w:rsid w:val="00145A4E"/>
    <w:rsid w:val="0015033C"/>
    <w:rsid w:val="00150A97"/>
    <w:rsid w:val="001516CA"/>
    <w:rsid w:val="001535C7"/>
    <w:rsid w:val="00153897"/>
    <w:rsid w:val="001561AB"/>
    <w:rsid w:val="001578E4"/>
    <w:rsid w:val="00162FFA"/>
    <w:rsid w:val="00173789"/>
    <w:rsid w:val="001748A5"/>
    <w:rsid w:val="00174B3C"/>
    <w:rsid w:val="001805C8"/>
    <w:rsid w:val="0018258E"/>
    <w:rsid w:val="00182B5C"/>
    <w:rsid w:val="0019412F"/>
    <w:rsid w:val="001A194E"/>
    <w:rsid w:val="001A3976"/>
    <w:rsid w:val="001A3A95"/>
    <w:rsid w:val="001A3F92"/>
    <w:rsid w:val="001A615C"/>
    <w:rsid w:val="001A7114"/>
    <w:rsid w:val="001B1F56"/>
    <w:rsid w:val="001C113C"/>
    <w:rsid w:val="001C5CC4"/>
    <w:rsid w:val="001D36E6"/>
    <w:rsid w:val="001D4CDE"/>
    <w:rsid w:val="001D72E6"/>
    <w:rsid w:val="001E60F4"/>
    <w:rsid w:val="001F4BE8"/>
    <w:rsid w:val="001F709F"/>
    <w:rsid w:val="00205DD4"/>
    <w:rsid w:val="00206841"/>
    <w:rsid w:val="00210849"/>
    <w:rsid w:val="00222517"/>
    <w:rsid w:val="002267FD"/>
    <w:rsid w:val="002269AF"/>
    <w:rsid w:val="00226A52"/>
    <w:rsid w:val="00233D9A"/>
    <w:rsid w:val="002368A1"/>
    <w:rsid w:val="0024461D"/>
    <w:rsid w:val="0025218A"/>
    <w:rsid w:val="00252A93"/>
    <w:rsid w:val="00254AEB"/>
    <w:rsid w:val="00260696"/>
    <w:rsid w:val="002621DD"/>
    <w:rsid w:val="00264615"/>
    <w:rsid w:val="00271A36"/>
    <w:rsid w:val="002740CF"/>
    <w:rsid w:val="002801F8"/>
    <w:rsid w:val="00282333"/>
    <w:rsid w:val="002873B3"/>
    <w:rsid w:val="00291B2D"/>
    <w:rsid w:val="002C17EE"/>
    <w:rsid w:val="002C4CC8"/>
    <w:rsid w:val="002D455A"/>
    <w:rsid w:val="002D4832"/>
    <w:rsid w:val="002D74FF"/>
    <w:rsid w:val="002D77DE"/>
    <w:rsid w:val="002D7FF1"/>
    <w:rsid w:val="002E52DC"/>
    <w:rsid w:val="002E762A"/>
    <w:rsid w:val="002F2153"/>
    <w:rsid w:val="002F25E6"/>
    <w:rsid w:val="002F30BF"/>
    <w:rsid w:val="002F3199"/>
    <w:rsid w:val="002F397B"/>
    <w:rsid w:val="00302064"/>
    <w:rsid w:val="003023C2"/>
    <w:rsid w:val="00303203"/>
    <w:rsid w:val="00307F2A"/>
    <w:rsid w:val="00311443"/>
    <w:rsid w:val="00314ACA"/>
    <w:rsid w:val="00315FA7"/>
    <w:rsid w:val="00316198"/>
    <w:rsid w:val="00322E5C"/>
    <w:rsid w:val="00323EBB"/>
    <w:rsid w:val="0033076E"/>
    <w:rsid w:val="00333924"/>
    <w:rsid w:val="00336A3A"/>
    <w:rsid w:val="003446BC"/>
    <w:rsid w:val="00344DE6"/>
    <w:rsid w:val="003521C5"/>
    <w:rsid w:val="00364380"/>
    <w:rsid w:val="003675EE"/>
    <w:rsid w:val="00370E14"/>
    <w:rsid w:val="00371D69"/>
    <w:rsid w:val="00373273"/>
    <w:rsid w:val="00376FFA"/>
    <w:rsid w:val="003869AE"/>
    <w:rsid w:val="00393435"/>
    <w:rsid w:val="00397FED"/>
    <w:rsid w:val="003A6045"/>
    <w:rsid w:val="003B6500"/>
    <w:rsid w:val="003C2CC3"/>
    <w:rsid w:val="003D1A0D"/>
    <w:rsid w:val="003E5633"/>
    <w:rsid w:val="003F49EE"/>
    <w:rsid w:val="003F4BE3"/>
    <w:rsid w:val="003F72E3"/>
    <w:rsid w:val="00400D8F"/>
    <w:rsid w:val="00400E2E"/>
    <w:rsid w:val="0040325C"/>
    <w:rsid w:val="00403EF2"/>
    <w:rsid w:val="00416092"/>
    <w:rsid w:val="00421444"/>
    <w:rsid w:val="00423111"/>
    <w:rsid w:val="004260BA"/>
    <w:rsid w:val="00432501"/>
    <w:rsid w:val="00432CE1"/>
    <w:rsid w:val="00434E81"/>
    <w:rsid w:val="00436909"/>
    <w:rsid w:val="00436FFE"/>
    <w:rsid w:val="0044118A"/>
    <w:rsid w:val="00447B06"/>
    <w:rsid w:val="004509B0"/>
    <w:rsid w:val="00472B79"/>
    <w:rsid w:val="00481847"/>
    <w:rsid w:val="00486D22"/>
    <w:rsid w:val="004902A8"/>
    <w:rsid w:val="004923F5"/>
    <w:rsid w:val="0049287E"/>
    <w:rsid w:val="00493EAA"/>
    <w:rsid w:val="00495CD9"/>
    <w:rsid w:val="00496F8F"/>
    <w:rsid w:val="004A1474"/>
    <w:rsid w:val="004A322B"/>
    <w:rsid w:val="004A4626"/>
    <w:rsid w:val="004B5416"/>
    <w:rsid w:val="004B5F37"/>
    <w:rsid w:val="004B6568"/>
    <w:rsid w:val="004B7665"/>
    <w:rsid w:val="004C3E64"/>
    <w:rsid w:val="004C6F33"/>
    <w:rsid w:val="004D47CA"/>
    <w:rsid w:val="004D5FCB"/>
    <w:rsid w:val="004D6745"/>
    <w:rsid w:val="004D7690"/>
    <w:rsid w:val="004E03FA"/>
    <w:rsid w:val="004E0482"/>
    <w:rsid w:val="004F069A"/>
    <w:rsid w:val="0050187B"/>
    <w:rsid w:val="00504BB3"/>
    <w:rsid w:val="005108E4"/>
    <w:rsid w:val="005257A0"/>
    <w:rsid w:val="00527B10"/>
    <w:rsid w:val="0053235A"/>
    <w:rsid w:val="00532ABD"/>
    <w:rsid w:val="005339D9"/>
    <w:rsid w:val="00547639"/>
    <w:rsid w:val="00550A8B"/>
    <w:rsid w:val="00565AD1"/>
    <w:rsid w:val="00566300"/>
    <w:rsid w:val="00574543"/>
    <w:rsid w:val="00575270"/>
    <w:rsid w:val="00581817"/>
    <w:rsid w:val="0058696D"/>
    <w:rsid w:val="0058740F"/>
    <w:rsid w:val="00591CA2"/>
    <w:rsid w:val="0059564C"/>
    <w:rsid w:val="005A33A6"/>
    <w:rsid w:val="005A6A2A"/>
    <w:rsid w:val="005B0FC6"/>
    <w:rsid w:val="005B1FFC"/>
    <w:rsid w:val="005B7854"/>
    <w:rsid w:val="005C131A"/>
    <w:rsid w:val="005D13E3"/>
    <w:rsid w:val="005D783C"/>
    <w:rsid w:val="005E08DA"/>
    <w:rsid w:val="005F43AC"/>
    <w:rsid w:val="00601518"/>
    <w:rsid w:val="0060416B"/>
    <w:rsid w:val="00604277"/>
    <w:rsid w:val="00604D6A"/>
    <w:rsid w:val="00606DBE"/>
    <w:rsid w:val="00611D50"/>
    <w:rsid w:val="0061502C"/>
    <w:rsid w:val="0061737F"/>
    <w:rsid w:val="006274D5"/>
    <w:rsid w:val="006301A5"/>
    <w:rsid w:val="00630432"/>
    <w:rsid w:val="00631AC7"/>
    <w:rsid w:val="00633745"/>
    <w:rsid w:val="00634D01"/>
    <w:rsid w:val="00635095"/>
    <w:rsid w:val="0063626D"/>
    <w:rsid w:val="0064075C"/>
    <w:rsid w:val="00650C76"/>
    <w:rsid w:val="00652283"/>
    <w:rsid w:val="006525CB"/>
    <w:rsid w:val="006555AF"/>
    <w:rsid w:val="00685B41"/>
    <w:rsid w:val="00686470"/>
    <w:rsid w:val="00692600"/>
    <w:rsid w:val="006A1DA1"/>
    <w:rsid w:val="006A5C3F"/>
    <w:rsid w:val="006A7511"/>
    <w:rsid w:val="006B1627"/>
    <w:rsid w:val="006C3A67"/>
    <w:rsid w:val="006C4EF3"/>
    <w:rsid w:val="006C55B9"/>
    <w:rsid w:val="006C681D"/>
    <w:rsid w:val="006C697C"/>
    <w:rsid w:val="006D1865"/>
    <w:rsid w:val="006D2CA8"/>
    <w:rsid w:val="006F4ED1"/>
    <w:rsid w:val="00704395"/>
    <w:rsid w:val="00704CD3"/>
    <w:rsid w:val="00727132"/>
    <w:rsid w:val="0072717B"/>
    <w:rsid w:val="00733601"/>
    <w:rsid w:val="00734E28"/>
    <w:rsid w:val="00740147"/>
    <w:rsid w:val="00752A40"/>
    <w:rsid w:val="00753961"/>
    <w:rsid w:val="00755257"/>
    <w:rsid w:val="00760668"/>
    <w:rsid w:val="00761B2F"/>
    <w:rsid w:val="00763D1E"/>
    <w:rsid w:val="00763D56"/>
    <w:rsid w:val="00766E51"/>
    <w:rsid w:val="00774DDF"/>
    <w:rsid w:val="0077503B"/>
    <w:rsid w:val="00782DEF"/>
    <w:rsid w:val="00783B73"/>
    <w:rsid w:val="00783E60"/>
    <w:rsid w:val="007955B7"/>
    <w:rsid w:val="00796177"/>
    <w:rsid w:val="007972E5"/>
    <w:rsid w:val="007A583D"/>
    <w:rsid w:val="007A699D"/>
    <w:rsid w:val="007A750F"/>
    <w:rsid w:val="007B34A5"/>
    <w:rsid w:val="007B651C"/>
    <w:rsid w:val="007B7160"/>
    <w:rsid w:val="007B7638"/>
    <w:rsid w:val="007C2A32"/>
    <w:rsid w:val="007C3186"/>
    <w:rsid w:val="007D161A"/>
    <w:rsid w:val="007D278A"/>
    <w:rsid w:val="007D4E2A"/>
    <w:rsid w:val="007D53BD"/>
    <w:rsid w:val="007E1E16"/>
    <w:rsid w:val="007E2F78"/>
    <w:rsid w:val="007E3EE0"/>
    <w:rsid w:val="00800942"/>
    <w:rsid w:val="00810929"/>
    <w:rsid w:val="008109B7"/>
    <w:rsid w:val="0081273A"/>
    <w:rsid w:val="008150AF"/>
    <w:rsid w:val="0081712C"/>
    <w:rsid w:val="00821F20"/>
    <w:rsid w:val="0082265B"/>
    <w:rsid w:val="008244D6"/>
    <w:rsid w:val="008275D3"/>
    <w:rsid w:val="00830A83"/>
    <w:rsid w:val="00834281"/>
    <w:rsid w:val="00836ED6"/>
    <w:rsid w:val="00840B08"/>
    <w:rsid w:val="00843428"/>
    <w:rsid w:val="0084451E"/>
    <w:rsid w:val="00845666"/>
    <w:rsid w:val="0085284F"/>
    <w:rsid w:val="00854DD5"/>
    <w:rsid w:val="00865E42"/>
    <w:rsid w:val="00867B51"/>
    <w:rsid w:val="00870DDB"/>
    <w:rsid w:val="0087113E"/>
    <w:rsid w:val="00871430"/>
    <w:rsid w:val="00880B40"/>
    <w:rsid w:val="0088195B"/>
    <w:rsid w:val="008848FD"/>
    <w:rsid w:val="008877CF"/>
    <w:rsid w:val="00892C91"/>
    <w:rsid w:val="00895377"/>
    <w:rsid w:val="00895383"/>
    <w:rsid w:val="00895B1D"/>
    <w:rsid w:val="008A20F9"/>
    <w:rsid w:val="008A262D"/>
    <w:rsid w:val="008A56C5"/>
    <w:rsid w:val="008B693E"/>
    <w:rsid w:val="008C0557"/>
    <w:rsid w:val="008C26B5"/>
    <w:rsid w:val="008C428D"/>
    <w:rsid w:val="008C6FDA"/>
    <w:rsid w:val="008C6FF0"/>
    <w:rsid w:val="008C7CAA"/>
    <w:rsid w:val="008D5B3B"/>
    <w:rsid w:val="008E2756"/>
    <w:rsid w:val="008E30C9"/>
    <w:rsid w:val="008F6DF0"/>
    <w:rsid w:val="008F778B"/>
    <w:rsid w:val="009045CD"/>
    <w:rsid w:val="009067B3"/>
    <w:rsid w:val="00912779"/>
    <w:rsid w:val="00912CCB"/>
    <w:rsid w:val="00913758"/>
    <w:rsid w:val="009162A1"/>
    <w:rsid w:val="00920A18"/>
    <w:rsid w:val="00923594"/>
    <w:rsid w:val="0092667D"/>
    <w:rsid w:val="00933B66"/>
    <w:rsid w:val="00934CC6"/>
    <w:rsid w:val="0093679A"/>
    <w:rsid w:val="0093681A"/>
    <w:rsid w:val="009429EC"/>
    <w:rsid w:val="0094404F"/>
    <w:rsid w:val="00946599"/>
    <w:rsid w:val="00952439"/>
    <w:rsid w:val="00954347"/>
    <w:rsid w:val="0095453D"/>
    <w:rsid w:val="00961652"/>
    <w:rsid w:val="00962EEE"/>
    <w:rsid w:val="0096357A"/>
    <w:rsid w:val="0096709C"/>
    <w:rsid w:val="00973F8B"/>
    <w:rsid w:val="00976F83"/>
    <w:rsid w:val="00983C61"/>
    <w:rsid w:val="0098526B"/>
    <w:rsid w:val="00991203"/>
    <w:rsid w:val="00991B01"/>
    <w:rsid w:val="009938E3"/>
    <w:rsid w:val="009A13FC"/>
    <w:rsid w:val="009A466D"/>
    <w:rsid w:val="009A690B"/>
    <w:rsid w:val="009A7C96"/>
    <w:rsid w:val="009C5BEF"/>
    <w:rsid w:val="009E015C"/>
    <w:rsid w:val="009E4AED"/>
    <w:rsid w:val="009F0958"/>
    <w:rsid w:val="009F23EF"/>
    <w:rsid w:val="009F27ED"/>
    <w:rsid w:val="009F4F52"/>
    <w:rsid w:val="009F5C4B"/>
    <w:rsid w:val="00A0543D"/>
    <w:rsid w:val="00A16A10"/>
    <w:rsid w:val="00A229F2"/>
    <w:rsid w:val="00A2326E"/>
    <w:rsid w:val="00A23623"/>
    <w:rsid w:val="00A26935"/>
    <w:rsid w:val="00A42D9C"/>
    <w:rsid w:val="00A4360A"/>
    <w:rsid w:val="00A458E6"/>
    <w:rsid w:val="00A46277"/>
    <w:rsid w:val="00A47126"/>
    <w:rsid w:val="00A4780B"/>
    <w:rsid w:val="00A50F2F"/>
    <w:rsid w:val="00A53EDA"/>
    <w:rsid w:val="00A5431C"/>
    <w:rsid w:val="00A54E3D"/>
    <w:rsid w:val="00A675D3"/>
    <w:rsid w:val="00A85539"/>
    <w:rsid w:val="00A872AA"/>
    <w:rsid w:val="00A93A10"/>
    <w:rsid w:val="00A9443B"/>
    <w:rsid w:val="00A97ACF"/>
    <w:rsid w:val="00AA0E27"/>
    <w:rsid w:val="00AC172A"/>
    <w:rsid w:val="00AC5AD1"/>
    <w:rsid w:val="00AC66CF"/>
    <w:rsid w:val="00AD48F7"/>
    <w:rsid w:val="00AF2196"/>
    <w:rsid w:val="00AF442E"/>
    <w:rsid w:val="00AF558E"/>
    <w:rsid w:val="00B0564A"/>
    <w:rsid w:val="00B123B9"/>
    <w:rsid w:val="00B23D81"/>
    <w:rsid w:val="00B26F2C"/>
    <w:rsid w:val="00B31641"/>
    <w:rsid w:val="00B44A96"/>
    <w:rsid w:val="00B472D3"/>
    <w:rsid w:val="00B4741E"/>
    <w:rsid w:val="00B511CC"/>
    <w:rsid w:val="00B52633"/>
    <w:rsid w:val="00B53C4C"/>
    <w:rsid w:val="00B54E33"/>
    <w:rsid w:val="00B552DF"/>
    <w:rsid w:val="00B56223"/>
    <w:rsid w:val="00B6125A"/>
    <w:rsid w:val="00B61F44"/>
    <w:rsid w:val="00B716EE"/>
    <w:rsid w:val="00B735F3"/>
    <w:rsid w:val="00B83566"/>
    <w:rsid w:val="00B910C4"/>
    <w:rsid w:val="00B934D5"/>
    <w:rsid w:val="00B96396"/>
    <w:rsid w:val="00BA44AE"/>
    <w:rsid w:val="00BA532A"/>
    <w:rsid w:val="00BC00EB"/>
    <w:rsid w:val="00BC0C38"/>
    <w:rsid w:val="00BC0E62"/>
    <w:rsid w:val="00BC2B48"/>
    <w:rsid w:val="00BE1531"/>
    <w:rsid w:val="00BE69DD"/>
    <w:rsid w:val="00BE74EF"/>
    <w:rsid w:val="00BF4D72"/>
    <w:rsid w:val="00BF5514"/>
    <w:rsid w:val="00BF725A"/>
    <w:rsid w:val="00C03671"/>
    <w:rsid w:val="00C1307B"/>
    <w:rsid w:val="00C13472"/>
    <w:rsid w:val="00C15F94"/>
    <w:rsid w:val="00C20749"/>
    <w:rsid w:val="00C2474E"/>
    <w:rsid w:val="00C27153"/>
    <w:rsid w:val="00C27AA3"/>
    <w:rsid w:val="00C45125"/>
    <w:rsid w:val="00C52BD4"/>
    <w:rsid w:val="00C55BFF"/>
    <w:rsid w:val="00C57C9D"/>
    <w:rsid w:val="00C60501"/>
    <w:rsid w:val="00C619E9"/>
    <w:rsid w:val="00C6593E"/>
    <w:rsid w:val="00C66EBB"/>
    <w:rsid w:val="00C67FC9"/>
    <w:rsid w:val="00C77C0F"/>
    <w:rsid w:val="00C83C85"/>
    <w:rsid w:val="00C84F29"/>
    <w:rsid w:val="00C85B4E"/>
    <w:rsid w:val="00C93A2C"/>
    <w:rsid w:val="00C93C00"/>
    <w:rsid w:val="00CA46C7"/>
    <w:rsid w:val="00CB40BB"/>
    <w:rsid w:val="00CB4AC9"/>
    <w:rsid w:val="00CC1C1B"/>
    <w:rsid w:val="00CC587A"/>
    <w:rsid w:val="00CC602F"/>
    <w:rsid w:val="00CC7A17"/>
    <w:rsid w:val="00CD3AC0"/>
    <w:rsid w:val="00CD7FE8"/>
    <w:rsid w:val="00CF0C38"/>
    <w:rsid w:val="00CF47D8"/>
    <w:rsid w:val="00CF6C3D"/>
    <w:rsid w:val="00D0094B"/>
    <w:rsid w:val="00D03C13"/>
    <w:rsid w:val="00D17F4C"/>
    <w:rsid w:val="00D21FA9"/>
    <w:rsid w:val="00D27023"/>
    <w:rsid w:val="00D379FC"/>
    <w:rsid w:val="00D41ED5"/>
    <w:rsid w:val="00D43090"/>
    <w:rsid w:val="00D4469F"/>
    <w:rsid w:val="00D4513C"/>
    <w:rsid w:val="00D47C54"/>
    <w:rsid w:val="00D51308"/>
    <w:rsid w:val="00D51F9F"/>
    <w:rsid w:val="00D53912"/>
    <w:rsid w:val="00D5446E"/>
    <w:rsid w:val="00D54DB9"/>
    <w:rsid w:val="00D561CC"/>
    <w:rsid w:val="00D57CC2"/>
    <w:rsid w:val="00D65460"/>
    <w:rsid w:val="00D67A9F"/>
    <w:rsid w:val="00D71997"/>
    <w:rsid w:val="00D72192"/>
    <w:rsid w:val="00D73CF8"/>
    <w:rsid w:val="00D77670"/>
    <w:rsid w:val="00D80506"/>
    <w:rsid w:val="00D91B73"/>
    <w:rsid w:val="00D95F68"/>
    <w:rsid w:val="00D975DA"/>
    <w:rsid w:val="00DB52ED"/>
    <w:rsid w:val="00DB5D3F"/>
    <w:rsid w:val="00DB68DC"/>
    <w:rsid w:val="00DC2BDB"/>
    <w:rsid w:val="00DC4EF4"/>
    <w:rsid w:val="00DD1C8F"/>
    <w:rsid w:val="00DD21D6"/>
    <w:rsid w:val="00DD49B7"/>
    <w:rsid w:val="00DD7E7B"/>
    <w:rsid w:val="00DE22AA"/>
    <w:rsid w:val="00DE6D84"/>
    <w:rsid w:val="00DF1D94"/>
    <w:rsid w:val="00DF4F15"/>
    <w:rsid w:val="00E0132D"/>
    <w:rsid w:val="00E05835"/>
    <w:rsid w:val="00E1263A"/>
    <w:rsid w:val="00E167F7"/>
    <w:rsid w:val="00E2087E"/>
    <w:rsid w:val="00E22952"/>
    <w:rsid w:val="00E236BF"/>
    <w:rsid w:val="00E23ED3"/>
    <w:rsid w:val="00E26F17"/>
    <w:rsid w:val="00E27D5E"/>
    <w:rsid w:val="00E452F4"/>
    <w:rsid w:val="00E46EE6"/>
    <w:rsid w:val="00E545DA"/>
    <w:rsid w:val="00E57BD7"/>
    <w:rsid w:val="00E63940"/>
    <w:rsid w:val="00E70ED4"/>
    <w:rsid w:val="00E746FD"/>
    <w:rsid w:val="00E83891"/>
    <w:rsid w:val="00E85B10"/>
    <w:rsid w:val="00E866FE"/>
    <w:rsid w:val="00E86814"/>
    <w:rsid w:val="00E93433"/>
    <w:rsid w:val="00E958BE"/>
    <w:rsid w:val="00E95BD4"/>
    <w:rsid w:val="00E9795C"/>
    <w:rsid w:val="00EA3F3C"/>
    <w:rsid w:val="00EB14AB"/>
    <w:rsid w:val="00EB5D5A"/>
    <w:rsid w:val="00EC313C"/>
    <w:rsid w:val="00ED28B6"/>
    <w:rsid w:val="00ED627A"/>
    <w:rsid w:val="00EE0281"/>
    <w:rsid w:val="00EE028B"/>
    <w:rsid w:val="00EE06D0"/>
    <w:rsid w:val="00EE4205"/>
    <w:rsid w:val="00EF279B"/>
    <w:rsid w:val="00EF2BA7"/>
    <w:rsid w:val="00EF3398"/>
    <w:rsid w:val="00EF4501"/>
    <w:rsid w:val="00EF499C"/>
    <w:rsid w:val="00EF561F"/>
    <w:rsid w:val="00F019E5"/>
    <w:rsid w:val="00F1616E"/>
    <w:rsid w:val="00F16549"/>
    <w:rsid w:val="00F26337"/>
    <w:rsid w:val="00F26FBF"/>
    <w:rsid w:val="00F27A18"/>
    <w:rsid w:val="00F30478"/>
    <w:rsid w:val="00F37018"/>
    <w:rsid w:val="00F40999"/>
    <w:rsid w:val="00F409C1"/>
    <w:rsid w:val="00F43D32"/>
    <w:rsid w:val="00F43DDF"/>
    <w:rsid w:val="00F50944"/>
    <w:rsid w:val="00F53D05"/>
    <w:rsid w:val="00F604DA"/>
    <w:rsid w:val="00F620EA"/>
    <w:rsid w:val="00F77BD3"/>
    <w:rsid w:val="00F80F59"/>
    <w:rsid w:val="00F83490"/>
    <w:rsid w:val="00F8385F"/>
    <w:rsid w:val="00F8703E"/>
    <w:rsid w:val="00F94122"/>
    <w:rsid w:val="00F9633A"/>
    <w:rsid w:val="00FA57B2"/>
    <w:rsid w:val="00FB3410"/>
    <w:rsid w:val="00FB7952"/>
    <w:rsid w:val="00FC2153"/>
    <w:rsid w:val="00FC6B5F"/>
    <w:rsid w:val="00FD0838"/>
    <w:rsid w:val="00FD143F"/>
    <w:rsid w:val="00FD1546"/>
    <w:rsid w:val="00FD2258"/>
    <w:rsid w:val="00FD2734"/>
    <w:rsid w:val="00FD45C0"/>
    <w:rsid w:val="00FE2C6B"/>
    <w:rsid w:val="00FE33FB"/>
    <w:rsid w:val="00FE4C10"/>
    <w:rsid w:val="00FF7929"/>
    <w:rsid w:val="00FF7B50"/>
    <w:rsid w:val="00FF7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3A6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5C131A"/>
  </w:style>
  <w:style w:type="character" w:styleId="Hyperlink">
    <w:name w:val="Hyperlink"/>
    <w:basedOn w:val="DefaultParagraphFont"/>
    <w:uiPriority w:val="99"/>
    <w:unhideWhenUsed/>
    <w:rsid w:val="00566300"/>
    <w:rPr>
      <w:color w:val="0000FF" w:themeColor="hyperlink"/>
      <w:u w:val="single"/>
    </w:rPr>
  </w:style>
  <w:style w:type="character" w:customStyle="1" w:styleId="ref-journal">
    <w:name w:val="ref-journal"/>
    <w:basedOn w:val="DefaultParagraphFont"/>
    <w:rsid w:val="00E236BF"/>
  </w:style>
  <w:style w:type="character" w:styleId="Emphasis">
    <w:name w:val="Emphasis"/>
    <w:basedOn w:val="DefaultParagraphFont"/>
    <w:uiPriority w:val="20"/>
    <w:qFormat/>
    <w:rsid w:val="008C428D"/>
    <w:rPr>
      <w:i/>
      <w:iCs/>
    </w:rPr>
  </w:style>
  <w:style w:type="paragraph" w:styleId="BalloonText">
    <w:name w:val="Balloon Text"/>
    <w:basedOn w:val="Normal"/>
    <w:link w:val="BalloonTextChar"/>
    <w:uiPriority w:val="99"/>
    <w:semiHidden/>
    <w:unhideWhenUsed/>
    <w:rsid w:val="001D72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2E6"/>
    <w:rPr>
      <w:rFonts w:ascii="Tahoma" w:hAnsi="Tahoma" w:cs="Tahoma"/>
      <w:sz w:val="16"/>
      <w:szCs w:val="16"/>
    </w:rPr>
  </w:style>
  <w:style w:type="character" w:styleId="PlaceholderText">
    <w:name w:val="Placeholder Text"/>
    <w:basedOn w:val="DefaultParagraphFont"/>
    <w:uiPriority w:val="99"/>
    <w:semiHidden/>
    <w:rsid w:val="00A675D3"/>
    <w:rPr>
      <w:color w:val="808080"/>
    </w:rPr>
  </w:style>
  <w:style w:type="paragraph" w:styleId="Header">
    <w:name w:val="header"/>
    <w:basedOn w:val="Normal"/>
    <w:link w:val="HeaderChar"/>
    <w:uiPriority w:val="99"/>
    <w:unhideWhenUsed/>
    <w:rsid w:val="002D4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832"/>
  </w:style>
  <w:style w:type="paragraph" w:styleId="Footer">
    <w:name w:val="footer"/>
    <w:basedOn w:val="Normal"/>
    <w:link w:val="FooterChar"/>
    <w:uiPriority w:val="99"/>
    <w:unhideWhenUsed/>
    <w:rsid w:val="002D4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832"/>
  </w:style>
  <w:style w:type="table" w:styleId="TableGrid">
    <w:name w:val="Table Grid"/>
    <w:basedOn w:val="TableNormal"/>
    <w:uiPriority w:val="59"/>
    <w:rsid w:val="00DC2B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3A6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5C131A"/>
  </w:style>
  <w:style w:type="character" w:styleId="Hyperlink">
    <w:name w:val="Hyperlink"/>
    <w:basedOn w:val="DefaultParagraphFont"/>
    <w:uiPriority w:val="99"/>
    <w:unhideWhenUsed/>
    <w:rsid w:val="00566300"/>
    <w:rPr>
      <w:color w:val="0000FF" w:themeColor="hyperlink"/>
      <w:u w:val="single"/>
    </w:rPr>
  </w:style>
  <w:style w:type="character" w:customStyle="1" w:styleId="ref-journal">
    <w:name w:val="ref-journal"/>
    <w:basedOn w:val="DefaultParagraphFont"/>
    <w:rsid w:val="00E236BF"/>
  </w:style>
  <w:style w:type="character" w:styleId="Emphasis">
    <w:name w:val="Emphasis"/>
    <w:basedOn w:val="DefaultParagraphFont"/>
    <w:uiPriority w:val="20"/>
    <w:qFormat/>
    <w:rsid w:val="008C428D"/>
    <w:rPr>
      <w:i/>
      <w:iCs/>
    </w:rPr>
  </w:style>
  <w:style w:type="paragraph" w:styleId="BalloonText">
    <w:name w:val="Balloon Text"/>
    <w:basedOn w:val="Normal"/>
    <w:link w:val="BalloonTextChar"/>
    <w:uiPriority w:val="99"/>
    <w:semiHidden/>
    <w:unhideWhenUsed/>
    <w:rsid w:val="001D72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2E6"/>
    <w:rPr>
      <w:rFonts w:ascii="Tahoma" w:hAnsi="Tahoma" w:cs="Tahoma"/>
      <w:sz w:val="16"/>
      <w:szCs w:val="16"/>
    </w:rPr>
  </w:style>
  <w:style w:type="character" w:styleId="PlaceholderText">
    <w:name w:val="Placeholder Text"/>
    <w:basedOn w:val="DefaultParagraphFont"/>
    <w:uiPriority w:val="99"/>
    <w:semiHidden/>
    <w:rsid w:val="00A675D3"/>
    <w:rPr>
      <w:color w:val="808080"/>
    </w:rPr>
  </w:style>
  <w:style w:type="paragraph" w:styleId="Header">
    <w:name w:val="header"/>
    <w:basedOn w:val="Normal"/>
    <w:link w:val="HeaderChar"/>
    <w:uiPriority w:val="99"/>
    <w:unhideWhenUsed/>
    <w:rsid w:val="002D4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832"/>
  </w:style>
  <w:style w:type="paragraph" w:styleId="Footer">
    <w:name w:val="footer"/>
    <w:basedOn w:val="Normal"/>
    <w:link w:val="FooterChar"/>
    <w:uiPriority w:val="99"/>
    <w:unhideWhenUsed/>
    <w:rsid w:val="002D4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832"/>
  </w:style>
  <w:style w:type="table" w:styleId="TableGrid">
    <w:name w:val="Table Grid"/>
    <w:basedOn w:val="TableNormal"/>
    <w:uiPriority w:val="59"/>
    <w:rsid w:val="00DC2B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bls.gov/emp/ep_chart_00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nces.ed.gov/ccd/"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edmoney.newamerica.net/blogposts/2010/examining_the_data_state_per_pupil_exp%09e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2151</TotalTime>
  <Pages>10</Pages>
  <Words>3127</Words>
  <Characters>17829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cp:lastModifiedBy>
  <cp:revision>59</cp:revision>
  <dcterms:created xsi:type="dcterms:W3CDTF">2013-12-17T13:35:00Z</dcterms:created>
  <dcterms:modified xsi:type="dcterms:W3CDTF">2014-01-03T15:46:00Z</dcterms:modified>
</cp:coreProperties>
</file>