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80"/>
        <w:jc w:val="center"/>
      </w:pPr>
      <w:r>
        <w:rPr>
          <w:rFonts w:ascii="Aptos Display" w:hAnsi="Aptos Display"/>
          <w:b/>
          <w:color w:val="17365D"/>
          <w:sz w:val="60"/>
        </w:rPr>
        <w:t>THERMALGUARD AI</w:t>
      </w:r>
    </w:p>
    <w:p>
      <w:pPr>
        <w:spacing w:after="140" w:before="0" w:line="259" w:lineRule="auto"/>
        <w:jc w:val="center"/>
      </w:pPr>
      <w:r>
        <w:rPr>
          <w:rFonts w:ascii="Aptos Display" w:hAnsi="Aptos Display"/>
          <w:b/>
          <w:color w:val="2F5597"/>
          <w:sz w:val="40"/>
        </w:rPr>
        <w:t>Detailed Technical Solution Report</w:t>
      </w:r>
    </w:p>
    <w:p>
      <w:pPr>
        <w:spacing w:after="360" w:before="0" w:line="259" w:lineRule="auto"/>
        <w:jc w:val="center"/>
      </w:pPr>
      <w:r>
        <w:rPr>
          <w:rFonts w:ascii="Aptos" w:hAnsi="Aptos"/>
          <w:b/>
          <w:color w:val="1F2937"/>
          <w:sz w:val="24"/>
        </w:rPr>
        <w:t>AI-Based Detection and Classification of Industrial Fires and Persistent Thermal Sources Using NASA FIRMS, OSM &amp; Satellite 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9"/>
              </w:rPr>
              <w:t>Item</w:t>
            </w:r>
          </w:p>
        </w:tc>
        <w:tc>
          <w:tcPr>
            <w:tcW w:type="dxa" w:w="705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9"/>
              </w:rPr>
              <w:t>Details</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9"/>
              </w:rPr>
              <w:t>Problem Owner</w:t>
            </w:r>
          </w:p>
        </w:tc>
        <w:tc>
          <w:tcPr>
            <w:tcW w:type="dxa" w:w="705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9"/>
              </w:rPr>
              <w:t>National Technical Research Organisation (NTRO)</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9"/>
              </w:rPr>
              <w:t>Category / Theme</w:t>
            </w:r>
          </w:p>
        </w:tc>
        <w:tc>
          <w:tcPr>
            <w:tcW w:type="dxa" w:w="705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9"/>
              </w:rPr>
              <w:t>Software / Disaster Management</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9"/>
              </w:rPr>
              <w:t>Document Purpose</w:t>
            </w:r>
          </w:p>
        </w:tc>
        <w:tc>
          <w:tcPr>
            <w:tcW w:type="dxa" w:w="705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9"/>
              </w:rPr>
              <w:t>Detailed technical annex to complement the hackathon presentation</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9"/>
              </w:rPr>
              <w:t>Solution Stage</w:t>
            </w:r>
          </w:p>
        </w:tc>
        <w:tc>
          <w:tcPr>
            <w:tcW w:type="dxa" w:w="705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9"/>
              </w:rPr>
              <w:t>MVP architecture with defined path to SIH-final and production</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9"/>
              </w:rPr>
              <w:t>Working Product Name</w:t>
            </w:r>
          </w:p>
        </w:tc>
        <w:tc>
          <w:tcPr>
            <w:tcW w:type="dxa" w:w="705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9"/>
              </w:rPr>
              <w:t>ThermalGuard AI</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0F7"/>
            <w:tcBorders>
              <w:top w:val="single" w:sz="4" w:color="D4D9E2"/>
              <w:left w:val="single" w:sz="4" w:color="D4D9E2"/>
              <w:bottom w:val="single" w:sz="4" w:color="D4D9E2"/>
              <w:right w:val="single" w:sz="4" w:color="D4D9E2"/>
              <w:insideH w:val="single" w:sz="4" w:color="D4D9E2"/>
              <w:insideV w:val="single" w:sz="4" w:color="D4D9E2"/>
            </w:tcBorders>
            <w:tcMar>
              <w:top w:w="100" w:type="dxa"/>
              <w:start w:w="120" w:type="dxa"/>
              <w:bottom w:w="100" w:type="dxa"/>
              <w:end w:w="120" w:type="dxa"/>
            </w:tcMar>
          </w:tcPr>
          <w:p>
            <w:pPr>
              <w:spacing w:after="40" w:before="0" w:line="259" w:lineRule="auto"/>
            </w:pPr>
            <w:r>
              <w:rPr>
                <w:rFonts w:ascii="Aptos" w:hAnsi="Aptos"/>
                <w:b/>
                <w:color w:val="17365D"/>
                <w:sz w:val="21"/>
              </w:rPr>
              <w:t>How to use this report</w:t>
            </w:r>
          </w:p>
          <w:p>
            <w:pPr>
              <w:spacing w:after="0" w:before="0" w:line="259" w:lineRule="auto"/>
            </w:pPr>
            <w:r>
              <w:rPr>
                <w:rFonts w:ascii="Aptos" w:hAnsi="Aptos"/>
                <w:color w:val="1F2937"/>
                <w:sz w:val="20"/>
              </w:rPr>
              <w:t>The presentation should communicate the story, value proposition, architecture and demo. This report carries the technical depth that cannot fit into slides: feature engineering, classification logic, ML methodology, GIS processing, fallback modes, validation, limitations and implementation detail.</w:t>
            </w:r>
          </w:p>
        </w:tc>
      </w:tr>
    </w:tbl>
    <w:p>
      <w:pPr>
        <w:spacing w:after="0"/>
      </w:pPr>
    </w:p>
    <w:p>
      <w:r>
        <w:br w:type="page"/>
      </w:r>
    </w:p>
    <w:p>
      <w:pPr>
        <w:pStyle w:val="Heading1"/>
        <w:keepNext/>
        <w:spacing w:before="200" w:after="80"/>
      </w:pPr>
      <w:r>
        <w:rPr>
          <w:rFonts w:ascii="Aptos" w:hAnsi="Aptos"/>
          <w:b/>
          <w:color w:val="17365D"/>
          <w:sz w:val="30"/>
        </w:rPr>
        <w:t>1. Executive Summary</w:t>
      </w:r>
    </w:p>
    <w:p>
      <w:pPr>
        <w:spacing w:after="80" w:before="0" w:line="259" w:lineRule="auto"/>
      </w:pPr>
      <w:r>
        <w:rPr>
          <w:rFonts w:ascii="Aptos" w:hAnsi="Aptos"/>
          <w:i w:val="0"/>
          <w:sz w:val="21"/>
        </w:rPr>
        <w:t>ThermalGuard AI is an explainable GeoAI decision-support platform that converts raw satellite thermal hotspot observations into contextual, behaviour-aware intelligence. The system is designed to distinguish industrial thermal activity from natural or other thermal events and to identify whether an industrial thermal source is persistent/expected or unusually abnormal relative to its own historical behaviour.</w:t>
      </w:r>
    </w:p>
    <w:p>
      <w:pPr>
        <w:spacing w:after="80" w:before="0" w:line="259" w:lineRule="auto"/>
      </w:pPr>
      <w:r>
        <w:rPr>
          <w:rFonts w:ascii="Aptos" w:hAnsi="Aptos"/>
          <w:i w:val="0"/>
          <w:sz w:val="21"/>
        </w:rPr>
        <w:t>The solution intentionally does not treat a NASA FIRMS hotspot as proof of an industrial fire. Instead, each observation is enriched with surrounding industrial infrastructure, land-cover information and historical thermal behaviour. A lightweight machine-learning classifier estimates industrial context, while a temporal decision layer determines whether industrial heat is persistent or anomalous.</w:t>
      </w:r>
    </w:p>
    <w:tbl>
      <w:tblPr>
        <w:tblW w:type="auto" w:w="0"/>
        <w:jc w:val="center"/>
        <w:tblLayout w:type="autofit"/>
        <w:tblLook w:firstColumn="1" w:firstRow="1" w:lastColumn="0" w:lastRow="0" w:noHBand="0" w:noVBand="1" w:val="04A0"/>
      </w:tblPr>
      <w:tblGrid>
        <w:gridCol w:w="10166"/>
      </w:tblGrid>
      <w:tr>
        <w:tc>
          <w:tcPr>
            <w:tcW w:type="dxa" w:w="10166"/>
            <w:shd w:fill="EAF5EC"/>
            <w:tcBorders>
              <w:top w:val="single" w:sz="4" w:color="D4D9E2"/>
              <w:left w:val="single" w:sz="4" w:color="D4D9E2"/>
              <w:bottom w:val="single" w:sz="4" w:color="D4D9E2"/>
              <w:right w:val="single" w:sz="4" w:color="D4D9E2"/>
              <w:insideH w:val="single" w:sz="4" w:color="D4D9E2"/>
              <w:insideV w:val="single" w:sz="4" w:color="D4D9E2"/>
            </w:tcBorders>
            <w:tcMar>
              <w:top w:w="100" w:type="dxa"/>
              <w:start w:w="120" w:type="dxa"/>
              <w:bottom w:w="100" w:type="dxa"/>
              <w:end w:w="120" w:type="dxa"/>
            </w:tcMar>
          </w:tcPr>
          <w:p>
            <w:pPr>
              <w:spacing w:after="40" w:before="0" w:line="259" w:lineRule="auto"/>
            </w:pPr>
            <w:r>
              <w:rPr>
                <w:rFonts w:ascii="Aptos" w:hAnsi="Aptos"/>
                <w:b/>
                <w:color w:val="2E6B3E"/>
                <w:sz w:val="21"/>
              </w:rPr>
              <w:t>Core solution in one sentence</w:t>
            </w:r>
          </w:p>
          <w:p>
            <w:pPr>
              <w:spacing w:after="0" w:before="0" w:line="259" w:lineRule="auto"/>
            </w:pPr>
            <w:r>
              <w:rPr>
                <w:rFonts w:ascii="Aptos" w:hAnsi="Aptos"/>
                <w:color w:val="1F2937"/>
                <w:sz w:val="20"/>
              </w:rPr>
              <w:t>FIRMS tells us where a thermal anomaly was observed; ThermalGuard AI adds geospatial context, temporal memory and explainable classification to tell an analyst what the anomaly is likely associated with and whether its behaviour is unusual.</w:t>
            </w:r>
          </w:p>
        </w:tc>
      </w:tr>
    </w:tbl>
    <w:p>
      <w:pPr>
        <w:spacing w:after="0"/>
      </w:pPr>
    </w:p>
    <w:p>
      <w:pPr>
        <w:pStyle w:val="Heading2"/>
        <w:keepNext/>
        <w:spacing w:before="120" w:after="80"/>
      </w:pPr>
      <w:r>
        <w:rPr>
          <w:rFonts w:ascii="Aptos" w:hAnsi="Aptos"/>
          <w:b/>
          <w:color w:val="2F5597"/>
          <w:sz w:val="25"/>
        </w:rPr>
        <w:t>1.1 What the MVP proves</w:t>
      </w:r>
    </w:p>
    <w:p>
      <w:pPr>
        <w:pStyle w:val="ListBullet"/>
        <w:spacing w:after="40" w:before="0" w:line="259" w:lineRule="auto"/>
        <w:ind w:left="259"/>
      </w:pPr>
      <w:r>
        <w:rPr>
          <w:rFonts w:ascii="Aptos" w:hAnsi="Aptos"/>
          <w:sz w:val="20"/>
        </w:rPr>
        <w:t>Real thermal observations can be ingested from NASA FIRMS and represented on a GIS map.</w:t>
      </w:r>
    </w:p>
    <w:p>
      <w:pPr>
        <w:pStyle w:val="ListBullet"/>
        <w:spacing w:after="40" w:before="0" w:line="259" w:lineRule="auto"/>
        <w:ind w:left="259"/>
      </w:pPr>
      <w:r>
        <w:rPr>
          <w:rFonts w:ascii="Aptos" w:hAnsi="Aptos"/>
          <w:sz w:val="20"/>
        </w:rPr>
        <w:t>Each hotspot can be enriched with industrial proximity and land-cover context.</w:t>
      </w:r>
    </w:p>
    <w:p>
      <w:pPr>
        <w:pStyle w:val="ListBullet"/>
        <w:spacing w:after="40" w:before="0" w:line="259" w:lineRule="auto"/>
        <w:ind w:left="259"/>
      </w:pPr>
      <w:r>
        <w:rPr>
          <w:rFonts w:ascii="Aptos" w:hAnsi="Aptos"/>
          <w:sz w:val="20"/>
        </w:rPr>
        <w:t>Historical observations can be aggregated into recurrence and thermal-baseline features.</w:t>
      </w:r>
    </w:p>
    <w:p>
      <w:pPr>
        <w:pStyle w:val="ListBullet"/>
        <w:spacing w:after="40" w:before="0" w:line="259" w:lineRule="auto"/>
        <w:ind w:left="259"/>
      </w:pPr>
      <w:r>
        <w:rPr>
          <w:rFonts w:ascii="Aptos" w:hAnsi="Aptos"/>
          <w:sz w:val="20"/>
        </w:rPr>
        <w:t>A structured-data ML model can estimate industrial versus non-industrial context.</w:t>
      </w:r>
    </w:p>
    <w:p>
      <w:pPr>
        <w:pStyle w:val="ListBullet"/>
        <w:spacing w:after="40" w:before="0" w:line="259" w:lineRule="auto"/>
        <w:ind w:left="259"/>
      </w:pPr>
      <w:r>
        <w:rPr>
          <w:rFonts w:ascii="Aptos" w:hAnsi="Aptos"/>
          <w:sz w:val="20"/>
        </w:rPr>
        <w:t>A transparent temporal decision engine can distinguish persistent industrial heat from potential abnormal behaviour.</w:t>
      </w:r>
    </w:p>
    <w:p>
      <w:pPr>
        <w:pStyle w:val="ListBullet"/>
        <w:spacing w:after="40" w:before="0" w:line="259" w:lineRule="auto"/>
        <w:ind w:left="259"/>
      </w:pPr>
      <w:r>
        <w:rPr>
          <w:rFonts w:ascii="Aptos" w:hAnsi="Aptos"/>
          <w:sz w:val="20"/>
        </w:rPr>
        <w:t>The final result can be shown with confidence, evidence and historical context rather than a black-box label.</w:t>
      </w:r>
    </w:p>
    <w:p>
      <w:pPr>
        <w:pStyle w:val="Heading2"/>
        <w:keepNext/>
        <w:spacing w:before="120" w:after="80"/>
      </w:pPr>
      <w:r>
        <w:rPr>
          <w:rFonts w:ascii="Aptos" w:hAnsi="Aptos"/>
          <w:b/>
          <w:color w:val="2F5597"/>
          <w:sz w:val="25"/>
        </w:rPr>
        <w:t>1.2 What the MVP does not claim</w:t>
      </w:r>
    </w:p>
    <w:p>
      <w:pPr>
        <w:pStyle w:val="ListBullet"/>
        <w:spacing w:after="40" w:before="0" w:line="259" w:lineRule="auto"/>
        <w:ind w:left="259"/>
      </w:pPr>
      <w:r>
        <w:rPr>
          <w:rFonts w:ascii="Aptos" w:hAnsi="Aptos"/>
          <w:sz w:val="20"/>
        </w:rPr>
        <w:t>It does not claim that every satellite hotspot is a confirmed fire.</w:t>
      </w:r>
    </w:p>
    <w:p>
      <w:pPr>
        <w:pStyle w:val="ListBullet"/>
        <w:spacing w:after="40" w:before="0" w:line="259" w:lineRule="auto"/>
        <w:ind w:left="259"/>
      </w:pPr>
      <w:r>
        <w:rPr>
          <w:rFonts w:ascii="Aptos" w:hAnsi="Aptos"/>
          <w:sz w:val="20"/>
        </w:rPr>
        <w:t>It does not provide building-level attribution from VIIRS alone.</w:t>
      </w:r>
    </w:p>
    <w:p>
      <w:pPr>
        <w:pStyle w:val="ListBullet"/>
        <w:spacing w:after="40" w:before="0" w:line="259" w:lineRule="auto"/>
        <w:ind w:left="259"/>
      </w:pPr>
      <w:r>
        <w:rPr>
          <w:rFonts w:ascii="Aptos" w:hAnsi="Aptos"/>
          <w:sz w:val="20"/>
        </w:rPr>
        <w:t>It does not automatically dispatch emergency services.</w:t>
      </w:r>
    </w:p>
    <w:p>
      <w:pPr>
        <w:pStyle w:val="ListBullet"/>
        <w:spacing w:after="40" w:before="0" w:line="259" w:lineRule="auto"/>
        <w:ind w:left="259"/>
      </w:pPr>
      <w:r>
        <w:rPr>
          <w:rFonts w:ascii="Aptos" w:hAnsi="Aptos"/>
          <w:sz w:val="20"/>
        </w:rPr>
        <w:t>It does not claim production-grade national accuracy before formal validation.</w:t>
      </w:r>
    </w:p>
    <w:p>
      <w:pPr>
        <w:pStyle w:val="ListBullet"/>
        <w:spacing w:after="40" w:before="0" w:line="259" w:lineRule="auto"/>
        <w:ind w:left="259"/>
      </w:pPr>
      <w:r>
        <w:rPr>
          <w:rFonts w:ascii="Aptos" w:hAnsi="Aptos"/>
          <w:sz w:val="20"/>
        </w:rPr>
        <w:t>It does not present simulated events as real incidents.</w:t>
      </w:r>
    </w:p>
    <w:p>
      <w:pPr>
        <w:pStyle w:val="Heading1"/>
        <w:keepNext/>
        <w:spacing w:before="200" w:after="80"/>
      </w:pPr>
      <w:r>
        <w:rPr>
          <w:rFonts w:ascii="Aptos" w:hAnsi="Aptos"/>
          <w:b/>
          <w:color w:val="17365D"/>
          <w:sz w:val="30"/>
        </w:rPr>
        <w:t>2. Problem Understanding and Requirement Mapping</w:t>
      </w:r>
    </w:p>
    <w:p>
      <w:pPr>
        <w:spacing w:after="80" w:before="0" w:line="259" w:lineRule="auto"/>
      </w:pPr>
      <w:r>
        <w:rPr>
          <w:rFonts w:ascii="Aptos" w:hAnsi="Aptos"/>
          <w:i w:val="0"/>
          <w:sz w:val="21"/>
        </w:rPr>
        <w:t>The supplied problem statement requires an AI-enabled geospatial system that can identify, classify and monitor industrial fires and persistent thermal sources by combining thermal anomaly data, land-cover information, industrial infrastructure data and satellite imagery. It explicitly calls for classification/segregation of industrial fires from forest/natural fires and a GIS-based solution for storage and visualization.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Requirement</w:t>
            </w:r>
          </w:p>
        </w:tc>
        <w:tc>
          <w:tcPr>
            <w:tcW w:type="dxa" w:w="460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Interpretation for MVP</w:t>
            </w:r>
          </w:p>
        </w:tc>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MVP Evidence</w:t>
            </w:r>
          </w:p>
        </w:tc>
      </w:tr>
      <w:tr>
        <w:tc>
          <w:tcPr>
            <w:tcW w:type="dxa" w:w="302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Classify/segregate industrial vs natural/other thermal events</w:t>
            </w:r>
          </w:p>
        </w:tc>
        <w:tc>
          <w:tcPr>
            <w:tcW w:type="dxa" w:w="46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Build contextual classifier using thermal + industrial + land-cover features</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Model prediction and evidence panel</w:t>
            </w:r>
          </w:p>
        </w:tc>
      </w:tr>
      <w:tr>
        <w:tc>
          <w:tcPr>
            <w:tcW w:type="dxa" w:w="302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Identify persistent thermal sources</w:t>
            </w:r>
          </w:p>
        </w:tc>
        <w:tc>
          <w:tcPr>
            <w:tcW w:type="dxa" w:w="46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Use historical recurrence and facility thermal baseline</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30/90-day recurrence and FRP history</w:t>
            </w:r>
          </w:p>
        </w:tc>
      </w:tr>
      <w:tr>
        <w:tc>
          <w:tcPr>
            <w:tcW w:type="dxa" w:w="302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GIS storage/visualization</w:t>
            </w:r>
          </w:p>
        </w:tc>
        <w:tc>
          <w:tcPr>
            <w:tcW w:type="dxa" w:w="46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Interactive map plus locally stored event/prediction records</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MapLibre dashboard + SQLite/Parquet</w:t>
            </w:r>
          </w:p>
        </w:tc>
      </w:tr>
      <w:tr>
        <w:tc>
          <w:tcPr>
            <w:tcW w:type="dxa" w:w="302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Integrate multiple data types</w:t>
            </w:r>
          </w:p>
        </w:tc>
        <w:tc>
          <w:tcPr>
            <w:tcW w:type="dxa" w:w="46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Fuse FIRMS, OSM, WorldCover and historical FIRMS</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Feature table generated per event</w:t>
            </w:r>
          </w:p>
        </w:tc>
      </w:tr>
      <w:tr>
        <w:tc>
          <w:tcPr>
            <w:tcW w:type="dxa" w:w="302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Monitor abnormal behaviour</w:t>
            </w:r>
          </w:p>
        </w:tc>
        <w:tc>
          <w:tcPr>
            <w:tcW w:type="dxa" w:w="46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Compare current event to historical baseline</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Anomaly score and analyst-review flag</w:t>
            </w:r>
          </w:p>
        </w:tc>
      </w:tr>
    </w:tbl>
    <w:p>
      <w:pPr>
        <w:spacing w:after="0"/>
      </w:pPr>
    </w:p>
    <w:p>
      <w:pPr>
        <w:pStyle w:val="Heading2"/>
        <w:keepNext/>
        <w:spacing w:before="120" w:after="80"/>
      </w:pPr>
      <w:r>
        <w:rPr>
          <w:rFonts w:ascii="Aptos" w:hAnsi="Aptos"/>
          <w:b/>
          <w:color w:val="2F5597"/>
          <w:sz w:val="25"/>
        </w:rPr>
        <w:t>2.1 Primary user</w:t>
      </w:r>
    </w:p>
    <w:p>
      <w:pPr>
        <w:spacing w:after="80" w:before="0" w:line="259" w:lineRule="auto"/>
      </w:pPr>
      <w:r>
        <w:rPr>
          <w:rFonts w:ascii="Aptos" w:hAnsi="Aptos"/>
          <w:i w:val="0"/>
          <w:sz w:val="21"/>
        </w:rPr>
        <w:t>The primary user is a geospatial/intelligence analyst who needs to triage thermal detections quickly. The system is therefore optimized for evidence-backed prioritization rather than autonomous incident declaration.</w:t>
      </w:r>
    </w:p>
    <w:p>
      <w:pPr>
        <w:pStyle w:val="Heading2"/>
        <w:keepNext/>
        <w:spacing w:before="120" w:after="80"/>
      </w:pPr>
      <w:r>
        <w:rPr>
          <w:rFonts w:ascii="Aptos" w:hAnsi="Aptos"/>
          <w:b/>
          <w:color w:val="2F5597"/>
          <w:sz w:val="25"/>
        </w:rPr>
        <w:t>2.2 Core user question</w:t>
      </w:r>
    </w:p>
    <w:tbl>
      <w:tblPr>
        <w:tblW w:type="auto" w:w="0"/>
        <w:jc w:val="center"/>
        <w:tblLayout w:type="autofit"/>
        <w:tblLook w:firstColumn="1" w:firstRow="1" w:lastColumn="0" w:lastRow="0" w:noHBand="0" w:noVBand="1" w:val="04A0"/>
      </w:tblPr>
      <w:tblGrid>
        <w:gridCol w:w="10166"/>
      </w:tblGrid>
      <w:tr>
        <w:tc>
          <w:tcPr>
            <w:tcW w:type="dxa" w:w="10166"/>
            <w:shd w:fill="EAF0F7"/>
            <w:tcBorders>
              <w:top w:val="single" w:sz="4" w:color="D4D9E2"/>
              <w:left w:val="single" w:sz="4" w:color="D4D9E2"/>
              <w:bottom w:val="single" w:sz="4" w:color="D4D9E2"/>
              <w:right w:val="single" w:sz="4" w:color="D4D9E2"/>
              <w:insideH w:val="single" w:sz="4" w:color="D4D9E2"/>
              <w:insideV w:val="single" w:sz="4" w:color="D4D9E2"/>
            </w:tcBorders>
            <w:tcMar>
              <w:top w:w="100" w:type="dxa"/>
              <w:start w:w="120" w:type="dxa"/>
              <w:bottom w:w="100" w:type="dxa"/>
              <w:end w:w="120" w:type="dxa"/>
            </w:tcMar>
          </w:tcPr>
          <w:p>
            <w:pPr>
              <w:spacing w:after="40" w:before="0" w:line="259" w:lineRule="auto"/>
            </w:pPr>
            <w:r>
              <w:rPr>
                <w:rFonts w:ascii="Aptos" w:hAnsi="Aptos"/>
                <w:b/>
                <w:color w:val="17365D"/>
                <w:sz w:val="21"/>
              </w:rPr>
              <w:t>Analyst question</w:t>
            </w:r>
          </w:p>
          <w:p>
            <w:pPr>
              <w:spacing w:after="0" w:before="0" w:line="259" w:lineRule="auto"/>
            </w:pPr>
            <w:r>
              <w:rPr>
                <w:rFonts w:ascii="Aptos" w:hAnsi="Aptos"/>
                <w:color w:val="1F2937"/>
                <w:sz w:val="20"/>
              </w:rPr>
              <w:t>“This satellite pixel is hot. What is around it, has this location behaved this way before, and should I investigate it now?”</w:t>
            </w:r>
          </w:p>
        </w:tc>
      </w:tr>
    </w:tbl>
    <w:p>
      <w:pPr>
        <w:spacing w:after="0"/>
      </w:pPr>
    </w:p>
    <w:p>
      <w:pPr>
        <w:pStyle w:val="Heading1"/>
        <w:keepNext/>
        <w:spacing w:before="200" w:after="80"/>
      </w:pPr>
      <w:r>
        <w:rPr>
          <w:rFonts w:ascii="Aptos" w:hAnsi="Aptos"/>
          <w:b/>
          <w:color w:val="17365D"/>
          <w:sz w:val="30"/>
        </w:rPr>
        <w:t>3. Proposed Solution Concept</w:t>
      </w:r>
    </w:p>
    <w:p>
      <w:pPr>
        <w:spacing w:after="80" w:before="0" w:line="259" w:lineRule="auto"/>
      </w:pPr>
      <w:r>
        <w:rPr>
          <w:rFonts w:ascii="Aptos" w:hAnsi="Aptos"/>
          <w:i w:val="0"/>
          <w:sz w:val="21"/>
        </w:rPr>
        <w:t>ThermalGuard AI uses a two-stage intelligence design. Separating contextual classification from temporal anomaly reasoning reduces model complexity and avoids requiring a perfectly labelled dataset for every possible industrial incident type.</w:t>
      </w:r>
    </w:p>
    <w:p>
      <w:pPr>
        <w:pStyle w:val="Heading2"/>
        <w:keepNext/>
        <w:spacing w:before="120" w:after="80"/>
      </w:pPr>
      <w:r>
        <w:rPr>
          <w:rFonts w:ascii="Aptos" w:hAnsi="Aptos"/>
          <w:b/>
          <w:color w:val="2F5597"/>
          <w:sz w:val="25"/>
        </w:rPr>
        <w:t>3.1 Stage 1 - Industrial Context Classification</w:t>
      </w:r>
    </w:p>
    <w:p>
      <w:pPr>
        <w:spacing w:after="80" w:before="0" w:line="259" w:lineRule="auto"/>
      </w:pPr>
      <w:r>
        <w:rPr>
          <w:rFonts w:ascii="Aptos" w:hAnsi="Aptos"/>
          <w:i w:val="0"/>
          <w:sz w:val="21"/>
        </w:rPr>
        <w:t>Stage 1 estimates whether the thermal observation is associated with industrial activity or with a non-industrial environment. The model uses structured features such as distance to industrial polygons, nearby plant types, land-cover composition, FRP, brightness characteristics and recurrence statistics.</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FIRMS observation</w:t>
              <w:br/>
            </w:r>
            <w:r>
              <w:rPr>
                <w:rFonts w:ascii="Liberation Mono" w:hAnsi="Liberation Mono"/>
                <w:color w:val="263238"/>
                <w:sz w:val="17"/>
              </w:rPr>
              <w:t xml:space="preserve">      +</w:t>
              <w:br/>
            </w:r>
            <w:r>
              <w:rPr>
                <w:rFonts w:ascii="Liberation Mono" w:hAnsi="Liberation Mono"/>
                <w:color w:val="263238"/>
                <w:sz w:val="17"/>
              </w:rPr>
              <w:t>Industrial proximity</w:t>
              <w:br/>
            </w:r>
            <w:r>
              <w:rPr>
                <w:rFonts w:ascii="Liberation Mono" w:hAnsi="Liberation Mono"/>
                <w:color w:val="263238"/>
                <w:sz w:val="17"/>
              </w:rPr>
              <w:t xml:space="preserve">      +</w:t>
              <w:br/>
            </w:r>
            <w:r>
              <w:rPr>
                <w:rFonts w:ascii="Liberation Mono" w:hAnsi="Liberation Mono"/>
                <w:color w:val="263238"/>
                <w:sz w:val="17"/>
              </w:rPr>
              <w:t>Land-cover context</w:t>
              <w:br/>
            </w:r>
            <w:r>
              <w:rPr>
                <w:rFonts w:ascii="Liberation Mono" w:hAnsi="Liberation Mono"/>
                <w:color w:val="263238"/>
                <w:sz w:val="17"/>
              </w:rPr>
              <w:t xml:space="preserve">      +</w:t>
              <w:br/>
            </w:r>
            <w:r>
              <w:rPr>
                <w:rFonts w:ascii="Liberation Mono" w:hAnsi="Liberation Mono"/>
                <w:color w:val="263238"/>
                <w:sz w:val="17"/>
              </w:rPr>
              <w:t>Basic thermal features</w:t>
              <w:br/>
            </w:r>
            <w:r>
              <w:rPr>
                <w:rFonts w:ascii="Liberation Mono" w:hAnsi="Liberation Mono"/>
                <w:color w:val="263238"/>
                <w:sz w:val="17"/>
              </w:rPr>
              <w:t xml:space="preserve">      ↓</w:t>
              <w:br/>
            </w:r>
            <w:r>
              <w:rPr>
                <w:rFonts w:ascii="Liberation Mono" w:hAnsi="Liberation Mono"/>
                <w:color w:val="263238"/>
                <w:sz w:val="17"/>
              </w:rPr>
              <w:t>LightGBM / baseline classifier</w:t>
              <w:br/>
            </w:r>
            <w:r>
              <w:rPr>
                <w:rFonts w:ascii="Liberation Mono" w:hAnsi="Liberation Mono"/>
                <w:color w:val="263238"/>
                <w:sz w:val="17"/>
              </w:rPr>
              <w:t xml:space="preserve">      ↓</w:t>
              <w:br/>
            </w:r>
            <w:r>
              <w:rPr>
                <w:rFonts w:ascii="Liberation Mono" w:hAnsi="Liberation Mono"/>
                <w:color w:val="263238"/>
                <w:sz w:val="17"/>
              </w:rPr>
              <w:t>Industrial probability</w:t>
            </w:r>
          </w:p>
        </w:tc>
      </w:tr>
    </w:tbl>
    <w:p>
      <w:pPr>
        <w:spacing w:after="0"/>
      </w:pPr>
    </w:p>
    <w:p>
      <w:pPr>
        <w:pStyle w:val="Heading2"/>
        <w:keepNext/>
        <w:spacing w:before="120" w:after="80"/>
      </w:pPr>
      <w:r>
        <w:rPr>
          <w:rFonts w:ascii="Aptos" w:hAnsi="Aptos"/>
          <w:b/>
          <w:color w:val="2F5597"/>
          <w:sz w:val="25"/>
        </w:rPr>
        <w:t>3.2 Stage 2 - Persistent vs Potentially Abnormal Industrial Heat</w:t>
      </w:r>
    </w:p>
    <w:p>
      <w:pPr>
        <w:spacing w:after="80" w:before="0" w:line="259" w:lineRule="auto"/>
      </w:pPr>
      <w:r>
        <w:rPr>
          <w:rFonts w:ascii="Aptos" w:hAnsi="Aptos"/>
          <w:i w:val="0"/>
          <w:sz w:val="21"/>
        </w:rPr>
        <w:t>If Stage 1 indicates strong industrial context, Stage 2 evaluates the location against its own thermal history. Persistent sources such as routine flares or industrial process heat generally recur at similar locations and exhibit a characteristic range of FRP values. Potential abnormal events are flagged when the current observation deviates materially from that baseline or when the spatial pattern changes.</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Industrial-context event</w:t>
              <w:br/>
            </w:r>
            <w:r>
              <w:rPr>
                <w:rFonts w:ascii="Liberation Mono" w:hAnsi="Liberation Mono"/>
                <w:color w:val="263238"/>
                <w:sz w:val="17"/>
              </w:rPr>
              <w:t xml:space="preserve">        ↓</w:t>
              <w:br/>
            </w:r>
            <w:r>
              <w:rPr>
                <w:rFonts w:ascii="Liberation Mono" w:hAnsi="Liberation Mono"/>
                <w:color w:val="263238"/>
                <w:sz w:val="17"/>
              </w:rPr>
              <w:t>Historical recurrence + FRP baseline</w:t>
              <w:br/>
            </w:r>
            <w:r>
              <w:rPr>
                <w:rFonts w:ascii="Liberation Mono" w:hAnsi="Liberation Mono"/>
                <w:color w:val="263238"/>
                <w:sz w:val="17"/>
              </w:rPr>
              <w:t xml:space="preserve">        ↓</w:t>
              <w:br/>
            </w:r>
            <w:r>
              <w:rPr>
                <w:rFonts w:ascii="Liberation Mono" w:hAnsi="Liberation Mono"/>
                <w:color w:val="263238"/>
                <w:sz w:val="17"/>
              </w:rPr>
              <w:t>Current deviation + cluster growth + novelty</w:t>
              <w:br/>
            </w:r>
            <w:r>
              <w:rPr>
                <w:rFonts w:ascii="Liberation Mono" w:hAnsi="Liberation Mono"/>
                <w:color w:val="263238"/>
                <w:sz w:val="17"/>
              </w:rPr>
              <w:t xml:space="preserve">        ↓</w:t>
              <w:br/>
            </w:r>
            <w:r>
              <w:rPr>
                <w:rFonts w:ascii="Liberation Mono" w:hAnsi="Liberation Mono"/>
                <w:color w:val="263238"/>
                <w:sz w:val="17"/>
              </w:rPr>
              <w:t>Persistent / Potentially Abnormal / Insufficient History</w:t>
            </w:r>
          </w:p>
        </w:tc>
      </w:tr>
    </w:tbl>
    <w:p>
      <w:pPr>
        <w:spacing w:after="0"/>
      </w:pPr>
    </w:p>
    <w:p>
      <w:pPr>
        <w:pStyle w:val="Heading2"/>
        <w:keepNext/>
        <w:spacing w:before="120" w:after="80"/>
      </w:pPr>
      <w:r>
        <w:rPr>
          <w:rFonts w:ascii="Aptos" w:hAnsi="Aptos"/>
          <w:b/>
          <w:color w:val="2F5597"/>
          <w:sz w:val="25"/>
        </w:rPr>
        <w:t>3.3 Why this design is stronger than a single image classifier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Approach</w:t>
            </w:r>
          </w:p>
        </w:tc>
        <w:tc>
          <w:tcPr>
            <w:tcW w:type="dxa" w:w="432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Weakness</w:t>
            </w:r>
          </w:p>
        </w:tc>
        <w:tc>
          <w:tcPr>
            <w:tcW w:type="dxa" w:w="331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ThermalGuard AI response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Raw hotspot plotting</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Shows location but not meaning</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Adds classification and evidence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Point-in-industrial-polygon rule</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Routine industrial heat may be mistaken for fire</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Adds temporal baseline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Image-only CNN</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Requires large labelled image dataset; ignores industrial context</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Uses structured multi-source evidence first</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Single end-to-end multi-class model</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Hard to validate with limited incident labels</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Two-stage model + transparent rules</w:t>
            </w:r>
          </w:p>
        </w:tc>
      </w:tr>
    </w:tbl>
    <w:p>
      <w:pPr>
        <w:spacing w:after="0"/>
      </w:pPr>
    </w:p>
    <w:p>
      <w:pPr>
        <w:pStyle w:val="Heading1"/>
        <w:keepNext/>
        <w:spacing w:before="200" w:after="80"/>
      </w:pPr>
      <w:r>
        <w:rPr>
          <w:rFonts w:ascii="Aptos" w:hAnsi="Aptos"/>
          <w:b/>
          <w:color w:val="17365D"/>
          <w:sz w:val="30"/>
        </w:rPr>
        <w:t>4. Detailed Feature Set</w:t>
      </w:r>
    </w:p>
    <w:p>
      <w:pPr>
        <w:spacing w:after="80" w:before="0" w:line="259" w:lineRule="auto"/>
      </w:pPr>
      <w:r>
        <w:rPr>
          <w:rFonts w:ascii="Aptos" w:hAnsi="Aptos"/>
          <w:i w:val="0"/>
          <w:sz w:val="21"/>
        </w:rPr>
        <w:t>The following features are the technical capabilities that may be summarized in the PPT but should be documented in full in the report.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ID</w:t>
            </w:r>
          </w:p>
        </w:tc>
        <w:tc>
          <w:tcPr>
            <w:tcW w:type="dxa" w:w="237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Feature</w:t>
            </w:r>
          </w:p>
        </w:tc>
        <w:tc>
          <w:tcPr>
            <w:tcW w:type="dxa" w:w="669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Technical Description</w:t>
            </w:r>
          </w:p>
        </w:tc>
        <w:tc>
          <w:tcPr>
            <w:tcW w:type="dxa" w:w="115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Priority</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F1</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FIRMS hotspot ingestion</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Loads real NOAA-20/NOAA-21 VIIRS records including coordinates, acquisition time, FRP, brightness, confidence and day/night metadata.</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F2</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Geospatial normalization</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Converts hotspot records to spatial geometry, applies consistent CRS handling and prepares them for distance/spatial-join operations.</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F3</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Industrial proximity engine</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Computes distance to industrial areas, power plants, refineries, steel plants, LNG infrastructure and other relevant facilities when data is available.</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F4</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Land-cover enrichment</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Adds built-up, tree, cropland, grassland and other surrounding land-cover evidence from WorldCover.</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F5</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Historical recurrence</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Counts detections over 7/30/90-day windows and unique observation days around the same thermal location.</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F6</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Facility thermal baseline</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Stores typical FRP distribution and recurrence characteristics for a recurring thermal source.</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F7</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FRP deviation / anomaly features</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Calculates deviation of current FRP from historical mean/median and local variation.</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F8</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Industrial probability model</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Uses LightGBM (with baseline comparison) to estimate industrial vs non-industrial context.</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F9</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Behaviour decision engine</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Combines industrial probability, persistence, deviation and cluster behaviour to produce a final operational class.</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F10</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Uncertain / cold-start state</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Avoids forcing a high-confidence persistent/abnormal label when history or context is insufficient.</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F11</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Evidence panel</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Explains the result with nearest infrastructure, land cover, recurrence, FRP baseline and current deviation.</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F12</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Thermal history chart</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Displays historical FRP and detection pattern to make persistence/anomaly reasoning visible.</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SHOULD</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F13</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Explainable ML</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Uses feature importance/SHAP to show which features drove industrial classification.</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SHOULD</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F14</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Satellite context panel</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Shows optional Sentinel-2/Landsat context for human verification when available.</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SHOULD</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F15</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Live mode + replay mode</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Allows live API use but can replay cached real data using exactly the same processing pipeline.</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F16</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Analyst feedback</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Allows future user confirmation/correction of classifications for later supervised learning.</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FUTURE</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F17</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Alerting / prioritization</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Routes high-severity abnormal events to operational alert workflows.</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FUTURE</w:t>
            </w:r>
          </w:p>
        </w:tc>
      </w:tr>
      <w:tr>
        <w:tc>
          <w:tcPr>
            <w:tcW w:type="dxa" w:w="6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F18</w:t>
            </w:r>
          </w:p>
        </w:tc>
        <w:tc>
          <w:tcPr>
            <w:tcW w:type="dxa" w:w="237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National-scale event processing</w:t>
            </w:r>
          </w:p>
        </w:tc>
        <w:tc>
          <w:tcPr>
            <w:tcW w:type="dxa" w:w="66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Distributed ingestion, PostGIS/object storage, operational monitoring and secure deployment.</w:t>
            </w:r>
          </w:p>
        </w:tc>
        <w:tc>
          <w:tcPr>
            <w:tcW w:type="dxa" w:w="11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FUTURE</w:t>
            </w:r>
          </w:p>
        </w:tc>
      </w:tr>
    </w:tbl>
    <w:p>
      <w:pPr>
        <w:spacing w:after="0"/>
      </w:pPr>
    </w:p>
    <w:p>
      <w:pPr>
        <w:pStyle w:val="Heading1"/>
        <w:keepNext/>
        <w:spacing w:before="200" w:after="80"/>
      </w:pPr>
      <w:r>
        <w:rPr>
          <w:rFonts w:ascii="Aptos" w:hAnsi="Aptos"/>
          <w:b/>
          <w:color w:val="17365D"/>
          <w:sz w:val="30"/>
        </w:rPr>
        <w:t>5. End-to-End Processing Workflow</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USER / DATA SOURCE</w:t>
              <w:br/>
            </w:r>
            <w:r>
              <w:rPr>
                <w:rFonts w:ascii="Liberation Mono" w:hAnsi="Liberation Mono"/>
                <w:color w:val="263238"/>
                <w:sz w:val="17"/>
              </w:rPr>
              <w:t xml:space="preserve">       ↓</w:t>
              <w:br/>
            </w:r>
            <w:r>
              <w:rPr>
                <w:rFonts w:ascii="Liberation Mono" w:hAnsi="Liberation Mono"/>
                <w:color w:val="263238"/>
                <w:sz w:val="17"/>
              </w:rPr>
              <w:t>NASA FIRMS observation</w:t>
              <w:br/>
            </w:r>
            <w:r>
              <w:rPr>
                <w:rFonts w:ascii="Liberation Mono" w:hAnsi="Liberation Mono"/>
                <w:color w:val="263238"/>
                <w:sz w:val="17"/>
              </w:rPr>
              <w:t xml:space="preserve">       ↓</w:t>
              <w:br/>
            </w:r>
            <w:r>
              <w:rPr>
                <w:rFonts w:ascii="Liberation Mono" w:hAnsi="Liberation Mono"/>
                <w:color w:val="263238"/>
                <w:sz w:val="17"/>
              </w:rPr>
              <w:t>Validation + cleaning</w:t>
              <w:br/>
            </w:r>
            <w:r>
              <w:rPr>
                <w:rFonts w:ascii="Liberation Mono" w:hAnsi="Liberation Mono"/>
                <w:color w:val="263238"/>
                <w:sz w:val="17"/>
              </w:rPr>
              <w:t xml:space="preserve">       ↓</w:t>
              <w:br/>
            </w:r>
            <w:r>
              <w:rPr>
                <w:rFonts w:ascii="Liberation Mono" w:hAnsi="Liberation Mono"/>
                <w:color w:val="263238"/>
                <w:sz w:val="17"/>
              </w:rPr>
              <w:t>Geospatial enrichment (OSM / industrial assets)</w:t>
              <w:br/>
            </w:r>
            <w:r>
              <w:rPr>
                <w:rFonts w:ascii="Liberation Mono" w:hAnsi="Liberation Mono"/>
                <w:color w:val="263238"/>
                <w:sz w:val="17"/>
              </w:rPr>
              <w:t xml:space="preserve">       ↓</w:t>
              <w:br/>
            </w:r>
            <w:r>
              <w:rPr>
                <w:rFonts w:ascii="Liberation Mono" w:hAnsi="Liberation Mono"/>
                <w:color w:val="263238"/>
                <w:sz w:val="17"/>
              </w:rPr>
              <w:t>Land-cover enrichment (ESA WorldCover)</w:t>
              <w:br/>
            </w:r>
            <w:r>
              <w:rPr>
                <w:rFonts w:ascii="Liberation Mono" w:hAnsi="Liberation Mono"/>
                <w:color w:val="263238"/>
                <w:sz w:val="17"/>
              </w:rPr>
              <w:t xml:space="preserve">       ↓</w:t>
              <w:br/>
            </w:r>
            <w:r>
              <w:rPr>
                <w:rFonts w:ascii="Liberation Mono" w:hAnsi="Liberation Mono"/>
                <w:color w:val="263238"/>
                <w:sz w:val="17"/>
              </w:rPr>
              <w:t>Historical FIRMS search / clustering</w:t>
              <w:br/>
            </w:r>
            <w:r>
              <w:rPr>
                <w:rFonts w:ascii="Liberation Mono" w:hAnsi="Liberation Mono"/>
                <w:color w:val="263238"/>
                <w:sz w:val="17"/>
              </w:rPr>
              <w:t xml:space="preserve">       ↓</w:t>
              <w:br/>
            </w:r>
            <w:r>
              <w:rPr>
                <w:rFonts w:ascii="Liberation Mono" w:hAnsi="Liberation Mono"/>
                <w:color w:val="263238"/>
                <w:sz w:val="17"/>
              </w:rPr>
              <w:t>Feature engineering</w:t>
              <w:br/>
            </w:r>
            <w:r>
              <w:rPr>
                <w:rFonts w:ascii="Liberation Mono" w:hAnsi="Liberation Mono"/>
                <w:color w:val="263238"/>
                <w:sz w:val="17"/>
              </w:rPr>
              <w:t xml:space="preserve">       ↓</w:t>
              <w:br/>
            </w:r>
            <w:r>
              <w:rPr>
                <w:rFonts w:ascii="Liberation Mono" w:hAnsi="Liberation Mono"/>
                <w:color w:val="263238"/>
                <w:sz w:val="17"/>
              </w:rPr>
              <w:t>Stage 1: Industrial-context ML</w:t>
              <w:br/>
            </w:r>
            <w:r>
              <w:rPr>
                <w:rFonts w:ascii="Liberation Mono" w:hAnsi="Liberation Mono"/>
                <w:color w:val="263238"/>
                <w:sz w:val="17"/>
              </w:rPr>
              <w:t xml:space="preserve">       ↓</w:t>
              <w:br/>
            </w:r>
            <w:r>
              <w:rPr>
                <w:rFonts w:ascii="Liberation Mono" w:hAnsi="Liberation Mono"/>
                <w:color w:val="263238"/>
                <w:sz w:val="17"/>
              </w:rPr>
              <w:t>Stage 2: Thermal-behaviour decision engine</w:t>
              <w:br/>
            </w:r>
            <w:r>
              <w:rPr>
                <w:rFonts w:ascii="Liberation Mono" w:hAnsi="Liberation Mono"/>
                <w:color w:val="263238"/>
                <w:sz w:val="17"/>
              </w:rPr>
              <w:t xml:space="preserve">       ↓</w:t>
              <w:br/>
            </w:r>
            <w:r>
              <w:rPr>
                <w:rFonts w:ascii="Liberation Mono" w:hAnsi="Liberation Mono"/>
                <w:color w:val="263238"/>
                <w:sz w:val="17"/>
              </w:rPr>
              <w:t>Final class + confidence + evidence</w:t>
              <w:br/>
            </w:r>
            <w:r>
              <w:rPr>
                <w:rFonts w:ascii="Liberation Mono" w:hAnsi="Liberation Mono"/>
                <w:color w:val="263238"/>
                <w:sz w:val="17"/>
              </w:rPr>
              <w:t xml:space="preserve">       ↓</w:t>
              <w:br/>
            </w:r>
            <w:r>
              <w:rPr>
                <w:rFonts w:ascii="Liberation Mono" w:hAnsi="Liberation Mono"/>
                <w:color w:val="263238"/>
                <w:sz w:val="17"/>
              </w:rPr>
              <w:t>FastAPI</w:t>
              <w:br/>
            </w:r>
            <w:r>
              <w:rPr>
                <w:rFonts w:ascii="Liberation Mono" w:hAnsi="Liberation Mono"/>
                <w:color w:val="263238"/>
                <w:sz w:val="17"/>
              </w:rPr>
              <w:t xml:space="preserve">       ↓</w:t>
              <w:br/>
            </w:r>
            <w:r>
              <w:rPr>
                <w:rFonts w:ascii="Liberation Mono" w:hAnsi="Liberation Mono"/>
                <w:color w:val="263238"/>
                <w:sz w:val="17"/>
              </w:rPr>
              <w:t>GIS dashboard + thermal history</w:t>
              <w:br/>
            </w:r>
            <w:r>
              <w:rPr>
                <w:rFonts w:ascii="Liberation Mono" w:hAnsi="Liberation Mono"/>
                <w:color w:val="263238"/>
                <w:sz w:val="17"/>
              </w:rPr>
              <w:t xml:space="preserve">       ↓</w:t>
              <w:br/>
            </w:r>
            <w:r>
              <w:rPr>
                <w:rFonts w:ascii="Liberation Mono" w:hAnsi="Liberation Mono"/>
                <w:color w:val="263238"/>
                <w:sz w:val="17"/>
              </w:rPr>
              <w:t>Analyst review / action</w:t>
            </w:r>
          </w:p>
        </w:tc>
      </w:tr>
    </w:tbl>
    <w:p>
      <w:pPr>
        <w:spacing w:after="0"/>
      </w:pPr>
    </w:p>
    <w:p>
      <w:pPr>
        <w:pStyle w:val="Heading2"/>
        <w:keepNext/>
        <w:spacing w:before="120" w:after="80"/>
      </w:pPr>
      <w:r>
        <w:rPr>
          <w:rFonts w:ascii="Aptos" w:hAnsi="Aptos"/>
          <w:b/>
          <w:color w:val="2F5597"/>
          <w:sz w:val="25"/>
        </w:rPr>
        <w:t>5.1 Event processing sequence</w:t>
      </w:r>
    </w:p>
    <w:p>
      <w:pPr>
        <w:pStyle w:val="ListNumber"/>
        <w:spacing w:after="40" w:before="0" w:line="259" w:lineRule="auto"/>
      </w:pPr>
      <w:r>
        <w:rPr>
          <w:rFonts w:ascii="Aptos" w:hAnsi="Aptos"/>
          <w:sz w:val="20"/>
        </w:rPr>
        <w:t>Validate incoming FIRMS record and normalize date/time fields.</w:t>
      </w:r>
    </w:p>
    <w:p>
      <w:pPr>
        <w:pStyle w:val="ListNumber"/>
        <w:spacing w:after="40" w:before="0" w:line="259" w:lineRule="auto"/>
      </w:pPr>
      <w:r>
        <w:rPr>
          <w:rFonts w:ascii="Aptos" w:hAnsi="Aptos"/>
          <w:sz w:val="20"/>
        </w:rPr>
        <w:t>Create geospatial point and project to an appropriate metric CRS for distance calculations.</w:t>
      </w:r>
    </w:p>
    <w:p>
      <w:pPr>
        <w:pStyle w:val="ListNumber"/>
        <w:spacing w:after="40" w:before="0" w:line="259" w:lineRule="auto"/>
      </w:pPr>
      <w:r>
        <w:rPr>
          <w:rFonts w:ascii="Aptos" w:hAnsi="Aptos"/>
          <w:sz w:val="20"/>
        </w:rPr>
        <w:t>Query or load cached industrial features around the hotspot within configured search radii.</w:t>
      </w:r>
    </w:p>
    <w:p>
      <w:pPr>
        <w:pStyle w:val="ListNumber"/>
        <w:spacing w:after="40" w:before="0" w:line="259" w:lineRule="auto"/>
      </w:pPr>
      <w:r>
        <w:rPr>
          <w:rFonts w:ascii="Aptos" w:hAnsi="Aptos"/>
          <w:sz w:val="20"/>
        </w:rPr>
        <w:t>Extract WorldCover class/context around the hotspot.</w:t>
      </w:r>
    </w:p>
    <w:p>
      <w:pPr>
        <w:pStyle w:val="ListNumber"/>
        <w:spacing w:after="40" w:before="0" w:line="259" w:lineRule="auto"/>
      </w:pPr>
      <w:r>
        <w:rPr>
          <w:rFonts w:ascii="Aptos" w:hAnsi="Aptos"/>
          <w:sz w:val="20"/>
        </w:rPr>
        <w:t>Find historical thermal detections within a spatial tolerance and time window.</w:t>
      </w:r>
    </w:p>
    <w:p>
      <w:pPr>
        <w:pStyle w:val="ListNumber"/>
        <w:spacing w:after="40" w:before="0" w:line="259" w:lineRule="auto"/>
      </w:pPr>
      <w:r>
        <w:rPr>
          <w:rFonts w:ascii="Aptos" w:hAnsi="Aptos"/>
          <w:sz w:val="20"/>
        </w:rPr>
        <w:t>Generate thermal, geospatial and temporal features.</w:t>
      </w:r>
    </w:p>
    <w:p>
      <w:pPr>
        <w:pStyle w:val="ListNumber"/>
        <w:spacing w:after="40" w:before="0" w:line="259" w:lineRule="auto"/>
      </w:pPr>
      <w:r>
        <w:rPr>
          <w:rFonts w:ascii="Aptos" w:hAnsi="Aptos"/>
          <w:sz w:val="20"/>
        </w:rPr>
        <w:t>Run the industrial-context classifier.</w:t>
      </w:r>
    </w:p>
    <w:p>
      <w:pPr>
        <w:pStyle w:val="ListNumber"/>
        <w:spacing w:after="40" w:before="0" w:line="259" w:lineRule="auto"/>
      </w:pPr>
      <w:r>
        <w:rPr>
          <w:rFonts w:ascii="Aptos" w:hAnsi="Aptos"/>
          <w:sz w:val="20"/>
        </w:rPr>
        <w:t>If industrial probability is sufficiently high, evaluate persistent/abnormal behaviour.</w:t>
      </w:r>
    </w:p>
    <w:p>
      <w:pPr>
        <w:pStyle w:val="ListNumber"/>
        <w:spacing w:after="40" w:before="0" w:line="259" w:lineRule="auto"/>
      </w:pPr>
      <w:r>
        <w:rPr>
          <w:rFonts w:ascii="Aptos" w:hAnsi="Aptos"/>
          <w:sz w:val="20"/>
        </w:rPr>
        <w:t>Return final class with confidence/evidence and store the prediction with model version.</w:t>
      </w:r>
    </w:p>
    <w:p>
      <w:pPr>
        <w:pStyle w:val="ListNumber"/>
        <w:spacing w:after="40" w:before="0" w:line="259" w:lineRule="auto"/>
      </w:pPr>
      <w:r>
        <w:rPr>
          <w:rFonts w:ascii="Aptos" w:hAnsi="Aptos"/>
          <w:sz w:val="20"/>
        </w:rPr>
        <w:t>Render the event on the GIS dashboard and show the supporting evidence.</w:t>
      </w:r>
    </w:p>
    <w:p>
      <w:pPr>
        <w:pStyle w:val="Heading1"/>
        <w:keepNext/>
        <w:spacing w:before="200" w:after="80"/>
      </w:pPr>
      <w:r>
        <w:rPr>
          <w:rFonts w:ascii="Aptos" w:hAnsi="Aptos"/>
          <w:b/>
          <w:color w:val="17365D"/>
          <w:sz w:val="30"/>
        </w:rPr>
        <w:t>6. AI/ML Strategy</w:t>
      </w:r>
    </w:p>
    <w:p>
      <w:pPr>
        <w:pStyle w:val="Heading2"/>
        <w:keepNext/>
        <w:spacing w:before="120" w:after="80"/>
      </w:pPr>
      <w:r>
        <w:rPr>
          <w:rFonts w:ascii="Aptos" w:hAnsi="Aptos"/>
          <w:b/>
          <w:color w:val="2F5597"/>
          <w:sz w:val="25"/>
        </w:rPr>
        <w:t>6.1 Why classical ML is the MVP choice</w:t>
      </w:r>
    </w:p>
    <w:p>
      <w:pPr>
        <w:spacing w:after="80" w:before="0" w:line="259" w:lineRule="auto"/>
      </w:pPr>
      <w:r>
        <w:rPr>
          <w:rFonts w:ascii="Aptos" w:hAnsi="Aptos"/>
          <w:i w:val="0"/>
          <w:sz w:val="21"/>
        </w:rPr>
        <w:t>The core MVP evidence is structured rather than image-dominant. Distances, FRP, recurrence, land-cover percentages, detection counts and facility types are naturally suited to tree-based gradient boosting. LightGBM is preferred because it trains quickly, works on CPU, handles nonlinear interactions and supports explainability. A simpler baseline such as Logistic Regression or Random Forest must be evaluated first so that added model complexity is justified by measured improvement.</w:t>
      </w:r>
    </w:p>
    <w:p>
      <w:pPr>
        <w:pStyle w:val="Heading2"/>
        <w:keepNext/>
        <w:spacing w:before="120" w:after="80"/>
      </w:pPr>
      <w:r>
        <w:rPr>
          <w:rFonts w:ascii="Aptos" w:hAnsi="Aptos"/>
          <w:b/>
          <w:color w:val="2F5597"/>
          <w:sz w:val="25"/>
        </w:rPr>
        <w:t>6.2 Candidate feature schema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Group</w:t>
            </w:r>
          </w:p>
        </w:tc>
        <w:tc>
          <w:tcPr>
            <w:tcW w:type="dxa" w:w="5544"/>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Candidate Features</w:t>
            </w:r>
          </w:p>
        </w:tc>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Purpose</w:t>
            </w:r>
          </w:p>
        </w:tc>
      </w:tr>
      <w:tr>
        <w:tc>
          <w:tcPr>
            <w:tcW w:type="dxa" w:w="208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Thermal</w:t>
            </w:r>
          </w:p>
        </w:tc>
        <w:tc>
          <w:tcPr>
            <w:tcW w:type="dxa" w:w="55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FRP, bright_ti4, bright_ti5, I4-I5 delta, confidence, day/night</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Describe current thermal observation</w:t>
            </w:r>
          </w:p>
        </w:tc>
      </w:tr>
      <w:tr>
        <w:tc>
          <w:tcPr>
            <w:tcW w:type="dxa" w:w="208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Industrial proximity</w:t>
            </w:r>
          </w:p>
        </w:tc>
        <w:tc>
          <w:tcPr>
            <w:tcW w:type="dxa" w:w="55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Distance to industrial polygon, refinery, power plant, steel plant, LNG terminal; inside industrial flag</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Estimate industrial context</w:t>
            </w:r>
          </w:p>
        </w:tc>
      </w:tr>
      <w:tr>
        <w:tc>
          <w:tcPr>
            <w:tcW w:type="dxa" w:w="208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Land cover</w:t>
            </w:r>
          </w:p>
        </w:tc>
        <w:tc>
          <w:tcPr>
            <w:tcW w:type="dxa" w:w="55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Primary class, built-up %, tree %, cropland %, vegetation %</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Differentiate industrial/built-up vs natural/agricultural context</w:t>
            </w:r>
          </w:p>
        </w:tc>
      </w:tr>
      <w:tr>
        <w:tc>
          <w:tcPr>
            <w:tcW w:type="dxa" w:w="208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Temporal recurrence</w:t>
            </w:r>
          </w:p>
        </w:tc>
        <w:tc>
          <w:tcPr>
            <w:tcW w:type="dxa" w:w="55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detections_7d/30d/90d, unique days, night detection ratio</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Measure persistence</w:t>
            </w:r>
          </w:p>
        </w:tc>
      </w:tr>
      <w:tr>
        <w:tc>
          <w:tcPr>
            <w:tcW w:type="dxa" w:w="208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Thermal history</w:t>
            </w:r>
          </w:p>
        </w:tc>
        <w:tc>
          <w:tcPr>
            <w:tcW w:type="dxa" w:w="55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mean/median/std FRP, current FRP z-score, baseline deviation</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Detect deviation from normal behaviour</w:t>
            </w:r>
          </w:p>
        </w:tc>
      </w:tr>
      <w:tr>
        <w:tc>
          <w:tcPr>
            <w:tcW w:type="dxa" w:w="208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Spatial event shape</w:t>
            </w:r>
          </w:p>
        </w:tc>
        <w:tc>
          <w:tcPr>
            <w:tcW w:type="dxa" w:w="55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Nearby hotspot count, cluster radius, newly appearing neighbouring points</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Detect abnormal expansion</w:t>
            </w:r>
          </w:p>
        </w:tc>
      </w:tr>
    </w:tbl>
    <w:p>
      <w:pPr>
        <w:spacing w:after="0"/>
      </w:pPr>
    </w:p>
    <w:p>
      <w:pPr>
        <w:pStyle w:val="Heading2"/>
        <w:keepNext/>
        <w:spacing w:before="120" w:after="80"/>
      </w:pPr>
      <w:r>
        <w:rPr>
          <w:rFonts w:ascii="Aptos" w:hAnsi="Aptos"/>
          <w:b/>
          <w:color w:val="2F5597"/>
          <w:sz w:val="25"/>
        </w:rPr>
        <w:t>6.3 Facility Thermal Baseline</w:t>
      </w:r>
    </w:p>
    <w:p>
      <w:pPr>
        <w:spacing w:after="80" w:before="0" w:line="259" w:lineRule="auto"/>
      </w:pPr>
      <w:r>
        <w:rPr>
          <w:rFonts w:ascii="Aptos" w:hAnsi="Aptos"/>
          <w:i w:val="0"/>
          <w:sz w:val="21"/>
        </w:rPr>
        <w:t>For each recurring thermal cluster, the MVP derives a baseline from prior FIRMS observations. The baseline is not a universal threshold; it is location-specific. This matters because a routine industrial flare may naturally have higher FRP than a vegetation fire, while still being normal for that facility.</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baseline_median_frp = median(historical FRP)</w:t>
              <w:br/>
            </w:r>
            <w:r>
              <w:rPr>
                <w:rFonts w:ascii="Liberation Mono" w:hAnsi="Liberation Mono"/>
                <w:color w:val="263238"/>
                <w:sz w:val="17"/>
              </w:rPr>
              <w:t>baseline_mean_frp   = mean(historical FRP)</w:t>
              <w:br/>
            </w:r>
            <w:r>
              <w:rPr>
                <w:rFonts w:ascii="Liberation Mono" w:hAnsi="Liberation Mono"/>
                <w:color w:val="263238"/>
                <w:sz w:val="17"/>
              </w:rPr>
              <w:t>baseline_std_frp    = std(historical FRP)</w:t>
              <w:br/>
            </w:r>
            <w:r>
              <w:rPr>
                <w:rFonts w:ascii="Liberation Mono" w:hAnsi="Liberation Mono"/>
                <w:color w:val="263238"/>
                <w:sz w:val="17"/>
              </w:rPr>
              <w:br/>
            </w:r>
            <w:r>
              <w:rPr>
                <w:rFonts w:ascii="Liberation Mono" w:hAnsi="Liberation Mono"/>
                <w:color w:val="263238"/>
                <w:sz w:val="17"/>
              </w:rPr>
              <w:t>frp_z_score = (current_frp - baseline_mean_frp) / baseline_std_frp</w:t>
              <w:br/>
            </w:r>
            <w:r>
              <w:rPr>
                <w:rFonts w:ascii="Liberation Mono" w:hAnsi="Liberation Mono"/>
                <w:color w:val="263238"/>
                <w:sz w:val="17"/>
              </w:rPr>
              <w:br/>
            </w:r>
            <w:r>
              <w:rPr>
                <w:rFonts w:ascii="Liberation Mono" w:hAnsi="Liberation Mono"/>
                <w:color w:val="263238"/>
                <w:sz w:val="17"/>
              </w:rPr>
              <w:t>persistence_ratio = unique_detection_days / observable_days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DE"/>
            <w:tcBorders>
              <w:top w:val="single" w:sz="4" w:color="D4D9E2"/>
              <w:left w:val="single" w:sz="4" w:color="D4D9E2"/>
              <w:bottom w:val="single" w:sz="4" w:color="D4D9E2"/>
              <w:right w:val="single" w:sz="4" w:color="D4D9E2"/>
              <w:insideH w:val="single" w:sz="4" w:color="D4D9E2"/>
              <w:insideV w:val="single" w:sz="4" w:color="D4D9E2"/>
            </w:tcBorders>
            <w:tcMar>
              <w:top w:w="100" w:type="dxa"/>
              <w:start w:w="120" w:type="dxa"/>
              <w:bottom w:w="100" w:type="dxa"/>
              <w:end w:w="120" w:type="dxa"/>
            </w:tcMar>
          </w:tcPr>
          <w:p>
            <w:pPr>
              <w:spacing w:after="40" w:before="0" w:line="259" w:lineRule="auto"/>
            </w:pPr>
            <w:r>
              <w:rPr>
                <w:rFonts w:ascii="Aptos" w:hAnsi="Aptos"/>
                <w:b/>
                <w:color w:val="8A5A00"/>
                <w:sz w:val="21"/>
              </w:rPr>
              <w:t>Important limitation</w:t>
            </w:r>
          </w:p>
          <w:p>
            <w:pPr>
              <w:spacing w:after="0" w:before="0" w:line="259" w:lineRule="auto"/>
            </w:pPr>
            <w:r>
              <w:rPr>
                <w:rFonts w:ascii="Aptos" w:hAnsi="Aptos"/>
                <w:color w:val="1F2937"/>
                <w:sz w:val="20"/>
              </w:rPr>
              <w:t>A high z-score is not proof of an accident. It is an anomaly indicator used together with industrial context, cluster behaviour and analyst evidence.</w:t>
            </w:r>
          </w:p>
        </w:tc>
      </w:tr>
    </w:tbl>
    <w:p>
      <w:pPr>
        <w:spacing w:after="0"/>
      </w:pPr>
    </w:p>
    <w:p>
      <w:pPr>
        <w:pStyle w:val="Heading2"/>
        <w:keepNext/>
        <w:spacing w:before="120" w:after="80"/>
      </w:pPr>
      <w:r>
        <w:rPr>
          <w:rFonts w:ascii="Aptos" w:hAnsi="Aptos"/>
          <w:b/>
          <w:color w:val="2F5597"/>
          <w:sz w:val="25"/>
        </w:rPr>
        <w:t>6.4 Proposed final operational classes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Class</w:t>
            </w:r>
          </w:p>
        </w:tc>
        <w:tc>
          <w:tcPr>
            <w:tcW w:type="dxa" w:w="367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Meaning</w:t>
            </w:r>
          </w:p>
        </w:tc>
        <w:tc>
          <w:tcPr>
            <w:tcW w:type="dxa" w:w="360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Typical evidence</w:t>
            </w:r>
          </w:p>
        </w:tc>
      </w:tr>
      <w:tr>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Persistent Industrial Thermal Source</w:t>
            </w:r>
          </w:p>
        </w:tc>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Industrial-context heat recurring within expected behaviour</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High industrial probability + strong recurrence + current FRP near baseline</w:t>
            </w:r>
          </w:p>
        </w:tc>
      </w:tr>
      <w:tr>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Potential Abnormal Industrial Thermal Event</w:t>
            </w:r>
          </w:p>
        </w:tc>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Industrial-context heat deviating materially from historical behaviour</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High industrial probability + high deviation / new cluster growth</w:t>
            </w:r>
          </w:p>
        </w:tc>
      </w:tr>
      <w:tr>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Natural / Non-Industrial Thermal Event</w:t>
            </w:r>
          </w:p>
        </w:tc>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Thermal event more consistent with vegetation/agricultural/non-industrial context</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Low industrial probability + vegetation/cropland context</w:t>
            </w:r>
          </w:p>
        </w:tc>
      </w:tr>
      <w:tr>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Industrial Thermal Activity - History Insufficient</w:t>
            </w:r>
          </w:p>
        </w:tc>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Industrial context is strong but persistence cannot yet be assessed</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High industrial probability + insufficient historical observations</w:t>
            </w:r>
          </w:p>
        </w:tc>
      </w:tr>
      <w:tr>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Uncertain</w:t>
            </w:r>
          </w:p>
        </w:tc>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Evidence conflicts or is insufficient</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Low confidence / missing context / conflicting signals</w:t>
            </w:r>
          </w:p>
        </w:tc>
      </w:tr>
    </w:tbl>
    <w:p>
      <w:pPr>
        <w:spacing w:after="0"/>
      </w:pPr>
    </w:p>
    <w:p>
      <w:pPr>
        <w:pStyle w:val="Heading2"/>
        <w:keepNext/>
        <w:spacing w:before="120" w:after="80"/>
      </w:pPr>
      <w:r>
        <w:rPr>
          <w:rFonts w:ascii="Aptos" w:hAnsi="Aptos"/>
          <w:b/>
          <w:color w:val="2F5597"/>
          <w:sz w:val="25"/>
        </w:rPr>
        <w:t>6.5 Training and evaluation pipeline</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DATA</w:t>
              <w:br/>
            </w:r>
            <w:r>
              <w:rPr>
                <w:rFonts w:ascii="Liberation Mono" w:hAnsi="Liberation Mono"/>
                <w:color w:val="263238"/>
                <w:sz w:val="17"/>
              </w:rPr>
              <w:t xml:space="preserve"> ↓</w:t>
              <w:br/>
            </w:r>
            <w:r>
              <w:rPr>
                <w:rFonts w:ascii="Liberation Mono" w:hAnsi="Liberation Mono"/>
                <w:color w:val="263238"/>
                <w:sz w:val="17"/>
              </w:rPr>
              <w:t>Cleaning + geospatial joins</w:t>
              <w:br/>
            </w:r>
            <w:r>
              <w:rPr>
                <w:rFonts w:ascii="Liberation Mono" w:hAnsi="Liberation Mono"/>
                <w:color w:val="263238"/>
                <w:sz w:val="17"/>
              </w:rPr>
              <w:t xml:space="preserve"> ↓</w:t>
              <w:br/>
            </w:r>
            <w:r>
              <w:rPr>
                <w:rFonts w:ascii="Liberation Mono" w:hAnsi="Liberation Mono"/>
                <w:color w:val="263238"/>
                <w:sz w:val="17"/>
              </w:rPr>
              <w:t>Feature extraction</w:t>
              <w:br/>
            </w:r>
            <w:r>
              <w:rPr>
                <w:rFonts w:ascii="Liberation Mono" w:hAnsi="Liberation Mono"/>
                <w:color w:val="263238"/>
                <w:sz w:val="17"/>
              </w:rPr>
              <w:t xml:space="preserve"> ↓</w:t>
              <w:br/>
            </w:r>
            <w:r>
              <w:rPr>
                <w:rFonts w:ascii="Liberation Mono" w:hAnsi="Liberation Mono"/>
                <w:color w:val="263238"/>
                <w:sz w:val="17"/>
              </w:rPr>
              <w:t>Verified/weak labels</w:t>
              <w:br/>
            </w:r>
            <w:r>
              <w:rPr>
                <w:rFonts w:ascii="Liberation Mono" w:hAnsi="Liberation Mono"/>
                <w:color w:val="263238"/>
                <w:sz w:val="17"/>
              </w:rPr>
              <w:t xml:space="preserve"> ↓</w:t>
              <w:br/>
            </w:r>
            <w:r>
              <w:rPr>
                <w:rFonts w:ascii="Liberation Mono" w:hAnsi="Liberation Mono"/>
                <w:color w:val="263238"/>
                <w:sz w:val="17"/>
              </w:rPr>
              <w:t>Baseline model</w:t>
              <w:br/>
            </w:r>
            <w:r>
              <w:rPr>
                <w:rFonts w:ascii="Liberation Mono" w:hAnsi="Liberation Mono"/>
                <w:color w:val="263238"/>
                <w:sz w:val="17"/>
              </w:rPr>
              <w:t xml:space="preserve"> ↓</w:t>
              <w:br/>
            </w:r>
            <w:r>
              <w:rPr>
                <w:rFonts w:ascii="Liberation Mono" w:hAnsi="Liberation Mono"/>
                <w:color w:val="263238"/>
                <w:sz w:val="17"/>
              </w:rPr>
              <w:t>Facility/geography-based train/validation/test split</w:t>
              <w:br/>
            </w:r>
            <w:r>
              <w:rPr>
                <w:rFonts w:ascii="Liberation Mono" w:hAnsi="Liberation Mono"/>
                <w:color w:val="263238"/>
                <w:sz w:val="17"/>
              </w:rPr>
              <w:t xml:space="preserve"> ↓</w:t>
              <w:br/>
            </w:r>
            <w:r>
              <w:rPr>
                <w:rFonts w:ascii="Liberation Mono" w:hAnsi="Liberation Mono"/>
                <w:color w:val="263238"/>
                <w:sz w:val="17"/>
              </w:rPr>
              <w:t>Evaluation + error analysis</w:t>
              <w:br/>
            </w:r>
            <w:r>
              <w:rPr>
                <w:rFonts w:ascii="Liberation Mono" w:hAnsi="Liberation Mono"/>
                <w:color w:val="263238"/>
                <w:sz w:val="17"/>
              </w:rPr>
              <w:t xml:space="preserve"> ↓</w:t>
              <w:br/>
            </w:r>
            <w:r>
              <w:rPr>
                <w:rFonts w:ascii="Liberation Mono" w:hAnsi="Liberation Mono"/>
                <w:color w:val="263238"/>
                <w:sz w:val="17"/>
              </w:rPr>
              <w:t>LightGBM improvement</w:t>
              <w:br/>
            </w:r>
            <w:r>
              <w:rPr>
                <w:rFonts w:ascii="Liberation Mono" w:hAnsi="Liberation Mono"/>
                <w:color w:val="263238"/>
                <w:sz w:val="17"/>
              </w:rPr>
              <w:t xml:space="preserve"> ↓</w:t>
              <w:br/>
            </w:r>
            <w:r>
              <w:rPr>
                <w:rFonts w:ascii="Liberation Mono" w:hAnsi="Liberation Mono"/>
                <w:color w:val="263238"/>
                <w:sz w:val="17"/>
              </w:rPr>
              <w:t>Calibration / threshold selection</w:t>
              <w:br/>
            </w:r>
            <w:r>
              <w:rPr>
                <w:rFonts w:ascii="Liberation Mono" w:hAnsi="Liberation Mono"/>
                <w:color w:val="263238"/>
                <w:sz w:val="17"/>
              </w:rPr>
              <w:t xml:space="preserve"> ↓</w:t>
              <w:br/>
            </w:r>
            <w:r>
              <w:rPr>
                <w:rFonts w:ascii="Liberation Mono" w:hAnsi="Liberation Mono"/>
                <w:color w:val="263238"/>
                <w:sz w:val="17"/>
              </w:rPr>
              <w:t>Export versioned pipeline</w:t>
            </w:r>
          </w:p>
        </w:tc>
      </w:tr>
    </w:tbl>
    <w:p>
      <w:pPr>
        <w:spacing w:after="0"/>
      </w:pPr>
    </w:p>
    <w:p>
      <w:pPr>
        <w:spacing w:after="80" w:before="0" w:line="259" w:lineRule="auto"/>
      </w:pPr>
      <w:r>
        <w:rPr>
          <w:rFonts w:ascii="Aptos" w:hAnsi="Aptos"/>
          <w:i w:val="0"/>
          <w:sz w:val="21"/>
        </w:rPr>
        <w:t>Random row-level splitting should be avoided when multiple observations from the same facility exist. Otherwise, the model can appear accurate simply because it has already seen that location. The preferred test design holds out entire facilities or geographic regions.</w:t>
      </w:r>
    </w:p>
    <w:p>
      <w:pPr>
        <w:pStyle w:val="Heading2"/>
        <w:keepNext/>
        <w:spacing w:before="120" w:after="80"/>
      </w:pPr>
      <w:r>
        <w:rPr>
          <w:rFonts w:ascii="Aptos" w:hAnsi="Aptos"/>
          <w:b/>
          <w:color w:val="2F5597"/>
          <w:sz w:val="25"/>
        </w:rPr>
        <w:t>6.6 Jupyter notebook development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Notebook</w:t>
            </w:r>
          </w:p>
        </w:tc>
        <w:tc>
          <w:tcPr>
            <w:tcW w:type="dxa" w:w="46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Responsibility</w:t>
            </w:r>
          </w:p>
        </w:tc>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Output</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01_firms_ingestion.ipynb</w:t>
            </w:r>
          </w:p>
        </w:tc>
        <w:tc>
          <w:tcPr>
            <w:tcW w:type="dxa" w:w="46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Load, inspect and clean FIRMS data</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Clean hotspot dataset</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02_geospatial_enrichment.ipynb</w:t>
            </w:r>
          </w:p>
        </w:tc>
        <w:tc>
          <w:tcPr>
            <w:tcW w:type="dxa" w:w="46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OSM/industrial joins and distance features</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Spatial feature table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03_landcover_features.ipynb</w:t>
            </w:r>
          </w:p>
        </w:tc>
        <w:tc>
          <w:tcPr>
            <w:tcW w:type="dxa" w:w="46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WorldCover extraction and local context</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Land-cover features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04_temporal_features.ipynb</w:t>
            </w:r>
          </w:p>
        </w:tc>
        <w:tc>
          <w:tcPr>
            <w:tcW w:type="dxa" w:w="46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Historical clustering, recurrence and baseline</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Temporal feature table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05_model_training.ipynb</w:t>
            </w:r>
          </w:p>
        </w:tc>
        <w:tc>
          <w:tcPr>
            <w:tcW w:type="dxa" w:w="46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Baselines, LightGBM training, threshold tuning</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Trained pipeline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06_evaluation.ipynb</w:t>
            </w:r>
          </w:p>
        </w:tc>
        <w:tc>
          <w:tcPr>
            <w:tcW w:type="dxa" w:w="46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Precision, recall, F1, confusion matrix, facility holdout</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Validated metrics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07_explainability.ipynb</w:t>
            </w:r>
          </w:p>
        </w:tc>
        <w:tc>
          <w:tcPr>
            <w:tcW w:type="dxa" w:w="46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Feature importance / SHAP analysis</w:t>
            </w:r>
          </w:p>
        </w:tc>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Explanation artifacts</w:t>
            </w:r>
          </w:p>
        </w:tc>
      </w:tr>
    </w:tbl>
    <w:p>
      <w:pPr>
        <w:spacing w:after="0"/>
      </w:pPr>
    </w:p>
    <w:p>
      <w:pPr>
        <w:spacing w:after="80" w:before="0" w:line="259" w:lineRule="auto"/>
      </w:pPr>
      <w:r>
        <w:rPr>
          <w:rFonts w:ascii="Aptos" w:hAnsi="Aptos"/>
          <w:i w:val="0"/>
          <w:sz w:val="21"/>
        </w:rPr>
        <w:t>Stable feature-generation code should be moved from notebooks into reusable Python modules so the notebook and live FastAPI application use the same implementation.</w:t>
      </w:r>
    </w:p>
    <w:p>
      <w:pPr>
        <w:pStyle w:val="Heading1"/>
        <w:keepNext/>
        <w:spacing w:before="200" w:after="80"/>
      </w:pPr>
      <w:r>
        <w:rPr>
          <w:rFonts w:ascii="Aptos" w:hAnsi="Aptos"/>
          <w:b/>
          <w:color w:val="17365D"/>
          <w:sz w:val="30"/>
        </w:rPr>
        <w:t>7. GIS and Geospatial Engineering</w:t>
      </w:r>
    </w:p>
    <w:p>
      <w:pPr>
        <w:pStyle w:val="Heading2"/>
        <w:keepNext/>
        <w:spacing w:before="120" w:after="80"/>
      </w:pPr>
      <w:r>
        <w:rPr>
          <w:rFonts w:ascii="Aptos" w:hAnsi="Aptos"/>
          <w:b/>
          <w:color w:val="2F5597"/>
          <w:sz w:val="25"/>
        </w:rPr>
        <w:t>7.1 Spatial processing principles</w:t>
      </w:r>
    </w:p>
    <w:p>
      <w:pPr>
        <w:pStyle w:val="ListBullet"/>
        <w:spacing w:after="40" w:before="0" w:line="259" w:lineRule="auto"/>
        <w:ind w:left="259"/>
      </w:pPr>
      <w:r>
        <w:rPr>
          <w:rFonts w:ascii="Aptos" w:hAnsi="Aptos"/>
          <w:sz w:val="20"/>
        </w:rPr>
        <w:t>Store event coordinates in WGS84 (EPSG:4326) for interoperability and web mapping.</w:t>
      </w:r>
    </w:p>
    <w:p>
      <w:pPr>
        <w:pStyle w:val="ListBullet"/>
        <w:spacing w:after="40" w:before="0" w:line="259" w:lineRule="auto"/>
        <w:ind w:left="259"/>
      </w:pPr>
      <w:r>
        <w:rPr>
          <w:rFonts w:ascii="Aptos" w:hAnsi="Aptos"/>
          <w:sz w:val="20"/>
        </w:rPr>
        <w:t>Use a projected metric CRS for distance/buffer calculations rather than calculating metres directly in latitude/longitude.</w:t>
      </w:r>
    </w:p>
    <w:p>
      <w:pPr>
        <w:pStyle w:val="ListBullet"/>
        <w:spacing w:after="40" w:before="0" w:line="259" w:lineRule="auto"/>
        <w:ind w:left="259"/>
      </w:pPr>
      <w:r>
        <w:rPr>
          <w:rFonts w:ascii="Aptos" w:hAnsi="Aptos"/>
          <w:sz w:val="20"/>
        </w:rPr>
        <w:t>Cache industrial layers for the selected Area of Interest to avoid repeated dependence on public Overpass endpoints.</w:t>
      </w:r>
    </w:p>
    <w:p>
      <w:pPr>
        <w:pStyle w:val="ListBullet"/>
        <w:spacing w:after="40" w:before="0" w:line="259" w:lineRule="auto"/>
        <w:ind w:left="259"/>
      </w:pPr>
      <w:r>
        <w:rPr>
          <w:rFonts w:ascii="Aptos" w:hAnsi="Aptos"/>
          <w:sz w:val="20"/>
        </w:rPr>
        <w:t>Use spatial joins for polygon membership and nearest-neighbour calculations for facility proximity.</w:t>
      </w:r>
    </w:p>
    <w:p>
      <w:pPr>
        <w:pStyle w:val="ListBullet"/>
        <w:spacing w:after="40" w:before="0" w:line="259" w:lineRule="auto"/>
        <w:ind w:left="259"/>
      </w:pPr>
      <w:r>
        <w:rPr>
          <w:rFonts w:ascii="Aptos" w:hAnsi="Aptos"/>
          <w:sz w:val="20"/>
        </w:rPr>
        <w:t>Treat the satellite hotspot as an observation with spatial uncertainty, not a building-level point guarantee.</w:t>
      </w:r>
    </w:p>
    <w:p>
      <w:pPr>
        <w:pStyle w:val="Heading2"/>
        <w:keepNext/>
        <w:spacing w:before="120" w:after="80"/>
      </w:pPr>
      <w:r>
        <w:rPr>
          <w:rFonts w:ascii="Aptos" w:hAnsi="Aptos"/>
          <w:b/>
          <w:color w:val="2F5597"/>
          <w:sz w:val="25"/>
        </w:rPr>
        <w:t>7.2 Temporal-spatial clustering</w:t>
      </w:r>
    </w:p>
    <w:p>
      <w:pPr>
        <w:spacing w:after="80" w:before="0" w:line="259" w:lineRule="auto"/>
      </w:pPr>
      <w:r>
        <w:rPr>
          <w:rFonts w:ascii="Aptos" w:hAnsi="Aptos"/>
          <w:i w:val="0"/>
          <w:sz w:val="21"/>
        </w:rPr>
        <w:t>Historical observations can be grouped into recurring thermal-source clusters using a spatial radius and temporal window. DBSCAN is a suitable MVP method because it does not require the number of clusters in advance and can separate recurring locations from isolated observations. Thresholds must be tuned based on the sensor resolution and study area rather than presented as universal values.</w:t>
      </w:r>
    </w:p>
    <w:p>
      <w:pPr>
        <w:pStyle w:val="Heading2"/>
        <w:keepNext/>
        <w:spacing w:before="120" w:after="80"/>
      </w:pPr>
      <w:r>
        <w:rPr>
          <w:rFonts w:ascii="Aptos" w:hAnsi="Aptos"/>
          <w:b/>
          <w:color w:val="2F5597"/>
          <w:sz w:val="25"/>
        </w:rPr>
        <w:t>7.3 Area-of-Interest strategy</w:t>
      </w:r>
    </w:p>
    <w:p>
      <w:pPr>
        <w:spacing w:after="80" w:before="0" w:line="259" w:lineRule="auto"/>
      </w:pPr>
      <w:r>
        <w:rPr>
          <w:rFonts w:ascii="Aptos" w:hAnsi="Aptos"/>
          <w:i w:val="0"/>
          <w:sz w:val="21"/>
        </w:rPr>
        <w:t>The MVP should not process all of India during development. Select 3-5 areas containing known industrial infrastructure and at least one non-industrial fire-prone area. This makes data verification, labelling and demo reliability manageable while preserving the end-to-end architecture needed to scale later.</w:t>
      </w:r>
    </w:p>
    <w:p>
      <w:pPr>
        <w:pStyle w:val="Heading1"/>
        <w:keepNext/>
        <w:spacing w:before="200" w:after="80"/>
      </w:pPr>
      <w:r>
        <w:rPr>
          <w:rFonts w:ascii="Aptos" w:hAnsi="Aptos"/>
          <w:b/>
          <w:color w:val="17365D"/>
          <w:sz w:val="30"/>
        </w:rPr>
        <w:t>8. Data and Resource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Resource</w:t>
            </w:r>
          </w:p>
        </w:tc>
        <w:tc>
          <w:tcPr>
            <w:tcW w:type="dxa" w:w="432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Role in solution</w:t>
            </w:r>
          </w:p>
        </w:tc>
        <w:tc>
          <w:tcPr>
            <w:tcW w:type="dxa" w:w="331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MVP status / handling</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NASA FIRMS (NOAA-20/NOAA-21 VIIRS)</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Primary thermal hotspot feed</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Use real API/download data; cache demo slices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OpenStreetMap / Overpass</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Industrial areas and infrastructure context</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Download AOI extracts and cache locally</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ESA WorldCover</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Land-cover context</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Download/process AOI tiles or pre-extract features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Historical FIRMS</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Recurrence and baseline construction</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Build 30/90-day historical event cache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Global Energy Monitor</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Optional structured industrial assets</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Add where it materially improves coverage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World Bank flare locations</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Known persistent flare reference/weak labels</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Use for selected validation/label support</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Sentinel-2</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Optional visual context / vegetation/burn evidence</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Supporting evidence, not thermal sensor</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Landsat 8/9</w:t>
            </w:r>
          </w:p>
        </w:tc>
        <w:tc>
          <w:tcPr>
            <w:tcW w:type="dxa" w:w="43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Optional thermal context / validation</w:t>
            </w:r>
          </w:p>
        </w:tc>
        <w:tc>
          <w:tcPr>
            <w:tcW w:type="dxa" w:w="33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Use only where scene availability supports it</w:t>
            </w:r>
          </w:p>
        </w:tc>
      </w:tr>
    </w:tbl>
    <w:p>
      <w:pPr>
        <w:spacing w:after="0"/>
      </w:pPr>
    </w:p>
    <w:p>
      <w:pPr>
        <w:pStyle w:val="Heading2"/>
        <w:keepNext/>
        <w:spacing w:before="120" w:after="80"/>
      </w:pPr>
      <w:r>
        <w:rPr>
          <w:rFonts w:ascii="Aptos" w:hAnsi="Aptos"/>
          <w:b/>
          <w:color w:val="2F5597"/>
          <w:sz w:val="25"/>
        </w:rPr>
        <w:t>8.1 Labelling strategy</w:t>
      </w:r>
    </w:p>
    <w:p>
      <w:pPr>
        <w:spacing w:after="80" w:before="0" w:line="259" w:lineRule="auto"/>
      </w:pPr>
      <w:r>
        <w:rPr>
          <w:rFonts w:ascii="Aptos" w:hAnsi="Aptos"/>
          <w:i w:val="0"/>
          <w:sz w:val="21"/>
        </w:rPr>
        <w:t>The largest data risk is the lack of a single, perfectly labelled dataset that directly maps FIRMS events to industrial fire, persistent industrial heat, forest fire, agricultural fire and other categories. The MVP therefore uses a layered labelling strategy rather than fabricating labels.</w:t>
      </w:r>
    </w:p>
    <w:p>
      <w:pPr>
        <w:pStyle w:val="ListBullet"/>
        <w:spacing w:after="40" w:before="0" w:line="259" w:lineRule="auto"/>
        <w:ind w:left="259"/>
      </w:pPr>
      <w:r>
        <w:rPr>
          <w:rFonts w:ascii="Aptos" w:hAnsi="Aptos"/>
          <w:sz w:val="20"/>
        </w:rPr>
        <w:t>High-confidence industrial candidates: repeated hotspots associated with verified industrial infrastructure or known flare locations.</w:t>
      </w:r>
    </w:p>
    <w:p>
      <w:pPr>
        <w:pStyle w:val="ListBullet"/>
        <w:spacing w:after="40" w:before="0" w:line="259" w:lineRule="auto"/>
        <w:ind w:left="259"/>
      </w:pPr>
      <w:r>
        <w:rPr>
          <w:rFonts w:ascii="Aptos" w:hAnsi="Aptos"/>
          <w:sz w:val="20"/>
        </w:rPr>
        <w:t>High-confidence non-industrial candidates: events far from industrial infrastructure and strongly associated with vegetation/cropland context.</w:t>
      </w:r>
    </w:p>
    <w:p>
      <w:pPr>
        <w:pStyle w:val="ListBullet"/>
        <w:spacing w:after="40" w:before="0" w:line="259" w:lineRule="auto"/>
        <w:ind w:left="259"/>
      </w:pPr>
      <w:r>
        <w:rPr>
          <w:rFonts w:ascii="Aptos" w:hAnsi="Aptos"/>
          <w:sz w:val="20"/>
        </w:rPr>
        <w:t>Manual benchmark: a smaller set of events reviewed using map context, imagery, infrastructure and thermal history.</w:t>
      </w:r>
    </w:p>
    <w:p>
      <w:pPr>
        <w:pStyle w:val="ListBullet"/>
        <w:spacing w:after="40" w:before="0" w:line="259" w:lineRule="auto"/>
        <w:ind w:left="259"/>
      </w:pPr>
      <w:r>
        <w:rPr>
          <w:rFonts w:ascii="Aptos" w:hAnsi="Aptos"/>
          <w:sz w:val="20"/>
        </w:rPr>
        <w:t>Simulated abnormal sequences: permitted only for pipeline stress testing/demo and must be clearly labelled simulated.</w:t>
      </w:r>
    </w:p>
    <w:p>
      <w:pPr>
        <w:pStyle w:val="Heading1"/>
        <w:keepNext/>
        <w:spacing w:before="200" w:after="80"/>
      </w:pPr>
      <w:r>
        <w:rPr>
          <w:rFonts w:ascii="Aptos" w:hAnsi="Aptos"/>
          <w:b/>
          <w:color w:val="17365D"/>
          <w:sz w:val="30"/>
        </w:rPr>
        <w:t>9. MVP System Architecture</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 xml:space="preserve">                    NASA FIRMS</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Ingestion Layer</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Hotspot Event Records</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               ▼                ▼</w:t>
              <w:br/>
            </w:r>
            <w:r>
              <w:rPr>
                <w:rFonts w:ascii="Liberation Mono" w:hAnsi="Liberation Mono"/>
                <w:color w:val="263238"/>
                <w:sz w:val="17"/>
              </w:rPr>
              <w:t xml:space="preserve">      OSM /         WorldCover      Historical FIRMS</w:t>
              <w:br/>
            </w:r>
            <w:r>
              <w:rPr>
                <w:rFonts w:ascii="Liberation Mono" w:hAnsi="Liberation Mono"/>
                <w:color w:val="263238"/>
                <w:sz w:val="17"/>
              </w:rPr>
              <w:t xml:space="preserve"> Industrial Assets      │                │</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Feature Engineering</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LightGBM Classifier</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Thermal Behaviour Decision Engine</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FastAPI</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SQLite/Parquet Cache (MVP)</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React + MapLibre GIS</w:t>
              <w:br/>
            </w:r>
            <w:r>
              <w:rPr>
                <w:rFonts w:ascii="Liberation Mono" w:hAnsi="Liberation Mono"/>
                <w:color w:val="263238"/>
                <w:sz w:val="17"/>
              </w:rPr>
              <w:t xml:space="preserve">                        │</w:t>
              <w:br/>
            </w:r>
            <w:r>
              <w:rPr>
                <w:rFonts w:ascii="Liberation Mono" w:hAnsi="Liberation Mono"/>
                <w:color w:val="263238"/>
                <w:sz w:val="17"/>
              </w:rPr>
              <w:t xml:space="preserve">                        ▼</w:t>
              <w:br/>
            </w:r>
            <w:r>
              <w:rPr>
                <w:rFonts w:ascii="Liberation Mono" w:hAnsi="Liberation Mono"/>
                <w:color w:val="263238"/>
                <w:sz w:val="17"/>
              </w:rPr>
              <w:t xml:space="preserve">                     Analyst</w:t>
            </w:r>
          </w:p>
        </w:tc>
      </w:tr>
    </w:tbl>
    <w:p>
      <w:pPr>
        <w:spacing w:after="0"/>
      </w:pPr>
    </w:p>
    <w:p>
      <w:pPr>
        <w:pStyle w:val="Heading2"/>
        <w:keepNext/>
        <w:spacing w:before="120" w:after="80"/>
      </w:pPr>
      <w:r>
        <w:rPr>
          <w:rFonts w:ascii="Aptos" w:hAnsi="Aptos"/>
          <w:b/>
          <w:color w:val="2F5597"/>
          <w:sz w:val="25"/>
        </w:rPr>
        <w:t>9.1 Why SQLite/Parquet first</w:t>
      </w:r>
    </w:p>
    <w:p>
      <w:pPr>
        <w:spacing w:after="80" w:before="0" w:line="259" w:lineRule="auto"/>
      </w:pPr>
      <w:r>
        <w:rPr>
          <w:rFonts w:ascii="Aptos" w:hAnsi="Aptos"/>
          <w:i w:val="0"/>
          <w:sz w:val="21"/>
        </w:rPr>
        <w:t>The first MVP does not need a production spatial database to prove the core problem. SQLite stores small event/prediction metadata, while Parquet/GeoParquet or GeoJSON can hold cached spatial datasets. PostgreSQL/PostGIS should be introduced when the team needs larger multi-user spatial queries, concurrent writes or national-scale storage.</w:t>
      </w:r>
    </w:p>
    <w:p>
      <w:pPr>
        <w:pStyle w:val="Heading1"/>
        <w:keepNext/>
        <w:spacing w:before="200" w:after="80"/>
      </w:pPr>
      <w:r>
        <w:rPr>
          <w:rFonts w:ascii="Aptos" w:hAnsi="Aptos"/>
          <w:b/>
          <w:color w:val="17365D"/>
          <w:sz w:val="30"/>
        </w:rPr>
        <w:t>10. Backend and API Contract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Endpoint</w:t>
            </w:r>
          </w:p>
        </w:tc>
        <w:tc>
          <w:tcPr>
            <w:tcW w:type="dxa" w:w="100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Method</w:t>
            </w:r>
          </w:p>
        </w:tc>
        <w:tc>
          <w:tcPr>
            <w:tcW w:type="dxa" w:w="4464"/>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Purpose</w:t>
            </w:r>
          </w:p>
        </w:tc>
        <w:tc>
          <w:tcPr>
            <w:tcW w:type="dxa" w:w="324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Essential response</w:t>
            </w:r>
          </w:p>
        </w:tc>
      </w:tr>
      <w:tr>
        <w:tc>
          <w:tcPr>
            <w:tcW w:type="dxa" w:w="19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/health</w:t>
            </w:r>
          </w:p>
        </w:tc>
        <w:tc>
          <w:tcPr>
            <w:tcW w:type="dxa" w:w="10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GET</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Verify backend/model readiness</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status, model_version, mode</w:t>
            </w:r>
          </w:p>
        </w:tc>
      </w:tr>
      <w:tr>
        <w:tc>
          <w:tcPr>
            <w:tcW w:type="dxa" w:w="19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/events</w:t>
            </w:r>
          </w:p>
        </w:tc>
        <w:tc>
          <w:tcPr>
            <w:tcW w:type="dxa" w:w="10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GET</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Return events in selected date/bbox/class filters</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event list + map coordinates + class</w:t>
            </w:r>
          </w:p>
        </w:tc>
      </w:tr>
      <w:tr>
        <w:tc>
          <w:tcPr>
            <w:tcW w:type="dxa" w:w="19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/events/{id}</w:t>
            </w:r>
          </w:p>
        </w:tc>
        <w:tc>
          <w:tcPr>
            <w:tcW w:type="dxa" w:w="10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GET</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Return complete analysis for one event</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thermal, spatial, temporal, prediction, evidence</w:t>
            </w:r>
          </w:p>
        </w:tc>
      </w:tr>
      <w:tr>
        <w:tc>
          <w:tcPr>
            <w:tcW w:type="dxa" w:w="19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/events/{id}/history</w:t>
            </w:r>
          </w:p>
        </w:tc>
        <w:tc>
          <w:tcPr>
            <w:tcW w:type="dxa" w:w="10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GET</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Return historical detections/FRP series</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timestamps + FRP + recurrence summary</w:t>
            </w:r>
          </w:p>
        </w:tc>
      </w:tr>
      <w:tr>
        <w:tc>
          <w:tcPr>
            <w:tcW w:type="dxa" w:w="19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/analyze</w:t>
            </w:r>
          </w:p>
        </w:tc>
        <w:tc>
          <w:tcPr>
            <w:tcW w:type="dxa" w:w="100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POST</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Analyze a new or selected hotspot through the same pipeline</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class, confidence, evidence, anomaly indicators</w:t>
            </w:r>
          </w:p>
        </w:tc>
      </w:tr>
    </w:tbl>
    <w:p>
      <w:pPr>
        <w:spacing w:after="0"/>
      </w:pPr>
    </w:p>
    <w:p>
      <w:pPr>
        <w:pStyle w:val="Heading2"/>
        <w:keepNext/>
        <w:spacing w:before="120" w:after="80"/>
      </w:pPr>
      <w:r>
        <w:rPr>
          <w:rFonts w:ascii="Aptos" w:hAnsi="Aptos"/>
          <w:b/>
          <w:color w:val="2F5597"/>
          <w:sz w:val="25"/>
        </w:rPr>
        <w:t>10.1 Example analysis response</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w:t>
              <w:br/>
            </w:r>
            <w:r>
              <w:rPr>
                <w:rFonts w:ascii="Liberation Mono" w:hAnsi="Liberation Mono"/>
                <w:color w:val="263238"/>
                <w:sz w:val="17"/>
              </w:rPr>
              <w:t xml:space="preserve">  "event_id": "...",</w:t>
              <w:br/>
            </w:r>
            <w:r>
              <w:rPr>
                <w:rFonts w:ascii="Liberation Mono" w:hAnsi="Liberation Mono"/>
                <w:color w:val="263238"/>
                <w:sz w:val="17"/>
              </w:rPr>
              <w:t xml:space="preserve">  "classification": "persistent_industrial",</w:t>
              <w:br/>
            </w:r>
            <w:r>
              <w:rPr>
                <w:rFonts w:ascii="Liberation Mono" w:hAnsi="Liberation Mono"/>
                <w:color w:val="263238"/>
                <w:sz w:val="17"/>
              </w:rPr>
              <w:t xml:space="preserve">  "industrial_probability": 0.xx,</w:t>
              <w:br/>
            </w:r>
            <w:r>
              <w:rPr>
                <w:rFonts w:ascii="Liberation Mono" w:hAnsi="Liberation Mono"/>
                <w:color w:val="263238"/>
                <w:sz w:val="17"/>
              </w:rPr>
              <w:t xml:space="preserve">  "confidence": 0.xx,</w:t>
              <w:br/>
            </w:r>
            <w:r>
              <w:rPr>
                <w:rFonts w:ascii="Liberation Mono" w:hAnsi="Liberation Mono"/>
                <w:color w:val="263238"/>
                <w:sz w:val="17"/>
              </w:rPr>
              <w:t xml:space="preserve">  "thermal_history_status": "sufficient",</w:t>
              <w:br/>
            </w:r>
            <w:r>
              <w:rPr>
                <w:rFonts w:ascii="Liberation Mono" w:hAnsi="Liberation Mono"/>
                <w:color w:val="263238"/>
                <w:sz w:val="17"/>
              </w:rPr>
              <w:t xml:space="preserve">  "baseline_median_frp": "computed value",</w:t>
              <w:br/>
            </w:r>
            <w:r>
              <w:rPr>
                <w:rFonts w:ascii="Liberation Mono" w:hAnsi="Liberation Mono"/>
                <w:color w:val="263238"/>
                <w:sz w:val="17"/>
              </w:rPr>
              <w:t xml:space="preserve">  "current_frp": "observed value",</w:t>
              <w:br/>
            </w:r>
            <w:r>
              <w:rPr>
                <w:rFonts w:ascii="Liberation Mono" w:hAnsi="Liberation Mono"/>
                <w:color w:val="263238"/>
                <w:sz w:val="17"/>
              </w:rPr>
              <w:t xml:space="preserve">  "frp_z_score": "computed value",</w:t>
              <w:br/>
            </w:r>
            <w:r>
              <w:rPr>
                <w:rFonts w:ascii="Liberation Mono" w:hAnsi="Liberation Mono"/>
                <w:color w:val="263238"/>
                <w:sz w:val="17"/>
              </w:rPr>
              <w:t xml:space="preserve">  "nearest_industrial_type": "...",</w:t>
              <w:br/>
            </w:r>
            <w:r>
              <w:rPr>
                <w:rFonts w:ascii="Liberation Mono" w:hAnsi="Liberation Mono"/>
                <w:color w:val="263238"/>
                <w:sz w:val="17"/>
              </w:rPr>
              <w:t xml:space="preserve">  "landcover_class": "...",</w:t>
              <w:br/>
            </w:r>
            <w:r>
              <w:rPr>
                <w:rFonts w:ascii="Liberation Mono" w:hAnsi="Liberation Mono"/>
                <w:color w:val="263238"/>
                <w:sz w:val="17"/>
              </w:rPr>
              <w:t xml:space="preserve">  "evidence": ["...", "..."],</w:t>
              <w:br/>
            </w:r>
            <w:r>
              <w:rPr>
                <w:rFonts w:ascii="Liberation Mono" w:hAnsi="Liberation Mono"/>
                <w:color w:val="263238"/>
                <w:sz w:val="17"/>
              </w:rPr>
              <w:t xml:space="preserve">  "model_version": "..."</w:t>
              <w:br/>
            </w:r>
            <w:r>
              <w:rPr>
                <w:rFonts w:ascii="Liberation Mono" w:hAnsi="Liberation Mono"/>
                <w:color w:val="263238"/>
                <w:sz w:val="17"/>
              </w:rPr>
              <w:t>}</w:t>
            </w:r>
          </w:p>
        </w:tc>
      </w:tr>
    </w:tbl>
    <w:p>
      <w:pPr>
        <w:spacing w:after="0"/>
      </w:pPr>
    </w:p>
    <w:p>
      <w:pPr>
        <w:spacing w:after="80" w:before="0" w:line="259" w:lineRule="auto"/>
      </w:pPr>
      <w:r>
        <w:rPr>
          <w:rFonts w:ascii="Aptos" w:hAnsi="Aptos"/>
          <w:i w:val="0"/>
          <w:sz w:val="21"/>
        </w:rPr>
        <w:t>The report deliberately uses placeholders rather than invented numeric outputs. Actual values must come from the running pipeline and trained model.</w:t>
      </w:r>
    </w:p>
    <w:p>
      <w:r>
        <w:br w:type="page"/>
      </w:r>
    </w:p>
    <w:p>
      <w:pPr>
        <w:pStyle w:val="Heading1"/>
        <w:keepNext/>
        <w:spacing w:before="200" w:after="80"/>
      </w:pPr>
      <w:r>
        <w:rPr>
          <w:rFonts w:ascii="Aptos" w:hAnsi="Aptos"/>
          <w:b/>
          <w:color w:val="17365D"/>
          <w:sz w:val="30"/>
        </w:rPr>
        <w:t>11. UI/UX Specification</w:t>
      </w:r>
    </w:p>
    <w:p>
      <w:pPr>
        <w:pStyle w:val="Heading2"/>
        <w:keepNext/>
        <w:spacing w:before="120" w:after="80"/>
      </w:pPr>
      <w:r>
        <w:rPr>
          <w:rFonts w:ascii="Aptos" w:hAnsi="Aptos"/>
          <w:b/>
          <w:color w:val="2F5597"/>
          <w:sz w:val="25"/>
        </w:rPr>
        <w:t>11.1 Single-screen analyst dashboard</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w:t>
              <w:br/>
            </w:r>
            <w:r>
              <w:rPr>
                <w:rFonts w:ascii="Liberation Mono" w:hAnsi="Liberation Mono"/>
                <w:color w:val="263238"/>
                <w:sz w:val="17"/>
              </w:rPr>
              <w:t>│ ThermalGuard AI  | Mode | Date | Class Filters            │</w:t>
              <w:br/>
            </w:r>
            <w:r>
              <w:rPr>
                <w:rFonts w:ascii="Liberation Mono" w:hAnsi="Liberation Mono"/>
                <w:color w:val="263238"/>
                <w:sz w:val="17"/>
              </w:rPr>
              <w:t>├───────────────────────────────────┬────────────────────────┤</w:t>
              <w:br/>
            </w:r>
            <w:r>
              <w:rPr>
                <w:rFonts w:ascii="Liberation Mono" w:hAnsi="Liberation Mono"/>
                <w:color w:val="263238"/>
                <w:sz w:val="17"/>
              </w:rPr>
              <w:t>│                                   │ Selected Event         │</w:t>
              <w:br/>
            </w:r>
            <w:r>
              <w:rPr>
                <w:rFonts w:ascii="Liberation Mono" w:hAnsi="Liberation Mono"/>
                <w:color w:val="263238"/>
                <w:sz w:val="17"/>
              </w:rPr>
              <w:t>│             GIS MAP               │ Classification         │</w:t>
              <w:br/>
            </w:r>
            <w:r>
              <w:rPr>
                <w:rFonts w:ascii="Liberation Mono" w:hAnsi="Liberation Mono"/>
                <w:color w:val="263238"/>
                <w:sz w:val="17"/>
              </w:rPr>
              <w:t>│                                   │ Confidence             │</w:t>
              <w:br/>
            </w:r>
            <w:r>
              <w:rPr>
                <w:rFonts w:ascii="Liberation Mono" w:hAnsi="Liberation Mono"/>
                <w:color w:val="263238"/>
                <w:sz w:val="17"/>
              </w:rPr>
              <w:t>│  markers + industrial layers      │ FRP / baseline         │</w:t>
              <w:br/>
            </w:r>
            <w:r>
              <w:rPr>
                <w:rFonts w:ascii="Liberation Mono" w:hAnsi="Liberation Mono"/>
                <w:color w:val="263238"/>
                <w:sz w:val="17"/>
              </w:rPr>
              <w:t>│  + land-cover toggle              │ Industrial proximity   │</w:t>
              <w:br/>
            </w:r>
            <w:r>
              <w:rPr>
                <w:rFonts w:ascii="Liberation Mono" w:hAnsi="Liberation Mono"/>
                <w:color w:val="263238"/>
                <w:sz w:val="17"/>
              </w:rPr>
              <w:t>│                                   │ Land-cover context     │</w:t>
              <w:br/>
            </w:r>
            <w:r>
              <w:rPr>
                <w:rFonts w:ascii="Liberation Mono" w:hAnsi="Liberation Mono"/>
                <w:color w:val="263238"/>
                <w:sz w:val="17"/>
              </w:rPr>
              <w:t>│                                   │ Evidence / explanation │</w:t>
              <w:br/>
            </w:r>
            <w:r>
              <w:rPr>
                <w:rFonts w:ascii="Liberation Mono" w:hAnsi="Liberation Mono"/>
                <w:color w:val="263238"/>
                <w:sz w:val="17"/>
              </w:rPr>
              <w:t>├───────────────────────────────────┴────────────────────────┤</w:t>
              <w:br/>
            </w:r>
            <w:r>
              <w:rPr>
                <w:rFonts w:ascii="Liberation Mono" w:hAnsi="Liberation Mono"/>
                <w:color w:val="263238"/>
                <w:sz w:val="17"/>
              </w:rPr>
              <w:t>│ Historical detections + FRP timeline                      │</w:t>
              <w:br/>
            </w:r>
            <w:r>
              <w:rPr>
                <w:rFonts w:ascii="Liberation Mono" w:hAnsi="Liberation Mono"/>
                <w:color w:val="263238"/>
                <w:sz w:val="17"/>
              </w:rPr>
              <w:t>└────────────────────────────────────────────────────────────┘</w:t>
            </w:r>
          </w:p>
        </w:tc>
      </w:tr>
    </w:tbl>
    <w:p>
      <w:pPr>
        <w:spacing w:after="0"/>
      </w:pPr>
    </w:p>
    <w:p>
      <w:pPr>
        <w:pStyle w:val="Heading2"/>
        <w:keepNext/>
        <w:spacing w:before="120" w:after="80"/>
      </w:pPr>
      <w:r>
        <w:rPr>
          <w:rFonts w:ascii="Aptos" w:hAnsi="Aptos"/>
          <w:b/>
          <w:color w:val="2F5597"/>
          <w:sz w:val="25"/>
        </w:rPr>
        <w:t>11.2 Required interactions</w:t>
      </w:r>
    </w:p>
    <w:p>
      <w:pPr>
        <w:pStyle w:val="ListBullet"/>
        <w:spacing w:after="40" w:before="0" w:line="259" w:lineRule="auto"/>
        <w:ind w:left="259"/>
      </w:pPr>
      <w:r>
        <w:rPr>
          <w:rFonts w:ascii="Aptos" w:hAnsi="Aptos"/>
          <w:sz w:val="20"/>
        </w:rPr>
        <w:t>Click a hotspot to load its analysis.</w:t>
      </w:r>
    </w:p>
    <w:p>
      <w:pPr>
        <w:pStyle w:val="ListBullet"/>
        <w:spacing w:after="40" w:before="0" w:line="259" w:lineRule="auto"/>
        <w:ind w:left="259"/>
      </w:pPr>
      <w:r>
        <w:rPr>
          <w:rFonts w:ascii="Aptos" w:hAnsi="Aptos"/>
          <w:sz w:val="20"/>
        </w:rPr>
        <w:t>Filter by date, classification and optionally confidence.</w:t>
      </w:r>
    </w:p>
    <w:p>
      <w:pPr>
        <w:pStyle w:val="ListBullet"/>
        <w:spacing w:after="40" w:before="0" w:line="259" w:lineRule="auto"/>
        <w:ind w:left="259"/>
      </w:pPr>
      <w:r>
        <w:rPr>
          <w:rFonts w:ascii="Aptos" w:hAnsi="Aptos"/>
          <w:sz w:val="20"/>
        </w:rPr>
        <w:t>Toggle relevant geospatial layers such as industrial areas and land cover.</w:t>
      </w:r>
    </w:p>
    <w:p>
      <w:pPr>
        <w:pStyle w:val="ListBullet"/>
        <w:spacing w:after="40" w:before="0" w:line="259" w:lineRule="auto"/>
        <w:ind w:left="259"/>
      </w:pPr>
      <w:r>
        <w:rPr>
          <w:rFonts w:ascii="Aptos" w:hAnsi="Aptos"/>
          <w:sz w:val="20"/>
        </w:rPr>
        <w:t>Switch between Live Mode and Replay/Demo Mode.</w:t>
      </w:r>
    </w:p>
    <w:p>
      <w:pPr>
        <w:pStyle w:val="ListBullet"/>
        <w:spacing w:after="40" w:before="0" w:line="259" w:lineRule="auto"/>
        <w:ind w:left="259"/>
      </w:pPr>
      <w:r>
        <w:rPr>
          <w:rFonts w:ascii="Aptos" w:hAnsi="Aptos"/>
          <w:sz w:val="20"/>
        </w:rPr>
        <w:t>Inspect historical FRP chart and recurrence summary.</w:t>
      </w:r>
    </w:p>
    <w:p>
      <w:pPr>
        <w:pStyle w:val="ListBullet"/>
        <w:spacing w:after="40" w:before="0" w:line="259" w:lineRule="auto"/>
        <w:ind w:left="259"/>
      </w:pPr>
      <w:r>
        <w:rPr>
          <w:rFonts w:ascii="Aptos" w:hAnsi="Aptos"/>
          <w:sz w:val="20"/>
        </w:rPr>
        <w:t>See why the system generated its classification.</w:t>
      </w:r>
    </w:p>
    <w:p>
      <w:pPr>
        <w:pStyle w:val="Heading2"/>
        <w:keepNext/>
        <w:spacing w:before="120" w:after="80"/>
      </w:pPr>
      <w:r>
        <w:rPr>
          <w:rFonts w:ascii="Aptos" w:hAnsi="Aptos"/>
          <w:b/>
          <w:color w:val="2F5597"/>
          <w:sz w:val="25"/>
        </w:rPr>
        <w:t>11.3 Explainability text</w:t>
      </w:r>
    </w:p>
    <w:p>
      <w:pPr>
        <w:spacing w:after="80" w:before="0" w:line="259" w:lineRule="auto"/>
      </w:pPr>
      <w:r>
        <w:rPr>
          <w:rFonts w:ascii="Aptos" w:hAnsi="Aptos"/>
          <w:i w:val="0"/>
          <w:sz w:val="21"/>
        </w:rPr>
        <w:t>The UI should generate short evidence statements from real computed features. Example structure: “Classified as persistent industrial thermal activity because industrial infrastructure is nearby, the location has repeated detections across the historical window, and current FRP remains within its historical range.” Exact distances and counts should be inserted from the pipeline at runtime.</w:t>
      </w:r>
    </w:p>
    <w:p>
      <w:pPr>
        <w:pStyle w:val="Heading1"/>
        <w:keepNext/>
        <w:spacing w:before="200" w:after="80"/>
      </w:pPr>
      <w:r>
        <w:rPr>
          <w:rFonts w:ascii="Aptos" w:hAnsi="Aptos"/>
          <w:b/>
          <w:color w:val="17365D"/>
          <w:sz w:val="30"/>
        </w:rPr>
        <w:t>12. Reproducible Demo Scenarios</w:t>
      </w:r>
    </w:p>
    <w:p>
      <w:pPr>
        <w:pStyle w:val="Heading2"/>
        <w:keepNext/>
        <w:spacing w:before="120" w:after="80"/>
      </w:pPr>
      <w:r>
        <w:rPr>
          <w:rFonts w:ascii="Aptos" w:hAnsi="Aptos"/>
          <w:b/>
          <w:color w:val="2F5597"/>
          <w:sz w:val="25"/>
        </w:rPr>
        <w:t>12.1 Scenario A - Persistent industrial thermal source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Stage</w:t>
            </w:r>
          </w:p>
        </w:tc>
        <w:tc>
          <w:tcPr>
            <w:tcW w:type="dxa" w:w="849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What happens</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Input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Replay/select a real historical hotspot associated with industrial infrastructure.</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Processing</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System computes industrial proximity, land cover, 30/90-day recurrence and baseline FRP.</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Decision</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High industrial context + strong persistence + current behaviour near baseline.</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Visible output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Persistent Industrial Thermal Source with evidence and history chart.</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Proof point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Judge can inspect the raw event, features, model probability and historical series.</w:t>
            </w:r>
          </w:p>
        </w:tc>
      </w:tr>
    </w:tbl>
    <w:p>
      <w:pPr>
        <w:spacing w:after="0"/>
      </w:pPr>
    </w:p>
    <w:p>
      <w:pPr>
        <w:pStyle w:val="Heading2"/>
        <w:keepNext/>
        <w:spacing w:before="120" w:after="80"/>
      </w:pPr>
      <w:r>
        <w:rPr>
          <w:rFonts w:ascii="Aptos" w:hAnsi="Aptos"/>
          <w:b/>
          <w:color w:val="2F5597"/>
          <w:sz w:val="25"/>
        </w:rPr>
        <w:t>12.2 Scenario B - Natural / non-industrial thermal event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Stage</w:t>
            </w:r>
          </w:p>
        </w:tc>
        <w:tc>
          <w:tcPr>
            <w:tcW w:type="dxa" w:w="849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What happens</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Input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Select a real hotspot in vegetation/cropland context and far from strong industrial features.</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Processing</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System extracts land cover, proximity and recurrence.</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Decision</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Low industrial context; evidence is more consistent with non-industrial surroundings.</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Visible output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Natural / Non-Industrial Thermal Event or Uncertain if evidence conflicts.</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Proof point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Shows the classifier is not simply labelling every hotspot as industrial.</w:t>
            </w:r>
          </w:p>
        </w:tc>
      </w:tr>
    </w:tbl>
    <w:p>
      <w:pPr>
        <w:spacing w:after="0"/>
      </w:pPr>
    </w:p>
    <w:p>
      <w:pPr>
        <w:pStyle w:val="Heading2"/>
        <w:keepNext/>
        <w:spacing w:before="120" w:after="80"/>
      </w:pPr>
      <w:r>
        <w:rPr>
          <w:rFonts w:ascii="Aptos" w:hAnsi="Aptos"/>
          <w:b/>
          <w:color w:val="2F5597"/>
          <w:sz w:val="25"/>
        </w:rPr>
        <w:t>12.3 Scenario C - Potential abnormal industrial thermal event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Stage</w:t>
            </w:r>
          </w:p>
        </w:tc>
        <w:tc>
          <w:tcPr>
            <w:tcW w:type="dxa" w:w="849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What happens</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Input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Use a verified historical abnormal case if available; otherwise replay a clearly labelled simulated abnormal modification of a real industrial sequence.</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Processing</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Industrial context is high; current FRP/cluster behaviour deviates strongly from baseline.</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Decision</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Potential Abnormal Industrial Thermal Event - Analyst Review Recommended.</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Visible output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Abnormal indicator, deviation evidence and historical comparison.</w:t>
            </w:r>
          </w:p>
        </w:tc>
      </w:tr>
      <w:tr>
        <w:tc>
          <w:tcPr>
            <w:tcW w:type="dxa" w:w="201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Proof point</w:t>
            </w:r>
          </w:p>
        </w:tc>
        <w:tc>
          <w:tcPr>
            <w:tcW w:type="dxa" w:w="849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Shows the purpose of temporal memory rather than a one-time hotspot classifier.</w:t>
            </w:r>
          </w:p>
        </w:tc>
      </w:tr>
    </w:tbl>
    <w:p>
      <w:pPr>
        <w:spacing w:after="0"/>
      </w:pPr>
    </w:p>
    <w:p>
      <w:pPr>
        <w:pStyle w:val="Heading1"/>
        <w:keepNext/>
        <w:spacing w:before="200" w:after="80"/>
      </w:pPr>
      <w:r>
        <w:rPr>
          <w:rFonts w:ascii="Aptos" w:hAnsi="Aptos"/>
          <w:b/>
          <w:color w:val="17365D"/>
          <w:sz w:val="30"/>
        </w:rPr>
        <w:t>13. Demo Reliability and Failure Handling</w:t>
      </w:r>
    </w:p>
    <w:tbl>
      <w:tblPr>
        <w:tblW w:type="auto" w:w="0"/>
        <w:jc w:val="center"/>
        <w:tblLayout w:type="autofit"/>
        <w:tblLook w:firstColumn="1" w:firstRow="1" w:lastColumn="0" w:lastRow="0" w:noHBand="0" w:noVBand="1" w:val="04A0"/>
      </w:tblPr>
      <w:tblGrid>
        <w:gridCol w:w="10166"/>
      </w:tblGrid>
      <w:tr>
        <w:tc>
          <w:tcPr>
            <w:tcW w:type="dxa" w:w="10166"/>
            <w:shd w:fill="FFF4DE"/>
            <w:tcBorders>
              <w:top w:val="single" w:sz="4" w:color="D4D9E2"/>
              <w:left w:val="single" w:sz="4" w:color="D4D9E2"/>
              <w:bottom w:val="single" w:sz="4" w:color="D4D9E2"/>
              <w:right w:val="single" w:sz="4" w:color="D4D9E2"/>
              <w:insideH w:val="single" w:sz="4" w:color="D4D9E2"/>
              <w:insideV w:val="single" w:sz="4" w:color="D4D9E2"/>
            </w:tcBorders>
            <w:tcMar>
              <w:top w:w="100" w:type="dxa"/>
              <w:start w:w="120" w:type="dxa"/>
              <w:bottom w:w="100" w:type="dxa"/>
              <w:end w:w="120" w:type="dxa"/>
            </w:tcMar>
          </w:tcPr>
          <w:p>
            <w:pPr>
              <w:spacing w:after="40" w:before="0" w:line="259" w:lineRule="auto"/>
            </w:pPr>
            <w:r>
              <w:rPr>
                <w:rFonts w:ascii="Aptos" w:hAnsi="Aptos"/>
                <w:b/>
                <w:color w:val="8A5A00"/>
                <w:sz w:val="21"/>
              </w:rPr>
              <w:t>Non-negotiable design rule</w:t>
            </w:r>
          </w:p>
          <w:p>
            <w:pPr>
              <w:spacing w:after="0" w:before="0" w:line="259" w:lineRule="auto"/>
            </w:pPr>
            <w:r>
              <w:rPr>
                <w:rFonts w:ascii="Aptos" w:hAnsi="Aptos"/>
                <w:color w:val="1F2937"/>
                <w:sz w:val="20"/>
              </w:rPr>
              <w:t>The final demonstration must not depend entirely on live satellite/API availability or internet connectivity. Live mode proves integration; replay mode proves the system even when external services fail.</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Failure</w:t>
            </w:r>
          </w:p>
        </w:tc>
        <w:tc>
          <w:tcPr>
            <w:tcW w:type="dxa" w:w="324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Likely impact</w:t>
            </w:r>
          </w:p>
        </w:tc>
        <w:tc>
          <w:tcPr>
            <w:tcW w:type="dxa" w:w="4464"/>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MVP fallback</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FIRMS API unavailable</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No new live events</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Use cached real FIRMS data through same pipeline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Overpass unavailable / rate limited</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Industrial enrichment fails</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Use cached AOI OSM extract</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WorldCover access unavailable</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Land-cover feature missing</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Use preprocessed AOI land-cover features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Internet loss</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External sources unavailable</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Run full local Replay Mode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Model artifact missing/corrupt</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ML inference unavailable</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Load validated baseline model; fail visibly if neither available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Historical data insufficient</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Cannot assess persistence reliably</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Return industrial-context + “history insufficient” state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Missing contextual feature</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Reduced evidence</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Allow missing value handling and reduce/flag confidence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UI/backend connection issue</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Dashboard unavailable</w:t>
            </w:r>
          </w:p>
        </w:tc>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Local API health check + cached event details; pre-demo integration test</w:t>
            </w:r>
          </w:p>
        </w:tc>
      </w:tr>
    </w:tbl>
    <w:p>
      <w:pPr>
        <w:spacing w:after="0"/>
      </w:pPr>
    </w:p>
    <w:p>
      <w:pPr>
        <w:pStyle w:val="Heading1"/>
        <w:keepNext/>
        <w:spacing w:before="200" w:after="80"/>
      </w:pPr>
      <w:r>
        <w:rPr>
          <w:rFonts w:ascii="Aptos" w:hAnsi="Aptos"/>
          <w:b/>
          <w:color w:val="17365D"/>
          <w:sz w:val="30"/>
        </w:rPr>
        <w:t>14. Evaluation and Technical Credibility</w:t>
      </w:r>
    </w:p>
    <w:p>
      <w:pPr>
        <w:pStyle w:val="Heading2"/>
        <w:keepNext/>
        <w:spacing w:before="120" w:after="80"/>
      </w:pPr>
      <w:r>
        <w:rPr>
          <w:rFonts w:ascii="Aptos" w:hAnsi="Aptos"/>
          <w:b/>
          <w:color w:val="2F5597"/>
          <w:sz w:val="25"/>
        </w:rPr>
        <w:t>14.1 Model metrics</w:t>
      </w:r>
    </w:p>
    <w:p>
      <w:pPr>
        <w:pStyle w:val="ListBullet"/>
        <w:spacing w:after="40" w:before="0" w:line="259" w:lineRule="auto"/>
        <w:ind w:left="259"/>
      </w:pPr>
      <w:r>
        <w:rPr>
          <w:rFonts w:ascii="Aptos" w:hAnsi="Aptos"/>
          <w:sz w:val="20"/>
        </w:rPr>
        <w:t>Precision - how many predicted industrial events are actually supported by the benchmark.</w:t>
      </w:r>
    </w:p>
    <w:p>
      <w:pPr>
        <w:pStyle w:val="ListBullet"/>
        <w:spacing w:after="40" w:before="0" w:line="259" w:lineRule="auto"/>
        <w:ind w:left="259"/>
      </w:pPr>
      <w:r>
        <w:rPr>
          <w:rFonts w:ascii="Aptos" w:hAnsi="Aptos"/>
          <w:sz w:val="20"/>
        </w:rPr>
        <w:t>Recall - how many verified industrial events are successfully detected.</w:t>
      </w:r>
    </w:p>
    <w:p>
      <w:pPr>
        <w:pStyle w:val="ListBullet"/>
        <w:spacing w:after="40" w:before="0" w:line="259" w:lineRule="auto"/>
        <w:ind w:left="259"/>
      </w:pPr>
      <w:r>
        <w:rPr>
          <w:rFonts w:ascii="Aptos" w:hAnsi="Aptos"/>
          <w:sz w:val="20"/>
        </w:rPr>
        <w:t>Macro F1 - recommended for imbalanced/multi-class evaluation.</w:t>
      </w:r>
    </w:p>
    <w:p>
      <w:pPr>
        <w:pStyle w:val="ListBullet"/>
        <w:spacing w:after="40" w:before="0" w:line="259" w:lineRule="auto"/>
        <w:ind w:left="259"/>
      </w:pPr>
      <w:r>
        <w:rPr>
          <w:rFonts w:ascii="Aptos" w:hAnsi="Aptos"/>
          <w:sz w:val="20"/>
        </w:rPr>
        <w:t>Confusion matrix - shows which classes are being confused.</w:t>
      </w:r>
    </w:p>
    <w:p>
      <w:pPr>
        <w:pStyle w:val="ListBullet"/>
        <w:spacing w:after="40" w:before="0" w:line="259" w:lineRule="auto"/>
        <w:ind w:left="259"/>
      </w:pPr>
      <w:r>
        <w:rPr>
          <w:rFonts w:ascii="Aptos" w:hAnsi="Aptos"/>
          <w:sz w:val="20"/>
        </w:rPr>
        <w:t>Optional ROC-AUC / PR-AUC for the industrial-vs-non-industrial stage.</w:t>
      </w:r>
    </w:p>
    <w:p>
      <w:pPr>
        <w:pStyle w:val="Heading2"/>
        <w:keepNext/>
        <w:spacing w:before="120" w:after="80"/>
      </w:pPr>
      <w:r>
        <w:rPr>
          <w:rFonts w:ascii="Aptos" w:hAnsi="Aptos"/>
          <w:b/>
          <w:color w:val="2F5597"/>
          <w:sz w:val="25"/>
        </w:rPr>
        <w:t>14.2 System metrics</w:t>
      </w:r>
    </w:p>
    <w:p>
      <w:pPr>
        <w:pStyle w:val="ListBullet"/>
        <w:spacing w:after="40" w:before="0" w:line="259" w:lineRule="auto"/>
        <w:ind w:left="259"/>
      </w:pPr>
      <w:r>
        <w:rPr>
          <w:rFonts w:ascii="Aptos" w:hAnsi="Aptos"/>
          <w:sz w:val="20"/>
        </w:rPr>
        <w:t>Feature-generation latency per event when context is locally cached.</w:t>
      </w:r>
    </w:p>
    <w:p>
      <w:pPr>
        <w:pStyle w:val="ListBullet"/>
        <w:spacing w:after="40" w:before="0" w:line="259" w:lineRule="auto"/>
        <w:ind w:left="259"/>
      </w:pPr>
      <w:r>
        <w:rPr>
          <w:rFonts w:ascii="Aptos" w:hAnsi="Aptos"/>
          <w:sz w:val="20"/>
        </w:rPr>
        <w:t>Model inference latency.</w:t>
      </w:r>
    </w:p>
    <w:p>
      <w:pPr>
        <w:pStyle w:val="ListBullet"/>
        <w:spacing w:after="40" w:before="0" w:line="259" w:lineRule="auto"/>
        <w:ind w:left="259"/>
      </w:pPr>
      <w:r>
        <w:rPr>
          <w:rFonts w:ascii="Aptos" w:hAnsi="Aptos"/>
          <w:sz w:val="20"/>
        </w:rPr>
        <w:t>End-to-end analysis latency.</w:t>
      </w:r>
    </w:p>
    <w:p>
      <w:pPr>
        <w:pStyle w:val="ListBullet"/>
        <w:spacing w:after="40" w:before="0" w:line="259" w:lineRule="auto"/>
        <w:ind w:left="259"/>
      </w:pPr>
      <w:r>
        <w:rPr>
          <w:rFonts w:ascii="Aptos" w:hAnsi="Aptos"/>
          <w:sz w:val="20"/>
        </w:rPr>
        <w:t>Replay-mode success rate across prepared demo scenarios.</w:t>
      </w:r>
    </w:p>
    <w:p>
      <w:pPr>
        <w:pStyle w:val="ListBullet"/>
        <w:spacing w:after="40" w:before="0" w:line="259" w:lineRule="auto"/>
        <w:ind w:left="259"/>
      </w:pPr>
      <w:r>
        <w:rPr>
          <w:rFonts w:ascii="Aptos" w:hAnsi="Aptos"/>
          <w:sz w:val="20"/>
        </w:rPr>
        <w:t>Memory/CPU consumption on the demonstration laptop.</w:t>
      </w:r>
    </w:p>
    <w:p>
      <w:pPr>
        <w:pStyle w:val="Heading2"/>
        <w:keepNext/>
        <w:spacing w:before="120" w:after="80"/>
      </w:pPr>
      <w:r>
        <w:rPr>
          <w:rFonts w:ascii="Aptos" w:hAnsi="Aptos"/>
          <w:b/>
          <w:color w:val="2F5597"/>
          <w:sz w:val="25"/>
        </w:rPr>
        <w:t>14.3 Evidence integrity rules</w:t>
      </w:r>
    </w:p>
    <w:p>
      <w:pPr>
        <w:pStyle w:val="ListBullet"/>
        <w:spacing w:after="40" w:before="0" w:line="259" w:lineRule="auto"/>
        <w:ind w:left="259"/>
      </w:pPr>
      <w:r>
        <w:rPr>
          <w:rFonts w:ascii="Aptos" w:hAnsi="Aptos"/>
          <w:sz w:val="20"/>
        </w:rPr>
        <w:t>No performance number is reported before a reproducible test run exists.</w:t>
      </w:r>
    </w:p>
    <w:p>
      <w:pPr>
        <w:pStyle w:val="ListBullet"/>
        <w:spacing w:after="40" w:before="0" w:line="259" w:lineRule="auto"/>
        <w:ind w:left="259"/>
      </w:pPr>
      <w:r>
        <w:rPr>
          <w:rFonts w:ascii="Aptos" w:hAnsi="Aptos"/>
          <w:sz w:val="20"/>
        </w:rPr>
        <w:t>No synthetic scenario is described as a real-world incident.</w:t>
      </w:r>
    </w:p>
    <w:p>
      <w:pPr>
        <w:pStyle w:val="ListBullet"/>
        <w:spacing w:after="40" w:before="0" w:line="259" w:lineRule="auto"/>
        <w:ind w:left="259"/>
      </w:pPr>
      <w:r>
        <w:rPr>
          <w:rFonts w:ascii="Aptos" w:hAnsi="Aptos"/>
          <w:sz w:val="20"/>
        </w:rPr>
        <w:t>No event is called a confirmed industrial fire solely from satellite inference.</w:t>
      </w:r>
    </w:p>
    <w:p>
      <w:pPr>
        <w:pStyle w:val="ListBullet"/>
        <w:spacing w:after="40" w:before="0" w:line="259" w:lineRule="auto"/>
        <w:ind w:left="259"/>
      </w:pPr>
      <w:r>
        <w:rPr>
          <w:rFonts w:ascii="Aptos" w:hAnsi="Aptos"/>
          <w:sz w:val="20"/>
        </w:rPr>
        <w:t>Model version and feature-generation version should be recorded with predictions.</w:t>
      </w:r>
    </w:p>
    <w:p>
      <w:pPr>
        <w:pStyle w:val="ListBullet"/>
        <w:spacing w:after="40" w:before="0" w:line="259" w:lineRule="auto"/>
        <w:ind w:left="259"/>
      </w:pPr>
      <w:r>
        <w:rPr>
          <w:rFonts w:ascii="Aptos" w:hAnsi="Aptos"/>
          <w:sz w:val="20"/>
        </w:rPr>
        <w:t>Unknown/uncertain outcomes are acceptable and preferable to forced classifications.</w:t>
      </w:r>
    </w:p>
    <w:p>
      <w:pPr>
        <w:pStyle w:val="Heading1"/>
        <w:keepNext/>
        <w:spacing w:before="200" w:after="80"/>
      </w:pPr>
      <w:r>
        <w:rPr>
          <w:rFonts w:ascii="Aptos" w:hAnsi="Aptos"/>
          <w:b/>
          <w:color w:val="17365D"/>
          <w:sz w:val="30"/>
        </w:rPr>
        <w:t>15. Security, Privacy and Deployment Considerations</w:t>
      </w:r>
    </w:p>
    <w:p>
      <w:pPr>
        <w:spacing w:after="80" w:before="0" w:line="259" w:lineRule="auto"/>
      </w:pPr>
      <w:r>
        <w:rPr>
          <w:rFonts w:ascii="Aptos" w:hAnsi="Aptos"/>
          <w:i w:val="0"/>
          <w:sz w:val="21"/>
        </w:rPr>
        <w:t>The MVP uses public geospatial/satellite data and does not require personally identifiable information. For a future government deployment, operational annotations, proprietary facility layers and analyst activity may be sensitive even if the base satellite data is public. The architecture therefore has a clear path to local/on-premises deployment without external inference services.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Concern</w:t>
            </w:r>
          </w:p>
        </w:tc>
        <w:tc>
          <w:tcPr>
            <w:tcW w:type="dxa" w:w="360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MVP treatment</w:t>
            </w:r>
          </w:p>
        </w:tc>
        <w:tc>
          <w:tcPr>
            <w:tcW w:type="dxa" w:w="4536"/>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Future production treatment</w:t>
            </w:r>
          </w:p>
        </w:tc>
      </w:tr>
      <w:tr>
        <w:tc>
          <w:tcPr>
            <w:tcW w:type="dxa" w:w="24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External API dependency</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Cache public data</w:t>
            </w:r>
          </w:p>
        </w:tc>
        <w:tc>
          <w:tcPr>
            <w:tcW w:type="dxa" w:w="453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Controlled ingestion gateway / mirrors</w:t>
            </w:r>
          </w:p>
        </w:tc>
      </w:tr>
      <w:tr>
        <w:tc>
          <w:tcPr>
            <w:tcW w:type="dxa" w:w="24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Sensitive internal layers</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Not required for MVP</w:t>
            </w:r>
          </w:p>
        </w:tc>
        <w:tc>
          <w:tcPr>
            <w:tcW w:type="dxa" w:w="453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Network-isolated storage and access control</w:t>
            </w:r>
          </w:p>
        </w:tc>
      </w:tr>
      <w:tr>
        <w:tc>
          <w:tcPr>
            <w:tcW w:type="dxa" w:w="24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Authentication</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Out of MVP scope</w:t>
            </w:r>
          </w:p>
        </w:tc>
        <w:tc>
          <w:tcPr>
            <w:tcW w:type="dxa" w:w="453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RBAC + SSO</w:t>
            </w:r>
          </w:p>
        </w:tc>
      </w:tr>
      <w:tr>
        <w:tc>
          <w:tcPr>
            <w:tcW w:type="dxa" w:w="24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Audit trail</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Basic model version/prediction timestamp</w:t>
            </w:r>
          </w:p>
        </w:tc>
        <w:tc>
          <w:tcPr>
            <w:tcW w:type="dxa" w:w="453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Immutable analyst/action logs</w:t>
            </w:r>
          </w:p>
        </w:tc>
      </w:tr>
      <w:tr>
        <w:tc>
          <w:tcPr>
            <w:tcW w:type="dxa" w:w="24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Model security</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Local model artifact</w:t>
            </w:r>
          </w:p>
        </w:tc>
        <w:tc>
          <w:tcPr>
            <w:tcW w:type="dxa" w:w="453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Signed/versioned artifacts and controlled deployment</w:t>
            </w:r>
          </w:p>
        </w:tc>
      </w:tr>
      <w:tr>
        <w:tc>
          <w:tcPr>
            <w:tcW w:type="dxa" w:w="24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Network isolation</w:t>
            </w:r>
          </w:p>
        </w:tc>
        <w:tc>
          <w:tcPr>
            <w:tcW w:type="dxa" w:w="36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Replay mode can operate locally</w:t>
            </w:r>
          </w:p>
        </w:tc>
        <w:tc>
          <w:tcPr>
            <w:tcW w:type="dxa" w:w="4536"/>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Full on-prem or approved cloud deployment</w:t>
            </w:r>
          </w:p>
        </w:tc>
      </w:tr>
    </w:tbl>
    <w:p>
      <w:pPr>
        <w:spacing w:after="0"/>
      </w:pPr>
    </w:p>
    <w:p>
      <w:pPr>
        <w:pStyle w:val="Heading1"/>
        <w:keepNext/>
        <w:spacing w:before="200" w:after="80"/>
      </w:pPr>
      <w:r>
        <w:rPr>
          <w:rFonts w:ascii="Aptos" w:hAnsi="Aptos"/>
          <w:b/>
          <w:color w:val="17365D"/>
          <w:sz w:val="30"/>
        </w:rPr>
        <w:t>16. Implementation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Phase</w:t>
            </w:r>
          </w:p>
        </w:tc>
        <w:tc>
          <w:tcPr>
            <w:tcW w:type="dxa" w:w="583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Technical work</w:t>
            </w:r>
          </w:p>
        </w:tc>
        <w:tc>
          <w:tcPr>
            <w:tcW w:type="dxa" w:w="295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Acceptance condition</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1. Data foundation</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Download FIRMS slices, OSM AOI data, WorldCover context and historical observations</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Real hotspots can be inspected with local context</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2. Geospatial features</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CRS handling, nearest infrastructure, polygon joins, land-cover extraction</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Each hotspot has reproducible spatial features</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3. Temporal engine</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Cluster historical events; build recurrence and FRP baseline</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Persistent sources can be characterized</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4. ML baseline</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Create labels/benchmark; train baseline and LightGBM; evaluate with facility holdout</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Measured industrial-context model exists</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5. Backend</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FastAPI endpoints + model/feature integration</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API can analyze/select events end-to-end</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6. GIS frontend</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MapLibre dashboard, evidence panel, history chart</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Judge can interact with outputs</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7. Reliability</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Cache all demo dependencies; test replay mode and edge cases</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Demo works without internet</w:t>
            </w:r>
          </w:p>
        </w:tc>
      </w:tr>
      <w:tr>
        <w:tc>
          <w:tcPr>
            <w:tcW w:type="dxa" w:w="180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8. Presentation hardening</w:t>
            </w:r>
          </w:p>
        </w:tc>
        <w:tc>
          <w:tcPr>
            <w:tcW w:type="dxa" w:w="58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Freeze features; verify 3 scenarios; prepare evidence screenshots/logs</w:t>
            </w:r>
          </w:p>
        </w:tc>
        <w:tc>
          <w:tcPr>
            <w:tcW w:type="dxa" w:w="295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2-3 minute demo is reproducible</w:t>
            </w:r>
          </w:p>
        </w:tc>
      </w:tr>
    </w:tbl>
    <w:p>
      <w:pPr>
        <w:spacing w:after="0"/>
      </w:pPr>
    </w:p>
    <w:p>
      <w:r>
        <w:br w:type="page"/>
      </w:r>
    </w:p>
    <w:p>
      <w:pPr>
        <w:pStyle w:val="Heading2"/>
        <w:keepNext/>
        <w:spacing w:before="120" w:after="80"/>
      </w:pPr>
      <w:r>
        <w:rPr>
          <w:rFonts w:ascii="Aptos" w:hAnsi="Aptos"/>
          <w:b/>
          <w:color w:val="2F5597"/>
          <w:sz w:val="25"/>
        </w:rPr>
        <w:t>16.1 Recommended repository structure</w:t>
      </w:r>
    </w:p>
    <w:tbl>
      <w:tblPr>
        <w:tblW w:type="auto" w:w="0"/>
        <w:jc w:val="center"/>
        <w:tblLook w:firstColumn="1" w:firstRow="1" w:lastColumn="0" w:lastRow="0" w:noHBand="0" w:noVBand="1" w:val="04A0"/>
      </w:tblPr>
      <w:tblGrid>
        <w:gridCol w:w="10166"/>
      </w:tblGrid>
      <w:tr>
        <w:tc>
          <w:tcPr>
            <w:tcW w:type="dxa" w:w="10166"/>
            <w:shd w:fill="F3F4F6"/>
            <w:tcBorders>
              <w:top w:val="single" w:sz="4" w:color="C8CDD6"/>
              <w:left w:val="single" w:sz="4" w:color="C8CDD6"/>
              <w:bottom w:val="single" w:sz="4" w:color="C8CDD6"/>
              <w:right w:val="single" w:sz="4" w:color="C8CDD6"/>
              <w:insideH w:val="single" w:sz="4" w:color="C8CDD6"/>
              <w:insideV w:val="single" w:sz="4" w:color="C8CDD6"/>
            </w:tcBorders>
            <w:tcMar>
              <w:top w:w="110" w:type="dxa"/>
              <w:start w:w="120" w:type="dxa"/>
              <w:bottom w:w="110" w:type="dxa"/>
              <w:end w:w="120" w:type="dxa"/>
            </w:tcMar>
          </w:tcPr>
          <w:p>
            <w:pPr>
              <w:spacing w:after="0" w:before="0" w:line="240" w:lineRule="auto"/>
            </w:pPr>
            <w:r>
              <w:rPr>
                <w:rFonts w:ascii="Liberation Mono" w:hAnsi="Liberation Mono"/>
                <w:color w:val="263238"/>
                <w:sz w:val="17"/>
              </w:rPr>
              <w:t>thermalguard-ai/</w:t>
              <w:br/>
            </w:r>
            <w:r>
              <w:rPr>
                <w:rFonts w:ascii="Liberation Mono" w:hAnsi="Liberation Mono"/>
                <w:color w:val="263238"/>
                <w:sz w:val="17"/>
              </w:rPr>
              <w:t>├── notebooks/</w:t>
              <w:br/>
            </w:r>
            <w:r>
              <w:rPr>
                <w:rFonts w:ascii="Liberation Mono" w:hAnsi="Liberation Mono"/>
                <w:color w:val="263238"/>
                <w:sz w:val="17"/>
              </w:rPr>
              <w:t>│   ├── 01_firms_ingestion.ipynb</w:t>
              <w:br/>
            </w:r>
            <w:r>
              <w:rPr>
                <w:rFonts w:ascii="Liberation Mono" w:hAnsi="Liberation Mono"/>
                <w:color w:val="263238"/>
                <w:sz w:val="17"/>
              </w:rPr>
              <w:t>│   ├── 02_geospatial_enrichment.ipynb</w:t>
              <w:br/>
            </w:r>
            <w:r>
              <w:rPr>
                <w:rFonts w:ascii="Liberation Mono" w:hAnsi="Liberation Mono"/>
                <w:color w:val="263238"/>
                <w:sz w:val="17"/>
              </w:rPr>
              <w:t>│   ├── 03_landcover_features.ipynb</w:t>
              <w:br/>
            </w:r>
            <w:r>
              <w:rPr>
                <w:rFonts w:ascii="Liberation Mono" w:hAnsi="Liberation Mono"/>
                <w:color w:val="263238"/>
                <w:sz w:val="17"/>
              </w:rPr>
              <w:t>│   ├── 04_temporal_features.ipynb</w:t>
              <w:br/>
            </w:r>
            <w:r>
              <w:rPr>
                <w:rFonts w:ascii="Liberation Mono" w:hAnsi="Liberation Mono"/>
                <w:color w:val="263238"/>
                <w:sz w:val="17"/>
              </w:rPr>
              <w:t>│   ├── 05_model_training.ipynb</w:t>
              <w:br/>
            </w:r>
            <w:r>
              <w:rPr>
                <w:rFonts w:ascii="Liberation Mono" w:hAnsi="Liberation Mono"/>
                <w:color w:val="263238"/>
                <w:sz w:val="17"/>
              </w:rPr>
              <w:t>│   ├── 06_evaluation.ipynb</w:t>
              <w:br/>
            </w:r>
            <w:r>
              <w:rPr>
                <w:rFonts w:ascii="Liberation Mono" w:hAnsi="Liberation Mono"/>
                <w:color w:val="263238"/>
                <w:sz w:val="17"/>
              </w:rPr>
              <w:t>│   └── 07_explainability.ipynb</w:t>
              <w:br/>
            </w:r>
            <w:r>
              <w:rPr>
                <w:rFonts w:ascii="Liberation Mono" w:hAnsi="Liberation Mono"/>
                <w:color w:val="263238"/>
                <w:sz w:val="17"/>
              </w:rPr>
              <w:t>├── src/</w:t>
              <w:br/>
            </w:r>
            <w:r>
              <w:rPr>
                <w:rFonts w:ascii="Liberation Mono" w:hAnsi="Liberation Mono"/>
                <w:color w:val="263238"/>
                <w:sz w:val="17"/>
              </w:rPr>
              <w:t>│   ├── firms.py</w:t>
              <w:br/>
            </w:r>
            <w:r>
              <w:rPr>
                <w:rFonts w:ascii="Liberation Mono" w:hAnsi="Liberation Mono"/>
                <w:color w:val="263238"/>
                <w:sz w:val="17"/>
              </w:rPr>
              <w:t>│   ├── geo_features.py</w:t>
              <w:br/>
            </w:r>
            <w:r>
              <w:rPr>
                <w:rFonts w:ascii="Liberation Mono" w:hAnsi="Liberation Mono"/>
                <w:color w:val="263238"/>
                <w:sz w:val="17"/>
              </w:rPr>
              <w:t>│   ├── temporal.py</w:t>
              <w:br/>
            </w:r>
            <w:r>
              <w:rPr>
                <w:rFonts w:ascii="Liberation Mono" w:hAnsi="Liberation Mono"/>
                <w:color w:val="263238"/>
                <w:sz w:val="17"/>
              </w:rPr>
              <w:t>│   ├── features.py</w:t>
              <w:br/>
            </w:r>
            <w:r>
              <w:rPr>
                <w:rFonts w:ascii="Liberation Mono" w:hAnsi="Liberation Mono"/>
                <w:color w:val="263238"/>
                <w:sz w:val="17"/>
              </w:rPr>
              <w:t>│   ├── classifier.py</w:t>
              <w:br/>
            </w:r>
            <w:r>
              <w:rPr>
                <w:rFonts w:ascii="Liberation Mono" w:hAnsi="Liberation Mono"/>
                <w:color w:val="263238"/>
                <w:sz w:val="17"/>
              </w:rPr>
              <w:t>│   └── decision_engine.py</w:t>
              <w:br/>
            </w:r>
            <w:r>
              <w:rPr>
                <w:rFonts w:ascii="Liberation Mono" w:hAnsi="Liberation Mono"/>
                <w:color w:val="263238"/>
                <w:sz w:val="17"/>
              </w:rPr>
              <w:t>├── data/</w:t>
              <w:br/>
            </w:r>
            <w:r>
              <w:rPr>
                <w:rFonts w:ascii="Liberation Mono" w:hAnsi="Liberation Mono"/>
                <w:color w:val="263238"/>
                <w:sz w:val="17"/>
              </w:rPr>
              <w:t>│   ├── raw/</w:t>
              <w:br/>
            </w:r>
            <w:r>
              <w:rPr>
                <w:rFonts w:ascii="Liberation Mono" w:hAnsi="Liberation Mono"/>
                <w:color w:val="263238"/>
                <w:sz w:val="17"/>
              </w:rPr>
              <w:t>│   ├── processed/</w:t>
              <w:br/>
            </w:r>
            <w:r>
              <w:rPr>
                <w:rFonts w:ascii="Liberation Mono" w:hAnsi="Liberation Mono"/>
                <w:color w:val="263238"/>
                <w:sz w:val="17"/>
              </w:rPr>
              <w:t>│   └── cached_demo/</w:t>
              <w:br/>
            </w:r>
            <w:r>
              <w:rPr>
                <w:rFonts w:ascii="Liberation Mono" w:hAnsi="Liberation Mono"/>
                <w:color w:val="263238"/>
                <w:sz w:val="17"/>
              </w:rPr>
              <w:t>├── models/</w:t>
              <w:br/>
            </w:r>
            <w:r>
              <w:rPr>
                <w:rFonts w:ascii="Liberation Mono" w:hAnsi="Liberation Mono"/>
                <w:color w:val="263238"/>
                <w:sz w:val="17"/>
              </w:rPr>
              <w:t>│   └── thermal_classifier_pipeline.pkl</w:t>
              <w:br/>
            </w:r>
            <w:r>
              <w:rPr>
                <w:rFonts w:ascii="Liberation Mono" w:hAnsi="Liberation Mono"/>
                <w:color w:val="263238"/>
                <w:sz w:val="17"/>
              </w:rPr>
              <w:t>├── backend/</w:t>
              <w:br/>
            </w:r>
            <w:r>
              <w:rPr>
                <w:rFonts w:ascii="Liberation Mono" w:hAnsi="Liberation Mono"/>
                <w:color w:val="263238"/>
                <w:sz w:val="17"/>
              </w:rPr>
              <w:t>│   └── main.py</w:t>
              <w:br/>
            </w:r>
            <w:r>
              <w:rPr>
                <w:rFonts w:ascii="Liberation Mono" w:hAnsi="Liberation Mono"/>
                <w:color w:val="263238"/>
                <w:sz w:val="17"/>
              </w:rPr>
              <w:t>├── frontend/</w:t>
              <w:br/>
            </w:r>
            <w:r>
              <w:rPr>
                <w:rFonts w:ascii="Liberation Mono" w:hAnsi="Liberation Mono"/>
                <w:color w:val="263238"/>
                <w:sz w:val="17"/>
              </w:rPr>
              <w:t>│   └── ...</w:t>
              <w:br/>
            </w:r>
            <w:r>
              <w:rPr>
                <w:rFonts w:ascii="Liberation Mono" w:hAnsi="Liberation Mono"/>
                <w:color w:val="263238"/>
                <w:sz w:val="17"/>
              </w:rPr>
              <w:t>├── tests/</w:t>
              <w:br/>
            </w:r>
            <w:r>
              <w:rPr>
                <w:rFonts w:ascii="Liberation Mono" w:hAnsi="Liberation Mono"/>
                <w:color w:val="263238"/>
                <w:sz w:val="17"/>
              </w:rPr>
              <w:t>└── README.md</w:t>
            </w:r>
          </w:p>
        </w:tc>
      </w:tr>
    </w:tbl>
    <w:p>
      <w:pPr>
        <w:spacing w:after="0"/>
      </w:pPr>
    </w:p>
    <w:p>
      <w:pPr>
        <w:pStyle w:val="Heading1"/>
        <w:keepNext/>
        <w:spacing w:before="200" w:after="80"/>
      </w:pPr>
      <w:r>
        <w:rPr>
          <w:rFonts w:ascii="Aptos" w:hAnsi="Aptos"/>
          <w:b/>
          <w:color w:val="17365D"/>
          <w:sz w:val="30"/>
        </w:rPr>
        <w:t>17. Team Responsibilities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Role</w:t>
            </w:r>
          </w:p>
        </w:tc>
        <w:tc>
          <w:tcPr>
            <w:tcW w:type="dxa" w:w="511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Primary deliverables</w:t>
            </w:r>
          </w:p>
        </w:tc>
        <w:tc>
          <w:tcPr>
            <w:tcW w:type="dxa" w:w="324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Integration dependency</w:t>
            </w:r>
          </w:p>
        </w:tc>
      </w:tr>
      <w:tr>
        <w:tc>
          <w:tcPr>
            <w:tcW w:type="dxa" w:w="22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ML Engineer</w:t>
            </w:r>
          </w:p>
        </w:tc>
        <w:tc>
          <w:tcPr>
            <w:tcW w:type="dxa" w:w="51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Baseline, LightGBM, evaluation, calibration, SHAP</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Consumes final feature table; exports model pipeline</w:t>
            </w:r>
          </w:p>
        </w:tc>
      </w:tr>
      <w:tr>
        <w:tc>
          <w:tcPr>
            <w:tcW w:type="dxa" w:w="22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GeoAI/Data Engineer</w:t>
            </w:r>
          </w:p>
        </w:tc>
        <w:tc>
          <w:tcPr>
            <w:tcW w:type="dxa" w:w="51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FIRMS, OSM, WorldCover, CRS/spatial joins</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Produces deterministic spatial features</w:t>
            </w:r>
          </w:p>
        </w:tc>
      </w:tr>
      <w:tr>
        <w:tc>
          <w:tcPr>
            <w:tcW w:type="dxa" w:w="22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Temporal/Data Engineer</w:t>
            </w:r>
          </w:p>
        </w:tc>
        <w:tc>
          <w:tcPr>
            <w:tcW w:type="dxa" w:w="51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Historical clustering, persistence, baseline, anomaly features</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Produces temporal features and decision inputs</w:t>
            </w:r>
          </w:p>
        </w:tc>
      </w:tr>
      <w:tr>
        <w:tc>
          <w:tcPr>
            <w:tcW w:type="dxa" w:w="22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Backend Engineer</w:t>
            </w:r>
          </w:p>
        </w:tc>
        <w:tc>
          <w:tcPr>
            <w:tcW w:type="dxa" w:w="51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FastAPI, inference integration, caching, data contracts</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Connects feature pipeline/model to UI</w:t>
            </w:r>
          </w:p>
        </w:tc>
      </w:tr>
      <w:tr>
        <w:tc>
          <w:tcPr>
            <w:tcW w:type="dxa" w:w="22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Frontend/GIS Engineer</w:t>
            </w:r>
          </w:p>
        </w:tc>
        <w:tc>
          <w:tcPr>
            <w:tcW w:type="dxa" w:w="51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MapLibre map, filters, evidence panel, history chart</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Consumes stable API schema</w:t>
            </w:r>
          </w:p>
        </w:tc>
      </w:tr>
      <w:tr>
        <w:tc>
          <w:tcPr>
            <w:tcW w:type="dxa" w:w="22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Integration/Product/Test</w:t>
            </w:r>
          </w:p>
        </w:tc>
        <w:tc>
          <w:tcPr>
            <w:tcW w:type="dxa" w:w="51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Benchmark review, replay scenarios, QA, demo, technical documentation</w:t>
            </w:r>
          </w:p>
        </w:tc>
        <w:tc>
          <w:tcPr>
            <w:tcW w:type="dxa" w:w="324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Validates end-to-end behaviour</w:t>
            </w:r>
          </w:p>
        </w:tc>
      </w:tr>
    </w:tbl>
    <w:p>
      <w:pPr>
        <w:spacing w:after="0"/>
      </w:pPr>
    </w:p>
    <w:p>
      <w:pPr>
        <w:pStyle w:val="Heading1"/>
        <w:keepNext/>
        <w:spacing w:before="200" w:after="80"/>
      </w:pPr>
      <w:r>
        <w:rPr>
          <w:rFonts w:ascii="Aptos" w:hAnsi="Aptos"/>
          <w:b/>
          <w:color w:val="17365D"/>
          <w:sz w:val="30"/>
        </w:rPr>
        <w:t>18. MVP to Final SIH / Production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Stage</w:t>
            </w:r>
          </w:p>
        </w:tc>
        <w:tc>
          <w:tcPr>
            <w:tcW w:type="dxa" w:w="352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Scope</w:t>
            </w:r>
          </w:p>
        </w:tc>
        <w:tc>
          <w:tcPr>
            <w:tcW w:type="dxa" w:w="532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Key additions</w:t>
            </w:r>
          </w:p>
        </w:tc>
      </w:tr>
      <w:tr>
        <w:tc>
          <w:tcPr>
            <w:tcW w:type="dxa" w:w="17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MVP</w:t>
            </w:r>
          </w:p>
        </w:tc>
        <w:tc>
          <w:tcPr>
            <w:tcW w:type="dxa" w:w="35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Prove classification + persistence + GIS on selected AOIs</w:t>
            </w:r>
          </w:p>
        </w:tc>
        <w:tc>
          <w:tcPr>
            <w:tcW w:type="dxa" w:w="53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FIRMS, OSM, WorldCover, historical baseline, LightGBM, local dashboard</w:t>
            </w:r>
          </w:p>
        </w:tc>
      </w:tr>
      <w:tr>
        <w:tc>
          <w:tcPr>
            <w:tcW w:type="dxa" w:w="17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V2</w:t>
            </w:r>
          </w:p>
        </w:tc>
        <w:tc>
          <w:tcPr>
            <w:tcW w:type="dxa" w:w="35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Improve data quality and industrial coverage</w:t>
            </w:r>
          </w:p>
        </w:tc>
        <w:tc>
          <w:tcPr>
            <w:tcW w:type="dxa" w:w="53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GEM/flare data, better benchmark, richer spatial cluster features, optional imagery</w:t>
            </w:r>
          </w:p>
        </w:tc>
      </w:tr>
      <w:tr>
        <w:tc>
          <w:tcPr>
            <w:tcW w:type="dxa" w:w="17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SIH Final</w:t>
            </w:r>
          </w:p>
        </w:tc>
        <w:tc>
          <w:tcPr>
            <w:tcW w:type="dxa" w:w="35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Demonstrate broader operational value</w:t>
            </w:r>
          </w:p>
        </w:tc>
        <w:tc>
          <w:tcPr>
            <w:tcW w:type="dxa" w:w="53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More Indian industrial regions, analyst feedback, severity prioritization, PostGIS, stronger validation</w:t>
            </w:r>
          </w:p>
        </w:tc>
      </w:tr>
      <w:tr>
        <w:tc>
          <w:tcPr>
            <w:tcW w:type="dxa" w:w="17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Production</w:t>
            </w:r>
          </w:p>
        </w:tc>
        <w:tc>
          <w:tcPr>
            <w:tcW w:type="dxa" w:w="35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Operational national-scale platform</w:t>
            </w:r>
          </w:p>
        </w:tc>
        <w:tc>
          <w:tcPr>
            <w:tcW w:type="dxa" w:w="532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Secure deployment, monitoring, scalable ingestion, RBAC, audit, model lifecycle, integrations</w:t>
            </w:r>
          </w:p>
        </w:tc>
      </w:tr>
    </w:tbl>
    <w:p>
      <w:pPr>
        <w:spacing w:after="0"/>
      </w:pPr>
    </w:p>
    <w:p>
      <w:pPr>
        <w:pStyle w:val="Heading1"/>
        <w:keepNext/>
        <w:spacing w:before="200" w:after="80"/>
      </w:pPr>
      <w:r>
        <w:rPr>
          <w:rFonts w:ascii="Aptos" w:hAnsi="Aptos"/>
          <w:b/>
          <w:color w:val="17365D"/>
          <w:sz w:val="30"/>
        </w:rPr>
        <w:t>19. Judge Stress-Test and Technical Defence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Likely question</w:t>
            </w:r>
          </w:p>
        </w:tc>
        <w:tc>
          <w:tcPr>
            <w:tcW w:type="dxa" w:w="691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Defensible answer</w:t>
            </w:r>
          </w:p>
        </w:tc>
      </w:tr>
      <w:tr>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“How can a 375 m-class satellite hotspot be attributed to one factory?”</w:t>
            </w:r>
          </w:p>
        </w:tc>
        <w:tc>
          <w:tcPr>
            <w:tcW w:type="dxa" w:w="69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We do not claim building-level certainty. We use probabilistic contextual attribution from nearby infrastructure, land cover and recurrence, and return Uncertain when evidence is insufficient.</w:t>
            </w:r>
          </w:p>
        </w:tc>
      </w:tr>
      <w:tr>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“How do you distinguish a normal refinery flare from an accidental fire?”</w:t>
            </w:r>
          </w:p>
        </w:tc>
        <w:tc>
          <w:tcPr>
            <w:tcW w:type="dxa" w:w="69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Location alone is insufficient. We compare the current observation with the facility/cluster thermal baseline using recurrence, FRP distribution and spatial expansion.</w:t>
            </w:r>
          </w:p>
        </w:tc>
      </w:tr>
      <w:tr>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“What if your industrial map is incomplete?”</w:t>
            </w:r>
          </w:p>
        </w:tc>
        <w:tc>
          <w:tcPr>
            <w:tcW w:type="dxa" w:w="69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Evidence is fused from multiple sources where available; missing context reduces confidence rather than silently forcing a label. Cached/local layers prevent runtime API dependency.</w:t>
            </w:r>
          </w:p>
        </w:tc>
      </w:tr>
      <w:tr>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“Where exactly is AI used?”</w:t>
            </w:r>
          </w:p>
        </w:tc>
        <w:tc>
          <w:tcPr>
            <w:tcW w:type="dxa" w:w="69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Stage 1 uses a trained structured-data classifier to estimate industrial context from engineered features. Stage 2 uses transparent temporal/domain logic to assess persistent versus abnormal behaviour.</w:t>
            </w:r>
          </w:p>
        </w:tc>
      </w:tr>
      <w:tr>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“Why not use CNN/YOLO?”</w:t>
            </w:r>
          </w:p>
        </w:tc>
        <w:tc>
          <w:tcPr>
            <w:tcW w:type="dxa" w:w="69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The MVP’s strongest signals are tabular/spatiotemporal and labelled satellite-image data is limited. Classical ML is faster, more explainable and more appropriate for the proof; imagery can be added later as a secondary model.</w:t>
            </w:r>
          </w:p>
        </w:tc>
      </w:tr>
      <w:tr>
        <w:tc>
          <w:tcPr>
            <w:tcW w:type="dxa" w:w="367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“Can you prove the model is not hard-coded?”</w:t>
            </w:r>
          </w:p>
        </w:tc>
        <w:tc>
          <w:tcPr>
            <w:tcW w:type="dxa" w:w="691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We can show the raw FIRMS record, computed feature vector, saved model version, probability output, benchmark evaluation and the same inference path used by the UI.</w:t>
            </w:r>
          </w:p>
        </w:tc>
      </w:tr>
    </w:tbl>
    <w:p>
      <w:pPr>
        <w:spacing w:after="0"/>
      </w:pPr>
    </w:p>
    <w:p>
      <w:pPr>
        <w:pStyle w:val="Heading1"/>
        <w:keepNext/>
        <w:spacing w:before="200" w:after="80"/>
      </w:pPr>
      <w:r>
        <w:rPr>
          <w:rFonts w:ascii="Aptos" w:hAnsi="Aptos"/>
          <w:b/>
          <w:color w:val="17365D"/>
          <w:sz w:val="30"/>
        </w:rPr>
        <w:t>20. Risks, Limitations and Red Flags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Risk / Red Flag</w:t>
            </w:r>
          </w:p>
        </w:tc>
        <w:tc>
          <w:tcPr>
            <w:tcW w:type="dxa" w:w="3744"/>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Why it matters</w:t>
            </w:r>
          </w:p>
        </w:tc>
        <w:tc>
          <w:tcPr>
            <w:tcW w:type="dxa" w:w="396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Mitigation</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Limited verified labels</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Can make reported accuracy misleading</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Create manually reviewed benchmark and clearly separate weak labels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Facility leakage in train/test</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Inflates ML performance</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Hold out complete facilities/geographies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Routine heat confused with incidents</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High false-positive risk</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Use historical thermal baseline and persistence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Hotspot treated as exact fire footprint</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Spatial overclaim</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Describe it as thermal observation; use contextual attribution</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Sentinel-2 treated as thermal sensor</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Technical error</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Use it for optical/SWIR context; use FIRMS/Landsat for thermal information</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Hard-coded demo labels</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Makes MVP look fake</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Run real feature generation + actual model/decision engine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Live API-only demo</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Fragile during judging</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Replay mode with cached real data</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Invented 95-99% accuracy</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Destroys technical credibility</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Report only measured metrics with test method</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Too many production features</w:t>
            </w:r>
          </w:p>
        </w:tc>
        <w:tc>
          <w:tcPr>
            <w:tcW w:type="dxa" w:w="374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Consumes time without proving PS</w:t>
            </w:r>
          </w:p>
        </w:tc>
        <w:tc>
          <w:tcPr>
            <w:tcW w:type="dxa" w:w="396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Freeze MVP around input → intelligence → GIS output</w:t>
            </w:r>
          </w:p>
        </w:tc>
      </w:tr>
    </w:tbl>
    <w:p>
      <w:pPr>
        <w:spacing w:after="0"/>
      </w:pPr>
    </w:p>
    <w:p>
      <w:pPr>
        <w:pStyle w:val="Heading1"/>
        <w:keepNext/>
        <w:spacing w:before="200" w:after="80"/>
      </w:pPr>
      <w:r>
        <w:rPr>
          <w:rFonts w:ascii="Aptos" w:hAnsi="Aptos"/>
          <w:b/>
          <w:color w:val="17365D"/>
          <w:sz w:val="30"/>
        </w:rPr>
        <w:t>21. Compact Final Technical Specification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Item</w:t>
            </w:r>
          </w:p>
        </w:tc>
        <w:tc>
          <w:tcPr>
            <w:tcW w:type="dxa" w:w="763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6"/>
              </w:rPr>
              <w:t>Specification</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MVP name</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ThermalGuard AI (working title)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Core input</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NASA FIRMS VIIRS thermal hotspot observations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Core intelligence</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Geospatial context + land-cover context + historical persistence + LightGBM industrial classifier + temporal anomaly engine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Core output</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GIS-based class, confidence, evidence and thermal history</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Must-have data</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FIRMS, OSM, ESA WorldCover, historical FIRMS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ML environment</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Jupyter notebooks for exploration/training; reusable Python modules for application inference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Frontend</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React + MapLibre + chart library</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Backend</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Python + FastAPI</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MVP storage</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SQLite + Parquet/GeoJSON cache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Final storage path</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PostgreSQL + PostGIS</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Demo resilience</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Live Mode + local Replay Mode</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Primary evaluation</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Precision, recall, Macro F1, confusion matrix; facility/geography holdout</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Biggest technical risk</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6"/>
              </w:rPr>
              <w:t>Quality and representativeness of event labels/benchmark</w:t>
            </w:r>
          </w:p>
        </w:tc>
      </w:tr>
      <w:tr>
        <w:tc>
          <w:tcPr>
            <w:tcW w:type="dxa" w:w="288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Core innovation</w:t>
            </w:r>
          </w:p>
        </w:tc>
        <w:tc>
          <w:tcPr>
            <w:tcW w:type="dxa" w:w="763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6"/>
              </w:rPr>
              <w:t>Facility-specific thermal baseline that separates recurring industrial heat from potentially abnormal behaviour</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5EC"/>
            <w:tcBorders>
              <w:top w:val="single" w:sz="4" w:color="D4D9E2"/>
              <w:left w:val="single" w:sz="4" w:color="D4D9E2"/>
              <w:bottom w:val="single" w:sz="4" w:color="D4D9E2"/>
              <w:right w:val="single" w:sz="4" w:color="D4D9E2"/>
              <w:insideH w:val="single" w:sz="4" w:color="D4D9E2"/>
              <w:insideV w:val="single" w:sz="4" w:color="D4D9E2"/>
            </w:tcBorders>
            <w:tcMar>
              <w:top w:w="100" w:type="dxa"/>
              <w:start w:w="120" w:type="dxa"/>
              <w:bottom w:w="100" w:type="dxa"/>
              <w:end w:w="120" w:type="dxa"/>
            </w:tcMar>
          </w:tcPr>
          <w:p>
            <w:pPr>
              <w:spacing w:after="40" w:before="0" w:line="259" w:lineRule="auto"/>
            </w:pPr>
            <w:r>
              <w:rPr>
                <w:rFonts w:ascii="Aptos" w:hAnsi="Aptos"/>
                <w:b/>
                <w:color w:val="2E6B3E"/>
                <w:sz w:val="21"/>
              </w:rPr>
              <w:t>Final technical position</w:t>
            </w:r>
          </w:p>
          <w:p>
            <w:pPr>
              <w:spacing w:after="0" w:before="0" w:line="259" w:lineRule="auto"/>
            </w:pPr>
            <w:r>
              <w:rPr>
                <w:rFonts w:ascii="Aptos" w:hAnsi="Aptos"/>
                <w:color w:val="1F2937"/>
                <w:sz w:val="20"/>
              </w:rPr>
              <w:t>The MVP should be judged as an explainable analyst decision-support system, not as an autonomous emergency declaration engine. Its technical credibility comes from real data, reproducible feature engineering, measured ML performance, temporal baseline reasoning, uncertainty handling and a complete GIS demonstration.</w:t>
            </w:r>
          </w:p>
        </w:tc>
      </w:tr>
    </w:tbl>
    <w:p>
      <w:pPr>
        <w:spacing w:after="0"/>
      </w:pPr>
    </w:p>
    <w:p>
      <w:pPr>
        <w:pStyle w:val="Heading1"/>
        <w:keepNext/>
        <w:spacing w:before="200" w:after="80"/>
      </w:pPr>
      <w:r>
        <w:rPr>
          <w:rFonts w:ascii="Aptos" w:hAnsi="Aptos"/>
          <w:b/>
          <w:color w:val="17365D"/>
          <w:sz w:val="30"/>
        </w:rPr>
        <w:t>Appendix A - Suggested PPT vs Report Split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464"/>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Put in PPT</w:t>
            </w:r>
          </w:p>
        </w:tc>
        <w:tc>
          <w:tcPr>
            <w:tcW w:type="dxa" w:w="6048"/>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Keep detailed in this report</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Problem and why FIRMS alone is insufficient</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Full data-field list and caveats</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One architecture diagram</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Exact feature-engineering pipeline and module responsibilities</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3-4 core features</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18-feature catalogue and priority mapping</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Demo screenshots / live flow</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API contracts and database entities</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Industrial vs natural + persistent vs abnormal concept</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Thermal baseline formulas, clustering and cold-start handling</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High-level AI explanation</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Model choice, baseline comparison, evaluation leakage prevention</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Data-source logos/names</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Labelling strategy, availability and fallback handling</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Impact and scalability</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MVP→V2→SIH→production technical migration</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One slide on reliability</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Detailed failure matrix and replay-mode design</w:t>
            </w:r>
          </w:p>
        </w:tc>
      </w:tr>
      <w:tr>
        <w:tc>
          <w:tcPr>
            <w:tcW w:type="dxa" w:w="4464"/>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Top 3 judge questions</w:t>
            </w:r>
          </w:p>
        </w:tc>
        <w:tc>
          <w:tcPr>
            <w:tcW w:type="dxa" w:w="6048"/>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Full stress-test defence matrix</w:t>
            </w:r>
          </w:p>
        </w:tc>
      </w:tr>
    </w:tbl>
    <w:p>
      <w:pPr>
        <w:spacing w:after="0"/>
      </w:pPr>
    </w:p>
    <w:p>
      <w:pPr>
        <w:pStyle w:val="Heading1"/>
        <w:keepNext/>
        <w:spacing w:before="200" w:after="80"/>
      </w:pPr>
      <w:r>
        <w:rPr>
          <w:rFonts w:ascii="Aptos" w:hAnsi="Aptos"/>
          <w:b/>
          <w:color w:val="17365D"/>
          <w:sz w:val="30"/>
        </w:rPr>
        <w:t>Appendix B -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Term</w:t>
            </w:r>
          </w:p>
        </w:tc>
        <w:tc>
          <w:tcPr>
            <w:tcW w:type="dxa" w:w="7920"/>
            <w:shd w:fill="17365D"/>
            <w:tcBorders>
              <w:top w:val="single" w:sz="3" w:color="FFFFFF"/>
              <w:left w:val="single" w:sz="3" w:color="FFFFFF"/>
              <w:bottom w:val="single" w:sz="3" w:color="FFFFFF"/>
              <w:right w:val="single" w:sz="3" w:color="FFFFFF"/>
              <w:insideH w:val="single" w:sz="3" w:color="FFFFFF"/>
              <w:insideV w:val="single" w:sz="3" w:color="FFFFFF"/>
            </w:tcBorders>
            <w:tcMar>
              <w:top w:w="75" w:type="dxa"/>
              <w:start w:w="70" w:type="dxa"/>
              <w:bottom w:w="75" w:type="dxa"/>
              <w:end w:w="70" w:type="dxa"/>
            </w:tcMar>
            <w:vAlign w:val="center"/>
          </w:tcPr>
          <w:p>
            <w:pPr>
              <w:spacing w:after="0" w:before="0" w:line="259" w:lineRule="auto"/>
              <w:jc w:val="center"/>
            </w:pPr>
            <w:r>
              <w:rPr>
                <w:rFonts w:ascii="Aptos" w:hAnsi="Aptos"/>
                <w:b/>
                <w:color w:val="FFFFFF"/>
                <w:sz w:val="17"/>
              </w:rPr>
              <w:t>Meaning in this solution</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FIRMS</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NASA Fire Information for Resource Management System; source of active-fire/thermal-anomaly observations.</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VIIRS</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Visible Infrared Imaging Radiometer Suite; sensor family used by NOAA-20/NOAA-21 among others.</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FRP</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Fire Radiative Power; thermal-emission-related attribute provided with active-fire observations.</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GeoAI</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Use of AI/ML with geospatial data and spatial relationships.</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Industrial context</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Evidence that a hotspot is spatially associated with industrial infrastructure/built-up activity.</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Persistence ratio</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A recurrence indicator based on how often a thermal source is detected over the historical window.</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Thermal baseline</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Historical FRP/recurrence profile for a recurring thermal-source cluster.</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Anomaly indicator</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Measure of how strongly current thermal behaviour differs from historical behaviour.</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Cold start</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Situation where an event has insufficient historical observations to assess persistence/abnormality.</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Replay mode</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Offline demonstration mode that processes cached real data using the same pipeline as live mode.</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SHAP</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vAlign w:val="center"/>
          </w:tcPr>
          <w:p>
            <w:pPr>
              <w:spacing w:after="0" w:before="0" w:line="259" w:lineRule="auto"/>
            </w:pPr>
            <w:r>
              <w:rPr>
                <w:rFonts w:ascii="Aptos" w:hAnsi="Aptos"/>
                <w:color w:val="1F2937"/>
                <w:sz w:val="17"/>
              </w:rPr>
              <w:t>Explainability method that estimates feature contributions to a model prediction.</w:t>
            </w:r>
          </w:p>
        </w:tc>
      </w:tr>
      <w:tr>
        <w:tc>
          <w:tcPr>
            <w:tcW w:type="dxa" w:w="2592"/>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PostGIS</w:t>
            </w:r>
          </w:p>
        </w:tc>
        <w:tc>
          <w:tcPr>
            <w:tcW w:type="dxa" w:w="7920"/>
            <w:tcBorders>
              <w:top w:val="single" w:sz="3" w:color="D4D9E2"/>
              <w:left w:val="single" w:sz="3" w:color="D4D9E2"/>
              <w:bottom w:val="single" w:sz="3" w:color="D4D9E2"/>
              <w:right w:val="single" w:sz="3" w:color="D4D9E2"/>
              <w:insideH w:val="single" w:sz="3" w:color="D4D9E2"/>
              <w:insideV w:val="single" w:sz="3" w:color="D4D9E2"/>
            </w:tcBorders>
            <w:tcMar>
              <w:top w:w="70" w:type="dxa"/>
              <w:start w:w="70" w:type="dxa"/>
              <w:bottom w:w="70" w:type="dxa"/>
              <w:end w:w="70" w:type="dxa"/>
            </w:tcMar>
            <w:shd w:fill="F5F7FA"/>
            <w:vAlign w:val="center"/>
          </w:tcPr>
          <w:p>
            <w:pPr>
              <w:spacing w:after="0" w:before="0" w:line="259" w:lineRule="auto"/>
            </w:pPr>
            <w:r>
              <w:rPr>
                <w:rFonts w:ascii="Aptos" w:hAnsi="Aptos"/>
                <w:color w:val="1F2937"/>
                <w:sz w:val="17"/>
              </w:rPr>
              <w:t>Spatial extension for PostgreSQL used in the later scalable architecture.</w:t>
            </w:r>
          </w:p>
        </w:tc>
      </w:tr>
    </w:tbl>
    <w:p>
      <w:pPr>
        <w:spacing w:after="0"/>
      </w:pPr>
    </w:p>
    <w:p>
      <w:pPr>
        <w:pStyle w:val="Heading1"/>
        <w:keepNext/>
        <w:spacing w:before="200" w:after="80"/>
      </w:pPr>
      <w:r>
        <w:rPr>
          <w:rFonts w:ascii="Aptos" w:hAnsi="Aptos"/>
          <w:b/>
          <w:color w:val="17365D"/>
          <w:sz w:val="30"/>
        </w:rPr>
        <w:t>Appendix C - Reference Basis</w:t>
      </w:r>
    </w:p>
    <w:p>
      <w:pPr>
        <w:spacing w:after="80" w:before="0" w:line="259" w:lineRule="auto"/>
      </w:pPr>
      <w:r>
        <w:rPr>
          <w:rFonts w:ascii="Aptos" w:hAnsi="Aptos"/>
          <w:i w:val="0"/>
          <w:sz w:val="21"/>
        </w:rPr>
        <w:t>This report is based on the user-supplied NTRO problem statement and the agreed MVP/PRD solution developed for this project. The implementation should verify current API terms, quotas and dataset licensing at development time before public release. Primary technical sources to retain in project documentation include NASA FIRMS documentation, OpenStreetMap/Overpass documentation, ESA WorldCover documentation, USGS Landsat documentation, Global Energy Monitor datasets and World Bank gas-flaring data.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Hackathon Technical Annex - Working Solution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THERMALGUARD AI  |  DETAILED TECHNICAL SOLUTION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