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F1CD0" w14:textId="77777777" w:rsidR="002B160B" w:rsidRDefault="002B160B">
      <w:pPr>
        <w:pStyle w:val="MdSpace"/>
        <w:spacing w:after="60"/>
      </w:pPr>
    </w:p>
    <w:p w14:paraId="689F1CD1" w14:textId="77777777" w:rsidR="002B160B" w:rsidRDefault="00000000">
      <w:pPr>
        <w:pStyle w:val="MdParagraph"/>
      </w:pPr>
      <w:r>
        <w:t>Hello Amy,</w:t>
      </w:r>
    </w:p>
    <w:p w14:paraId="689F1CD2" w14:textId="77777777" w:rsidR="002B160B" w:rsidRDefault="002B160B">
      <w:pPr>
        <w:pStyle w:val="MdSpace"/>
        <w:spacing w:after="60"/>
      </w:pPr>
    </w:p>
    <w:p w14:paraId="689F1CD3" w14:textId="77777777" w:rsidR="002B160B" w:rsidRDefault="00000000">
      <w:pPr>
        <w:pStyle w:val="MdParagraph"/>
      </w:pPr>
      <w:r>
        <w:t>Please find attached our detailed, factual response and justification for the items in the tenant's dispute. Each point is supported by direct evidence from the Entry and Exit Condition Reports and relevant Queensland tenancy legislation.</w:t>
      </w:r>
    </w:p>
    <w:p w14:paraId="689F1CD4" w14:textId="77777777" w:rsidR="002B160B" w:rsidRDefault="002B160B">
      <w:pPr>
        <w:pStyle w:val="MdSpace"/>
        <w:spacing w:after="60"/>
      </w:pPr>
    </w:p>
    <w:p w14:paraId="689F1CD5" w14:textId="77777777" w:rsidR="002B160B" w:rsidRDefault="00000000">
      <w:pPr>
        <w:pStyle w:val="MdParagraph"/>
      </w:pPr>
      <w:r>
        <w:t>In addition to the Entry and Exit Condition Reports, this response also references information from two routine inspections:</w:t>
      </w:r>
    </w:p>
    <w:p w14:paraId="689F1CD6" w14:textId="77777777" w:rsidR="002B160B" w:rsidRDefault="00000000">
      <w:pPr>
        <w:pStyle w:val="MdListItem"/>
        <w:numPr>
          <w:ilvl w:val="0"/>
          <w:numId w:val="2"/>
        </w:numPr>
      </w:pPr>
      <w:r>
        <w:t xml:space="preserve">A routine inspection conducted by </w:t>
      </w:r>
      <w:proofErr w:type="spellStart"/>
      <w:r>
        <w:t>PerryCooper</w:t>
      </w:r>
      <w:proofErr w:type="spellEnd"/>
      <w:r>
        <w:t xml:space="preserve"> Property in July 2025.</w:t>
      </w:r>
    </w:p>
    <w:p w14:paraId="689F1CD7" w14:textId="77777777" w:rsidR="002B160B" w:rsidRDefault="00000000">
      <w:pPr>
        <w:pStyle w:val="MdListItem"/>
        <w:numPr>
          <w:ilvl w:val="0"/>
          <w:numId w:val="2"/>
        </w:numPr>
      </w:pPr>
      <w:r>
        <w:t>A routine inspection conducted by yourself in August 2025.</w:t>
      </w:r>
    </w:p>
    <w:p w14:paraId="689F1CD8" w14:textId="77777777" w:rsidR="002B160B" w:rsidRDefault="002B160B">
      <w:pPr>
        <w:pStyle w:val="MdSpace"/>
        <w:spacing w:after="60"/>
      </w:pPr>
    </w:p>
    <w:p w14:paraId="689F1CD9" w14:textId="77777777" w:rsidR="002B160B" w:rsidRDefault="00000000">
      <w:pPr>
        <w:pStyle w:val="MdParagraph"/>
      </w:pPr>
      <w:r>
        <w:t>The central issue is not to dispute that certain actions occurred (such as the installation of the manhole), but to address the consistent theme of inadequate rectification. The core problem across most items is that repairs were not completed to the entry standard, or that required cleaning and repairs were not performed at all, leaving the property in a condition that differs significantly from the entry report, less fair wear and tear.</w:t>
      </w:r>
    </w:p>
    <w:p w14:paraId="689F1CDA" w14:textId="77777777" w:rsidR="002B160B" w:rsidRDefault="002B160B">
      <w:pPr>
        <w:pStyle w:val="MdSpace"/>
        <w:spacing w:after="60"/>
      </w:pPr>
    </w:p>
    <w:p w14:paraId="689F1CDB" w14:textId="77777777" w:rsidR="002B160B" w:rsidRDefault="00000000">
      <w:pPr>
        <w:pStyle w:val="MdParagraph"/>
      </w:pPr>
      <w:r>
        <w:t xml:space="preserve">Another issue of concern is the undisclosed business relationship between the tenant and Perry Cooper. We understand the tenant was performing commercial work for the agency during the tenancy. Under the </w:t>
      </w:r>
      <w:r>
        <w:rPr>
          <w:rStyle w:val="MdStrong"/>
        </w:rPr>
        <w:t>Property Agents and Motor Dealers (Real Estate Agency Practice Code of Conduct) Regulation 2001</w:t>
      </w:r>
      <w:r>
        <w:t>, a property agent has a duty to disclose any conflict of interest to their client (the property owner). This was not done. This undisclosed conflict may help explain the previous agent's failure to act on our instructions or issue breach notices when significant issues were raised during the tenancy.</w:t>
      </w:r>
    </w:p>
    <w:p w14:paraId="689F1CDC" w14:textId="77777777" w:rsidR="002B160B" w:rsidRDefault="002B160B">
      <w:pPr>
        <w:pStyle w:val="MdSpace"/>
        <w:spacing w:after="60"/>
      </w:pPr>
    </w:p>
    <w:p w14:paraId="689F1CDD" w14:textId="77777777" w:rsidR="002B160B" w:rsidRDefault="00000000">
      <w:pPr>
        <w:pStyle w:val="MdParagraph"/>
      </w:pPr>
      <w:r>
        <w:t xml:space="preserve">For your information, I have made initial contact with our insurance company. They advised that they </w:t>
      </w:r>
      <w:proofErr w:type="gramStart"/>
      <w:r>
        <w:t>would require</w:t>
      </w:r>
      <w:proofErr w:type="gramEnd"/>
      <w:r>
        <w:t xml:space="preserve"> substantial information from the agency if a claim </w:t>
      </w:r>
      <w:proofErr w:type="gramStart"/>
      <w:r>
        <w:t>is</w:t>
      </w:r>
      <w:proofErr w:type="gramEnd"/>
      <w:r>
        <w:t xml:space="preserve"> lodged. I have not yet initiated a formal claim pending the outcome of this process.</w:t>
      </w:r>
    </w:p>
    <w:p w14:paraId="689F1CDE" w14:textId="77777777" w:rsidR="002B160B" w:rsidRDefault="002B160B">
      <w:pPr>
        <w:pStyle w:val="MdSpace"/>
        <w:spacing w:after="60"/>
      </w:pPr>
    </w:p>
    <w:p w14:paraId="689F1CDF" w14:textId="77777777" w:rsidR="002B160B" w:rsidRDefault="00000000">
      <w:pPr>
        <w:pStyle w:val="MdHeading3"/>
      </w:pPr>
      <w:r>
        <w:t>1. Paintwork</w:t>
      </w:r>
    </w:p>
    <w:p w14:paraId="689F1CE0" w14:textId="77777777" w:rsidR="002B160B" w:rsidRDefault="00000000">
      <w:pPr>
        <w:pStyle w:val="MdParagraph"/>
      </w:pPr>
      <w:r>
        <w:t>While some patchwork was present prior to tenancy, the July 2025 routine inspection documented that the tenants had attached a large, heavy mirror to the VJ panelling in the entryway without approval. They were advised at that time that any resulting damage would need to be rectified upon exit. The exit report now documents patched marks where this mirror was hung.</w:t>
      </w:r>
    </w:p>
    <w:p w14:paraId="689F1CE1" w14:textId="77777777" w:rsidR="002B160B" w:rsidRDefault="002B160B">
      <w:pPr>
        <w:pStyle w:val="MdSpace"/>
        <w:spacing w:after="60"/>
      </w:pPr>
    </w:p>
    <w:p w14:paraId="689F1CE2" w14:textId="77777777" w:rsidR="002B160B" w:rsidRDefault="00000000">
      <w:pPr>
        <w:pStyle w:val="MdParagraph"/>
      </w:pPr>
      <w:r>
        <w:t>In the garage, a new piece of timber was installed and screwed into the wall. Additionally, the TV bracket was removed from the wall in the master bedroom, causing damage.</w:t>
      </w:r>
    </w:p>
    <w:p w14:paraId="689F1CE3" w14:textId="77777777" w:rsidR="002B160B" w:rsidRDefault="002B160B">
      <w:pPr>
        <w:pStyle w:val="MdSpace"/>
        <w:spacing w:after="60"/>
      </w:pPr>
    </w:p>
    <w:p w14:paraId="689F1CE4" w14:textId="77777777" w:rsidR="002B160B" w:rsidRDefault="00000000">
      <w:pPr>
        <w:pStyle w:val="MdParagraph"/>
      </w:pPr>
      <w:r>
        <w:t xml:space="preserve">Under </w:t>
      </w:r>
      <w:r>
        <w:rPr>
          <w:rStyle w:val="MdStrong"/>
        </w:rPr>
        <w:t xml:space="preserve">s. 188(4) of the </w:t>
      </w:r>
      <w:r>
        <w:rPr>
          <w:rStyle w:val="MdEm"/>
          <w:b/>
          <w:bCs/>
        </w:rPr>
        <w:t>Residential Tenancies and Rooming Accommodation Act 2008</w:t>
      </w:r>
      <w:r>
        <w:rPr>
          <w:rStyle w:val="MdStrong"/>
        </w:rPr>
        <w:t xml:space="preserve"> (Qld)</w:t>
      </w:r>
      <w:r>
        <w:t xml:space="preserve">, a tenant must leave the premises substantially in the same condition as at the start of the tenancy, allowing only for fair wear and tear. The RTA guidelines clarify that new or mismatched painting or patching is not considered fair wear and tear. The new patches are a </w:t>
      </w:r>
      <w:r>
        <w:lastRenderedPageBreak/>
        <w:t>direct result of the tenant's unauthorized actions and have not been finished to the original standard.</w:t>
      </w:r>
    </w:p>
    <w:p w14:paraId="689F1CE5" w14:textId="77777777" w:rsidR="002B160B" w:rsidRDefault="002B160B">
      <w:pPr>
        <w:pStyle w:val="MdSpace"/>
        <w:spacing w:after="60"/>
      </w:pPr>
    </w:p>
    <w:p w14:paraId="689F1CE6" w14:textId="77777777" w:rsidR="002B160B" w:rsidRDefault="00000000">
      <w:pPr>
        <w:pStyle w:val="MdListItem"/>
        <w:numPr>
          <w:ilvl w:val="0"/>
          <w:numId w:val="2"/>
        </w:numPr>
      </w:pPr>
      <w:r>
        <w:rPr>
          <w:rStyle w:val="MdStrong"/>
        </w:rPr>
        <w:t>Entry Report Evidence:</w:t>
      </w:r>
      <w:r>
        <w:t xml:space="preserve"> Images 3 (hallway), 32-36 (garage), 302 (master).</w:t>
      </w:r>
    </w:p>
    <w:p w14:paraId="689F1CE7" w14:textId="77777777" w:rsidR="002B160B" w:rsidRDefault="00000000">
      <w:pPr>
        <w:pStyle w:val="MdListItem"/>
        <w:numPr>
          <w:ilvl w:val="0"/>
          <w:numId w:val="2"/>
        </w:numPr>
      </w:pPr>
      <w:r>
        <w:rPr>
          <w:rStyle w:val="MdStrong"/>
        </w:rPr>
        <w:t>Exit Report Evidence:</w:t>
      </w:r>
      <w:r>
        <w:t xml:space="preserve"> Page 10 (hallway), Page 70 (garage), Page 34 (master).</w:t>
      </w:r>
    </w:p>
    <w:p w14:paraId="689F1CE8" w14:textId="77777777" w:rsidR="002B160B" w:rsidRDefault="00000000">
      <w:pPr>
        <w:pStyle w:val="MdListItem"/>
        <w:numPr>
          <w:ilvl w:val="0"/>
          <w:numId w:val="2"/>
        </w:numPr>
      </w:pPr>
      <w:r>
        <w:rPr>
          <w:rStyle w:val="MdStrong"/>
        </w:rPr>
        <w:t>Supporting Evidence:</w:t>
      </w:r>
      <w:r>
        <w:t xml:space="preserve"> July 2025 Inspection (Photo 3 shows mirror; Photo 64 shows extra timber in garage).</w:t>
      </w:r>
    </w:p>
    <w:p w14:paraId="689F1CE9" w14:textId="77777777" w:rsidR="002B160B" w:rsidRDefault="002B160B">
      <w:pPr>
        <w:pStyle w:val="MdSpace"/>
        <w:spacing w:after="60"/>
      </w:pPr>
    </w:p>
    <w:p w14:paraId="689F1CEA" w14:textId="77777777" w:rsidR="002B160B" w:rsidRDefault="00000000">
      <w:pPr>
        <w:pStyle w:val="MdHeading3"/>
      </w:pPr>
      <w:r>
        <w:t>2. Exterior Timber Cladding</w:t>
      </w:r>
    </w:p>
    <w:p w14:paraId="689F1CEB" w14:textId="77777777" w:rsidR="002B160B" w:rsidRDefault="00000000">
      <w:pPr>
        <w:pStyle w:val="MdParagraph"/>
      </w:pPr>
      <w:r>
        <w:t>We acknowledge that we did not proceed with formal requests for cladding maintenance, due to the tenant's established pattern of refusing or obstructing access for other necessary work.</w:t>
      </w:r>
    </w:p>
    <w:p w14:paraId="689F1CEC" w14:textId="77777777" w:rsidR="002B160B" w:rsidRDefault="002B160B">
      <w:pPr>
        <w:pStyle w:val="MdSpace"/>
        <w:spacing w:after="60"/>
      </w:pPr>
    </w:p>
    <w:p w14:paraId="689F1CED" w14:textId="77777777" w:rsidR="002B160B" w:rsidRDefault="00000000">
      <w:pPr>
        <w:pStyle w:val="MdParagraph"/>
      </w:pPr>
      <w:r>
        <w:t xml:space="preserve">Throughout the tenancy, attempts to arrange access for other maintenance (such as tree trimming and lawn care services) were repeatedly met with the tenant being unavailable, citing illness, outright refusing entry, or telling other trades that they would not allow access for certain jobs. This pattern of obstruction became so persistent that </w:t>
      </w:r>
      <w:proofErr w:type="spellStart"/>
      <w:r>
        <w:t>Housemark</w:t>
      </w:r>
      <w:proofErr w:type="spellEnd"/>
      <w:r>
        <w:t xml:space="preserve"> issued breach notices for failure to provide access.</w:t>
      </w:r>
    </w:p>
    <w:p w14:paraId="689F1CEE" w14:textId="77777777" w:rsidR="002B160B" w:rsidRDefault="002B160B">
      <w:pPr>
        <w:pStyle w:val="MdSpace"/>
        <w:spacing w:after="60"/>
      </w:pPr>
    </w:p>
    <w:p w14:paraId="689F1CEF" w14:textId="77777777" w:rsidR="002B160B" w:rsidRDefault="00000000">
      <w:pPr>
        <w:pStyle w:val="MdParagraph"/>
      </w:pPr>
      <w:r>
        <w:t>Given this documented history of access refusal, we determined that attempting to arrange cladding maintenance would be futile. The tenant's actions directly prevented us from addressing the cladding deterioration in a timely manner.</w:t>
      </w:r>
    </w:p>
    <w:p w14:paraId="689F1CF0" w14:textId="77777777" w:rsidR="002B160B" w:rsidRDefault="002B160B">
      <w:pPr>
        <w:pStyle w:val="MdSpace"/>
        <w:spacing w:after="60"/>
      </w:pPr>
    </w:p>
    <w:p w14:paraId="689F1CF1" w14:textId="77777777" w:rsidR="002B160B" w:rsidRDefault="00000000">
      <w:pPr>
        <w:pStyle w:val="MdParagraph"/>
      </w:pPr>
      <w:r>
        <w:t xml:space="preserve">Under </w:t>
      </w:r>
      <w:r>
        <w:rPr>
          <w:rStyle w:val="MdStrong"/>
        </w:rPr>
        <w:t xml:space="preserve">Part 3 (ss. 192-201) of the </w:t>
      </w:r>
      <w:r>
        <w:rPr>
          <w:rStyle w:val="MdEm"/>
          <w:b/>
          <w:bCs/>
        </w:rPr>
        <w:t>Residential Tenancies and Rooming Accommodation Act 2008</w:t>
      </w:r>
      <w:r>
        <w:rPr>
          <w:rStyle w:val="MdStrong"/>
        </w:rPr>
        <w:t xml:space="preserve"> (Qld)</w:t>
      </w:r>
      <w:r>
        <w:t>, tenants have a statutory duty to allow the lessor reasonable access for maintenance. The tenant's refusal to provide access directly contributed to the accelerated deterioration of the cladding. A tenant cannot prevent necessary maintenance and then claim the resulting damage is the owner's responsibility.</w:t>
      </w:r>
    </w:p>
    <w:p w14:paraId="689F1CF2" w14:textId="77777777" w:rsidR="002B160B" w:rsidRDefault="002B160B">
      <w:pPr>
        <w:pStyle w:val="MdSpace"/>
        <w:spacing w:after="60"/>
      </w:pPr>
    </w:p>
    <w:p w14:paraId="689F1CF3" w14:textId="77777777" w:rsidR="002B160B" w:rsidRDefault="00000000">
      <w:pPr>
        <w:pStyle w:val="MdListItem"/>
        <w:numPr>
          <w:ilvl w:val="0"/>
          <w:numId w:val="2"/>
        </w:numPr>
      </w:pPr>
      <w:r>
        <w:rPr>
          <w:rStyle w:val="MdStrong"/>
        </w:rPr>
        <w:t>Entry Report Evidence:</w:t>
      </w:r>
      <w:r>
        <w:t xml:space="preserve"> Images 4, 491, 492 (baseline condition).</w:t>
      </w:r>
    </w:p>
    <w:p w14:paraId="689F1CF4" w14:textId="77777777" w:rsidR="002B160B" w:rsidRDefault="00000000">
      <w:pPr>
        <w:pStyle w:val="MdListItem"/>
        <w:numPr>
          <w:ilvl w:val="0"/>
          <w:numId w:val="2"/>
        </w:numPr>
      </w:pPr>
      <w:r>
        <w:rPr>
          <w:rStyle w:val="MdStrong"/>
        </w:rPr>
        <w:t>Exit Report Evidence:</w:t>
      </w:r>
      <w:r>
        <w:t xml:space="preserve"> Pages 10 (Photos 4-8 showing deterioration).</w:t>
      </w:r>
    </w:p>
    <w:p w14:paraId="689F1CF5" w14:textId="77777777" w:rsidR="002B160B" w:rsidRDefault="00000000">
      <w:pPr>
        <w:pStyle w:val="MdListItem"/>
        <w:numPr>
          <w:ilvl w:val="0"/>
          <w:numId w:val="2"/>
        </w:numPr>
      </w:pPr>
      <w:r>
        <w:rPr>
          <w:rStyle w:val="MdStrong"/>
        </w:rPr>
        <w:t>Supporting Evidence:</w:t>
      </w:r>
      <w:r>
        <w:t xml:space="preserve"> Breach notices issued by </w:t>
      </w:r>
      <w:proofErr w:type="spellStart"/>
      <w:r>
        <w:t>Housemark</w:t>
      </w:r>
      <w:proofErr w:type="spellEnd"/>
      <w:r>
        <w:t xml:space="preserve"> for failure to provide access.</w:t>
      </w:r>
    </w:p>
    <w:p w14:paraId="689F1CF6" w14:textId="77777777" w:rsidR="002B160B" w:rsidRDefault="002B160B">
      <w:pPr>
        <w:pStyle w:val="MdSpace"/>
        <w:spacing w:after="60"/>
      </w:pPr>
    </w:p>
    <w:p w14:paraId="689F1CF7" w14:textId="77777777" w:rsidR="002B160B" w:rsidRDefault="00000000">
      <w:pPr>
        <w:pStyle w:val="MdHeading3"/>
      </w:pPr>
      <w:r>
        <w:t>3. Rear Deck</w:t>
      </w:r>
    </w:p>
    <w:p w14:paraId="689F1CF8" w14:textId="77777777" w:rsidR="002B160B" w:rsidRDefault="00000000">
      <w:pPr>
        <w:pStyle w:val="MdParagraph"/>
      </w:pPr>
      <w:r>
        <w:t xml:space="preserve">The tenant's claim that the deck required repainting prior to the tenancy is incorrect. The deck was waterproofed and repainted only days before the tenancy commenced, a fact clearly viewable in the entry report photos where the deck is being put back together. The exit report photos show areas where this new paint and waterproof coating have been breached. This damage is beyond fair wear and tear as defined by </w:t>
      </w:r>
      <w:r>
        <w:rPr>
          <w:rStyle w:val="MdStrong"/>
        </w:rPr>
        <w:t>s. 188(4) of the RTRA Act 2008</w:t>
      </w:r>
      <w:r>
        <w:t>.</w:t>
      </w:r>
    </w:p>
    <w:p w14:paraId="689F1CF9" w14:textId="77777777" w:rsidR="002B160B" w:rsidRDefault="002B160B">
      <w:pPr>
        <w:pStyle w:val="MdSpace"/>
        <w:spacing w:after="60"/>
      </w:pPr>
    </w:p>
    <w:p w14:paraId="689F1CFA" w14:textId="77777777" w:rsidR="002B160B" w:rsidRDefault="00000000">
      <w:pPr>
        <w:pStyle w:val="MdListItem"/>
        <w:numPr>
          <w:ilvl w:val="0"/>
          <w:numId w:val="2"/>
        </w:numPr>
      </w:pPr>
      <w:r>
        <w:rPr>
          <w:rStyle w:val="MdStrong"/>
        </w:rPr>
        <w:t>Entry Report Evidence:</w:t>
      </w:r>
      <w:r>
        <w:t xml:space="preserve"> Images 502, 503.</w:t>
      </w:r>
    </w:p>
    <w:p w14:paraId="689F1CFB" w14:textId="77777777" w:rsidR="002B160B" w:rsidRDefault="00000000">
      <w:pPr>
        <w:pStyle w:val="MdListItem"/>
        <w:numPr>
          <w:ilvl w:val="0"/>
          <w:numId w:val="2"/>
        </w:numPr>
      </w:pPr>
      <w:r>
        <w:rPr>
          <w:rStyle w:val="MdStrong"/>
        </w:rPr>
        <w:t>Exit Report Evidence:</w:t>
      </w:r>
      <w:r>
        <w:t xml:space="preserve"> Pages 64-65.</w:t>
      </w:r>
    </w:p>
    <w:p w14:paraId="689F1CFC" w14:textId="77777777" w:rsidR="002B160B" w:rsidRDefault="002B160B">
      <w:pPr>
        <w:pStyle w:val="MdSpace"/>
        <w:spacing w:after="60"/>
      </w:pPr>
    </w:p>
    <w:p w14:paraId="689F1CFD" w14:textId="77777777" w:rsidR="002B160B" w:rsidRDefault="00000000">
      <w:pPr>
        <w:pStyle w:val="MdHeading3"/>
      </w:pPr>
      <w:r>
        <w:lastRenderedPageBreak/>
        <w:t>4. Flooring</w:t>
      </w:r>
    </w:p>
    <w:p w14:paraId="689F1CFE" w14:textId="77777777" w:rsidR="002B160B" w:rsidRDefault="00000000">
      <w:pPr>
        <w:pStyle w:val="MdParagraph"/>
      </w:pPr>
      <w:r>
        <w:t>The entry report documents minor, pre-existing scratches at the entrance. The exit report, however, shows photos of extensive, deep scratches that are inconsistent with these minor marks. The exit report specifically attributes the damage to "dog claws or dragged furniture," indicating a severity and pattern of damage that is not consistent with normal residential use.</w:t>
      </w:r>
    </w:p>
    <w:p w14:paraId="689F1CFF" w14:textId="77777777" w:rsidR="002B160B" w:rsidRDefault="002B160B">
      <w:pPr>
        <w:pStyle w:val="MdSpace"/>
        <w:spacing w:after="60"/>
      </w:pPr>
    </w:p>
    <w:p w14:paraId="689F1D00" w14:textId="77777777" w:rsidR="002B160B" w:rsidRDefault="00000000">
      <w:pPr>
        <w:pStyle w:val="MdListItem"/>
        <w:numPr>
          <w:ilvl w:val="0"/>
          <w:numId w:val="2"/>
        </w:numPr>
      </w:pPr>
      <w:r>
        <w:rPr>
          <w:rStyle w:val="MdStrong"/>
        </w:rPr>
        <w:t>Entry Report Evidence:</w:t>
      </w:r>
      <w:r>
        <w:t xml:space="preserve"> Images 11-13.</w:t>
      </w:r>
    </w:p>
    <w:p w14:paraId="689F1D01" w14:textId="77777777" w:rsidR="002B160B" w:rsidRDefault="00000000">
      <w:pPr>
        <w:pStyle w:val="MdListItem"/>
        <w:numPr>
          <w:ilvl w:val="0"/>
          <w:numId w:val="2"/>
        </w:numPr>
      </w:pPr>
      <w:r>
        <w:rPr>
          <w:rStyle w:val="MdStrong"/>
        </w:rPr>
        <w:t>Exit Report Evidence:</w:t>
      </w:r>
      <w:r>
        <w:t xml:space="preserve"> Page 11 (16 photos).</w:t>
      </w:r>
    </w:p>
    <w:p w14:paraId="689F1D02" w14:textId="77777777" w:rsidR="002B160B" w:rsidRDefault="002B160B">
      <w:pPr>
        <w:pStyle w:val="MdSpace"/>
        <w:spacing w:after="60"/>
      </w:pPr>
    </w:p>
    <w:p w14:paraId="689F1D03" w14:textId="77777777" w:rsidR="002B160B" w:rsidRDefault="00000000">
      <w:pPr>
        <w:pStyle w:val="MdHeading3"/>
      </w:pPr>
      <w:r>
        <w:t>5. Carpet / Floor Discolouration</w:t>
      </w:r>
    </w:p>
    <w:p w14:paraId="689F1D04" w14:textId="77777777" w:rsidR="002B160B" w:rsidRDefault="00000000">
      <w:pPr>
        <w:pStyle w:val="MdParagraph"/>
      </w:pPr>
      <w:r>
        <w:t>The July 2025 routine inspection documented that the blinds had been removed from multiple rooms without approval. The RTA’s fair wear and tear guidance explicitly states that UV fading is only considered reasonable when blinds or coverings are used appropriately. The tenant's unauthorized removal of the blinds directly caused accelerated UV exposure and discolouration, which falls outside the definition of fair wear and tear.</w:t>
      </w:r>
    </w:p>
    <w:p w14:paraId="689F1D05" w14:textId="77777777" w:rsidR="002B160B" w:rsidRDefault="002B160B">
      <w:pPr>
        <w:pStyle w:val="MdSpace"/>
        <w:spacing w:after="60"/>
      </w:pPr>
    </w:p>
    <w:p w14:paraId="689F1D06" w14:textId="77777777" w:rsidR="002B160B" w:rsidRDefault="00000000">
      <w:pPr>
        <w:pStyle w:val="MdListItem"/>
        <w:numPr>
          <w:ilvl w:val="0"/>
          <w:numId w:val="2"/>
        </w:numPr>
      </w:pPr>
      <w:r>
        <w:rPr>
          <w:rStyle w:val="MdStrong"/>
        </w:rPr>
        <w:t>Entry Report Evidence:</w:t>
      </w:r>
      <w:r>
        <w:t xml:space="preserve"> Images 122, 142, 307, 308.</w:t>
      </w:r>
    </w:p>
    <w:p w14:paraId="689F1D07" w14:textId="77777777" w:rsidR="002B160B" w:rsidRDefault="00000000">
      <w:pPr>
        <w:pStyle w:val="MdListItem"/>
        <w:numPr>
          <w:ilvl w:val="0"/>
          <w:numId w:val="2"/>
        </w:numPr>
      </w:pPr>
      <w:r>
        <w:rPr>
          <w:rStyle w:val="MdStrong"/>
        </w:rPr>
        <w:t>Exit Report Evidence:</w:t>
      </w:r>
      <w:r>
        <w:t xml:space="preserve"> Page 14 (3 photos, lounge room), Page 36 (2 photos, bedroom).</w:t>
      </w:r>
    </w:p>
    <w:p w14:paraId="689F1D08" w14:textId="77777777" w:rsidR="002B160B" w:rsidRDefault="00000000">
      <w:pPr>
        <w:pStyle w:val="MdListItem"/>
        <w:numPr>
          <w:ilvl w:val="0"/>
          <w:numId w:val="2"/>
        </w:numPr>
      </w:pPr>
      <w:r>
        <w:rPr>
          <w:rStyle w:val="MdStrong"/>
        </w:rPr>
        <w:t>Supporting Evidence:</w:t>
      </w:r>
      <w:r>
        <w:t xml:space="preserve"> July 2025 Inspection (Photos 18, 31, 32).</w:t>
      </w:r>
    </w:p>
    <w:p w14:paraId="689F1D09" w14:textId="77777777" w:rsidR="002B160B" w:rsidRDefault="002B160B">
      <w:pPr>
        <w:pStyle w:val="MdSpace"/>
        <w:spacing w:after="60"/>
      </w:pPr>
    </w:p>
    <w:p w14:paraId="689F1D0A" w14:textId="77777777" w:rsidR="002B160B" w:rsidRDefault="00000000">
      <w:pPr>
        <w:pStyle w:val="MdHeading3"/>
      </w:pPr>
      <w:r>
        <w:t>6. Sinks, Plumbing, and Benchtops</w:t>
      </w:r>
    </w:p>
    <w:p w14:paraId="689F1D0B" w14:textId="77777777" w:rsidR="002B160B" w:rsidRDefault="00000000">
      <w:pPr>
        <w:pStyle w:val="MdParagraph"/>
      </w:pPr>
      <w:r>
        <w:t xml:space="preserve">The tenant has acknowledged responsibility for the unreported kitchen tap leak, which arose after their removal of an unauthorized under-sink water filter. This has now caused the cabinetry to swell from water damage. While the entry report documented the sinks as requiring only routine cleaning that was still ongoing, the exit report shows significant new staining to all three sinks and chips to the benchtops that were not present at entry. This constitutes a failure to maintain the premises in a clean condition as required by </w:t>
      </w:r>
      <w:r>
        <w:rPr>
          <w:rStyle w:val="MdStrong"/>
        </w:rPr>
        <w:t>s. 188(2) of the RTRA Act 2008</w:t>
      </w:r>
      <w:r>
        <w:t>.</w:t>
      </w:r>
    </w:p>
    <w:p w14:paraId="689F1D0C" w14:textId="77777777" w:rsidR="002B160B" w:rsidRDefault="002B160B">
      <w:pPr>
        <w:pStyle w:val="MdSpace"/>
        <w:spacing w:after="60"/>
      </w:pPr>
    </w:p>
    <w:p w14:paraId="689F1D0D" w14:textId="77777777" w:rsidR="002B160B" w:rsidRDefault="00000000">
      <w:pPr>
        <w:pStyle w:val="MdListItem"/>
        <w:numPr>
          <w:ilvl w:val="0"/>
          <w:numId w:val="2"/>
        </w:numPr>
      </w:pPr>
      <w:r>
        <w:rPr>
          <w:rStyle w:val="MdStrong"/>
        </w:rPr>
        <w:t>Entry Report Evidence:</w:t>
      </w:r>
      <w:r>
        <w:t xml:space="preserve"> Images 50-53, 239-251, 292-296.</w:t>
      </w:r>
    </w:p>
    <w:p w14:paraId="689F1D0E" w14:textId="77777777" w:rsidR="002B160B" w:rsidRDefault="00000000">
      <w:pPr>
        <w:pStyle w:val="MdListItem"/>
        <w:numPr>
          <w:ilvl w:val="0"/>
          <w:numId w:val="2"/>
        </w:numPr>
      </w:pPr>
      <w:r>
        <w:rPr>
          <w:rStyle w:val="MdStrong"/>
        </w:rPr>
        <w:t>Exit Report Evidence:</w:t>
      </w:r>
      <w:r>
        <w:t xml:space="preserve"> Pages 21-26, 57.</w:t>
      </w:r>
    </w:p>
    <w:p w14:paraId="689F1D0F" w14:textId="77777777" w:rsidR="002B160B" w:rsidRDefault="00000000">
      <w:pPr>
        <w:pStyle w:val="MdListItem"/>
        <w:numPr>
          <w:ilvl w:val="0"/>
          <w:numId w:val="2"/>
        </w:numPr>
      </w:pPr>
      <w:r>
        <w:rPr>
          <w:rStyle w:val="MdStrong"/>
        </w:rPr>
        <w:t>Supporting Evidence:</w:t>
      </w:r>
      <w:r>
        <w:t xml:space="preserve"> July 2025 Inspection (Photos 6, 22, 28).</w:t>
      </w:r>
    </w:p>
    <w:p w14:paraId="689F1D10" w14:textId="77777777" w:rsidR="002B160B" w:rsidRDefault="002B160B">
      <w:pPr>
        <w:pStyle w:val="MdSpace"/>
        <w:spacing w:after="60"/>
      </w:pPr>
    </w:p>
    <w:p w14:paraId="689F1D11" w14:textId="77777777" w:rsidR="002B160B" w:rsidRDefault="00000000">
      <w:pPr>
        <w:pStyle w:val="MdHeading3"/>
      </w:pPr>
      <w:r>
        <w:t>7. Glass Sliding Door Scratches</w:t>
      </w:r>
    </w:p>
    <w:p w14:paraId="689F1D12" w14:textId="77777777" w:rsidR="002B160B" w:rsidRDefault="00000000">
      <w:pPr>
        <w:pStyle w:val="MdParagraph"/>
      </w:pPr>
      <w:r>
        <w:t xml:space="preserve">The tenant has stated that 'Brendan acknowledged some scratches,' but this discussion referred to the screen doors that had the mesh replaced, not the glass sliding doors. The entry report makes no mention of scratches to the glass doors, whereas the exit report </w:t>
      </w:r>
      <w:proofErr w:type="gramStart"/>
      <w:r>
        <w:t>states</w:t>
      </w:r>
      <w:proofErr w:type="gramEnd"/>
      <w:r>
        <w:t xml:space="preserve"> "Scratches to glass sliding doors" and on page 30 clearly shows new scratching to the glass.</w:t>
      </w:r>
    </w:p>
    <w:p w14:paraId="689F1D13" w14:textId="77777777" w:rsidR="002B160B" w:rsidRDefault="002B160B">
      <w:pPr>
        <w:pStyle w:val="MdSpace"/>
        <w:spacing w:after="60"/>
      </w:pPr>
    </w:p>
    <w:p w14:paraId="689F1D14" w14:textId="77777777" w:rsidR="002B160B" w:rsidRDefault="00000000">
      <w:pPr>
        <w:pStyle w:val="MdListItem"/>
        <w:numPr>
          <w:ilvl w:val="0"/>
          <w:numId w:val="2"/>
        </w:numPr>
      </w:pPr>
      <w:r>
        <w:rPr>
          <w:rStyle w:val="MdStrong"/>
        </w:rPr>
        <w:t>Entry Report Evidence:</w:t>
      </w:r>
      <w:r>
        <w:t xml:space="preserve"> Images 133, 134.</w:t>
      </w:r>
    </w:p>
    <w:p w14:paraId="689F1D15" w14:textId="77777777" w:rsidR="002B160B" w:rsidRDefault="00000000">
      <w:pPr>
        <w:pStyle w:val="MdListItem"/>
        <w:numPr>
          <w:ilvl w:val="0"/>
          <w:numId w:val="2"/>
        </w:numPr>
      </w:pPr>
      <w:r>
        <w:rPr>
          <w:rStyle w:val="MdStrong"/>
        </w:rPr>
        <w:t>Exit Report Evidence:</w:t>
      </w:r>
      <w:r>
        <w:t xml:space="preserve"> Page 30 (8 photos).</w:t>
      </w:r>
    </w:p>
    <w:p w14:paraId="689F1D16" w14:textId="77777777" w:rsidR="002B160B" w:rsidRDefault="002B160B">
      <w:pPr>
        <w:pStyle w:val="MdSpace"/>
        <w:spacing w:after="60"/>
      </w:pPr>
    </w:p>
    <w:p w14:paraId="689F1D17" w14:textId="77777777" w:rsidR="002B160B" w:rsidRDefault="00000000">
      <w:pPr>
        <w:pStyle w:val="MdHeading3"/>
      </w:pPr>
      <w:r>
        <w:lastRenderedPageBreak/>
        <w:t>8. Curtain &amp; Venetian Blinds</w:t>
      </w:r>
    </w:p>
    <w:p w14:paraId="689F1D18" w14:textId="77777777" w:rsidR="002B160B" w:rsidRDefault="00000000">
      <w:pPr>
        <w:pStyle w:val="MdParagraph"/>
      </w:pPr>
      <w:r>
        <w:t xml:space="preserve">The tenant’s claim that "There was never a Venetian blind installed in the dining room" is factually incorrect. The Entry Condition Report documents blinds/curtains in both the Lounge Room and Dining Room. The exit report notes that a "White Venetian blind not intact - in garage," </w:t>
      </w:r>
      <w:proofErr w:type="gramStart"/>
      <w:r>
        <w:t>and also</w:t>
      </w:r>
      <w:proofErr w:type="gramEnd"/>
      <w:r>
        <w:t xml:space="preserve"> states the dining room "Curtains - marked in places." The other blinds that were removed have been damaged; the top cover plates are now not installed and missing, and the one in the garage is in an unknown state as to whether it is working or not.</w:t>
      </w:r>
    </w:p>
    <w:p w14:paraId="689F1D19" w14:textId="77777777" w:rsidR="002B160B" w:rsidRDefault="002B160B">
      <w:pPr>
        <w:pStyle w:val="MdSpace"/>
        <w:spacing w:after="60"/>
      </w:pPr>
    </w:p>
    <w:p w14:paraId="689F1D1A" w14:textId="77777777" w:rsidR="002B160B" w:rsidRDefault="00000000">
      <w:pPr>
        <w:pStyle w:val="MdListItem"/>
        <w:numPr>
          <w:ilvl w:val="0"/>
          <w:numId w:val="2"/>
        </w:numPr>
      </w:pPr>
      <w:r>
        <w:rPr>
          <w:rStyle w:val="MdStrong"/>
        </w:rPr>
        <w:t>Entry Report Evidence:</w:t>
      </w:r>
      <w:r>
        <w:t xml:space="preserve"> Media Room (Image 122), Living Room (Image 142, 165), Master (Images 307, 308).</w:t>
      </w:r>
    </w:p>
    <w:p w14:paraId="689F1D1B" w14:textId="77777777" w:rsidR="002B160B" w:rsidRDefault="00000000">
      <w:pPr>
        <w:pStyle w:val="MdListItem"/>
        <w:numPr>
          <w:ilvl w:val="0"/>
          <w:numId w:val="2"/>
        </w:numPr>
      </w:pPr>
      <w:r>
        <w:rPr>
          <w:rStyle w:val="MdStrong"/>
        </w:rPr>
        <w:t>Exit Report Evidence:</w:t>
      </w:r>
      <w:r>
        <w:t xml:space="preserve"> Pages 14, 30-31, 33-34, 70.</w:t>
      </w:r>
    </w:p>
    <w:p w14:paraId="689F1D1C" w14:textId="77777777" w:rsidR="002B160B" w:rsidRDefault="00000000">
      <w:pPr>
        <w:pStyle w:val="MdListItem"/>
        <w:numPr>
          <w:ilvl w:val="0"/>
          <w:numId w:val="2"/>
        </w:numPr>
      </w:pPr>
      <w:r>
        <w:rPr>
          <w:rStyle w:val="MdStrong"/>
        </w:rPr>
        <w:t>Supporting Evidence:</w:t>
      </w:r>
      <w:r>
        <w:t xml:space="preserve"> July 2025 Inspection (Photos 18, 31, 32).</w:t>
      </w:r>
    </w:p>
    <w:p w14:paraId="689F1D1D" w14:textId="77777777" w:rsidR="002B160B" w:rsidRDefault="002B160B">
      <w:pPr>
        <w:pStyle w:val="MdSpace"/>
        <w:spacing w:after="60"/>
      </w:pPr>
    </w:p>
    <w:p w14:paraId="689F1D1E" w14:textId="77777777" w:rsidR="002B160B" w:rsidRDefault="00000000">
      <w:pPr>
        <w:pStyle w:val="MdHeading3"/>
      </w:pPr>
      <w:r>
        <w:t>9. Smoke Alarm</w:t>
      </w:r>
    </w:p>
    <w:p w14:paraId="689F1D1F" w14:textId="77777777" w:rsidR="002B160B" w:rsidRDefault="00000000">
      <w:pPr>
        <w:pStyle w:val="MdParagraph"/>
      </w:pPr>
      <w:r>
        <w:t xml:space="preserve">There is no record of any fault report regarding the smoke alarm during the tenancy in the hallway, and a self-test report has been added showing that the unit is in good working order and there should be no reason for it to be removed. Under </w:t>
      </w:r>
      <w:r>
        <w:rPr>
          <w:rStyle w:val="MdStrong"/>
        </w:rPr>
        <w:t>s. 217 of the RTRA Act 2008</w:t>
      </w:r>
      <w:r>
        <w:t>, tenants have a duty to notify the lessor of any damage or malfunction. The kitchen smoke alarm, while not documented in the exit report, was also found to be damaged with a hole in it when we reconnected and inspected all alarms after the tenancy ended.</w:t>
      </w:r>
    </w:p>
    <w:p w14:paraId="689F1D20" w14:textId="77777777" w:rsidR="002B160B" w:rsidRDefault="002B160B">
      <w:pPr>
        <w:pStyle w:val="MdSpace"/>
        <w:spacing w:after="60"/>
      </w:pPr>
    </w:p>
    <w:p w14:paraId="689F1D21" w14:textId="77777777" w:rsidR="002B160B" w:rsidRDefault="00000000">
      <w:pPr>
        <w:pStyle w:val="MdListItem"/>
        <w:numPr>
          <w:ilvl w:val="0"/>
          <w:numId w:val="2"/>
        </w:numPr>
      </w:pPr>
      <w:r>
        <w:rPr>
          <w:rStyle w:val="MdStrong"/>
        </w:rPr>
        <w:t>Exit Report Evidence:</w:t>
      </w:r>
      <w:r>
        <w:t xml:space="preserve"> Page 73.</w:t>
      </w:r>
    </w:p>
    <w:p w14:paraId="689F1D22" w14:textId="77777777" w:rsidR="002B160B" w:rsidRDefault="002B160B">
      <w:pPr>
        <w:pStyle w:val="MdSpace"/>
        <w:spacing w:after="60"/>
      </w:pPr>
    </w:p>
    <w:p w14:paraId="689F1D23" w14:textId="77777777" w:rsidR="002B160B" w:rsidRDefault="00000000">
      <w:pPr>
        <w:pStyle w:val="MdHeading3"/>
      </w:pPr>
      <w:r>
        <w:t>10. Lawn &amp; Garden Condition</w:t>
      </w:r>
    </w:p>
    <w:p w14:paraId="689F1D24" w14:textId="77777777" w:rsidR="002B160B" w:rsidRDefault="00000000">
      <w:pPr>
        <w:pStyle w:val="MdParagraph"/>
      </w:pPr>
      <w:r>
        <w:t xml:space="preserve">While discussions about the lawn service occurred, the agreement was that the lawn’s condition would recover and if not, we would </w:t>
      </w:r>
      <w:proofErr w:type="gramStart"/>
      <w:r>
        <w:t>revert back</w:t>
      </w:r>
      <w:proofErr w:type="gramEnd"/>
      <w:r>
        <w:t>. The exit report documents issues that extend far beyond simple grass deterioration though. The tenant claims to have “installed an automated irrigation system to keep the garden beds thriving," a statement that is directly contradicted by the photographic evidence of dead and patchy grass. More significantly, the presence of dog faeces, widespread weeds, and accumulated leaves represents a clear failure to maintain basic cleanliness and is entirely unrelated to the cancellation of the professional lawn service. Additionally, the tenant refused access to recommence treatment when the lawn continued to deteriorate.</w:t>
      </w:r>
    </w:p>
    <w:p w14:paraId="689F1D25" w14:textId="77777777" w:rsidR="002B160B" w:rsidRDefault="002B160B">
      <w:pPr>
        <w:pStyle w:val="MdSpace"/>
        <w:spacing w:after="60"/>
      </w:pPr>
    </w:p>
    <w:p w14:paraId="689F1D26" w14:textId="77777777" w:rsidR="002B160B" w:rsidRDefault="00000000">
      <w:pPr>
        <w:pStyle w:val="MdParagraph"/>
      </w:pPr>
      <w:r>
        <w:t xml:space="preserve">Under </w:t>
      </w:r>
      <w:r>
        <w:rPr>
          <w:rStyle w:val="MdStrong"/>
        </w:rPr>
        <w:t>s. 188(2) of the RTRA Act 2008</w:t>
      </w:r>
      <w:r>
        <w:t>, tenants have a duty to maintain the premises in a reasonably clean condition. The removal of dog faeces, control of weeds, and clearing of leaves are fundamental tenant maintenance obligations. As well as the lawn service being in the tenancy agreement means that it was disclosed and the tenant was aware before they moved in.</w:t>
      </w:r>
    </w:p>
    <w:p w14:paraId="689F1D27" w14:textId="77777777" w:rsidR="002B160B" w:rsidRDefault="002B160B">
      <w:pPr>
        <w:pStyle w:val="MdSpace"/>
        <w:spacing w:after="60"/>
      </w:pPr>
    </w:p>
    <w:p w14:paraId="689F1D28" w14:textId="77777777" w:rsidR="002B160B" w:rsidRDefault="00000000">
      <w:pPr>
        <w:pStyle w:val="MdListItem"/>
        <w:numPr>
          <w:ilvl w:val="0"/>
          <w:numId w:val="2"/>
        </w:numPr>
      </w:pPr>
      <w:r>
        <w:rPr>
          <w:rStyle w:val="MdStrong"/>
        </w:rPr>
        <w:t>Entry Report Evidence:</w:t>
      </w:r>
      <w:r>
        <w:t xml:space="preserve"> Images 492, 497, 500, 503, 515, 517.</w:t>
      </w:r>
    </w:p>
    <w:p w14:paraId="689F1D29" w14:textId="77777777" w:rsidR="002B160B" w:rsidRDefault="00000000">
      <w:pPr>
        <w:pStyle w:val="MdListItem"/>
        <w:numPr>
          <w:ilvl w:val="0"/>
          <w:numId w:val="2"/>
        </w:numPr>
      </w:pPr>
      <w:r>
        <w:rPr>
          <w:rStyle w:val="MdStrong"/>
        </w:rPr>
        <w:t>Exit Report Evidence:</w:t>
      </w:r>
      <w:r>
        <w:t xml:space="preserve"> Pages 62-64.</w:t>
      </w:r>
    </w:p>
    <w:p w14:paraId="689F1D2A" w14:textId="77777777" w:rsidR="002B160B" w:rsidRDefault="002B160B">
      <w:pPr>
        <w:pStyle w:val="MdSpace"/>
        <w:spacing w:after="60"/>
      </w:pPr>
    </w:p>
    <w:p w14:paraId="689F1D2B" w14:textId="77777777" w:rsidR="002B160B" w:rsidRDefault="00000000">
      <w:pPr>
        <w:pStyle w:val="MdHeading3"/>
      </w:pPr>
      <w:r>
        <w:lastRenderedPageBreak/>
        <w:t>11. Manhole Access</w:t>
      </w:r>
    </w:p>
    <w:p w14:paraId="689F1D2C" w14:textId="77777777" w:rsidR="002B160B" w:rsidRDefault="00000000">
      <w:pPr>
        <w:pStyle w:val="MdParagraph"/>
      </w:pPr>
      <w:r>
        <w:t xml:space="preserve">The tenant, a licensed air-conditioning contractor, is not licensed to perform structural modifications. Under the </w:t>
      </w:r>
      <w:r>
        <w:rPr>
          <w:rStyle w:val="MdStrong"/>
        </w:rPr>
        <w:t>Building Regulation 2021 (Qld)</w:t>
      </w:r>
      <w:r>
        <w:t xml:space="preserve"> and the QBCC licensing framework, modifying ceiling framing requires a builder’s licence or structural certification. This was an unauthorized structural alteration to the property.</w:t>
      </w:r>
    </w:p>
    <w:p w14:paraId="689F1D2D" w14:textId="77777777" w:rsidR="002B160B" w:rsidRDefault="002B160B">
      <w:pPr>
        <w:pStyle w:val="MdSpace"/>
        <w:spacing w:after="60"/>
      </w:pPr>
    </w:p>
    <w:p w14:paraId="689F1D2E" w14:textId="77777777" w:rsidR="002B160B" w:rsidRDefault="00000000">
      <w:pPr>
        <w:pStyle w:val="MdListItem"/>
        <w:numPr>
          <w:ilvl w:val="0"/>
          <w:numId w:val="2"/>
        </w:numPr>
      </w:pPr>
      <w:r>
        <w:rPr>
          <w:rStyle w:val="MdStrong"/>
        </w:rPr>
        <w:t>Exit Report Evidence:</w:t>
      </w:r>
      <w:r>
        <w:t xml:space="preserve"> Page 55.</w:t>
      </w:r>
    </w:p>
    <w:p w14:paraId="689F1D2F" w14:textId="77777777" w:rsidR="002B160B" w:rsidRDefault="00000000">
      <w:pPr>
        <w:pStyle w:val="MdListItem"/>
        <w:numPr>
          <w:ilvl w:val="0"/>
          <w:numId w:val="2"/>
        </w:numPr>
      </w:pPr>
      <w:r>
        <w:rPr>
          <w:rStyle w:val="MdStrong"/>
        </w:rPr>
        <w:t>Supporting Evidence:</w:t>
      </w:r>
      <w:r>
        <w:t xml:space="preserve"> August 2025 Inspection (Page 42).</w:t>
      </w:r>
    </w:p>
    <w:p w14:paraId="689F1D30" w14:textId="77777777" w:rsidR="002B160B" w:rsidRDefault="002B160B">
      <w:pPr>
        <w:pStyle w:val="MdSpace"/>
        <w:spacing w:after="60"/>
      </w:pPr>
    </w:p>
    <w:p w14:paraId="689F1D31" w14:textId="77777777" w:rsidR="002B160B" w:rsidRDefault="00000000">
      <w:pPr>
        <w:pStyle w:val="MdHeading3"/>
      </w:pPr>
      <w:r>
        <w:t>12. Wallpaper – Bedroom 3</w:t>
      </w:r>
    </w:p>
    <w:p w14:paraId="689F1D32" w14:textId="77777777" w:rsidR="002B160B" w:rsidRDefault="00000000">
      <w:pPr>
        <w:pStyle w:val="MdParagraph"/>
      </w:pPr>
      <w:r>
        <w:t>The exit report documents multiple new marks, dents, and chips to the wallpapered wall in Bedroom 3, which the tenant used as an office. These damages are inconsistent with normal residential use and constitute more than fair wear and tear.</w:t>
      </w:r>
    </w:p>
    <w:p w14:paraId="689F1D33" w14:textId="77777777" w:rsidR="002B160B" w:rsidRDefault="002B160B">
      <w:pPr>
        <w:pStyle w:val="MdSpace"/>
        <w:spacing w:after="60"/>
      </w:pPr>
    </w:p>
    <w:p w14:paraId="689F1D34" w14:textId="77777777" w:rsidR="002B160B" w:rsidRDefault="00000000">
      <w:pPr>
        <w:pStyle w:val="MdParagraph"/>
      </w:pPr>
      <w:r>
        <w:t xml:space="preserve">While the entry condition report notes some pre-existing "Pen marks on </w:t>
      </w:r>
      <w:proofErr w:type="gramStart"/>
      <w:r>
        <w:t>wall paper</w:t>
      </w:r>
      <w:proofErr w:type="gramEnd"/>
      <w:r>
        <w:t xml:space="preserve"> and wear to cornice" (Entry Report, images 405-408), the exit report documents significant additional damage, breaching </w:t>
      </w:r>
      <w:r>
        <w:rPr>
          <w:rStyle w:val="MdStrong"/>
        </w:rPr>
        <w:t>s. 188(4) of the RTRA Act 2008</w:t>
      </w:r>
      <w:r>
        <w:t>.</w:t>
      </w:r>
    </w:p>
    <w:p w14:paraId="689F1D35" w14:textId="77777777" w:rsidR="002B160B" w:rsidRDefault="002B160B">
      <w:pPr>
        <w:pStyle w:val="MdSpace"/>
        <w:spacing w:after="60"/>
      </w:pPr>
    </w:p>
    <w:p w14:paraId="689F1D36" w14:textId="77777777" w:rsidR="002B160B" w:rsidRDefault="00000000">
      <w:pPr>
        <w:pStyle w:val="MdListItem"/>
        <w:numPr>
          <w:ilvl w:val="0"/>
          <w:numId w:val="2"/>
        </w:numPr>
      </w:pPr>
      <w:r>
        <w:rPr>
          <w:rStyle w:val="MdStrong"/>
        </w:rPr>
        <w:t>Entry Report Evidence:</w:t>
      </w:r>
      <w:r>
        <w:t xml:space="preserve"> Image 408</w:t>
      </w:r>
    </w:p>
    <w:p w14:paraId="689F1D37" w14:textId="77777777" w:rsidR="002B160B" w:rsidRDefault="00000000">
      <w:pPr>
        <w:pStyle w:val="MdListItem"/>
        <w:numPr>
          <w:ilvl w:val="0"/>
          <w:numId w:val="2"/>
        </w:numPr>
      </w:pPr>
      <w:r>
        <w:rPr>
          <w:rStyle w:val="MdStrong"/>
        </w:rPr>
        <w:t>Exit Report Evidence:</w:t>
      </w:r>
      <w:r>
        <w:t xml:space="preserve"> Page 44.</w:t>
      </w:r>
    </w:p>
    <w:p w14:paraId="689F1D38" w14:textId="77777777" w:rsidR="002B160B" w:rsidRDefault="00000000">
      <w:pPr>
        <w:pStyle w:val="MdListItem"/>
        <w:numPr>
          <w:ilvl w:val="0"/>
          <w:numId w:val="2"/>
        </w:numPr>
      </w:pPr>
      <w:r>
        <w:rPr>
          <w:rStyle w:val="MdStrong"/>
        </w:rPr>
        <w:t>Supporting Evidence:</w:t>
      </w:r>
      <w:r>
        <w:t xml:space="preserve"> July 2025 Inspection (Page 44), August 2025 Inspection (Page 33).</w:t>
      </w:r>
    </w:p>
    <w:p w14:paraId="689F1D39" w14:textId="77777777" w:rsidR="002B160B" w:rsidRDefault="002B160B">
      <w:pPr>
        <w:pStyle w:val="MdSpace"/>
        <w:spacing w:after="60"/>
      </w:pPr>
    </w:p>
    <w:p w14:paraId="689F1D3A" w14:textId="77777777" w:rsidR="002B160B" w:rsidRDefault="00000000">
      <w:pPr>
        <w:pStyle w:val="MdHeading3"/>
      </w:pPr>
      <w:r>
        <w:t>13. General Cleaning and Maintenance</w:t>
      </w:r>
    </w:p>
    <w:p w14:paraId="689F1D3B" w14:textId="77777777" w:rsidR="002B160B" w:rsidRDefault="00000000">
      <w:pPr>
        <w:pStyle w:val="MdParagraph"/>
      </w:pPr>
      <w:r>
        <w:t xml:space="preserve">The exit report documents widespread cleaning failures throughout the property, including dusty blinds in multiple rooms, dirty floors, uncleaned appliances (oven, dishwasher, rangehood), stained toilets, dirty cupboards, and exterior areas requiring pressure washing. Under </w:t>
      </w:r>
      <w:r>
        <w:rPr>
          <w:rStyle w:val="MdStrong"/>
        </w:rPr>
        <w:t>s. 188(2) of the RTRA Act 2008</w:t>
      </w:r>
      <w:r>
        <w:t>, tenants must leave the premises in a reasonably clean condition. The extent of cleaning required suggests the initial cleaning was grossly inadequate. We will be seeking costs for a full professional bond clean, as well as carpet cleaning and pest control as receipts have not yet been provided.</w:t>
      </w:r>
    </w:p>
    <w:p w14:paraId="689F1D3C" w14:textId="77777777" w:rsidR="002B160B" w:rsidRDefault="002B160B">
      <w:pPr>
        <w:pStyle w:val="MdSpace"/>
        <w:spacing w:after="60"/>
      </w:pPr>
    </w:p>
    <w:p w14:paraId="689F1D3D" w14:textId="77777777" w:rsidR="002B160B" w:rsidRDefault="00000000">
      <w:pPr>
        <w:pStyle w:val="MdListItem"/>
        <w:numPr>
          <w:ilvl w:val="0"/>
          <w:numId w:val="2"/>
        </w:numPr>
      </w:pPr>
      <w:r>
        <w:rPr>
          <w:rStyle w:val="MdStrong"/>
        </w:rPr>
        <w:t>Exit Report Evidence:</w:t>
      </w:r>
      <w:r>
        <w:t xml:space="preserve"> Multiple pages documenting cleaning failures throughout the property.</w:t>
      </w:r>
    </w:p>
    <w:p w14:paraId="689F1D3E" w14:textId="77777777" w:rsidR="002B160B" w:rsidRDefault="002B160B">
      <w:pPr>
        <w:pStyle w:val="MdSpace"/>
        <w:spacing w:after="60"/>
      </w:pPr>
    </w:p>
    <w:p w14:paraId="689F1D3F" w14:textId="77777777" w:rsidR="002B160B" w:rsidRDefault="002B160B">
      <w:pPr>
        <w:pStyle w:val="MdHr"/>
        <w:pBdr>
          <w:bottom w:val="single" w:sz="6" w:space="1" w:color="auto"/>
        </w:pBdr>
      </w:pPr>
    </w:p>
    <w:p w14:paraId="689F1D40" w14:textId="77777777" w:rsidR="002B160B" w:rsidRDefault="002B160B">
      <w:pPr>
        <w:pStyle w:val="MdSpace"/>
        <w:spacing w:after="60"/>
      </w:pPr>
    </w:p>
    <w:p w14:paraId="689F1D41" w14:textId="77777777" w:rsidR="002B160B" w:rsidRDefault="00000000">
      <w:pPr>
        <w:pStyle w:val="MdParagraph"/>
      </w:pPr>
      <w:r>
        <w:t xml:space="preserve">The tenant’s assertion that they "consistently went beyond ordinary tenant obligations" is contradicted by the significant evidence presented above. He has also stated that the air conditioning work he did was above normal service maintenance that they requested to do in the tenancy agreement, but he never once asked us for payment. None of this is covered in the provided evidence but should be noted as he has written that he would remove work potentially causing damage to the property. Their tenancy was marked by multiple instances </w:t>
      </w:r>
      <w:r>
        <w:lastRenderedPageBreak/>
        <w:t>of unauthorized alterations, failure to report damage, and a refusal to allow access for necessary maintenance, which directly led to deterioration of the property. The claim that we the owners are attempting to fund a "full refurbishment" is baseless; we are simply seeking to have the property returned in the condition it was provided, less fair wear and tear, as is our right under the law.</w:t>
      </w:r>
    </w:p>
    <w:sectPr w:rsidR="002B160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F669F"/>
    <w:multiLevelType w:val="hybridMultilevel"/>
    <w:tmpl w:val="40A8FEC6"/>
    <w:lvl w:ilvl="0" w:tplc="A8AC417E">
      <w:start w:val="1"/>
      <w:numFmt w:val="bullet"/>
      <w:lvlText w:val="•"/>
      <w:lvlJc w:val="left"/>
      <w:pPr>
        <w:ind w:left="720" w:hanging="360"/>
      </w:pPr>
    </w:lvl>
    <w:lvl w:ilvl="1" w:tplc="E528BF2C">
      <w:start w:val="1"/>
      <w:numFmt w:val="bullet"/>
      <w:lvlText w:val="◦"/>
      <w:lvlJc w:val="left"/>
      <w:pPr>
        <w:ind w:left="1440" w:hanging="360"/>
      </w:pPr>
    </w:lvl>
    <w:lvl w:ilvl="2" w:tplc="835C0064">
      <w:start w:val="1"/>
      <w:numFmt w:val="bullet"/>
      <w:lvlText w:val="•"/>
      <w:lvlJc w:val="left"/>
      <w:pPr>
        <w:ind w:left="2160" w:hanging="360"/>
      </w:pPr>
    </w:lvl>
    <w:lvl w:ilvl="3" w:tplc="5AAC0482">
      <w:start w:val="1"/>
      <w:numFmt w:val="bullet"/>
      <w:lvlText w:val="◦"/>
      <w:lvlJc w:val="left"/>
      <w:pPr>
        <w:ind w:left="2880" w:hanging="360"/>
      </w:pPr>
    </w:lvl>
    <w:lvl w:ilvl="4" w:tplc="51ACCD50">
      <w:start w:val="1"/>
      <w:numFmt w:val="bullet"/>
      <w:lvlText w:val="•"/>
      <w:lvlJc w:val="left"/>
      <w:pPr>
        <w:ind w:left="3600" w:hanging="360"/>
      </w:pPr>
    </w:lvl>
    <w:lvl w:ilvl="5" w:tplc="EEE6A99E">
      <w:start w:val="1"/>
      <w:numFmt w:val="bullet"/>
      <w:lvlText w:val="◦"/>
      <w:lvlJc w:val="left"/>
      <w:pPr>
        <w:ind w:left="4320" w:hanging="360"/>
      </w:pPr>
    </w:lvl>
    <w:lvl w:ilvl="6" w:tplc="83BEB0A8">
      <w:start w:val="1"/>
      <w:numFmt w:val="bullet"/>
      <w:lvlText w:val="•"/>
      <w:lvlJc w:val="left"/>
      <w:pPr>
        <w:ind w:left="5040" w:hanging="360"/>
      </w:pPr>
    </w:lvl>
    <w:lvl w:ilvl="7" w:tplc="B28C5B04">
      <w:numFmt w:val="decimal"/>
      <w:lvlText w:val=""/>
      <w:lvlJc w:val="left"/>
    </w:lvl>
    <w:lvl w:ilvl="8" w:tplc="36E2D59C">
      <w:numFmt w:val="decimal"/>
      <w:lvlText w:val=""/>
      <w:lvlJc w:val="left"/>
    </w:lvl>
  </w:abstractNum>
  <w:abstractNum w:abstractNumId="1" w15:restartNumberingAfterBreak="0">
    <w:nsid w:val="3B200756"/>
    <w:multiLevelType w:val="hybridMultilevel"/>
    <w:tmpl w:val="394EE180"/>
    <w:lvl w:ilvl="0" w:tplc="8B62B1F8">
      <w:start w:val="1"/>
      <w:numFmt w:val="bullet"/>
      <w:lvlText w:val="●"/>
      <w:lvlJc w:val="left"/>
      <w:pPr>
        <w:ind w:left="720" w:hanging="360"/>
      </w:pPr>
    </w:lvl>
    <w:lvl w:ilvl="1" w:tplc="FBB87E66">
      <w:start w:val="1"/>
      <w:numFmt w:val="bullet"/>
      <w:lvlText w:val="○"/>
      <w:lvlJc w:val="left"/>
      <w:pPr>
        <w:ind w:left="1440" w:hanging="360"/>
      </w:pPr>
    </w:lvl>
    <w:lvl w:ilvl="2" w:tplc="A3D80D10">
      <w:start w:val="1"/>
      <w:numFmt w:val="bullet"/>
      <w:lvlText w:val="■"/>
      <w:lvlJc w:val="left"/>
      <w:pPr>
        <w:ind w:left="2160" w:hanging="360"/>
      </w:pPr>
    </w:lvl>
    <w:lvl w:ilvl="3" w:tplc="6DF25884">
      <w:start w:val="1"/>
      <w:numFmt w:val="bullet"/>
      <w:lvlText w:val="●"/>
      <w:lvlJc w:val="left"/>
      <w:pPr>
        <w:ind w:left="2880" w:hanging="360"/>
      </w:pPr>
    </w:lvl>
    <w:lvl w:ilvl="4" w:tplc="3FBA4F10">
      <w:start w:val="1"/>
      <w:numFmt w:val="bullet"/>
      <w:lvlText w:val="○"/>
      <w:lvlJc w:val="left"/>
      <w:pPr>
        <w:ind w:left="3600" w:hanging="360"/>
      </w:pPr>
    </w:lvl>
    <w:lvl w:ilvl="5" w:tplc="B16269AC">
      <w:start w:val="1"/>
      <w:numFmt w:val="bullet"/>
      <w:lvlText w:val="■"/>
      <w:lvlJc w:val="left"/>
      <w:pPr>
        <w:ind w:left="4320" w:hanging="360"/>
      </w:pPr>
    </w:lvl>
    <w:lvl w:ilvl="6" w:tplc="42AC3AE6">
      <w:start w:val="1"/>
      <w:numFmt w:val="bullet"/>
      <w:lvlText w:val="●"/>
      <w:lvlJc w:val="left"/>
      <w:pPr>
        <w:ind w:left="5040" w:hanging="360"/>
      </w:pPr>
    </w:lvl>
    <w:lvl w:ilvl="7" w:tplc="F81CD5CA">
      <w:start w:val="1"/>
      <w:numFmt w:val="bullet"/>
      <w:lvlText w:val="●"/>
      <w:lvlJc w:val="left"/>
      <w:pPr>
        <w:ind w:left="5760" w:hanging="360"/>
      </w:pPr>
    </w:lvl>
    <w:lvl w:ilvl="8" w:tplc="5AD4DF18">
      <w:start w:val="1"/>
      <w:numFmt w:val="bullet"/>
      <w:lvlText w:val="●"/>
      <w:lvlJc w:val="left"/>
      <w:pPr>
        <w:ind w:left="6480" w:hanging="360"/>
      </w:pPr>
    </w:lvl>
  </w:abstractNum>
  <w:abstractNum w:abstractNumId="2" w15:restartNumberingAfterBreak="0">
    <w:nsid w:val="64CA5B47"/>
    <w:multiLevelType w:val="multilevel"/>
    <w:tmpl w:val="EDB4D74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83579051">
    <w:abstractNumId w:val="1"/>
    <w:lvlOverride w:ilvl="0">
      <w:startOverride w:val="1"/>
    </w:lvlOverride>
  </w:num>
  <w:num w:numId="2" w16cid:durableId="7068062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60B"/>
    <w:rsid w:val="002B160B"/>
    <w:rsid w:val="00B32410"/>
    <w:rsid w:val="00DD2D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F1CD0"/>
  <w15:docId w15:val="{34B81356-4F60-4A2C-B80E-25E2E3DD3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2017</Words>
  <Characters>10819</Characters>
  <Application>Microsoft Office Word</Application>
  <DocSecurity>0</DocSecurity>
  <Lines>221</Lines>
  <Paragraphs>72</Paragraphs>
  <ScaleCrop>false</ScaleCrop>
  <Company/>
  <LinksUpToDate>false</LinksUpToDate>
  <CharactersWithSpaces>12797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Brendan Jonkers</cp:lastModifiedBy>
  <cp:revision>2</cp:revision>
  <dcterms:created xsi:type="dcterms:W3CDTF">2025-11-04T10:20:00Z</dcterms:created>
  <dcterms:modified xsi:type="dcterms:W3CDTF">2025-11-04T10:22:00Z</dcterms:modified>
</cp:coreProperties>
</file>