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F3C3" w14:textId="27F5482A" w:rsidR="009F0A49" w:rsidRDefault="001A6257">
      <w:pPr>
        <w:pStyle w:val="MdParagraph"/>
      </w:pPr>
      <w:r>
        <w:t>Hello Amy,</w:t>
      </w:r>
    </w:p>
    <w:p w14:paraId="3F2863F2" w14:textId="77777777" w:rsidR="009F0A49" w:rsidRDefault="009F0A49">
      <w:pPr>
        <w:pStyle w:val="MdSpace"/>
        <w:spacing w:after="60"/>
      </w:pPr>
    </w:p>
    <w:p w14:paraId="0B8F082B" w14:textId="2BA3A04A" w:rsidR="009F0A49" w:rsidRDefault="00000000">
      <w:pPr>
        <w:pStyle w:val="MdParagraph"/>
      </w:pPr>
      <w:r>
        <w:t>Please find below our detailed, factual responses for record-keeping and bond assessment purposes. Each point is supported by direct evidence from the Entry and Exit Condition Reports, and relevant Queensland tenancy legislation</w:t>
      </w:r>
      <w:r w:rsidR="00271167">
        <w:t xml:space="preserve"> to the best of my ability.</w:t>
      </w:r>
    </w:p>
    <w:p w14:paraId="09391784" w14:textId="77777777" w:rsidR="009F0A49" w:rsidRDefault="009F0A49">
      <w:pPr>
        <w:pStyle w:val="MdSpace"/>
        <w:spacing w:after="60"/>
      </w:pPr>
    </w:p>
    <w:p w14:paraId="6E47D7C6" w14:textId="77777777" w:rsidR="009F0A49" w:rsidRDefault="00000000">
      <w:pPr>
        <w:pStyle w:val="MdParagraph"/>
      </w:pPr>
      <w:r>
        <w:t>In addition to the Entry and Exit Condition Reports, this response also references information gathered during:</w:t>
      </w:r>
    </w:p>
    <w:p w14:paraId="552DC94E" w14:textId="77777777" w:rsidR="009F0A49" w:rsidRDefault="00000000">
      <w:pPr>
        <w:pStyle w:val="MdListItem"/>
        <w:numPr>
          <w:ilvl w:val="0"/>
          <w:numId w:val="2"/>
        </w:numPr>
      </w:pPr>
      <w:r>
        <w:t xml:space="preserve">A routine inspection conducted by </w:t>
      </w:r>
      <w:proofErr w:type="spellStart"/>
      <w:r>
        <w:t>PerryCooper</w:t>
      </w:r>
      <w:proofErr w:type="spellEnd"/>
      <w:r>
        <w:t xml:space="preserve"> Property in July 2025.</w:t>
      </w:r>
    </w:p>
    <w:p w14:paraId="58909146" w14:textId="42879AA3" w:rsidR="009F0A49" w:rsidRDefault="00000000">
      <w:pPr>
        <w:pStyle w:val="MdListItem"/>
        <w:numPr>
          <w:ilvl w:val="0"/>
          <w:numId w:val="2"/>
        </w:numPr>
      </w:pPr>
      <w:r>
        <w:t xml:space="preserve">A </w:t>
      </w:r>
      <w:r w:rsidR="00271167">
        <w:t>routine inspection</w:t>
      </w:r>
      <w:r w:rsidR="002B4A54">
        <w:t xml:space="preserve"> conducted by yourself </w:t>
      </w:r>
      <w:r w:rsidR="006F6A68">
        <w:t>in August</w:t>
      </w:r>
      <w:r>
        <w:t xml:space="preserve"> 2025.</w:t>
      </w:r>
    </w:p>
    <w:p w14:paraId="3D21FF66" w14:textId="77777777" w:rsidR="009F0A49" w:rsidRDefault="009F0A49">
      <w:pPr>
        <w:pStyle w:val="MdSpace"/>
        <w:spacing w:after="60"/>
      </w:pPr>
    </w:p>
    <w:p w14:paraId="6F7BF6BE" w14:textId="77777777" w:rsidR="009F0A49" w:rsidRDefault="009F0A49">
      <w:pPr>
        <w:pStyle w:val="MdHr"/>
        <w:pBdr>
          <w:bottom w:val="single" w:sz="6" w:space="1" w:color="auto"/>
        </w:pBdr>
      </w:pPr>
    </w:p>
    <w:p w14:paraId="58D6E081" w14:textId="77777777" w:rsidR="009F0A49" w:rsidRDefault="00000000">
      <w:pPr>
        <w:pStyle w:val="MdHeading3"/>
      </w:pPr>
      <w:r>
        <w:t>1. Paintwork</w:t>
      </w:r>
    </w:p>
    <w:p w14:paraId="466FAD33" w14:textId="77777777" w:rsidR="009F0A49" w:rsidRDefault="00000000">
      <w:pPr>
        <w:pStyle w:val="MdParagraph"/>
      </w:pPr>
      <w:r>
        <w:t xml:space="preserve">While some patchwork was present prior to tenancy, the July 2025 routine inspection documented that the tenants had attached a large, heavy mirror to the VJ panelling in the entryway without approval. They were advised at that time that any resulting damage would need to be rectified upon exit. The exit report now documents patched marks where this mirror was hung. In the garage, a new piece of </w:t>
      </w:r>
      <w:r>
        <w:rPr>
          <w:rStyle w:val="MdStrong"/>
        </w:rPr>
        <w:t>timber</w:t>
      </w:r>
      <w:r>
        <w:t xml:space="preserve"> was installed and screwed into the wall. Additionally, the TV bracket was removed from the wall in the master bedroom, causing damage.</w:t>
      </w:r>
    </w:p>
    <w:p w14:paraId="45544C6D" w14:textId="77777777" w:rsidR="009F0A49" w:rsidRDefault="009F0A49">
      <w:pPr>
        <w:pStyle w:val="MdSpace"/>
        <w:spacing w:after="60"/>
      </w:pPr>
    </w:p>
    <w:p w14:paraId="4E04D5B4" w14:textId="77777777" w:rsidR="009F0A49" w:rsidRDefault="00000000">
      <w:pPr>
        <w:pStyle w:val="MdParagraph"/>
      </w:pPr>
      <w:r>
        <w:t xml:space="preserve">Under </w:t>
      </w:r>
      <w:r>
        <w:rPr>
          <w:rStyle w:val="MdStrong"/>
        </w:rPr>
        <w:t xml:space="preserve">s. 188(4) of the </w:t>
      </w:r>
      <w:r>
        <w:rPr>
          <w:rStyle w:val="MdEm"/>
          <w:b/>
          <w:bCs/>
        </w:rPr>
        <w:t>Residential Tenancies and Rooming Accommodation Act 2008</w:t>
      </w:r>
      <w:r>
        <w:rPr>
          <w:rStyle w:val="MdStrong"/>
        </w:rPr>
        <w:t xml:space="preserve"> (Qld)</w:t>
      </w:r>
      <w:r>
        <w:t>, a tenant must leave the premises substantially in the same condition as at the start of the tenancy, allowing only for fair wear and tear. The RTA guidelines clarify that new or mismatched painting or patching is not considered fair wear and tear. The new patches are a direct result of the tenant's unauthorized actions and have not been finished to the original standard.</w:t>
      </w:r>
    </w:p>
    <w:p w14:paraId="2A8727A5" w14:textId="77777777" w:rsidR="009F0A49" w:rsidRDefault="009F0A49">
      <w:pPr>
        <w:pStyle w:val="MdSpace"/>
        <w:spacing w:after="60"/>
      </w:pPr>
    </w:p>
    <w:p w14:paraId="1E08A2D6" w14:textId="77777777" w:rsidR="009F0A49" w:rsidRDefault="00000000">
      <w:pPr>
        <w:pStyle w:val="MdListItem"/>
        <w:numPr>
          <w:ilvl w:val="0"/>
          <w:numId w:val="2"/>
        </w:numPr>
      </w:pPr>
      <w:r>
        <w:rPr>
          <w:rStyle w:val="MdStrong"/>
        </w:rPr>
        <w:t>Entry Report Evidence:</w:t>
      </w:r>
      <w:r>
        <w:t xml:space="preserve"> Images 3 (hallway), 32-36 (garage), 302 (master).</w:t>
      </w:r>
    </w:p>
    <w:p w14:paraId="4C5BA091" w14:textId="77777777" w:rsidR="009F0A49" w:rsidRDefault="00000000">
      <w:pPr>
        <w:pStyle w:val="MdListItem"/>
        <w:numPr>
          <w:ilvl w:val="0"/>
          <w:numId w:val="2"/>
        </w:numPr>
      </w:pPr>
      <w:r>
        <w:rPr>
          <w:rStyle w:val="MdStrong"/>
        </w:rPr>
        <w:t>Exit Report Evidence:</w:t>
      </w:r>
      <w:r>
        <w:t xml:space="preserve"> Page 10 (hallway), Page 70 (garage), Page 34 (master).</w:t>
      </w:r>
    </w:p>
    <w:p w14:paraId="722BB6AF" w14:textId="77777777" w:rsidR="009F0A49" w:rsidRDefault="00000000">
      <w:pPr>
        <w:pStyle w:val="MdListItem"/>
        <w:numPr>
          <w:ilvl w:val="0"/>
          <w:numId w:val="2"/>
        </w:numPr>
      </w:pPr>
      <w:r>
        <w:rPr>
          <w:rStyle w:val="MdStrong"/>
        </w:rPr>
        <w:t>Supporting Evidence:</w:t>
      </w:r>
      <w:r>
        <w:t xml:space="preserve"> July 2025 Inspection (Photo 3 shows mirror; Photo 64 shows extra timber in garage).</w:t>
      </w:r>
    </w:p>
    <w:p w14:paraId="120C59E1" w14:textId="77777777" w:rsidR="009F0A49" w:rsidRDefault="009F0A49">
      <w:pPr>
        <w:pStyle w:val="MdSpace"/>
        <w:spacing w:after="60"/>
      </w:pPr>
    </w:p>
    <w:p w14:paraId="7EE0BB6A" w14:textId="77777777" w:rsidR="009F0A49" w:rsidRDefault="00000000">
      <w:pPr>
        <w:pStyle w:val="MdHeading3"/>
      </w:pPr>
      <w:r>
        <w:t>2. Exterior Timber Cladding</w:t>
      </w:r>
    </w:p>
    <w:p w14:paraId="0E82D7EF" w14:textId="77777777" w:rsidR="009F0A49" w:rsidRDefault="00000000">
      <w:pPr>
        <w:pStyle w:val="MdParagraph"/>
      </w:pPr>
      <w:r>
        <w:t xml:space="preserve">We acknowledge that maintenance requests were initially delayed while the property was managed by Perry Cooper. However, when maintenance was arranged, the tenant refused access, citing health concerns. We had not attempted to arrange further maintenance due to delays in obtaining access for tree trimming and multiple attempts to reestablish lawn care services. Under </w:t>
      </w:r>
      <w:r>
        <w:rPr>
          <w:rStyle w:val="MdStrong"/>
        </w:rPr>
        <w:t>s. 188(2) of the RTRA Act 2008</w:t>
      </w:r>
      <w:r>
        <w:t>, tenants must allow the lessor reasonable access for maintenance. The tenant's refusal to provide access directly contributed to the accelerated deterioration of the cladding. A tenant cannot prevent necessary maintenance and then claim the resulting damage is the owner's responsibility.</w:t>
      </w:r>
    </w:p>
    <w:p w14:paraId="4CA29A34" w14:textId="77777777" w:rsidR="009F0A49" w:rsidRDefault="009F0A49">
      <w:pPr>
        <w:pStyle w:val="MdSpace"/>
        <w:spacing w:after="60"/>
      </w:pPr>
    </w:p>
    <w:p w14:paraId="1502A771" w14:textId="77777777" w:rsidR="009F0A49" w:rsidRDefault="00000000">
      <w:pPr>
        <w:pStyle w:val="MdListItem"/>
        <w:numPr>
          <w:ilvl w:val="0"/>
          <w:numId w:val="2"/>
        </w:numPr>
      </w:pPr>
      <w:r>
        <w:rPr>
          <w:rStyle w:val="MdStrong"/>
        </w:rPr>
        <w:lastRenderedPageBreak/>
        <w:t>Entry Report Evidence:</w:t>
      </w:r>
      <w:r>
        <w:t xml:space="preserve"> Images 4, 491, 492 (baseline condition).</w:t>
      </w:r>
    </w:p>
    <w:p w14:paraId="21DE58C5" w14:textId="77777777" w:rsidR="009F0A49" w:rsidRDefault="00000000">
      <w:pPr>
        <w:pStyle w:val="MdListItem"/>
        <w:numPr>
          <w:ilvl w:val="0"/>
          <w:numId w:val="2"/>
        </w:numPr>
      </w:pPr>
      <w:r>
        <w:rPr>
          <w:rStyle w:val="MdStrong"/>
        </w:rPr>
        <w:t>Exit Report Evidence:</w:t>
      </w:r>
      <w:r>
        <w:t xml:space="preserve"> Pages 10 (Photos 4-8 showing deterioration).</w:t>
      </w:r>
    </w:p>
    <w:p w14:paraId="6A003250" w14:textId="77777777" w:rsidR="009F0A49" w:rsidRDefault="009F0A49">
      <w:pPr>
        <w:pStyle w:val="MdSpace"/>
        <w:spacing w:after="60"/>
      </w:pPr>
    </w:p>
    <w:p w14:paraId="24972279" w14:textId="77777777" w:rsidR="009F0A49" w:rsidRDefault="00000000">
      <w:pPr>
        <w:pStyle w:val="MdHeading3"/>
      </w:pPr>
      <w:r>
        <w:t>3. Rear Deck</w:t>
      </w:r>
    </w:p>
    <w:p w14:paraId="551235A7" w14:textId="77777777" w:rsidR="009F0A49" w:rsidRDefault="00000000">
      <w:pPr>
        <w:pStyle w:val="MdParagraph"/>
      </w:pPr>
      <w:r>
        <w:t xml:space="preserve">The tenant's claim that the deck required repainting prior to the tenancy is incorrect. The deck was waterproofed and repainted only days before the tenancy commenced, a fact clearly viewable in the entry report photos. The exit report photos show areas where this new paint and waterproof coating have been breached. This damage is beyond fair wear and tear as defined by </w:t>
      </w:r>
      <w:r>
        <w:rPr>
          <w:rStyle w:val="MdStrong"/>
        </w:rPr>
        <w:t>s. 188(4) of the RTRA Act 2008</w:t>
      </w:r>
      <w:r>
        <w:t>.</w:t>
      </w:r>
    </w:p>
    <w:p w14:paraId="36A11C43" w14:textId="77777777" w:rsidR="009F0A49" w:rsidRDefault="009F0A49">
      <w:pPr>
        <w:pStyle w:val="MdSpace"/>
        <w:spacing w:after="60"/>
      </w:pPr>
    </w:p>
    <w:p w14:paraId="5DC612F3" w14:textId="77777777" w:rsidR="009F0A49" w:rsidRDefault="00000000">
      <w:pPr>
        <w:pStyle w:val="MdListItem"/>
        <w:numPr>
          <w:ilvl w:val="0"/>
          <w:numId w:val="2"/>
        </w:numPr>
      </w:pPr>
      <w:r>
        <w:rPr>
          <w:rStyle w:val="MdStrong"/>
        </w:rPr>
        <w:t>Entry Report Evidence:</w:t>
      </w:r>
      <w:r>
        <w:t xml:space="preserve"> Images 502, 503.</w:t>
      </w:r>
    </w:p>
    <w:p w14:paraId="12D1E19A" w14:textId="77777777" w:rsidR="009F0A49" w:rsidRDefault="00000000">
      <w:pPr>
        <w:pStyle w:val="MdListItem"/>
        <w:numPr>
          <w:ilvl w:val="0"/>
          <w:numId w:val="2"/>
        </w:numPr>
      </w:pPr>
      <w:r>
        <w:rPr>
          <w:rStyle w:val="MdStrong"/>
        </w:rPr>
        <w:t>Exit Report Evidence:</w:t>
      </w:r>
      <w:r>
        <w:t xml:space="preserve"> Pages 64-65.</w:t>
      </w:r>
    </w:p>
    <w:p w14:paraId="18C884F3" w14:textId="77777777" w:rsidR="009F0A49" w:rsidRDefault="009F0A49">
      <w:pPr>
        <w:pStyle w:val="MdSpace"/>
        <w:spacing w:after="60"/>
      </w:pPr>
    </w:p>
    <w:p w14:paraId="5FA11400" w14:textId="77777777" w:rsidR="009F0A49" w:rsidRDefault="00000000">
      <w:pPr>
        <w:pStyle w:val="MdHeading3"/>
      </w:pPr>
      <w:r>
        <w:t>4. Flooring</w:t>
      </w:r>
    </w:p>
    <w:p w14:paraId="418926E8" w14:textId="756A002D" w:rsidR="009F0A49" w:rsidRDefault="00000000">
      <w:pPr>
        <w:pStyle w:val="MdParagraph"/>
      </w:pPr>
      <w:r>
        <w:t>The entry report documents minor, pre-existing scratches at the entrance. The exit report, however, shows photos of extensive, deep scratches that are inconsistent with these minor marks. The exit report specifically attributes the damage to "dog claws or dragged furniture," indicating a severity and pattern of damage that is not consistent with normal residential use.</w:t>
      </w:r>
    </w:p>
    <w:p w14:paraId="45A66321" w14:textId="77777777" w:rsidR="009F0A49" w:rsidRDefault="009F0A49">
      <w:pPr>
        <w:pStyle w:val="MdSpace"/>
        <w:spacing w:after="60"/>
      </w:pPr>
    </w:p>
    <w:p w14:paraId="1B35C275" w14:textId="77777777" w:rsidR="009F0A49" w:rsidRDefault="00000000">
      <w:pPr>
        <w:pStyle w:val="MdListItem"/>
        <w:numPr>
          <w:ilvl w:val="0"/>
          <w:numId w:val="2"/>
        </w:numPr>
      </w:pPr>
      <w:r>
        <w:rPr>
          <w:rStyle w:val="MdStrong"/>
        </w:rPr>
        <w:t>Entry Report Evidence:</w:t>
      </w:r>
      <w:r>
        <w:t xml:space="preserve"> Images 11-13.</w:t>
      </w:r>
    </w:p>
    <w:p w14:paraId="7871B155" w14:textId="77777777" w:rsidR="009F0A49" w:rsidRDefault="00000000">
      <w:pPr>
        <w:pStyle w:val="MdListItem"/>
        <w:numPr>
          <w:ilvl w:val="0"/>
          <w:numId w:val="2"/>
        </w:numPr>
      </w:pPr>
      <w:r>
        <w:rPr>
          <w:rStyle w:val="MdStrong"/>
        </w:rPr>
        <w:t>Exit Report Evidence:</w:t>
      </w:r>
      <w:r>
        <w:t xml:space="preserve"> Page 11 (16 photos).</w:t>
      </w:r>
    </w:p>
    <w:p w14:paraId="3CACF7E0" w14:textId="77777777" w:rsidR="009F0A49" w:rsidRDefault="009F0A49">
      <w:pPr>
        <w:pStyle w:val="MdSpace"/>
        <w:spacing w:after="60"/>
      </w:pPr>
    </w:p>
    <w:p w14:paraId="52AE18BA" w14:textId="77777777" w:rsidR="009F0A49" w:rsidRDefault="00000000">
      <w:pPr>
        <w:pStyle w:val="MdHeading3"/>
      </w:pPr>
      <w:r>
        <w:t>5. Carpet / Floor Discolouration</w:t>
      </w:r>
    </w:p>
    <w:p w14:paraId="7BF774ED" w14:textId="77777777" w:rsidR="009F0A49" w:rsidRDefault="00000000">
      <w:pPr>
        <w:pStyle w:val="MdParagraph"/>
      </w:pPr>
      <w:r>
        <w:t xml:space="preserve">The July 2025 routine inspection documented that the blinds had been removed from multiple </w:t>
      </w:r>
      <w:r>
        <w:rPr>
          <w:rStyle w:val="MdStrong"/>
        </w:rPr>
        <w:t>rooms</w:t>
      </w:r>
      <w:r>
        <w:t xml:space="preserve"> without approval. The RTA’s fair wear and tear guidance explicitly states that UV fading is only considered reasonable when blinds or coverings are used appropriately. The tenant's unauthorized removal of the blinds directly caused accelerated UV exposure and discolouration, which falls outside the definition of fair wear and tear.</w:t>
      </w:r>
    </w:p>
    <w:p w14:paraId="5F4DB4BD" w14:textId="77777777" w:rsidR="009F0A49" w:rsidRDefault="009F0A49">
      <w:pPr>
        <w:pStyle w:val="MdSpace"/>
        <w:spacing w:after="60"/>
      </w:pPr>
    </w:p>
    <w:p w14:paraId="431B8E40" w14:textId="77777777" w:rsidR="009F0A49" w:rsidRDefault="00000000">
      <w:pPr>
        <w:pStyle w:val="MdListItem"/>
        <w:numPr>
          <w:ilvl w:val="0"/>
          <w:numId w:val="2"/>
        </w:numPr>
      </w:pPr>
      <w:r>
        <w:rPr>
          <w:rStyle w:val="MdStrong"/>
        </w:rPr>
        <w:t>Entry Report Evidence:</w:t>
      </w:r>
      <w:r>
        <w:t xml:space="preserve"> Images 122, 142, 307, 308.</w:t>
      </w:r>
    </w:p>
    <w:p w14:paraId="132D140E" w14:textId="77777777" w:rsidR="009F0A49" w:rsidRDefault="00000000">
      <w:pPr>
        <w:pStyle w:val="MdListItem"/>
        <w:numPr>
          <w:ilvl w:val="0"/>
          <w:numId w:val="2"/>
        </w:numPr>
      </w:pPr>
      <w:r>
        <w:rPr>
          <w:rStyle w:val="MdStrong"/>
        </w:rPr>
        <w:t>Exit Report Evidence:</w:t>
      </w:r>
      <w:r>
        <w:t xml:space="preserve"> Page 14 (3 photos, lounge room), Page 36 (2 photos, bedroom).</w:t>
      </w:r>
    </w:p>
    <w:p w14:paraId="436718A7" w14:textId="77777777" w:rsidR="009F0A49" w:rsidRDefault="00000000">
      <w:pPr>
        <w:pStyle w:val="MdListItem"/>
        <w:numPr>
          <w:ilvl w:val="0"/>
          <w:numId w:val="2"/>
        </w:numPr>
      </w:pPr>
      <w:r>
        <w:rPr>
          <w:rStyle w:val="MdStrong"/>
        </w:rPr>
        <w:t>Supporting Evidence:</w:t>
      </w:r>
      <w:r>
        <w:t xml:space="preserve"> July 2025 Inspection (Photos 18, 31, 32).</w:t>
      </w:r>
    </w:p>
    <w:p w14:paraId="6529A804" w14:textId="77777777" w:rsidR="009F0A49" w:rsidRDefault="009F0A49">
      <w:pPr>
        <w:pStyle w:val="MdSpace"/>
        <w:spacing w:after="60"/>
      </w:pPr>
    </w:p>
    <w:p w14:paraId="0A1F8A22" w14:textId="77777777" w:rsidR="009F0A49" w:rsidRDefault="00000000">
      <w:pPr>
        <w:pStyle w:val="MdHeading3"/>
      </w:pPr>
      <w:r>
        <w:t>6. Sinks, Plumbing, and Benchtops</w:t>
      </w:r>
    </w:p>
    <w:p w14:paraId="7702E44F" w14:textId="5F8E6F75" w:rsidR="009F0A49" w:rsidRDefault="00000000">
      <w:pPr>
        <w:pStyle w:val="MdParagraph"/>
      </w:pPr>
      <w:r>
        <w:t xml:space="preserve">The tenant has acknowledged responsibility for the kitchen tap leak, which arose after their removal of an unauthorized under-sink water filter, </w:t>
      </w:r>
      <w:r w:rsidR="007B48BD">
        <w:t xml:space="preserve">has </w:t>
      </w:r>
      <w:r>
        <w:t>caus</w:t>
      </w:r>
      <w:r w:rsidR="00545457">
        <w:t>ed</w:t>
      </w:r>
      <w:r>
        <w:t xml:space="preserve"> the cabinetry to swell from water damage. While the entry report documented the sinks as requiring only routine cleaning, the exit report shows significant new staining to all three sinks and chips to the benchtops that were not present at entry. This constitutes a failure to maintain the premises in a clean condition as required by </w:t>
      </w:r>
      <w:r>
        <w:rPr>
          <w:rStyle w:val="MdStrong"/>
        </w:rPr>
        <w:t>s. 188(3)(a) of the RTRA Act 2008</w:t>
      </w:r>
      <w:r>
        <w:t>.</w:t>
      </w:r>
    </w:p>
    <w:p w14:paraId="44FDA01D" w14:textId="77777777" w:rsidR="009F0A49" w:rsidRDefault="009F0A49">
      <w:pPr>
        <w:pStyle w:val="MdSpace"/>
        <w:spacing w:after="60"/>
      </w:pPr>
    </w:p>
    <w:p w14:paraId="50F44449" w14:textId="77777777" w:rsidR="009F0A49" w:rsidRDefault="00000000">
      <w:pPr>
        <w:pStyle w:val="MdListItem"/>
        <w:numPr>
          <w:ilvl w:val="0"/>
          <w:numId w:val="2"/>
        </w:numPr>
      </w:pPr>
      <w:r>
        <w:rPr>
          <w:rStyle w:val="MdStrong"/>
        </w:rPr>
        <w:lastRenderedPageBreak/>
        <w:t>Entry Report Evidence:</w:t>
      </w:r>
      <w:r>
        <w:t xml:space="preserve"> Images 50-53, 239-251, 292-296.</w:t>
      </w:r>
    </w:p>
    <w:p w14:paraId="45EC96DC" w14:textId="77777777" w:rsidR="009F0A49" w:rsidRDefault="00000000">
      <w:pPr>
        <w:pStyle w:val="MdListItem"/>
        <w:numPr>
          <w:ilvl w:val="0"/>
          <w:numId w:val="2"/>
        </w:numPr>
      </w:pPr>
      <w:r>
        <w:rPr>
          <w:rStyle w:val="MdStrong"/>
        </w:rPr>
        <w:t>Exit Report Evidence:</w:t>
      </w:r>
      <w:r>
        <w:t xml:space="preserve"> Pages 21-26, 57.</w:t>
      </w:r>
    </w:p>
    <w:p w14:paraId="206456CE" w14:textId="77777777" w:rsidR="009F0A49" w:rsidRDefault="00000000">
      <w:pPr>
        <w:pStyle w:val="MdListItem"/>
        <w:numPr>
          <w:ilvl w:val="0"/>
          <w:numId w:val="2"/>
        </w:numPr>
      </w:pPr>
      <w:r>
        <w:rPr>
          <w:rStyle w:val="MdStrong"/>
        </w:rPr>
        <w:t>Supporting Evidence:</w:t>
      </w:r>
      <w:r>
        <w:t xml:space="preserve"> July 2025 Inspection (Photos 6, 22, 28).</w:t>
      </w:r>
    </w:p>
    <w:p w14:paraId="4462F15B" w14:textId="77777777" w:rsidR="009F0A49" w:rsidRDefault="009F0A49">
      <w:pPr>
        <w:pStyle w:val="MdSpace"/>
        <w:spacing w:after="60"/>
      </w:pPr>
    </w:p>
    <w:p w14:paraId="22D205B4" w14:textId="77777777" w:rsidR="009F0A49" w:rsidRDefault="00000000">
      <w:pPr>
        <w:pStyle w:val="MdHeading3"/>
      </w:pPr>
      <w:r>
        <w:t>7. Glass Sliding Door Scratches</w:t>
      </w:r>
    </w:p>
    <w:p w14:paraId="6E319577" w14:textId="77176A56" w:rsidR="009F0A49" w:rsidRDefault="00000000">
      <w:pPr>
        <w:pStyle w:val="MdParagraph"/>
      </w:pPr>
      <w:r>
        <w:t>The tenant has stated that 'Brendan acknowledged some scratches,' but this discussion referred to the screen doors, not the glass sliding doors. The entry report makes no mention of scratches to the glass doors , whereas the exit report on page 30 clearly shows extensive new scratching to the glass.</w:t>
      </w:r>
    </w:p>
    <w:p w14:paraId="7F3FF694" w14:textId="77777777" w:rsidR="009F0A49" w:rsidRDefault="009F0A49">
      <w:pPr>
        <w:pStyle w:val="MdSpace"/>
        <w:spacing w:after="60"/>
      </w:pPr>
    </w:p>
    <w:p w14:paraId="53E391D0" w14:textId="77777777" w:rsidR="009F0A49" w:rsidRDefault="00000000">
      <w:pPr>
        <w:pStyle w:val="MdListItem"/>
        <w:numPr>
          <w:ilvl w:val="0"/>
          <w:numId w:val="2"/>
        </w:numPr>
      </w:pPr>
      <w:r>
        <w:rPr>
          <w:rStyle w:val="MdStrong"/>
        </w:rPr>
        <w:t>Entry Report Evidence:</w:t>
      </w:r>
      <w:r>
        <w:t xml:space="preserve"> Images 133, 134.</w:t>
      </w:r>
    </w:p>
    <w:p w14:paraId="5C5DB0C0" w14:textId="77777777" w:rsidR="009F0A49" w:rsidRDefault="00000000">
      <w:pPr>
        <w:pStyle w:val="MdListItem"/>
        <w:numPr>
          <w:ilvl w:val="0"/>
          <w:numId w:val="2"/>
        </w:numPr>
      </w:pPr>
      <w:r>
        <w:rPr>
          <w:rStyle w:val="MdStrong"/>
        </w:rPr>
        <w:t>Exit Report Evidence:</w:t>
      </w:r>
      <w:r>
        <w:t xml:space="preserve"> Page 30 (8 photos).</w:t>
      </w:r>
    </w:p>
    <w:p w14:paraId="1152ADF0" w14:textId="77777777" w:rsidR="009F0A49" w:rsidRDefault="009F0A49">
      <w:pPr>
        <w:pStyle w:val="MdSpace"/>
        <w:spacing w:after="60"/>
      </w:pPr>
    </w:p>
    <w:p w14:paraId="2BE79127" w14:textId="3609A6CA" w:rsidR="009F0A49" w:rsidRDefault="00000000">
      <w:pPr>
        <w:pStyle w:val="MdHeading3"/>
      </w:pPr>
      <w:r>
        <w:t xml:space="preserve">8. </w:t>
      </w:r>
      <w:r w:rsidR="00F44E8F">
        <w:t xml:space="preserve">Curtain &amp; </w:t>
      </w:r>
      <w:r>
        <w:t>Venetian Blinds</w:t>
      </w:r>
    </w:p>
    <w:p w14:paraId="6DB84B26" w14:textId="493BF09B" w:rsidR="009F0A49" w:rsidRDefault="00000000">
      <w:pPr>
        <w:pStyle w:val="MdParagraph"/>
      </w:pPr>
      <w:r>
        <w:t xml:space="preserve">The tenant’s claim that "There was never a Venetian blind installed in the dining room" is factually incorrect. The Entry Condition Report documents blinds/curtains in both the Lounge Room and Dining Room. The exit report notes that a "White Venetian blind not intact - in garage," </w:t>
      </w:r>
      <w:r w:rsidR="00001E18">
        <w:t xml:space="preserve">and </w:t>
      </w:r>
      <w:r w:rsidR="00001E18" w:rsidRPr="00001E18">
        <w:t>also states the dining room "Curtains - marked in places</w:t>
      </w:r>
      <w:r w:rsidR="00C043C9">
        <w:t>.</w:t>
      </w:r>
      <w:r>
        <w:t xml:space="preserve"> The blinds that </w:t>
      </w:r>
      <w:r>
        <w:rPr>
          <w:rStyle w:val="MdStrong"/>
        </w:rPr>
        <w:t>were</w:t>
      </w:r>
      <w:r>
        <w:t xml:space="preserve"> removed have been damaged; the top cover plates are now </w:t>
      </w:r>
      <w:r w:rsidR="009C4686">
        <w:t>not</w:t>
      </w:r>
      <w:r w:rsidR="00061DBB">
        <w:t xml:space="preserve"> installed and missing</w:t>
      </w:r>
      <w:r>
        <w:t>.</w:t>
      </w:r>
    </w:p>
    <w:p w14:paraId="5227E3AB" w14:textId="77777777" w:rsidR="009F0A49" w:rsidRDefault="009F0A49">
      <w:pPr>
        <w:pStyle w:val="MdSpace"/>
        <w:spacing w:after="60"/>
      </w:pPr>
    </w:p>
    <w:p w14:paraId="5F56027E" w14:textId="6713527A" w:rsidR="009F0A49" w:rsidRDefault="00000000">
      <w:pPr>
        <w:pStyle w:val="MdListItem"/>
        <w:numPr>
          <w:ilvl w:val="0"/>
          <w:numId w:val="2"/>
        </w:numPr>
      </w:pPr>
      <w:r>
        <w:rPr>
          <w:rStyle w:val="MdStrong"/>
        </w:rPr>
        <w:t>Entry Report Evidence:</w:t>
      </w:r>
      <w:r>
        <w:t xml:space="preserve"> Media Room (Image 122), Living Room (Image 142</w:t>
      </w:r>
      <w:r w:rsidR="002440EB">
        <w:t>, 165</w:t>
      </w:r>
      <w:r>
        <w:t>), Master (Images 307, 308).</w:t>
      </w:r>
    </w:p>
    <w:p w14:paraId="01AA80C8" w14:textId="109DA9A2" w:rsidR="009F0A49" w:rsidRDefault="00000000">
      <w:pPr>
        <w:pStyle w:val="MdListItem"/>
        <w:numPr>
          <w:ilvl w:val="0"/>
          <w:numId w:val="2"/>
        </w:numPr>
      </w:pPr>
      <w:r>
        <w:rPr>
          <w:rStyle w:val="MdStrong"/>
        </w:rPr>
        <w:t>Exit Report Evidence:</w:t>
      </w:r>
      <w:r>
        <w:t xml:space="preserve"> Pages 14, </w:t>
      </w:r>
      <w:r w:rsidR="0090175D">
        <w:t>30-</w:t>
      </w:r>
      <w:r>
        <w:t>31, 33-34, 70.</w:t>
      </w:r>
    </w:p>
    <w:p w14:paraId="051B2671" w14:textId="77777777" w:rsidR="009F0A49" w:rsidRDefault="00000000">
      <w:pPr>
        <w:pStyle w:val="MdListItem"/>
        <w:numPr>
          <w:ilvl w:val="0"/>
          <w:numId w:val="2"/>
        </w:numPr>
      </w:pPr>
      <w:r>
        <w:rPr>
          <w:rStyle w:val="MdStrong"/>
        </w:rPr>
        <w:t>Supporting Evidence:</w:t>
      </w:r>
      <w:r>
        <w:t xml:space="preserve"> July 2025 Inspection (Photos 18, 31, 32).</w:t>
      </w:r>
    </w:p>
    <w:p w14:paraId="7D9E6FDA" w14:textId="77777777" w:rsidR="009F0A49" w:rsidRDefault="009F0A49">
      <w:pPr>
        <w:pStyle w:val="MdSpace"/>
        <w:spacing w:after="60"/>
      </w:pPr>
    </w:p>
    <w:p w14:paraId="4235F4DF" w14:textId="77777777" w:rsidR="009F0A49" w:rsidRDefault="00000000">
      <w:pPr>
        <w:pStyle w:val="MdHeading3"/>
      </w:pPr>
      <w:r>
        <w:t>9. Smoke Alarm</w:t>
      </w:r>
    </w:p>
    <w:p w14:paraId="2AFFF54A" w14:textId="4055DC6C" w:rsidR="009F0A49" w:rsidRDefault="00000000">
      <w:pPr>
        <w:pStyle w:val="MdParagraph"/>
      </w:pPr>
      <w:r>
        <w:t>There is no record of any fault report regarding the smoke alarm during the tenancy</w:t>
      </w:r>
      <w:r w:rsidR="00186B62">
        <w:t xml:space="preserve"> in the hallway</w:t>
      </w:r>
      <w:r>
        <w:t xml:space="preserve">. Under </w:t>
      </w:r>
      <w:r>
        <w:rPr>
          <w:rStyle w:val="MdStrong"/>
        </w:rPr>
        <w:t>s. 217 of the RTRA Act 2008</w:t>
      </w:r>
      <w:r>
        <w:t>, tenants have a duty to notify the lessor of any damage or malfunction. The kitchen smoke alarm, while not documented in the exit report, was also found to be damaged with a hole in it when we reconnected and inspected all alarms after the tenancy ended.</w:t>
      </w:r>
    </w:p>
    <w:p w14:paraId="3871EF66" w14:textId="77777777" w:rsidR="009F0A49" w:rsidRDefault="009F0A49">
      <w:pPr>
        <w:pStyle w:val="MdSpace"/>
        <w:spacing w:after="60"/>
      </w:pPr>
    </w:p>
    <w:p w14:paraId="05F9FBE4" w14:textId="77777777" w:rsidR="009F0A49" w:rsidRDefault="00000000">
      <w:pPr>
        <w:pStyle w:val="MdListItem"/>
        <w:numPr>
          <w:ilvl w:val="0"/>
          <w:numId w:val="2"/>
        </w:numPr>
      </w:pPr>
      <w:r>
        <w:rPr>
          <w:rStyle w:val="MdStrong"/>
        </w:rPr>
        <w:t>Exit Report Evidence:</w:t>
      </w:r>
      <w:r>
        <w:t xml:space="preserve"> Page 73.</w:t>
      </w:r>
    </w:p>
    <w:p w14:paraId="62411984" w14:textId="77777777" w:rsidR="009F0A49" w:rsidRDefault="009F0A49">
      <w:pPr>
        <w:pStyle w:val="MdSpace"/>
        <w:spacing w:after="60"/>
      </w:pPr>
    </w:p>
    <w:p w14:paraId="767CC5ED" w14:textId="77777777" w:rsidR="009F0A49" w:rsidRDefault="00000000">
      <w:pPr>
        <w:pStyle w:val="MdHeading3"/>
      </w:pPr>
      <w:r>
        <w:t>10. Lawn &amp; Garden Condition</w:t>
      </w:r>
    </w:p>
    <w:p w14:paraId="2BC2014C" w14:textId="2D0D1143" w:rsidR="009F0A49" w:rsidRDefault="00000000">
      <w:pPr>
        <w:pStyle w:val="MdParagraph"/>
      </w:pPr>
      <w:r>
        <w:t>While discussions about the lawn service occurred, the agreement was that the lawn’s condition would recover</w:t>
      </w:r>
      <w:r w:rsidR="00C24032">
        <w:t xml:space="preserve"> and if not we would revert back</w:t>
      </w:r>
      <w:r>
        <w:t>. The exit report documents issues that extend far beyond simple grass deterioration</w:t>
      </w:r>
      <w:r w:rsidR="00220628">
        <w:t xml:space="preserve"> though.</w:t>
      </w:r>
      <w:r>
        <w:t xml:space="preserve"> The tenant claims to have “installed an automated irrigation system to keep the garden beds thriving," a statement that is directly contradicted by the photographic evidence of dead and patchy grass. More significantly, the presence of dog faeces, widespread weeds, and accumulated leaves represents a clear failure to maintain basic cleanliness and is entirely unrelated to the cancellation of the professional </w:t>
      </w:r>
      <w:r>
        <w:lastRenderedPageBreak/>
        <w:t>lawn service. Additionally, the tenant refused access to recommence treatment when the lawn continued to deteriorate.</w:t>
      </w:r>
    </w:p>
    <w:p w14:paraId="4CB87F2D" w14:textId="77777777" w:rsidR="009F0A49" w:rsidRDefault="009F0A49">
      <w:pPr>
        <w:pStyle w:val="MdSpace"/>
        <w:spacing w:after="60"/>
      </w:pPr>
    </w:p>
    <w:p w14:paraId="5CF3AE86" w14:textId="77777777" w:rsidR="009F0A49" w:rsidRDefault="00000000">
      <w:pPr>
        <w:pStyle w:val="MdParagraph"/>
      </w:pPr>
      <w:r>
        <w:t xml:space="preserve">Under </w:t>
      </w:r>
      <w:r>
        <w:rPr>
          <w:rStyle w:val="MdStrong"/>
        </w:rPr>
        <w:t>s. 188(3)(a) of the RTRA Act 2008</w:t>
      </w:r>
      <w:r>
        <w:t>, tenants have a duty to maintain the premises in a reasonably clean condition. The removal of dog faeces, control of weeds, and clearing of leaves are fundamental tenant maintenance obligations.</w:t>
      </w:r>
    </w:p>
    <w:p w14:paraId="0B7B27F8" w14:textId="77777777" w:rsidR="009F0A49" w:rsidRDefault="009F0A49">
      <w:pPr>
        <w:pStyle w:val="MdSpace"/>
        <w:spacing w:after="60"/>
      </w:pPr>
    </w:p>
    <w:p w14:paraId="0EB90E0B" w14:textId="77777777" w:rsidR="009F0A49" w:rsidRDefault="00000000">
      <w:pPr>
        <w:pStyle w:val="MdListItem"/>
        <w:numPr>
          <w:ilvl w:val="0"/>
          <w:numId w:val="2"/>
        </w:numPr>
      </w:pPr>
      <w:r>
        <w:rPr>
          <w:rStyle w:val="MdStrong"/>
        </w:rPr>
        <w:t>Entry Report Evidence:</w:t>
      </w:r>
      <w:r>
        <w:t xml:space="preserve"> Images 492, 497, 500, 503, 515, 517.</w:t>
      </w:r>
    </w:p>
    <w:p w14:paraId="6C5C7145" w14:textId="77777777" w:rsidR="009F0A49" w:rsidRDefault="00000000">
      <w:pPr>
        <w:pStyle w:val="MdListItem"/>
        <w:numPr>
          <w:ilvl w:val="0"/>
          <w:numId w:val="2"/>
        </w:numPr>
      </w:pPr>
      <w:r>
        <w:rPr>
          <w:rStyle w:val="MdStrong"/>
        </w:rPr>
        <w:t>Exit Report Evidence:</w:t>
      </w:r>
      <w:r>
        <w:t xml:space="preserve"> Pages 62-64.</w:t>
      </w:r>
    </w:p>
    <w:p w14:paraId="31724387" w14:textId="77777777" w:rsidR="009F0A49" w:rsidRDefault="009F0A49">
      <w:pPr>
        <w:pStyle w:val="MdSpace"/>
        <w:spacing w:after="60"/>
      </w:pPr>
    </w:p>
    <w:p w14:paraId="07955568" w14:textId="77777777" w:rsidR="009F0A49" w:rsidRDefault="00000000">
      <w:pPr>
        <w:pStyle w:val="MdHeading3"/>
      </w:pPr>
      <w:r>
        <w:t>11. Manhole Access</w:t>
      </w:r>
    </w:p>
    <w:p w14:paraId="06FA3593" w14:textId="77777777" w:rsidR="009F0A49" w:rsidRDefault="00000000">
      <w:pPr>
        <w:pStyle w:val="MdParagraph"/>
      </w:pPr>
      <w:r>
        <w:t xml:space="preserve">The tenant, a licensed air-conditioning contractor, is not licensed to perform structural modifications. Under the </w:t>
      </w:r>
      <w:r>
        <w:rPr>
          <w:rStyle w:val="MdStrong"/>
        </w:rPr>
        <w:t>Building Regulation 2021 (Qld)</w:t>
      </w:r>
      <w:r>
        <w:t xml:space="preserve"> and the QBCC licensing framework, modifying ceiling framing requires a builder’s licence or structural certification. This was an unauthorized structural alteration to the property.</w:t>
      </w:r>
    </w:p>
    <w:p w14:paraId="47E6041F" w14:textId="77777777" w:rsidR="009F0A49" w:rsidRDefault="009F0A49">
      <w:pPr>
        <w:pStyle w:val="MdSpace"/>
        <w:spacing w:after="60"/>
      </w:pPr>
    </w:p>
    <w:p w14:paraId="5E38EA2F" w14:textId="77777777" w:rsidR="009F0A49" w:rsidRDefault="00000000">
      <w:pPr>
        <w:pStyle w:val="MdListItem"/>
        <w:numPr>
          <w:ilvl w:val="0"/>
          <w:numId w:val="2"/>
        </w:numPr>
      </w:pPr>
      <w:r>
        <w:rPr>
          <w:rStyle w:val="MdStrong"/>
        </w:rPr>
        <w:t>Exit Report Evidence:</w:t>
      </w:r>
      <w:r>
        <w:t xml:space="preserve"> Page 55.</w:t>
      </w:r>
    </w:p>
    <w:p w14:paraId="487CED82" w14:textId="77777777" w:rsidR="009F0A49" w:rsidRDefault="00000000">
      <w:pPr>
        <w:pStyle w:val="MdListItem"/>
        <w:numPr>
          <w:ilvl w:val="0"/>
          <w:numId w:val="2"/>
        </w:numPr>
      </w:pPr>
      <w:r>
        <w:rPr>
          <w:rStyle w:val="MdStrong"/>
        </w:rPr>
        <w:t>Supporting Evidence:</w:t>
      </w:r>
      <w:r>
        <w:t xml:space="preserve"> August 2025 Inspection (Page 42).</w:t>
      </w:r>
    </w:p>
    <w:p w14:paraId="7BB0654C" w14:textId="77777777" w:rsidR="009F0A49" w:rsidRDefault="009F0A49">
      <w:pPr>
        <w:pStyle w:val="MdSpace"/>
        <w:spacing w:after="60"/>
      </w:pPr>
    </w:p>
    <w:p w14:paraId="392B02FB" w14:textId="77777777" w:rsidR="009F0A49" w:rsidRDefault="00000000">
      <w:pPr>
        <w:pStyle w:val="MdHeading3"/>
      </w:pPr>
      <w:r>
        <w:t>12. Wallpaper – Bedroom 3</w:t>
      </w:r>
    </w:p>
    <w:p w14:paraId="421E2017" w14:textId="1D90296F" w:rsidR="009F0A49" w:rsidRDefault="00000000">
      <w:pPr>
        <w:pStyle w:val="MdParagraph"/>
      </w:pPr>
      <w:r>
        <w:t>The exit report documents multiple new marks, dents, and chips to the wallpapered wall in Bedroom 3, which the tenant used as an office. These damages are inconsistent with normal residential use and constitute more than fair wear and tear.</w:t>
      </w:r>
    </w:p>
    <w:p w14:paraId="18C1E215" w14:textId="77777777" w:rsidR="009F0A49" w:rsidRDefault="009F0A49">
      <w:pPr>
        <w:pStyle w:val="MdSpace"/>
        <w:spacing w:after="60"/>
      </w:pPr>
    </w:p>
    <w:p w14:paraId="06A0BD17" w14:textId="36BD85DB" w:rsidR="00A428C8" w:rsidRDefault="00000000">
      <w:pPr>
        <w:pStyle w:val="MdParagraph"/>
      </w:pPr>
      <w:r>
        <w:t xml:space="preserve">While the entry condition report notes some pre-existing "Pen marks on wall paper and wear to cornice" (Entry Report, images 405-408, the exit report documents significant additional damage, breaching </w:t>
      </w:r>
      <w:r>
        <w:rPr>
          <w:rStyle w:val="MdStrong"/>
        </w:rPr>
        <w:t>s. 188(4) of the RTRA Act 2008</w:t>
      </w:r>
      <w:r>
        <w:t>.</w:t>
      </w:r>
    </w:p>
    <w:p w14:paraId="7DA412E4" w14:textId="77777777" w:rsidR="009F0A49" w:rsidRDefault="009F0A49">
      <w:pPr>
        <w:pStyle w:val="MdSpace"/>
        <w:spacing w:after="60"/>
      </w:pPr>
    </w:p>
    <w:p w14:paraId="5EE09718" w14:textId="49914CFD" w:rsidR="00A428C8" w:rsidRDefault="00A428C8">
      <w:pPr>
        <w:pStyle w:val="MdListItem"/>
        <w:numPr>
          <w:ilvl w:val="0"/>
          <w:numId w:val="2"/>
        </w:numPr>
      </w:pPr>
      <w:r>
        <w:rPr>
          <w:rStyle w:val="MdStrong"/>
        </w:rPr>
        <w:t>Entry Report Evidence:</w:t>
      </w:r>
      <w:r>
        <w:t xml:space="preserve"> Image</w:t>
      </w:r>
      <w:r w:rsidR="002808E9">
        <w:t xml:space="preserve"> </w:t>
      </w:r>
      <w:r>
        <w:t>408</w:t>
      </w:r>
    </w:p>
    <w:p w14:paraId="7278C3F7" w14:textId="23CEE10A" w:rsidR="00A428C8" w:rsidRDefault="00A428C8" w:rsidP="00A428C8">
      <w:pPr>
        <w:pStyle w:val="MdListItem"/>
        <w:numPr>
          <w:ilvl w:val="0"/>
          <w:numId w:val="2"/>
        </w:numPr>
      </w:pPr>
      <w:r>
        <w:rPr>
          <w:rStyle w:val="MdStrong"/>
        </w:rPr>
        <w:t>Exit Report Evidence:</w:t>
      </w:r>
      <w:r>
        <w:t xml:space="preserve"> Page 44.</w:t>
      </w:r>
    </w:p>
    <w:p w14:paraId="2D1CAEC8" w14:textId="77777777" w:rsidR="009F0A49" w:rsidRDefault="00000000">
      <w:pPr>
        <w:pStyle w:val="MdListItem"/>
        <w:numPr>
          <w:ilvl w:val="0"/>
          <w:numId w:val="2"/>
        </w:numPr>
      </w:pPr>
      <w:r>
        <w:rPr>
          <w:rStyle w:val="MdStrong"/>
        </w:rPr>
        <w:t>Supporting Evidence:</w:t>
      </w:r>
      <w:r>
        <w:t xml:space="preserve"> July 2025 Inspection (Page 44), August 2025 Inspection (Page 33).</w:t>
      </w:r>
    </w:p>
    <w:p w14:paraId="4069EECC" w14:textId="77777777" w:rsidR="009F0A49" w:rsidRDefault="009F0A49">
      <w:pPr>
        <w:pStyle w:val="MdSpace"/>
        <w:spacing w:after="60"/>
      </w:pPr>
    </w:p>
    <w:p w14:paraId="16DD6FA1" w14:textId="77777777" w:rsidR="00204CB7" w:rsidRDefault="00204CB7">
      <w:pPr>
        <w:pStyle w:val="MdSpace"/>
        <w:spacing w:after="60"/>
      </w:pPr>
    </w:p>
    <w:p w14:paraId="30BECBDE" w14:textId="77777777" w:rsidR="00204CB7" w:rsidRDefault="00204CB7">
      <w:pPr>
        <w:pStyle w:val="MdSpace"/>
        <w:spacing w:after="60"/>
      </w:pPr>
    </w:p>
    <w:p w14:paraId="66C4FB53" w14:textId="77777777" w:rsidR="00204CB7" w:rsidRDefault="00204CB7">
      <w:pPr>
        <w:pStyle w:val="MdSpace"/>
        <w:spacing w:after="60"/>
      </w:pPr>
    </w:p>
    <w:p w14:paraId="1C82FCA6" w14:textId="77777777" w:rsidR="00204CB7" w:rsidRDefault="00204CB7">
      <w:pPr>
        <w:pStyle w:val="MdSpace"/>
        <w:spacing w:after="60"/>
      </w:pPr>
    </w:p>
    <w:p w14:paraId="26EE88AD" w14:textId="77777777" w:rsidR="00204CB7" w:rsidRDefault="00204CB7">
      <w:pPr>
        <w:pStyle w:val="MdSpace"/>
        <w:spacing w:after="60"/>
      </w:pPr>
    </w:p>
    <w:p w14:paraId="584461CE" w14:textId="77777777" w:rsidR="00204CB7" w:rsidRDefault="00204CB7">
      <w:pPr>
        <w:pStyle w:val="MdSpace"/>
        <w:spacing w:after="60"/>
      </w:pPr>
    </w:p>
    <w:p w14:paraId="2188A9CC" w14:textId="77777777" w:rsidR="00204CB7" w:rsidRDefault="00204CB7">
      <w:pPr>
        <w:pStyle w:val="MdSpace"/>
        <w:spacing w:after="60"/>
      </w:pPr>
    </w:p>
    <w:p w14:paraId="35D4D20B" w14:textId="77777777" w:rsidR="00204CB7" w:rsidRDefault="00204CB7">
      <w:pPr>
        <w:pStyle w:val="MdSpace"/>
        <w:spacing w:after="60"/>
      </w:pPr>
    </w:p>
    <w:p w14:paraId="28A45A73" w14:textId="77777777" w:rsidR="00204CB7" w:rsidRDefault="00204CB7">
      <w:pPr>
        <w:pStyle w:val="MdSpace"/>
        <w:spacing w:after="60"/>
      </w:pPr>
    </w:p>
    <w:p w14:paraId="4E2632AE" w14:textId="77777777" w:rsidR="00204CB7" w:rsidRDefault="00204CB7">
      <w:pPr>
        <w:pStyle w:val="MdSpace"/>
        <w:spacing w:after="60"/>
      </w:pPr>
    </w:p>
    <w:p w14:paraId="1AAA3205" w14:textId="77777777" w:rsidR="00204CB7" w:rsidRDefault="00204CB7">
      <w:pPr>
        <w:pStyle w:val="MdSpace"/>
        <w:spacing w:after="60"/>
      </w:pPr>
    </w:p>
    <w:p w14:paraId="5538B9A8" w14:textId="77777777" w:rsidR="00204CB7" w:rsidRDefault="00204CB7">
      <w:pPr>
        <w:pStyle w:val="MdSpace"/>
        <w:spacing w:after="60"/>
      </w:pPr>
    </w:p>
    <w:p w14:paraId="3AFACE2B" w14:textId="77777777" w:rsidR="009F0A49" w:rsidRDefault="00000000">
      <w:pPr>
        <w:pStyle w:val="MdHeading3"/>
      </w:pPr>
      <w:r>
        <w:lastRenderedPageBreak/>
        <w:t>13. General Cleaning and Maintenance</w:t>
      </w:r>
    </w:p>
    <w:p w14:paraId="42C41B17" w14:textId="3726B63A" w:rsidR="009F0A49" w:rsidRDefault="00000000">
      <w:pPr>
        <w:pStyle w:val="MdParagraph"/>
      </w:pPr>
      <w:r>
        <w:t xml:space="preserve">The exit report documents widespread cleaning failures throughout the property, including dusty blinds in multiple rooms, dirty floors, uncleaned appliances (oven, dishwasher, rangehood), stained toilets, dirty cupboards, and exterior areas requiring pressure washing. Under </w:t>
      </w:r>
      <w:r>
        <w:rPr>
          <w:rStyle w:val="MdStrong"/>
        </w:rPr>
        <w:t>s. 188(3)(a) of the RTRA Act 2008</w:t>
      </w:r>
      <w:r>
        <w:t>, tenants must leave the premises in a reasonably clean condition. the extent of cleaning required suggests the initial cleaning was grossly inadequate. We will be seeking costs for a full professional bond clean</w:t>
      </w:r>
      <w:r w:rsidR="00E6428A">
        <w:t xml:space="preserve">, as well as carpet </w:t>
      </w:r>
      <w:r w:rsidR="0011612D">
        <w:t xml:space="preserve">cleaning </w:t>
      </w:r>
      <w:r w:rsidR="00E6428A">
        <w:t>and pest</w:t>
      </w:r>
      <w:r w:rsidR="0011612D">
        <w:t xml:space="preserve"> control</w:t>
      </w:r>
      <w:r w:rsidR="00E6428A">
        <w:t xml:space="preserve"> as receipts have </w:t>
      </w:r>
      <w:r w:rsidR="0011612D">
        <w:t>not yet been provided.</w:t>
      </w:r>
    </w:p>
    <w:p w14:paraId="78502887" w14:textId="77777777" w:rsidR="009F0A49" w:rsidRDefault="009F0A49">
      <w:pPr>
        <w:pStyle w:val="MdSpace"/>
        <w:spacing w:after="60"/>
      </w:pPr>
    </w:p>
    <w:p w14:paraId="362FC7D1" w14:textId="77777777" w:rsidR="009F0A49" w:rsidRDefault="00000000">
      <w:pPr>
        <w:pStyle w:val="MdListItem"/>
        <w:numPr>
          <w:ilvl w:val="0"/>
          <w:numId w:val="2"/>
        </w:numPr>
      </w:pPr>
      <w:r>
        <w:rPr>
          <w:rStyle w:val="MdStrong"/>
        </w:rPr>
        <w:t>Exit Report Evidence:</w:t>
      </w:r>
      <w:r>
        <w:t xml:space="preserve"> Multiple pages documenting cleaning failures throughout the property.</w:t>
      </w:r>
    </w:p>
    <w:p w14:paraId="621171AB" w14:textId="77777777" w:rsidR="009F0A49" w:rsidRDefault="009F0A49">
      <w:pPr>
        <w:pStyle w:val="MdSpace"/>
        <w:spacing w:after="60"/>
      </w:pPr>
    </w:p>
    <w:p w14:paraId="524297AB" w14:textId="77777777" w:rsidR="009F0A49" w:rsidRDefault="009F0A49">
      <w:pPr>
        <w:pStyle w:val="MdHr"/>
        <w:pBdr>
          <w:bottom w:val="single" w:sz="6" w:space="1" w:color="auto"/>
        </w:pBdr>
      </w:pPr>
    </w:p>
    <w:p w14:paraId="5FC16033" w14:textId="77777777" w:rsidR="009F0A49" w:rsidRDefault="009F0A49">
      <w:pPr>
        <w:pStyle w:val="MdSpace"/>
        <w:spacing w:after="60"/>
      </w:pPr>
    </w:p>
    <w:p w14:paraId="0F25EBA0" w14:textId="12D46682" w:rsidR="009F0A49" w:rsidRDefault="00000000">
      <w:pPr>
        <w:pStyle w:val="MdParagraph"/>
      </w:pPr>
      <w:r>
        <w:t xml:space="preserve">The tenant’s assertion that they "consistently went beyond ordinary tenant obligations" is contradicted by the significant evidence presented above. Their tenancy was marked by multiple instances of unauthorized alterations, failure to report damage, and a refusal to allow access for necessary maintenance, which directly led to deterioration of the property. The claim that </w:t>
      </w:r>
      <w:r w:rsidR="00975F39">
        <w:t xml:space="preserve">we the </w:t>
      </w:r>
      <w:r>
        <w:t>owners are attempting to fund a "full refurbishment" is baseless; we are simply seeking to have the property returned in the condition it was provided, less fair wear and tear, as is our right under the law.</w:t>
      </w:r>
    </w:p>
    <w:sectPr w:rsidR="009F0A4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4557F"/>
    <w:multiLevelType w:val="multilevel"/>
    <w:tmpl w:val="825A2F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D486250"/>
    <w:multiLevelType w:val="hybridMultilevel"/>
    <w:tmpl w:val="CBC2661C"/>
    <w:lvl w:ilvl="0" w:tplc="D3F63DCC">
      <w:start w:val="1"/>
      <w:numFmt w:val="bullet"/>
      <w:lvlText w:val="•"/>
      <w:lvlJc w:val="left"/>
      <w:pPr>
        <w:ind w:left="720" w:hanging="360"/>
      </w:pPr>
    </w:lvl>
    <w:lvl w:ilvl="1" w:tplc="3614000C">
      <w:start w:val="1"/>
      <w:numFmt w:val="bullet"/>
      <w:lvlText w:val="◦"/>
      <w:lvlJc w:val="left"/>
      <w:pPr>
        <w:ind w:left="1440" w:hanging="360"/>
      </w:pPr>
    </w:lvl>
    <w:lvl w:ilvl="2" w:tplc="08E81BF8">
      <w:start w:val="1"/>
      <w:numFmt w:val="bullet"/>
      <w:lvlText w:val="•"/>
      <w:lvlJc w:val="left"/>
      <w:pPr>
        <w:ind w:left="2160" w:hanging="360"/>
      </w:pPr>
    </w:lvl>
    <w:lvl w:ilvl="3" w:tplc="4216C36A">
      <w:start w:val="1"/>
      <w:numFmt w:val="bullet"/>
      <w:lvlText w:val="◦"/>
      <w:lvlJc w:val="left"/>
      <w:pPr>
        <w:ind w:left="2880" w:hanging="360"/>
      </w:pPr>
    </w:lvl>
    <w:lvl w:ilvl="4" w:tplc="477CD8C4">
      <w:start w:val="1"/>
      <w:numFmt w:val="bullet"/>
      <w:lvlText w:val="•"/>
      <w:lvlJc w:val="left"/>
      <w:pPr>
        <w:ind w:left="3600" w:hanging="360"/>
      </w:pPr>
    </w:lvl>
    <w:lvl w:ilvl="5" w:tplc="7FE86802">
      <w:start w:val="1"/>
      <w:numFmt w:val="bullet"/>
      <w:lvlText w:val="◦"/>
      <w:lvlJc w:val="left"/>
      <w:pPr>
        <w:ind w:left="4320" w:hanging="360"/>
      </w:pPr>
    </w:lvl>
    <w:lvl w:ilvl="6" w:tplc="6C267C96">
      <w:start w:val="1"/>
      <w:numFmt w:val="bullet"/>
      <w:lvlText w:val="•"/>
      <w:lvlJc w:val="left"/>
      <w:pPr>
        <w:ind w:left="5040" w:hanging="360"/>
      </w:pPr>
    </w:lvl>
    <w:lvl w:ilvl="7" w:tplc="FF8E73D2">
      <w:numFmt w:val="decimal"/>
      <w:lvlText w:val=""/>
      <w:lvlJc w:val="left"/>
    </w:lvl>
    <w:lvl w:ilvl="8" w:tplc="A4549976">
      <w:numFmt w:val="decimal"/>
      <w:lvlText w:val=""/>
      <w:lvlJc w:val="left"/>
    </w:lvl>
  </w:abstractNum>
  <w:abstractNum w:abstractNumId="2" w15:restartNumberingAfterBreak="0">
    <w:nsid w:val="64D3331C"/>
    <w:multiLevelType w:val="hybridMultilevel"/>
    <w:tmpl w:val="0C7652C0"/>
    <w:lvl w:ilvl="0" w:tplc="F762312C">
      <w:start w:val="1"/>
      <w:numFmt w:val="bullet"/>
      <w:lvlText w:val="●"/>
      <w:lvlJc w:val="left"/>
      <w:pPr>
        <w:ind w:left="720" w:hanging="360"/>
      </w:pPr>
    </w:lvl>
    <w:lvl w:ilvl="1" w:tplc="E23E0690">
      <w:start w:val="1"/>
      <w:numFmt w:val="bullet"/>
      <w:lvlText w:val="○"/>
      <w:lvlJc w:val="left"/>
      <w:pPr>
        <w:ind w:left="1440" w:hanging="360"/>
      </w:pPr>
    </w:lvl>
    <w:lvl w:ilvl="2" w:tplc="3746D2D2">
      <w:start w:val="1"/>
      <w:numFmt w:val="bullet"/>
      <w:lvlText w:val="■"/>
      <w:lvlJc w:val="left"/>
      <w:pPr>
        <w:ind w:left="2160" w:hanging="360"/>
      </w:pPr>
    </w:lvl>
    <w:lvl w:ilvl="3" w:tplc="405C8934">
      <w:start w:val="1"/>
      <w:numFmt w:val="bullet"/>
      <w:lvlText w:val="●"/>
      <w:lvlJc w:val="left"/>
      <w:pPr>
        <w:ind w:left="2880" w:hanging="360"/>
      </w:pPr>
    </w:lvl>
    <w:lvl w:ilvl="4" w:tplc="0FC2C29A">
      <w:start w:val="1"/>
      <w:numFmt w:val="bullet"/>
      <w:lvlText w:val="○"/>
      <w:lvlJc w:val="left"/>
      <w:pPr>
        <w:ind w:left="3600" w:hanging="360"/>
      </w:pPr>
    </w:lvl>
    <w:lvl w:ilvl="5" w:tplc="22904FE6">
      <w:start w:val="1"/>
      <w:numFmt w:val="bullet"/>
      <w:lvlText w:val="■"/>
      <w:lvlJc w:val="left"/>
      <w:pPr>
        <w:ind w:left="4320" w:hanging="360"/>
      </w:pPr>
    </w:lvl>
    <w:lvl w:ilvl="6" w:tplc="A718F780">
      <w:start w:val="1"/>
      <w:numFmt w:val="bullet"/>
      <w:lvlText w:val="●"/>
      <w:lvlJc w:val="left"/>
      <w:pPr>
        <w:ind w:left="5040" w:hanging="360"/>
      </w:pPr>
    </w:lvl>
    <w:lvl w:ilvl="7" w:tplc="862606A0">
      <w:start w:val="1"/>
      <w:numFmt w:val="bullet"/>
      <w:lvlText w:val="●"/>
      <w:lvlJc w:val="left"/>
      <w:pPr>
        <w:ind w:left="5760" w:hanging="360"/>
      </w:pPr>
    </w:lvl>
    <w:lvl w:ilvl="8" w:tplc="87788B4C">
      <w:start w:val="1"/>
      <w:numFmt w:val="bullet"/>
      <w:lvlText w:val="●"/>
      <w:lvlJc w:val="left"/>
      <w:pPr>
        <w:ind w:left="6480" w:hanging="360"/>
      </w:pPr>
    </w:lvl>
  </w:abstractNum>
  <w:num w:numId="1" w16cid:durableId="1184325302">
    <w:abstractNumId w:val="2"/>
    <w:lvlOverride w:ilvl="0">
      <w:startOverride w:val="1"/>
    </w:lvlOverride>
  </w:num>
  <w:num w:numId="2" w16cid:durableId="12016302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A49"/>
    <w:rsid w:val="00001E18"/>
    <w:rsid w:val="00061DBB"/>
    <w:rsid w:val="000947CA"/>
    <w:rsid w:val="0011612D"/>
    <w:rsid w:val="00186B62"/>
    <w:rsid w:val="001A6257"/>
    <w:rsid w:val="00204CB7"/>
    <w:rsid w:val="00220628"/>
    <w:rsid w:val="002440EB"/>
    <w:rsid w:val="00271167"/>
    <w:rsid w:val="002808E9"/>
    <w:rsid w:val="00293F07"/>
    <w:rsid w:val="002B4A54"/>
    <w:rsid w:val="003166D4"/>
    <w:rsid w:val="003958DC"/>
    <w:rsid w:val="003D4B2F"/>
    <w:rsid w:val="004501F4"/>
    <w:rsid w:val="00545457"/>
    <w:rsid w:val="006B1507"/>
    <w:rsid w:val="006F6A68"/>
    <w:rsid w:val="0077515D"/>
    <w:rsid w:val="00783BAF"/>
    <w:rsid w:val="007B48BD"/>
    <w:rsid w:val="008B7716"/>
    <w:rsid w:val="0090175D"/>
    <w:rsid w:val="00962A8A"/>
    <w:rsid w:val="00975F39"/>
    <w:rsid w:val="009C4686"/>
    <w:rsid w:val="009F0A49"/>
    <w:rsid w:val="00A428C8"/>
    <w:rsid w:val="00C043C9"/>
    <w:rsid w:val="00C24032"/>
    <w:rsid w:val="00C42FE5"/>
    <w:rsid w:val="00E03DA1"/>
    <w:rsid w:val="00E6428A"/>
    <w:rsid w:val="00EB5E9E"/>
    <w:rsid w:val="00F44E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CCA7"/>
  <w15:docId w15:val="{1D099E98-238F-4125-8CC2-E4547AECD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1562</Words>
  <Characters>8518</Characters>
  <Application>Microsoft Office Word</Application>
  <DocSecurity>0</DocSecurity>
  <Lines>198</Lines>
  <Paragraphs>75</Paragraphs>
  <ScaleCrop>false</ScaleCrop>
  <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Brendan Jonkers</cp:lastModifiedBy>
  <cp:revision>35</cp:revision>
  <dcterms:created xsi:type="dcterms:W3CDTF">2025-11-02T17:13:00Z</dcterms:created>
  <dcterms:modified xsi:type="dcterms:W3CDTF">2025-11-03T17:25:00Z</dcterms:modified>
</cp:coreProperties>
</file>