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9FB" w:rsidRPr="00ED5FE8" w:rsidRDefault="00766B31">
      <w:pPr>
        <w:pStyle w:val="papertitle"/>
      </w:pPr>
      <w:r w:rsidRPr="00ED5FE8">
        <w:t>Economic Incentives for Reducing Peak Power Utilization in Electric Vehicle Charging Stations</w:t>
      </w:r>
    </w:p>
    <w:p w:rsidR="001579FB" w:rsidRPr="00ED5FE8" w:rsidRDefault="001579FB">
      <w:pPr>
        <w:pStyle w:val="Body"/>
        <w:sectPr w:rsidR="001579FB" w:rsidRPr="00ED5FE8">
          <w:pgSz w:w="12240" w:h="15840"/>
          <w:pgMar w:top="1080" w:right="734" w:bottom="1247" w:left="734" w:header="720" w:footer="720" w:gutter="0"/>
          <w:cols w:space="720"/>
        </w:sectPr>
      </w:pPr>
    </w:p>
    <w:p w:rsidR="001579FB" w:rsidRPr="00ED5FE8" w:rsidRDefault="00766B31">
      <w:pPr>
        <w:pStyle w:val="Author"/>
      </w:pPr>
      <w:r w:rsidRPr="00ED5FE8">
        <w:lastRenderedPageBreak/>
        <w:t>Jonathan Marty</w:t>
      </w:r>
    </w:p>
    <w:p w:rsidR="0095732B" w:rsidRPr="00ED5FE8" w:rsidRDefault="00DA7EDA" w:rsidP="0095732B">
      <w:pPr>
        <w:pStyle w:val="Author"/>
        <w:spacing w:before="0"/>
      </w:pPr>
      <w:r w:rsidRPr="00ED5FE8">
        <w:t xml:space="preserve">Stanley </w:t>
      </w:r>
      <w:proofErr w:type="spellStart"/>
      <w:r w:rsidRPr="00ED5FE8">
        <w:t>Pietrowicz</w:t>
      </w:r>
      <w:proofErr w:type="spellEnd"/>
    </w:p>
    <w:p w:rsidR="001579FB" w:rsidRPr="00ED5FE8" w:rsidRDefault="00766B31">
      <w:pPr>
        <w:pStyle w:val="Affiliation"/>
      </w:pPr>
      <w:proofErr w:type="spellStart"/>
      <w:r w:rsidRPr="00ED5FE8">
        <w:t>Vencore</w:t>
      </w:r>
      <w:proofErr w:type="spellEnd"/>
      <w:r w:rsidRPr="00ED5FE8">
        <w:t xml:space="preserve"> Labs</w:t>
      </w:r>
    </w:p>
    <w:p w:rsidR="001579FB" w:rsidRPr="00ED5FE8" w:rsidRDefault="00766B31">
      <w:pPr>
        <w:pStyle w:val="Affiliation"/>
      </w:pPr>
      <w:r w:rsidRPr="00ED5FE8">
        <w:t>Red Bank, NJ, USA</w:t>
      </w:r>
    </w:p>
    <w:p w:rsidR="001579FB" w:rsidRPr="00ED5FE8" w:rsidRDefault="00766B31">
      <w:pPr>
        <w:pStyle w:val="Affiliation"/>
      </w:pPr>
      <w:r w:rsidRPr="00ED5FE8">
        <w:t>jmarty@vencorelabs.com</w:t>
      </w:r>
    </w:p>
    <w:p w:rsidR="001579FB" w:rsidRPr="00ED5FE8" w:rsidRDefault="001579FB">
      <w:pPr>
        <w:pStyle w:val="Affiliation"/>
        <w:sectPr w:rsidR="001579FB" w:rsidRPr="00ED5FE8">
          <w:type w:val="continuous"/>
          <w:pgSz w:w="12240" w:h="15840"/>
          <w:pgMar w:top="1080" w:right="734" w:bottom="1247" w:left="734" w:header="720" w:footer="720" w:gutter="0"/>
          <w:cols w:space="720"/>
        </w:sectPr>
      </w:pPr>
    </w:p>
    <w:p w:rsidR="001579FB" w:rsidRPr="00ED5FE8" w:rsidRDefault="001579FB">
      <w:pPr>
        <w:pStyle w:val="Affiliation"/>
      </w:pPr>
    </w:p>
    <w:p w:rsidR="001579FB" w:rsidRPr="00ED5FE8" w:rsidRDefault="001579FB">
      <w:pPr>
        <w:pStyle w:val="Body"/>
      </w:pPr>
    </w:p>
    <w:p w:rsidR="001579FB" w:rsidRPr="00ED5FE8" w:rsidRDefault="001579FB">
      <w:pPr>
        <w:pStyle w:val="Body"/>
        <w:jc w:val="both"/>
        <w:sectPr w:rsidR="001579FB" w:rsidRPr="00ED5FE8">
          <w:type w:val="continuous"/>
          <w:pgSz w:w="12240" w:h="15840"/>
          <w:pgMar w:top="1080" w:right="734" w:bottom="1247" w:left="734" w:header="720" w:footer="720" w:gutter="0"/>
          <w:cols w:num="2" w:space="720"/>
        </w:sectPr>
      </w:pPr>
    </w:p>
    <w:p w:rsidR="00D2326C" w:rsidRPr="00ED5FE8" w:rsidRDefault="00766B31" w:rsidP="00D2326C">
      <w:pPr>
        <w:pStyle w:val="Abstract"/>
      </w:pPr>
      <w:r w:rsidRPr="00ED5FE8">
        <w:rPr>
          <w:i/>
          <w:iCs/>
        </w:rPr>
        <w:lastRenderedPageBreak/>
        <w:t>Abstract</w:t>
      </w:r>
      <w:r w:rsidRPr="00ED5FE8">
        <w:t>—</w:t>
      </w:r>
      <w:r w:rsidR="00FD3E84" w:rsidRPr="00ED5FE8">
        <w:t xml:space="preserve"> </w:t>
      </w:r>
      <w:proofErr w:type="gramStart"/>
      <w:r w:rsidR="001C201D" w:rsidRPr="00ED5FE8">
        <w:t>This</w:t>
      </w:r>
      <w:proofErr w:type="gramEnd"/>
      <w:r w:rsidR="001C201D" w:rsidRPr="00ED5FE8">
        <w:t xml:space="preserve"> paper examines the economic </w:t>
      </w:r>
      <w:r w:rsidR="00597B14" w:rsidRPr="00ED5FE8">
        <w:t xml:space="preserve">utility of a method to reduce </w:t>
      </w:r>
      <w:r w:rsidR="001C201D" w:rsidRPr="00ED5FE8">
        <w:t xml:space="preserve">peak grid load from </w:t>
      </w:r>
      <w:r w:rsidR="00597B14" w:rsidRPr="00ED5FE8">
        <w:t>Personal Electric Vehicles</w:t>
      </w:r>
      <w:r w:rsidR="00D2326C" w:rsidRPr="00ED5FE8">
        <w:t xml:space="preserve"> by employing</w:t>
      </w:r>
      <w:r w:rsidR="001C201D" w:rsidRPr="00ED5FE8">
        <w:t xml:space="preserve"> </w:t>
      </w:r>
      <w:r w:rsidR="009C30B4" w:rsidRPr="00ED5FE8">
        <w:t xml:space="preserve">distributed battery </w:t>
      </w:r>
      <w:r w:rsidRPr="00ED5FE8">
        <w:t>storage at charging stations</w:t>
      </w:r>
      <w:r w:rsidR="001C201D" w:rsidRPr="00ED5FE8">
        <w:t>.</w:t>
      </w:r>
      <w:r w:rsidR="00597B14" w:rsidRPr="00ED5FE8">
        <w:t xml:space="preserve">  </w:t>
      </w:r>
      <w:r w:rsidR="00D2326C" w:rsidRPr="00ED5FE8">
        <w:t>We introduce a system to cache power at PEV charging stations using batteries to smooth charging station peak loads, replenishing batteries when station load is low, without relying on centralized control.  We perform comprehensive large-scale simulations to show that its adoption reduces average daily peak power levels by between 14% and 24% for typical urban and suburban grids.  We propose a method for discharging and charging batteries that is driven by economic incentives</w:t>
      </w:r>
      <w:r w:rsidR="00AA2561" w:rsidRPr="00ED5FE8">
        <w:t xml:space="preserve"> for charging station operators based on </w:t>
      </w:r>
      <w:r w:rsidR="00D2326C" w:rsidRPr="00ED5FE8">
        <w:t xml:space="preserve">differentiated peak and nonpeak power prices.  We </w:t>
      </w:r>
      <w:r w:rsidR="000E61ED" w:rsidRPr="00ED5FE8">
        <w:t xml:space="preserve">find utility operators can influence charging station owners to invest in batteries by differentiating peak and nonpeak power prices, and </w:t>
      </w:r>
      <w:r w:rsidR="00D2326C" w:rsidRPr="00ED5FE8">
        <w:t>achieve peak power reductions without increasing aggregate charging station energy costs.</w:t>
      </w:r>
    </w:p>
    <w:p w:rsidR="001579FB" w:rsidRPr="00ED5FE8" w:rsidRDefault="00766B31">
      <w:pPr>
        <w:pStyle w:val="Abstract"/>
      </w:pPr>
      <w:r w:rsidRPr="00ED5FE8">
        <w:rPr>
          <w:i/>
          <w:iCs/>
        </w:rPr>
        <w:t>Index Terms</w:t>
      </w:r>
      <w:r w:rsidRPr="00ED5FE8">
        <w:t xml:space="preserve">—Charging Stations, </w:t>
      </w:r>
      <w:r w:rsidR="00CE5171" w:rsidRPr="00ED5FE8">
        <w:t>Personal Electric Vehicles, Differentiated Pricing</w:t>
      </w:r>
      <w:r w:rsidR="00FB5A78" w:rsidRPr="00ED5FE8">
        <w:t xml:space="preserve">, </w:t>
      </w:r>
      <w:r w:rsidRPr="00ED5FE8">
        <w:t>Power Demand, Microeconomics</w:t>
      </w:r>
    </w:p>
    <w:p w:rsidR="001579FB" w:rsidRPr="00ED5FE8" w:rsidRDefault="00766B31">
      <w:pPr>
        <w:pStyle w:val="Heading"/>
        <w:numPr>
          <w:ilvl w:val="0"/>
          <w:numId w:val="2"/>
        </w:numPr>
      </w:pPr>
      <w:r w:rsidRPr="00ED5FE8">
        <w:t>Introduction</w:t>
      </w:r>
    </w:p>
    <w:p w:rsidR="001579FB" w:rsidRPr="00ED5FE8" w:rsidRDefault="00766B31">
      <w:pPr>
        <w:pStyle w:val="BodyText"/>
      </w:pPr>
      <w:r w:rsidRPr="00ED5FE8">
        <w:t>The rate of adoption of Personal Electric Vehicles</w:t>
      </w:r>
      <w:r w:rsidR="00597B14" w:rsidRPr="00ED5FE8">
        <w:t xml:space="preserve"> (PEVs)</w:t>
      </w:r>
      <w:r w:rsidRPr="00ED5FE8">
        <w:t xml:space="preserve"> is increasing. In a 2016 report [1], OPEC increased its 2040 forecast of PEVs from 46 Million to 266 Million; the International Energy Agency (IEA) more than doubled </w:t>
      </w:r>
      <w:r w:rsidR="000A41D2" w:rsidRPr="00ED5FE8">
        <w:t>its</w:t>
      </w:r>
      <w:r w:rsidRPr="00ED5FE8">
        <w:t xml:space="preserve"> 2030 forecast [2], and </w:t>
      </w:r>
      <w:r w:rsidR="000A41D2" w:rsidRPr="00ED5FE8">
        <w:t>ExxonMobil</w:t>
      </w:r>
      <w:r w:rsidRPr="00ED5FE8">
        <w:t>, BP, and New Energy Finance</w:t>
      </w:r>
      <w:r w:rsidR="004927E4" w:rsidRPr="00ED5FE8">
        <w:t xml:space="preserve"> </w:t>
      </w:r>
      <w:r w:rsidRPr="00ED5FE8">
        <w:t>[3] increased forecast</w:t>
      </w:r>
      <w:r w:rsidR="00CD6719" w:rsidRPr="00ED5FE8">
        <w:t>s</w:t>
      </w:r>
      <w:r w:rsidRPr="00ED5FE8">
        <w:t xml:space="preserve"> by similar amounts. While this rapid adoption of PEVs brings the promise of reduced greenhouse gases [4], it also brings challenges in charging these vehicles from </w:t>
      </w:r>
      <w:r w:rsidR="001C201D" w:rsidRPr="00ED5FE8">
        <w:t xml:space="preserve">the </w:t>
      </w:r>
      <w:r w:rsidRPr="00ED5FE8">
        <w:t>US power grid</w:t>
      </w:r>
      <w:r w:rsidR="001C201D" w:rsidRPr="00ED5FE8">
        <w:t xml:space="preserve"> during peak intervals</w:t>
      </w:r>
      <w:r w:rsidRPr="00ED5FE8">
        <w:t>. While it</w:t>
      </w:r>
      <w:r w:rsidR="001C201D" w:rsidRPr="00ED5FE8">
        <w:t xml:space="preserve"> i</w:t>
      </w:r>
      <w:r w:rsidRPr="00ED5FE8">
        <w:t xml:space="preserve">s expected that the majority of PEV charging will occur in homes during off-peak hours, the proliferation of electric vehicle charging stations suggest that significant charging will occur during peak power times [5], [6]. This contribution to load during peak power times will </w:t>
      </w:r>
      <w:r w:rsidR="001C201D" w:rsidRPr="00ED5FE8">
        <w:t xml:space="preserve">stress grid infrastructure and may necessitate </w:t>
      </w:r>
      <w:r w:rsidRPr="00ED5FE8">
        <w:t xml:space="preserve">costly increases in power </w:t>
      </w:r>
      <w:r w:rsidR="001C201D" w:rsidRPr="00ED5FE8">
        <w:t xml:space="preserve">generation, </w:t>
      </w:r>
      <w:r w:rsidRPr="00ED5FE8">
        <w:t>transmission</w:t>
      </w:r>
      <w:r w:rsidR="001C201D" w:rsidRPr="00ED5FE8">
        <w:t>, and distribution</w:t>
      </w:r>
      <w:r w:rsidRPr="00ED5FE8">
        <w:t xml:space="preserve"> infrastructure. </w:t>
      </w:r>
    </w:p>
    <w:p w:rsidR="001579FB" w:rsidRPr="00ED5FE8" w:rsidRDefault="00766B31">
      <w:pPr>
        <w:pStyle w:val="BodyText"/>
      </w:pPr>
      <w:r w:rsidRPr="00ED5FE8">
        <w:t xml:space="preserve">In this paper, we introduce a system for caching power at PEV charging stations using batteries like those used in PEVs. </w:t>
      </w:r>
      <w:r w:rsidR="00720CD2" w:rsidRPr="00ED5FE8">
        <w:t xml:space="preserve">The purpose of this </w:t>
      </w:r>
      <w:r w:rsidR="001C201D" w:rsidRPr="00ED5FE8">
        <w:t xml:space="preserve">distributed storage </w:t>
      </w:r>
      <w:r w:rsidR="00720CD2" w:rsidRPr="00ED5FE8">
        <w:t xml:space="preserve">is to smooth charging station peak loads by using stored power when the charging station is heavily loaded, and replenishing batteries when station load is low. </w:t>
      </w:r>
      <w:r w:rsidRPr="00ED5FE8">
        <w:t xml:space="preserve">We propose a method for sizing batteries and a method for discharging and charging batteries that is driven by economic incentives in the form of differentiated peak and nonpeak power prices. </w:t>
      </w:r>
      <w:r w:rsidR="006734D0" w:rsidRPr="00ED5FE8">
        <w:t xml:space="preserve">In this system </w:t>
      </w:r>
      <w:r w:rsidR="006734D0" w:rsidRPr="00ED5FE8">
        <w:lastRenderedPageBreak/>
        <w:t xml:space="preserve">charging stations act autonomously, controlling the use of stored energy without relying on centralized control. </w:t>
      </w:r>
      <w:r w:rsidRPr="00ED5FE8">
        <w:t>We perform comprehensive large-scale simulations of this system and show that it</w:t>
      </w:r>
      <w:r w:rsidR="000751D6" w:rsidRPr="00ED5FE8">
        <w:t xml:space="preserve"> i</w:t>
      </w:r>
      <w:r w:rsidRPr="00ED5FE8">
        <w:t xml:space="preserve">s adoption reduces </w:t>
      </w:r>
      <w:r w:rsidR="00720CD2" w:rsidRPr="00ED5FE8">
        <w:t>average daily peak power levels by</w:t>
      </w:r>
      <w:r w:rsidRPr="00ED5FE8">
        <w:t xml:space="preserve"> between </w:t>
      </w:r>
      <w:r w:rsidR="00720CD2" w:rsidRPr="00ED5FE8">
        <w:t>14</w:t>
      </w:r>
      <w:r w:rsidRPr="00ED5FE8">
        <w:t>% and 2</w:t>
      </w:r>
      <w:r w:rsidR="00720CD2" w:rsidRPr="00ED5FE8">
        <w:t>4</w:t>
      </w:r>
      <w:r w:rsidRPr="00ED5FE8">
        <w:t>% for typical urban and suburban g</w:t>
      </w:r>
      <w:r w:rsidR="000751D6" w:rsidRPr="00ED5FE8">
        <w:t>ri</w:t>
      </w:r>
      <w:r w:rsidRPr="00ED5FE8">
        <w:t xml:space="preserve">ds. We suggest an optimization that will drive differential pricing of power suppliers to appropriate levels to achieve these peak power reductions without increasing aggregate charging station energy costs. </w:t>
      </w:r>
    </w:p>
    <w:p w:rsidR="008B4359" w:rsidRPr="00ED5FE8" w:rsidRDefault="00AC434B" w:rsidP="00A85B59">
      <w:pPr>
        <w:pStyle w:val="BodyText"/>
      </w:pPr>
      <w:r w:rsidRPr="00ED5FE8">
        <w:t>Other work has been focused on the economics and incentives of PEV charging. For example [7] and [8] examine the behavior of differentiated pricing on incentivizing PEV owners to change charging behaviors, and [9] and [10] examine the dynamics of allowing PEV owners to act as both consumers and suppliers to the power grid.</w:t>
      </w:r>
      <w:r w:rsidR="008B4359" w:rsidRPr="00ED5FE8">
        <w:t xml:space="preserve"> This work differs from prior related work in that it uses economic incentives to motivate infrastructure investment by </w:t>
      </w:r>
      <w:r w:rsidR="00DE2074" w:rsidRPr="00ED5FE8">
        <w:t xml:space="preserve">PEV </w:t>
      </w:r>
      <w:r w:rsidR="008B4359" w:rsidRPr="00ED5FE8">
        <w:t xml:space="preserve">charging station operators to </w:t>
      </w:r>
      <w:r w:rsidR="00DE2074" w:rsidRPr="00ED5FE8">
        <w:t xml:space="preserve">help alleviate grid capacity issues, rather than using economic incentives to influence the behavior of PEV owners. </w:t>
      </w:r>
    </w:p>
    <w:p w:rsidR="00622D0A" w:rsidRPr="00ED5FE8" w:rsidRDefault="00766B31" w:rsidP="00546FDA">
      <w:pPr>
        <w:pStyle w:val="BodyText"/>
      </w:pPr>
      <w:r w:rsidRPr="00ED5FE8">
        <w:t xml:space="preserve">The remainder of this paper is organized as follows. Section </w:t>
      </w:r>
      <w:hyperlink w:anchor="Ref492923570" w:history="1">
        <w:r w:rsidRPr="00ED5FE8">
          <w:t>II</w:t>
        </w:r>
      </w:hyperlink>
      <w:r w:rsidRPr="00ED5FE8">
        <w:t xml:space="preserve"> proposes a basic stochastic model for charging station occupancy, </w:t>
      </w:r>
      <w:r w:rsidR="00A3105E" w:rsidRPr="00ED5FE8">
        <w:t>s</w:t>
      </w:r>
      <w:r w:rsidRPr="00ED5FE8">
        <w:t>ection II</w:t>
      </w:r>
      <w:r w:rsidR="00CB2FDB" w:rsidRPr="00ED5FE8">
        <w:t>I</w:t>
      </w:r>
      <w:r w:rsidRPr="00ED5FE8">
        <w:t xml:space="preserve"> introduces a method for using batteries to effectively cache power in PEV charging stations, </w:t>
      </w:r>
      <w:r w:rsidR="00A3105E" w:rsidRPr="00ED5FE8">
        <w:t>s</w:t>
      </w:r>
      <w:r w:rsidRPr="00ED5FE8">
        <w:t>ection I</w:t>
      </w:r>
      <w:r w:rsidR="00CB2FDB" w:rsidRPr="00ED5FE8">
        <w:t>V</w:t>
      </w:r>
      <w:r w:rsidRPr="00ED5FE8">
        <w:t xml:space="preserve"> introduces a</w:t>
      </w:r>
      <w:r w:rsidR="000751D6" w:rsidRPr="00ED5FE8">
        <w:t xml:space="preserve">n economic </w:t>
      </w:r>
      <w:r w:rsidR="001F55DF" w:rsidRPr="00ED5FE8">
        <w:t>utility function for</w:t>
      </w:r>
      <w:r w:rsidRPr="00ED5FE8">
        <w:t xml:space="preserve"> d</w:t>
      </w:r>
      <w:r w:rsidR="00A3105E" w:rsidRPr="00ED5FE8">
        <w:t xml:space="preserve">ifferentiated pricing, section </w:t>
      </w:r>
      <w:r w:rsidRPr="00ED5FE8">
        <w:t xml:space="preserve">V describes </w:t>
      </w:r>
      <w:r w:rsidR="001F55DF" w:rsidRPr="00ED5FE8">
        <w:t xml:space="preserve">the </w:t>
      </w:r>
      <w:r w:rsidRPr="00ED5FE8">
        <w:t>simulation framework used, Section V</w:t>
      </w:r>
      <w:r w:rsidR="00A3105E" w:rsidRPr="00ED5FE8">
        <w:t>I</w:t>
      </w:r>
      <w:r w:rsidRPr="00ED5FE8">
        <w:t xml:space="preserve"> presents results, and Section V</w:t>
      </w:r>
      <w:r w:rsidR="00A3105E" w:rsidRPr="00ED5FE8">
        <w:t>I</w:t>
      </w:r>
      <w:r w:rsidRPr="00ED5FE8">
        <w:t xml:space="preserve">I </w:t>
      </w:r>
      <w:proofErr w:type="gramStart"/>
      <w:r w:rsidR="000751D6" w:rsidRPr="00ED5FE8">
        <w:t>summarizes</w:t>
      </w:r>
      <w:proofErr w:type="gramEnd"/>
      <w:r w:rsidR="000751D6" w:rsidRPr="00ED5FE8">
        <w:t xml:space="preserve"> conclusions and suggests future work</w:t>
      </w:r>
      <w:r w:rsidRPr="00ED5FE8">
        <w:t>.</w:t>
      </w:r>
    </w:p>
    <w:p w:rsidR="004927E4" w:rsidRPr="00ED5FE8" w:rsidRDefault="004927E4" w:rsidP="004927E4">
      <w:pPr>
        <w:pStyle w:val="Heading"/>
        <w:numPr>
          <w:ilvl w:val="0"/>
          <w:numId w:val="2"/>
        </w:numPr>
      </w:pPr>
      <w:bookmarkStart w:id="0" w:name="_Ref4929235701"/>
      <w:bookmarkStart w:id="1" w:name="_Ref492923608"/>
      <w:r w:rsidRPr="00ED5FE8">
        <w:rPr>
          <w:lang w:val="en-US"/>
        </w:rPr>
        <w:t>Charging Station Model</w:t>
      </w:r>
      <w:bookmarkEnd w:id="0"/>
    </w:p>
    <w:p w:rsidR="00A86167" w:rsidRPr="00ED5FE8" w:rsidRDefault="001F55DF" w:rsidP="004927E4">
      <w:pPr>
        <w:pStyle w:val="BodyText"/>
      </w:pPr>
      <w:r w:rsidRPr="00ED5FE8">
        <w:t>For the purpose</w:t>
      </w:r>
      <w:r w:rsidR="00A86167" w:rsidRPr="00ED5FE8">
        <w:t xml:space="preserve"> of evaluating this </w:t>
      </w:r>
      <w:r w:rsidR="00A3105E" w:rsidRPr="00ED5FE8">
        <w:t>system</w:t>
      </w:r>
      <w:r w:rsidR="00A86167" w:rsidRPr="00ED5FE8">
        <w:t xml:space="preserve">, we adopt a simple Markov finite state model for charging station occupancy. Our model </w:t>
      </w:r>
      <w:r w:rsidRPr="00ED5FE8">
        <w:t xml:space="preserve">is </w:t>
      </w:r>
      <w:r w:rsidR="00A86167" w:rsidRPr="00ED5FE8">
        <w:t>consistent with models presented in [11] and [12]</w:t>
      </w:r>
      <w:proofErr w:type="gramStart"/>
      <w:r w:rsidR="00A86167" w:rsidRPr="00ED5FE8">
        <w:t>,</w:t>
      </w:r>
      <w:proofErr w:type="gramEnd"/>
      <w:r w:rsidR="00A86167" w:rsidRPr="00ED5FE8">
        <w:t xml:space="preserve"> however we make the simplifying assumption that PEVs will not queue when all charging bays are occupied. Note that while we believe that, in general, PEVs will not queue at charging stations, we also believe this model is robust to different assumptions in charging station occupancy model, assuming the model has periods of high usage and periods of low usage. </w:t>
      </w:r>
    </w:p>
    <w:p w:rsidR="004927E4" w:rsidRPr="00ED5FE8" w:rsidRDefault="004927E4" w:rsidP="004927E4">
      <w:pPr>
        <w:pStyle w:val="BodyText"/>
      </w:pPr>
      <w:r w:rsidRPr="00ED5FE8">
        <w:t xml:space="preserve">The charging station occupancy is modeled as a Markov birth-death process </w:t>
      </w:r>
      <w:r w:rsidR="00970D82" w:rsidRPr="00ED5FE8">
        <w:t>(</w:t>
      </w:r>
      <w:r w:rsidR="00BE2964" w:rsidRPr="00ED5FE8">
        <w:fldChar w:fldCharType="begin"/>
      </w:r>
      <w:r w:rsidR="00BE2964" w:rsidRPr="00ED5FE8">
        <w:instrText xml:space="preserve"> REF _Ref493184883 \h  \* MERGEFORMAT </w:instrText>
      </w:r>
      <w:r w:rsidR="00BE2964" w:rsidRPr="00ED5FE8">
        <w:fldChar w:fldCharType="separate"/>
      </w:r>
      <w:r w:rsidR="00CD6719" w:rsidRPr="00ED5FE8">
        <w:t>Figure 1</w:t>
      </w:r>
      <w:r w:rsidR="00BE2964" w:rsidRPr="00ED5FE8">
        <w:fldChar w:fldCharType="end"/>
      </w:r>
      <w:r w:rsidR="00970D82" w:rsidRPr="00ED5FE8">
        <w:t xml:space="preserve">) </w:t>
      </w:r>
      <w:r w:rsidRPr="00ED5FE8">
        <w:t>where, at discrete time intervals, the occupancy can increase by one</w:t>
      </w:r>
      <w:r w:rsidR="00970D82" w:rsidRPr="00ED5FE8">
        <w:t xml:space="preserve"> with probability </w:t>
      </w:r>
      <w:r w:rsidR="00970D82" w:rsidRPr="00ED5FE8">
        <w:rPr>
          <w:rFonts w:cs="Times New Roman"/>
        </w:rPr>
        <w:t>λ</w:t>
      </w:r>
      <w:r w:rsidRPr="00ED5FE8">
        <w:t xml:space="preserve"> (if there is an empty charging bay), decrease by one </w:t>
      </w:r>
      <w:r w:rsidR="00970D82" w:rsidRPr="00ED5FE8">
        <w:t xml:space="preserve">with probability </w:t>
      </w:r>
      <w:r w:rsidR="00970D82" w:rsidRPr="00ED5FE8">
        <w:rPr>
          <w:rFonts w:cs="Times New Roman"/>
        </w:rPr>
        <w:t>µ</w:t>
      </w:r>
      <w:r w:rsidR="00970D82" w:rsidRPr="00ED5FE8">
        <w:t xml:space="preserve"> </w:t>
      </w:r>
      <w:r w:rsidRPr="00ED5FE8">
        <w:t xml:space="preserve">(if at least one car is charging), or remain constant. </w:t>
      </w:r>
    </w:p>
    <w:p w:rsidR="00274728" w:rsidRPr="00ED5FE8" w:rsidRDefault="004927E4" w:rsidP="00274728">
      <w:pPr>
        <w:pStyle w:val="BodyText"/>
        <w:keepNext/>
        <w:jc w:val="center"/>
      </w:pPr>
      <w:r w:rsidRPr="00ED5FE8">
        <w:rPr>
          <w:noProof/>
        </w:rPr>
        <w:lastRenderedPageBreak/>
        <w:drawing>
          <wp:inline distT="0" distB="0" distL="0" distR="0" wp14:anchorId="7F32F0BE" wp14:editId="604AA182">
            <wp:extent cx="2077404" cy="809625"/>
            <wp:effectExtent l="0" t="0" r="0" b="0"/>
            <wp:docPr id="1073741827" name="officeArt object" descr="image25.png"/>
            <wp:cNvGraphicFramePr/>
            <a:graphic xmlns:a="http://schemas.openxmlformats.org/drawingml/2006/main">
              <a:graphicData uri="http://schemas.openxmlformats.org/drawingml/2006/picture">
                <pic:pic xmlns:pic="http://schemas.openxmlformats.org/drawingml/2006/picture">
                  <pic:nvPicPr>
                    <pic:cNvPr id="1073741827" name="image25.png" descr="image25.png"/>
                    <pic:cNvPicPr>
                      <a:picLocks noChangeAspect="1"/>
                    </pic:cNvPicPr>
                  </pic:nvPicPr>
                  <pic:blipFill>
                    <a:blip r:embed="rId9" cstate="print">
                      <a:extLst/>
                    </a:blip>
                    <a:srcRect t="5988" r="1518"/>
                    <a:stretch>
                      <a:fillRect/>
                    </a:stretch>
                  </pic:blipFill>
                  <pic:spPr>
                    <a:xfrm>
                      <a:off x="0" y="0"/>
                      <a:ext cx="2077404" cy="809625"/>
                    </a:xfrm>
                    <a:prstGeom prst="rect">
                      <a:avLst/>
                    </a:prstGeom>
                    <a:ln w="12700" cap="flat">
                      <a:noFill/>
                      <a:miter lim="400000"/>
                    </a:ln>
                    <a:effectLst/>
                  </pic:spPr>
                </pic:pic>
              </a:graphicData>
            </a:graphic>
          </wp:inline>
        </w:drawing>
      </w:r>
    </w:p>
    <w:p w:rsidR="004927E4" w:rsidRPr="00ED5FE8" w:rsidRDefault="00274728" w:rsidP="00274728">
      <w:pPr>
        <w:pStyle w:val="Caption"/>
      </w:pPr>
      <w:bookmarkStart w:id="2" w:name="_Ref493184883"/>
      <w:bookmarkStart w:id="3" w:name="_Ref493268273"/>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1</w:t>
      </w:r>
      <w:r w:rsidR="00253FD3" w:rsidRPr="00ED5FE8">
        <w:rPr>
          <w:noProof/>
        </w:rPr>
        <w:fldChar w:fldCharType="end"/>
      </w:r>
      <w:bookmarkEnd w:id="2"/>
      <w:r w:rsidRPr="00ED5FE8">
        <w:t xml:space="preserve"> - Birth Death Process</w:t>
      </w:r>
      <w:bookmarkEnd w:id="3"/>
    </w:p>
    <w:p w:rsidR="004927E4" w:rsidRPr="00ED5FE8" w:rsidRDefault="004927E4" w:rsidP="00FD3E84">
      <w:pPr>
        <w:pStyle w:val="BodyText"/>
      </w:pPr>
      <w:r w:rsidRPr="00ED5FE8">
        <w:t xml:space="preserve">The use of charging stations will vary throughout the day. We use the arrival probability as a function of time of day shown </w:t>
      </w:r>
      <w:proofErr w:type="gramStart"/>
      <w:r w:rsidRPr="00ED5FE8">
        <w:t xml:space="preserve">in </w:t>
      </w:r>
      <w:proofErr w:type="gramEnd"/>
      <w:r w:rsidR="00253FD3" w:rsidRPr="00ED5FE8">
        <w:fldChar w:fldCharType="begin"/>
      </w:r>
      <w:r w:rsidR="00253FD3" w:rsidRPr="00ED5FE8">
        <w:instrText xml:space="preserve"> HYPERLINK \l "Ref493005321" </w:instrText>
      </w:r>
      <w:r w:rsidR="00253FD3" w:rsidRPr="00ED5FE8">
        <w:fldChar w:fldCharType="separate"/>
      </w:r>
      <w:r w:rsidR="00AC434B" w:rsidRPr="00ED5FE8">
        <w:fldChar w:fldCharType="begin"/>
      </w:r>
      <w:r w:rsidR="00622D0A" w:rsidRPr="00ED5FE8">
        <w:instrText xml:space="preserve"> REF _Ref493184830 \h </w:instrText>
      </w:r>
      <w:r w:rsidR="00ED5FE8">
        <w:instrText xml:space="preserve"> \* MERGEFORMAT </w:instrText>
      </w:r>
      <w:r w:rsidR="00AC434B" w:rsidRPr="00ED5FE8">
        <w:fldChar w:fldCharType="separate"/>
      </w:r>
      <w:r w:rsidR="00CD6719" w:rsidRPr="00ED5FE8">
        <w:t xml:space="preserve">Figure </w:t>
      </w:r>
      <w:r w:rsidR="00CD6719" w:rsidRPr="00ED5FE8">
        <w:rPr>
          <w:noProof/>
        </w:rPr>
        <w:t>2</w:t>
      </w:r>
      <w:r w:rsidR="00AC434B" w:rsidRPr="00ED5FE8">
        <w:fldChar w:fldCharType="end"/>
      </w:r>
      <w:r w:rsidR="00253FD3" w:rsidRPr="00ED5FE8">
        <w:fldChar w:fldCharType="end"/>
      </w:r>
      <w:r w:rsidRPr="00ED5FE8">
        <w:t>. This pattern with peaks in morning and afternoon occupancy is consistent with various studies including [</w:t>
      </w:r>
      <w:r w:rsidR="00A85B59" w:rsidRPr="00ED5FE8">
        <w:t>5</w:t>
      </w:r>
      <w:r w:rsidRPr="00ED5FE8">
        <w:t>] and [</w:t>
      </w:r>
      <w:r w:rsidR="00A85B59" w:rsidRPr="00ED5FE8">
        <w:t>6</w:t>
      </w:r>
      <w:r w:rsidRPr="00ED5FE8">
        <w:t xml:space="preserve">]. </w:t>
      </w:r>
    </w:p>
    <w:p w:rsidR="00274728" w:rsidRPr="00ED5FE8" w:rsidRDefault="004927E4" w:rsidP="00274728">
      <w:pPr>
        <w:pStyle w:val="BodyText"/>
        <w:keepNext/>
        <w:ind w:firstLine="0"/>
      </w:pPr>
      <w:r w:rsidRPr="00ED5FE8">
        <w:rPr>
          <w:noProof/>
        </w:rPr>
        <w:drawing>
          <wp:inline distT="0" distB="0" distL="0" distR="0" wp14:anchorId="2A22D510" wp14:editId="1554A2AD">
            <wp:extent cx="3154045" cy="105156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3154045" cy="1051560"/>
                    </a:xfrm>
                    <a:prstGeom prst="rect">
                      <a:avLst/>
                    </a:prstGeom>
                  </pic:spPr>
                </pic:pic>
              </a:graphicData>
            </a:graphic>
          </wp:inline>
        </w:drawing>
      </w:r>
    </w:p>
    <w:p w:rsidR="004927E4" w:rsidRPr="00ED5FE8" w:rsidRDefault="00274728" w:rsidP="00274728">
      <w:pPr>
        <w:pStyle w:val="Caption"/>
      </w:pPr>
      <w:bookmarkStart w:id="4" w:name="_Ref493184830"/>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2</w:t>
      </w:r>
      <w:r w:rsidR="00253FD3" w:rsidRPr="00ED5FE8">
        <w:rPr>
          <w:noProof/>
        </w:rPr>
        <w:fldChar w:fldCharType="end"/>
      </w:r>
      <w:bookmarkEnd w:id="4"/>
      <w:r w:rsidRPr="00ED5FE8">
        <w:t xml:space="preserve"> - Car Arrival Probability by Time of Day</w:t>
      </w:r>
    </w:p>
    <w:p w:rsidR="00A86167" w:rsidRPr="00ED5FE8" w:rsidRDefault="00A86167" w:rsidP="00A86167">
      <w:pPr>
        <w:pStyle w:val="Body"/>
        <w:ind w:firstLine="270"/>
        <w:jc w:val="both"/>
        <w:rPr>
          <w:lang w:val="es-ES_tradnl"/>
        </w:rPr>
      </w:pPr>
      <w:r w:rsidRPr="00ED5FE8">
        <w:t xml:space="preserve">Given the above time-of-day profile, we calculate arrival probability </w:t>
      </w:r>
      <w:proofErr w:type="spellStart"/>
      <w:r w:rsidRPr="00ED5FE8">
        <w:rPr>
          <w:i/>
        </w:rPr>
        <w:t>λ</w:t>
      </w:r>
      <w:r w:rsidRPr="00ED5FE8">
        <w:rPr>
          <w:i/>
          <w:vertAlign w:val="subscript"/>
        </w:rPr>
        <w:t>t</w:t>
      </w:r>
      <w:proofErr w:type="spellEnd"/>
      <w:r w:rsidRPr="00ED5FE8">
        <w:t xml:space="preserve"> </w:t>
      </w:r>
      <w:r w:rsidRPr="00ED5FE8">
        <w:rPr>
          <w:lang w:val="es-ES_tradnl"/>
        </w:rPr>
        <w:t>as:</w:t>
      </w:r>
    </w:p>
    <w:p w:rsidR="00FD3E84" w:rsidRPr="00ED5FE8" w:rsidRDefault="00FD3E84" w:rsidP="00A86167">
      <w:pPr>
        <w:pStyle w:val="Body"/>
        <w:ind w:firstLine="270"/>
        <w:jc w:val="both"/>
        <w:rPr>
          <w:sz w:val="16"/>
        </w:rPr>
      </w:pPr>
    </w:p>
    <w:p w:rsidR="004927E4" w:rsidRPr="00ED5FE8" w:rsidRDefault="00253FD3" w:rsidP="00D37DD1">
      <w:pPr>
        <w:pStyle w:val="Body"/>
        <w:jc w:val="right"/>
      </w:pPr>
      <m:oMath>
        <m:sSub>
          <m:sSubPr>
            <m:ctrlPr>
              <w:rPr>
                <w:rFonts w:ascii="Cambria Math" w:hAnsi="Cambria Math"/>
              </w:rPr>
            </m:ctrlPr>
          </m:sSubPr>
          <m:e>
            <m:r>
              <w:rPr>
                <w:rFonts w:ascii="Cambria Math" w:hAnsi="Cambria Math"/>
              </w:rPr>
              <m:t>λ</m:t>
            </m:r>
          </m:e>
          <m:sub>
            <m:r>
              <w:rPr>
                <w:rFonts w:ascii="Cambria Math" w:hAnsi="Cambria Math"/>
              </w:rPr>
              <m:t>t</m:t>
            </m:r>
          </m:sub>
        </m:sSub>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sSup>
                  <m:sSupPr>
                    <m:ctrlPr>
                      <w:rPr>
                        <w:rFonts w:ascii="Cambria Math" w:hAnsi="Cambria Math"/>
                      </w:rPr>
                    </m:ctrlPr>
                  </m:sSupPr>
                  <m:e>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t</m:t>
                            </m:r>
                          </m:sub>
                        </m:sSub>
                      </m:e>
                    </m:d>
                  </m:e>
                  <m:sup>
                    <m:r>
                      <w:rPr>
                        <w:rFonts w:ascii="Cambria Math" w:hAnsi="Cambria Math"/>
                      </w:rPr>
                      <m:t>N</m:t>
                    </m:r>
                  </m:sup>
                </m:sSup>
                <m:r>
                  <w:rPr>
                    <w:rFonts w:ascii="Cambria Math" w:hAnsi="Cambria Math"/>
                  </w:rPr>
                  <m:t>,n&lt;N</m:t>
                </m:r>
              </m:e>
              <m:e>
                <m:r>
                  <w:rPr>
                    <w:rFonts w:ascii="Cambria Math" w:hAnsi="Cambria Math"/>
                  </w:rPr>
                  <m:t xml:space="preserve">            0            ,n=N</m:t>
                </m:r>
              </m:e>
            </m:eqArr>
          </m:e>
        </m:d>
      </m:oMath>
      <w:r w:rsidR="00D37DD1" w:rsidRPr="00ED5FE8">
        <w:t xml:space="preserve">                      (1)</w:t>
      </w:r>
    </w:p>
    <w:p w:rsidR="00FD3E84" w:rsidRPr="00ED5FE8" w:rsidRDefault="00FD3E84" w:rsidP="00A86167">
      <w:pPr>
        <w:pStyle w:val="Body"/>
        <w:ind w:firstLine="270"/>
        <w:jc w:val="both"/>
        <w:rPr>
          <w:rFonts w:eastAsia="Arial Unicode MS" w:cs="Arial Unicode MS"/>
          <w:sz w:val="16"/>
        </w:rPr>
      </w:pPr>
    </w:p>
    <w:p w:rsidR="00A86167" w:rsidRPr="00ED5FE8" w:rsidRDefault="00A86167" w:rsidP="00A86167">
      <w:pPr>
        <w:pStyle w:val="Body"/>
        <w:ind w:firstLine="270"/>
        <w:jc w:val="both"/>
      </w:pPr>
      <w:r w:rsidRPr="00ED5FE8">
        <w:rPr>
          <w:rFonts w:eastAsia="Arial Unicode MS" w:cs="Arial Unicode MS"/>
        </w:rPr>
        <w:t>Where</w:t>
      </w:r>
      <w:r w:rsidRPr="00ED5FE8">
        <w:t xml:space="preserve"> </w:t>
      </w:r>
      <w:r w:rsidRPr="00ED5FE8">
        <w:rPr>
          <w:i/>
        </w:rPr>
        <w:t>N</w:t>
      </w:r>
      <w:r w:rsidRPr="00ED5FE8">
        <w:t xml:space="preserve"> is the number of bays in the charging station, </w:t>
      </w:r>
      <w:r w:rsidRPr="00ED5FE8">
        <w:rPr>
          <w:i/>
        </w:rPr>
        <w:t>n</w:t>
      </w:r>
      <w:r w:rsidRPr="00ED5FE8">
        <w:t xml:space="preserve"> is the current number of occupied bays, and </w:t>
      </w:r>
      <w:r w:rsidRPr="00ED5FE8">
        <w:rPr>
          <w:i/>
        </w:rPr>
        <w:t>α</w:t>
      </w:r>
      <w:r w:rsidRPr="00ED5FE8">
        <w:rPr>
          <w:i/>
          <w:vertAlign w:val="subscript"/>
        </w:rPr>
        <w:t>t</w:t>
      </w:r>
      <w:r w:rsidRPr="00ED5FE8">
        <w:rPr>
          <w:vertAlign w:val="subscript"/>
        </w:rPr>
        <w:t xml:space="preserve"> </w:t>
      </w:r>
      <w:r w:rsidRPr="00ED5FE8">
        <w:t xml:space="preserve">is the per-minute probability that a PEV will arrive at a charging bay at time of day </w:t>
      </w:r>
      <w:r w:rsidRPr="00ED5FE8">
        <w:rPr>
          <w:i/>
        </w:rPr>
        <w:t>t</w:t>
      </w:r>
      <w:r w:rsidRPr="00ED5FE8">
        <w:t xml:space="preserve">. Thus </w:t>
      </w:r>
      <w:r w:rsidRPr="00ED5FE8">
        <w:rPr>
          <w:i/>
        </w:rPr>
        <w:t>(1- α</w:t>
      </w:r>
      <w:r w:rsidRPr="00ED5FE8">
        <w:rPr>
          <w:i/>
          <w:vertAlign w:val="subscript"/>
        </w:rPr>
        <w:t>t</w:t>
      </w:r>
      <w:proofErr w:type="gramStart"/>
      <w:r w:rsidRPr="00ED5FE8">
        <w:rPr>
          <w:i/>
        </w:rPr>
        <w:t>)</w:t>
      </w:r>
      <w:r w:rsidRPr="00ED5FE8">
        <w:rPr>
          <w:i/>
          <w:vertAlign w:val="superscript"/>
        </w:rPr>
        <w:t>N</w:t>
      </w:r>
      <w:proofErr w:type="gramEnd"/>
      <w:r w:rsidRPr="00ED5FE8">
        <w:t xml:space="preserve"> is the probability no cars arrive at an </w:t>
      </w:r>
      <w:r w:rsidRPr="00ED5FE8">
        <w:rPr>
          <w:i/>
        </w:rPr>
        <w:t>N</w:t>
      </w:r>
      <w:r w:rsidRPr="00ED5FE8">
        <w:t xml:space="preserve"> bay charging station at time </w:t>
      </w:r>
      <w:r w:rsidRPr="00ED5FE8">
        <w:rPr>
          <w:i/>
        </w:rPr>
        <w:t>t</w:t>
      </w:r>
      <w:r w:rsidRPr="00ED5FE8">
        <w:t xml:space="preserve">. We set </w:t>
      </w:r>
      <w:proofErr w:type="spellStart"/>
      <w:r w:rsidRPr="00ED5FE8">
        <w:rPr>
          <w:i/>
        </w:rPr>
        <w:t>λ</w:t>
      </w:r>
      <w:r w:rsidRPr="00ED5FE8">
        <w:rPr>
          <w:i/>
          <w:vertAlign w:val="subscript"/>
        </w:rPr>
        <w:t>t</w:t>
      </w:r>
      <w:proofErr w:type="spellEnd"/>
      <w:r w:rsidRPr="00ED5FE8">
        <w:rPr>
          <w:i/>
        </w:rPr>
        <w:t xml:space="preserve"> = 0</w:t>
      </w:r>
      <w:r w:rsidRPr="00ED5FE8">
        <w:t xml:space="preserve"> when the charging station is full (</w:t>
      </w:r>
      <w:r w:rsidRPr="00ED5FE8">
        <w:rPr>
          <w:i/>
        </w:rPr>
        <w:t>n=N</w:t>
      </w:r>
      <w:r w:rsidRPr="00ED5FE8">
        <w:t xml:space="preserve">) to reflect our assumption that PEV owners will not wait for an opening at a fully occupied charging station.  </w:t>
      </w:r>
    </w:p>
    <w:p w:rsidR="004927E4" w:rsidRPr="00ED5FE8" w:rsidRDefault="00A86167" w:rsidP="00A86167">
      <w:pPr>
        <w:pStyle w:val="Body"/>
        <w:ind w:firstLine="270"/>
        <w:jc w:val="both"/>
        <w:rPr>
          <w:lang w:val="es-ES_tradnl"/>
        </w:rPr>
      </w:pPr>
      <w:r w:rsidRPr="00ED5FE8">
        <w:t xml:space="preserve">We model the departure probability µ </w:t>
      </w:r>
      <w:r w:rsidRPr="00ED5FE8">
        <w:rPr>
          <w:lang w:val="es-ES_tradnl"/>
        </w:rPr>
        <w:t>as:</w:t>
      </w:r>
    </w:p>
    <w:p w:rsidR="00FD3E84" w:rsidRPr="00ED5FE8" w:rsidRDefault="00FD3E84" w:rsidP="00A86167">
      <w:pPr>
        <w:pStyle w:val="Body"/>
        <w:ind w:firstLine="270"/>
        <w:jc w:val="both"/>
        <w:rPr>
          <w:sz w:val="16"/>
        </w:rPr>
      </w:pPr>
    </w:p>
    <w:p w:rsidR="004927E4" w:rsidRPr="00ED5FE8" w:rsidRDefault="004927E4" w:rsidP="004927E4">
      <w:pPr>
        <w:pStyle w:val="Body"/>
      </w:pPr>
      <m:oMathPara>
        <m:oMathParaPr>
          <m:jc m:val="right"/>
        </m:oMathParaPr>
        <m:oMath>
          <m:r>
            <w:rPr>
              <w:rFonts w:ascii="Cambria Math" w:hAnsi="Cambria Math"/>
            </w:rPr>
            <m:t>μ=1-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γ-1</m:t>
                      </m:r>
                    </m:num>
                    <m:den>
                      <m:r>
                        <w:rPr>
                          <w:rFonts w:ascii="Cambria Math" w:hAnsi="Cambria Math"/>
                        </w:rPr>
                        <m:t>γ</m:t>
                      </m:r>
                    </m:den>
                  </m:f>
                </m:e>
              </m:d>
            </m:e>
            <m:sup>
              <m:r>
                <w:rPr>
                  <w:rFonts w:ascii="Cambria Math" w:hAnsi="Cambria Math"/>
                </w:rPr>
                <m:t>n</m:t>
              </m:r>
            </m:sup>
          </m:sSup>
          <m:r>
            <w:rPr>
              <w:rFonts w:ascii="Cambria Math" w:hAnsi="Cambria Math"/>
            </w:rPr>
            <m:t xml:space="preserve">                             (2)</m:t>
          </m:r>
        </m:oMath>
      </m:oMathPara>
    </w:p>
    <w:p w:rsidR="004927E4" w:rsidRPr="00ED5FE8" w:rsidRDefault="004927E4" w:rsidP="004927E4">
      <w:pPr>
        <w:pStyle w:val="Body"/>
        <w:jc w:val="both"/>
        <w:rPr>
          <w:sz w:val="16"/>
        </w:rPr>
      </w:pPr>
    </w:p>
    <w:p w:rsidR="00A86167" w:rsidRPr="00ED5FE8" w:rsidRDefault="00A86167" w:rsidP="004927E4">
      <w:pPr>
        <w:pStyle w:val="BodyText"/>
      </w:pPr>
      <w:r w:rsidRPr="00ED5FE8">
        <w:t>Where γ is the average charging time in minutes, and ((γ-1)/ γ</w:t>
      </w:r>
      <w:proofErr w:type="gramStart"/>
      <w:r w:rsidRPr="00ED5FE8">
        <w:t>)</w:t>
      </w:r>
      <w:r w:rsidRPr="00ED5FE8">
        <w:rPr>
          <w:vertAlign w:val="superscript"/>
        </w:rPr>
        <w:t>n</w:t>
      </w:r>
      <w:proofErr w:type="gramEnd"/>
      <w:r w:rsidRPr="00ED5FE8">
        <w:t xml:space="preserve"> is the per-minute probability that none of the </w:t>
      </w:r>
      <w:r w:rsidRPr="00ED5FE8">
        <w:rPr>
          <w:i/>
        </w:rPr>
        <w:t>n</w:t>
      </w:r>
      <w:r w:rsidRPr="00ED5FE8">
        <w:t xml:space="preserve"> charging PEVs depart.</w:t>
      </w:r>
    </w:p>
    <w:p w:rsidR="00BB4E06" w:rsidRPr="00ED5FE8" w:rsidRDefault="00766B31" w:rsidP="00BB4E06">
      <w:pPr>
        <w:pStyle w:val="Heading"/>
        <w:numPr>
          <w:ilvl w:val="0"/>
          <w:numId w:val="2"/>
        </w:numPr>
      </w:pPr>
      <w:r w:rsidRPr="00ED5FE8">
        <w:rPr>
          <w:lang w:val="en-US"/>
        </w:rPr>
        <w:t>Energy Storage System</w:t>
      </w:r>
      <w:bookmarkEnd w:id="1"/>
    </w:p>
    <w:p w:rsidR="00576DD2" w:rsidRPr="00ED5FE8" w:rsidRDefault="00576DD2">
      <w:pPr>
        <w:pStyle w:val="BodyText"/>
      </w:pPr>
      <w:r w:rsidRPr="00ED5FE8">
        <w:t xml:space="preserve">The goal of </w:t>
      </w:r>
      <w:r w:rsidR="00FB5A78" w:rsidRPr="00ED5FE8">
        <w:t xml:space="preserve">our charging station </w:t>
      </w:r>
      <w:r w:rsidRPr="00ED5FE8">
        <w:t xml:space="preserve">storage </w:t>
      </w:r>
      <w:r w:rsidR="00FB5A78" w:rsidRPr="00ED5FE8">
        <w:t xml:space="preserve">system </w:t>
      </w:r>
      <w:r w:rsidRPr="00ED5FE8">
        <w:t xml:space="preserve">is to smooth the stations power draw from the grid by </w:t>
      </w:r>
      <w:r w:rsidR="00FB5A78" w:rsidRPr="00ED5FE8">
        <w:t xml:space="preserve">using stored power from batteries to reduce grid power load when the charging station is under heavy load and replenishing </w:t>
      </w:r>
      <w:r w:rsidRPr="00ED5FE8">
        <w:t xml:space="preserve">batteries when the charging station is experiencing low usage.  </w:t>
      </w:r>
    </w:p>
    <w:p w:rsidR="001579FB" w:rsidRPr="00ED5FE8" w:rsidRDefault="00766B31" w:rsidP="00576DD2">
      <w:pPr>
        <w:pStyle w:val="BodyText"/>
      </w:pPr>
      <w:r w:rsidRPr="00ED5FE8">
        <w:t xml:space="preserve">While battery technology is </w:t>
      </w:r>
      <w:r w:rsidR="00FB5A78" w:rsidRPr="00ED5FE8">
        <w:t xml:space="preserve">continually </w:t>
      </w:r>
      <w:r w:rsidRPr="00ED5FE8">
        <w:t xml:space="preserve">improving, batteries remain expensive, and their capacity limited. As such they must be used effectively to be economically feasible. To properly harness the battery’s potential to reduce charging station peak power </w:t>
      </w:r>
      <w:proofErr w:type="gramStart"/>
      <w:r w:rsidRPr="00ED5FE8">
        <w:t>requirements,</w:t>
      </w:r>
      <w:proofErr w:type="gramEnd"/>
      <w:r w:rsidRPr="00ED5FE8">
        <w:t xml:space="preserve"> we introduce the concept of charge and discharge levels as follows. </w:t>
      </w:r>
      <w:proofErr w:type="gramStart"/>
      <w:r w:rsidRPr="00ED5FE8">
        <w:t>When a charging station is drawing more power than the discharge level</w:t>
      </w:r>
      <w:r w:rsidR="00F45543" w:rsidRPr="00ED5FE8">
        <w:t xml:space="preserve"> (high usage)</w:t>
      </w:r>
      <w:r w:rsidRPr="00ED5FE8">
        <w:t>, batteries discharge to provide power</w:t>
      </w:r>
      <w:r w:rsidR="00FB5A78" w:rsidRPr="00ED5FE8">
        <w:t>.</w:t>
      </w:r>
      <w:proofErr w:type="gramEnd"/>
      <w:r w:rsidR="00FB5A78" w:rsidRPr="00ED5FE8">
        <w:t xml:space="preserve"> </w:t>
      </w:r>
      <w:r w:rsidR="00FB5A78" w:rsidRPr="00ED5FE8">
        <w:lastRenderedPageBreak/>
        <w:t>W</w:t>
      </w:r>
      <w:r w:rsidRPr="00ED5FE8">
        <w:t>hen the charging station is drawing less power than the charge level</w:t>
      </w:r>
      <w:r w:rsidR="00F45543" w:rsidRPr="00ED5FE8">
        <w:t xml:space="preserve"> (low usage)</w:t>
      </w:r>
      <w:r w:rsidRPr="00ED5FE8">
        <w:t xml:space="preserve">, power from the grid is used to </w:t>
      </w:r>
      <w:r w:rsidR="00FB5A78" w:rsidRPr="00ED5FE8">
        <w:t xml:space="preserve">replenish </w:t>
      </w:r>
      <w:r w:rsidRPr="00ED5FE8">
        <w:t xml:space="preserve">batteries. More concisely: </w:t>
      </w:r>
    </w:p>
    <w:p w:rsidR="001579FB" w:rsidRPr="00ED5FE8" w:rsidRDefault="00253FD3">
      <w:pPr>
        <w:pStyle w:val="Body"/>
      </w:pP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batt</m:t>
            </m:r>
            <m:r>
              <w:rPr>
                <w:rFonts w:ascii="Cambria Math" w:hAnsi="Cambria Math"/>
              </w:rPr>
              <m:t>,</m:t>
            </m:r>
            <m:r>
              <m:rPr>
                <m:sty m:val="p"/>
              </m:rPr>
              <w:rPr>
                <w:rFonts w:ascii="Cambria Math" w:hAnsi="Cambria Math"/>
              </w:rPr>
              <m:t>t</m:t>
            </m:r>
          </m:sub>
        </m:sSub>
        <m:r>
          <w:rPr>
            <w:rFonts w:ascii="Cambria Math" w:hAnsi="Cambria Math"/>
          </w:rPr>
          <m:t>=</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cs</m:t>
                      </m:r>
                      <m:r>
                        <w:rPr>
                          <w:rFonts w:ascii="Cambria Math" w:hAnsi="Cambria Math"/>
                        </w:rPr>
                        <m:t>,</m:t>
                      </m:r>
                      <m:r>
                        <m:rPr>
                          <m:sty m:val="p"/>
                        </m:rP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cs</m:t>
                      </m:r>
                      <m:r>
                        <w:rPr>
                          <w:rFonts w:ascii="Cambria Math" w:hAnsi="Cambria Math"/>
                        </w:rPr>
                        <m:t>,</m:t>
                      </m:r>
                      <m:r>
                        <m:rPr>
                          <m:sty m:val="p"/>
                        </m:rPr>
                        <w:rPr>
                          <w:rFonts w:ascii="Cambria Math" w:hAnsi="Cambria Math"/>
                        </w:rPr>
                        <m:t>t</m:t>
                      </m:r>
                    </m:sub>
                  </m:sSub>
                  <m:r>
                    <w:rPr>
                      <w:rFonts w:ascii="Cambria Math" w:hAnsi="Cambria Math"/>
                    </w:rPr>
                    <m:t>&gt;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batt</m:t>
                      </m:r>
                      <m:r>
                        <w:rPr>
                          <w:rFonts w:ascii="Cambria Math" w:hAnsi="Cambria Math"/>
                        </w:rPr>
                        <m:t>,</m:t>
                      </m:r>
                      <m:r>
                        <m:rPr>
                          <m:sty m:val="p"/>
                        </m:rPr>
                        <w:rPr>
                          <w:rFonts w:ascii="Cambria Math" w:hAnsi="Cambria Math"/>
                        </w:rPr>
                        <m:t>t</m:t>
                      </m:r>
                    </m:sub>
                  </m:sSub>
                  <m:r>
                    <w:rPr>
                      <w:rFonts w:ascii="Cambria Math" w:hAnsi="Cambria Math"/>
                    </w:rPr>
                    <m:t>&gt;0</m:t>
                  </m:r>
                </m:e>
              </m:mr>
              <m:mr>
                <m:e>
                  <m:r>
                    <w:rPr>
                      <w:rFonts w:ascii="Cambria Math" w:hAnsi="Cambria Math"/>
                    </w:rPr>
                    <m:t>0,</m:t>
                  </m:r>
                </m:e>
                <m:e>
                  <m:sSub>
                    <m:sSubPr>
                      <m:ctrlPr>
                        <w:rPr>
                          <w:rFonts w:ascii="Cambria Math" w:hAnsi="Cambria Math"/>
                        </w:rPr>
                      </m:ctrlPr>
                    </m:sSubPr>
                    <m:e>
                      <m:r>
                        <m:rPr>
                          <m:sty m:val="p"/>
                        </m:rPr>
                        <w:rPr>
                          <w:rFonts w:ascii="Cambria Math" w:hAnsi="Cambria Math"/>
                        </w:rPr>
                        <m:t>L</m:t>
                      </m:r>
                    </m:e>
                    <m:sub>
                      <m:r>
                        <m:rPr>
                          <m:sty m:val="p"/>
                        </m:rPr>
                        <w:rPr>
                          <w:rFonts w:ascii="Cambria Math" w:hAnsi="Cambria Math"/>
                        </w:rPr>
                        <m:t>D</m:t>
                      </m:r>
                    </m:sub>
                  </m:sSub>
                  <m:r>
                    <w:rPr>
                      <w:rFonts w:ascii="Cambria Math" w:hAnsi="Cambria Math"/>
                    </w:rPr>
                    <m:t>&gt;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cs</m:t>
                      </m:r>
                      <m:r>
                        <w:rPr>
                          <w:rFonts w:ascii="Cambria Math" w:hAnsi="Cambria Math"/>
                        </w:rPr>
                        <m:t>,</m:t>
                      </m:r>
                      <m:r>
                        <m:rPr>
                          <m:sty m:val="p"/>
                        </m:rPr>
                        <w:rPr>
                          <w:rFonts w:ascii="Cambria Math" w:hAnsi="Cambria Math"/>
                        </w:rPr>
                        <m:t>t</m:t>
                      </m:r>
                    </m:sub>
                  </m:sSub>
                  <m:r>
                    <w:rPr>
                      <w:rFonts w:ascii="Cambria Math" w:hAnsi="Cambria Math"/>
                    </w:rPr>
                    <m:t>&gt;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e>
              </m:mr>
              <m:m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cs</m:t>
                      </m:r>
                      <m:r>
                        <w:rPr>
                          <w:rFonts w:ascii="Cambria Math" w:hAnsi="Cambria Math"/>
                        </w:rPr>
                        <m:t>,</m:t>
                      </m:r>
                      <m:r>
                        <m:rPr>
                          <m:sty m:val="p"/>
                        </m:rPr>
                        <w:rPr>
                          <w:rFonts w:ascii="Cambria Math" w:hAnsi="Cambria Math"/>
                        </w:rPr>
                        <m:t>t</m:t>
                      </m:r>
                    </m:sub>
                  </m:sSub>
                  <m:r>
                    <w:rPr>
                      <w:rFonts w:ascii="Cambria Math" w:hAnsi="Cambria Math"/>
                    </w:rPr>
                    <m: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cs</m:t>
                      </m:r>
                      <m:r>
                        <w:rPr>
                          <w:rFonts w:ascii="Cambria Math" w:hAnsi="Cambria Math"/>
                        </w:rPr>
                        <m:t>,</m:t>
                      </m:r>
                      <m:r>
                        <m:rPr>
                          <m:sty m:val="p"/>
                        </m:rPr>
                        <w:rPr>
                          <w:rFonts w:ascii="Cambria Math" w:hAnsi="Cambria Math"/>
                        </w:rPr>
                        <m:t>t</m:t>
                      </m:r>
                    </m:sub>
                  </m:sSub>
                  <m:r>
                    <w:rPr>
                      <w:rFonts w:ascii="Cambria Math" w:hAnsi="Cambria Math"/>
                    </w:rPr>
                    <m:t>&lt;</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batt</m:t>
                      </m:r>
                      <m:r>
                        <w:rPr>
                          <w:rFonts w:ascii="Cambria Math" w:hAnsi="Cambria Math"/>
                        </w:rPr>
                        <m:t>,</m:t>
                      </m:r>
                      <m:r>
                        <m:rPr>
                          <m:sty m:val="p"/>
                        </m:rPr>
                        <w:rPr>
                          <w:rFonts w:ascii="Cambria Math" w:hAnsi="Cambria Math"/>
                        </w:rPr>
                        <m:t>t</m:t>
                      </m:r>
                    </m:sub>
                  </m:sSub>
                  <m:r>
                    <w:rPr>
                      <w:rFonts w:ascii="Cambria Math" w:hAnsi="Cambria Math"/>
                    </w:rPr>
                    <m:t>&lt;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batt</m:t>
                      </m:r>
                      <m:r>
                        <w:rPr>
                          <w:rFonts w:ascii="Cambria Math" w:hAnsi="Cambria Math"/>
                        </w:rPr>
                        <m:t>,</m:t>
                      </m:r>
                      <m:r>
                        <m:rPr>
                          <m:sty m:val="p"/>
                        </m:rPr>
                        <w:rPr>
                          <w:rFonts w:ascii="Cambria Math" w:hAnsi="Cambria Math"/>
                        </w:rPr>
                        <m:t>max</m:t>
                      </m:r>
                    </m:sub>
                  </m:sSub>
                </m:e>
              </m:mr>
            </m:m>
          </m:e>
        </m:d>
      </m:oMath>
      <w:r w:rsidR="00D37DD1" w:rsidRPr="00ED5FE8">
        <w:t xml:space="preserve">  (3)</w:t>
      </w:r>
    </w:p>
    <w:p w:rsidR="001579FB" w:rsidRPr="00ED5FE8" w:rsidRDefault="001579FB">
      <w:pPr>
        <w:pStyle w:val="Body"/>
      </w:pPr>
    </w:p>
    <w:p w:rsidR="001579FB" w:rsidRPr="00ED5FE8" w:rsidRDefault="00766B31">
      <w:pPr>
        <w:pStyle w:val="BodyText"/>
      </w:pPr>
      <w:r w:rsidRPr="00ED5FE8">
        <w:t xml:space="preserve">Where </w:t>
      </w:r>
      <w:proofErr w:type="spellStart"/>
      <w:r w:rsidRPr="00ED5FE8">
        <w:t>P</w:t>
      </w:r>
      <w:r w:rsidRPr="00ED5FE8">
        <w:rPr>
          <w:vertAlign w:val="subscript"/>
        </w:rPr>
        <w:t>batt,t</w:t>
      </w:r>
      <w:proofErr w:type="spellEnd"/>
      <w:r w:rsidRPr="00ED5FE8">
        <w:t xml:space="preserve"> is the battery output power at time t, </w:t>
      </w:r>
      <w:proofErr w:type="spellStart"/>
      <w:r w:rsidRPr="00ED5FE8">
        <w:t>P</w:t>
      </w:r>
      <w:r w:rsidRPr="00ED5FE8">
        <w:rPr>
          <w:vertAlign w:val="subscript"/>
        </w:rPr>
        <w:t>cs,t</w:t>
      </w:r>
      <w:proofErr w:type="spellEnd"/>
      <w:r w:rsidRPr="00ED5FE8">
        <w:t xml:space="preserve"> is the aggregate charging station power usage at time t, </w:t>
      </w:r>
      <w:proofErr w:type="spellStart"/>
      <w:r w:rsidRPr="00ED5FE8">
        <w:t>E</w:t>
      </w:r>
      <w:r w:rsidRPr="00ED5FE8">
        <w:rPr>
          <w:vertAlign w:val="subscript"/>
        </w:rPr>
        <w:t>batt,t</w:t>
      </w:r>
      <w:proofErr w:type="spellEnd"/>
      <w:r w:rsidRPr="00ED5FE8">
        <w:t xml:space="preserve"> is the battery energy level at time t, </w:t>
      </w:r>
      <w:proofErr w:type="spellStart"/>
      <w:r w:rsidRPr="00ED5FE8">
        <w:t>E</w:t>
      </w:r>
      <w:r w:rsidRPr="00ED5FE8">
        <w:rPr>
          <w:vertAlign w:val="subscript"/>
        </w:rPr>
        <w:t>batt,max</w:t>
      </w:r>
      <w:proofErr w:type="spellEnd"/>
      <w:r w:rsidRPr="00ED5FE8">
        <w:t xml:space="preserve"> is the battery energy capacity, and L</w:t>
      </w:r>
      <w:r w:rsidRPr="00ED5FE8">
        <w:rPr>
          <w:vertAlign w:val="subscript"/>
        </w:rPr>
        <w:t>C</w:t>
      </w:r>
      <w:r w:rsidRPr="00ED5FE8">
        <w:t xml:space="preserve"> and L</w:t>
      </w:r>
      <w:r w:rsidRPr="00ED5FE8">
        <w:rPr>
          <w:vertAlign w:val="subscript"/>
        </w:rPr>
        <w:t>D</w:t>
      </w:r>
      <w:r w:rsidRPr="00ED5FE8">
        <w:t xml:space="preserve"> are the charge and discharge levels. Negative output indicates that the battery is charging, positive output indicates that the battery is discharging.</w:t>
      </w:r>
    </w:p>
    <w:p w:rsidR="00F9213C" w:rsidRPr="00ED5FE8" w:rsidRDefault="00BE2964" w:rsidP="00F9213C">
      <w:pPr>
        <w:pStyle w:val="BodyText"/>
      </w:pPr>
      <w:r w:rsidRPr="00ED5FE8">
        <w:fldChar w:fldCharType="begin"/>
      </w:r>
      <w:r w:rsidRPr="00ED5FE8">
        <w:instrText xml:space="preserve"> REF _Ref493184908 \h  \* MERGEFORMAT </w:instrText>
      </w:r>
      <w:r w:rsidRPr="00ED5FE8">
        <w:fldChar w:fldCharType="separate"/>
      </w:r>
      <w:r w:rsidR="00CD6719" w:rsidRPr="00ED5FE8">
        <w:t>Figure 3</w:t>
      </w:r>
      <w:r w:rsidRPr="00ED5FE8">
        <w:fldChar w:fldCharType="end"/>
      </w:r>
      <w:r w:rsidR="00622D0A" w:rsidRPr="00ED5FE8">
        <w:t xml:space="preserve"> </w:t>
      </w:r>
      <w:r w:rsidR="009E4508" w:rsidRPr="00ED5FE8">
        <w:t>demonstrates</w:t>
      </w:r>
      <w:r w:rsidR="00D37DD1" w:rsidRPr="00ED5FE8">
        <w:t xml:space="preserve"> </w:t>
      </w:r>
      <w:r w:rsidR="009E4508" w:rsidRPr="00ED5FE8">
        <w:t xml:space="preserve">simulated </w:t>
      </w:r>
      <w:r w:rsidR="00D37DD1" w:rsidRPr="00ED5FE8">
        <w:t xml:space="preserve">energy flows over a </w:t>
      </w:r>
      <w:r w:rsidR="0002261D" w:rsidRPr="00ED5FE8">
        <w:t>1-week</w:t>
      </w:r>
      <w:r w:rsidR="00D37DD1" w:rsidRPr="00ED5FE8">
        <w:t xml:space="preserve"> period in a </w:t>
      </w:r>
      <w:r w:rsidR="001F55DF" w:rsidRPr="00ED5FE8">
        <w:t>typical</w:t>
      </w:r>
      <w:r w:rsidR="00FB5A78" w:rsidRPr="00ED5FE8">
        <w:t xml:space="preserve"> </w:t>
      </w:r>
      <w:r w:rsidR="009E4508" w:rsidRPr="00ED5FE8">
        <w:t xml:space="preserve">16-bay </w:t>
      </w:r>
      <w:r w:rsidR="00D37DD1" w:rsidRPr="00ED5FE8">
        <w:t>charging station. The upper horizontal line is</w:t>
      </w:r>
      <w:r w:rsidR="007875E1" w:rsidRPr="00ED5FE8">
        <w:t xml:space="preserve"> the</w:t>
      </w:r>
      <w:r w:rsidR="00D37DD1" w:rsidRPr="00ED5FE8">
        <w:t xml:space="preserve"> discharge level, </w:t>
      </w:r>
      <w:r w:rsidR="00FB5A78" w:rsidRPr="00ED5FE8">
        <w:t xml:space="preserve">i.e., </w:t>
      </w:r>
      <w:r w:rsidR="00D37DD1" w:rsidRPr="00ED5FE8">
        <w:t>if the charging station power load exceeds this line</w:t>
      </w:r>
      <w:r w:rsidR="00F9213C" w:rsidRPr="00ED5FE8">
        <w:t xml:space="preserve"> we consider the charging station to be in high usage mode and</w:t>
      </w:r>
      <w:r w:rsidR="00D37DD1" w:rsidRPr="00ED5FE8">
        <w:t xml:space="preserve"> the batteries discharge</w:t>
      </w:r>
      <w:r w:rsidR="00F9213C" w:rsidRPr="00ED5FE8">
        <w:t xml:space="preserve"> to supplement power from the grid.</w:t>
      </w:r>
      <w:r w:rsidR="00D37DD1" w:rsidRPr="00ED5FE8">
        <w:t xml:space="preserve"> </w:t>
      </w:r>
      <w:r w:rsidR="00F9213C" w:rsidRPr="00ED5FE8">
        <w:t>The</w:t>
      </w:r>
      <w:r w:rsidR="00D37DD1" w:rsidRPr="00ED5FE8">
        <w:t xml:space="preserve"> lower horizontal line is the charge level</w:t>
      </w:r>
      <w:r w:rsidR="00FB5A78" w:rsidRPr="00ED5FE8">
        <w:t>. I</w:t>
      </w:r>
      <w:r w:rsidR="00D37DD1" w:rsidRPr="00ED5FE8">
        <w:t xml:space="preserve">f the charging station load is below this line </w:t>
      </w:r>
      <w:r w:rsidR="00F9213C" w:rsidRPr="00ED5FE8">
        <w:t xml:space="preserve">we consider the </w:t>
      </w:r>
      <w:r w:rsidR="00257728" w:rsidRPr="00ED5FE8">
        <w:t>station to be in low usage mode</w:t>
      </w:r>
      <w:r w:rsidR="00F9213C" w:rsidRPr="00ED5FE8">
        <w:t xml:space="preserve"> and </w:t>
      </w:r>
      <w:r w:rsidR="00D37DD1" w:rsidRPr="00ED5FE8">
        <w:t>the batteries charge</w:t>
      </w:r>
      <w:r w:rsidR="00F9213C" w:rsidRPr="00ED5FE8">
        <w:t xml:space="preserve"> from grid power</w:t>
      </w:r>
      <w:r w:rsidR="00D37DD1" w:rsidRPr="00ED5FE8">
        <w:t>.</w:t>
      </w:r>
    </w:p>
    <w:p w:rsidR="00202BF0" w:rsidRPr="00ED5FE8" w:rsidRDefault="007B3C2E" w:rsidP="00202BF0">
      <w:pPr>
        <w:pStyle w:val="Body"/>
        <w:keepNext/>
      </w:pPr>
      <w:r w:rsidRPr="00ED5FE8">
        <w:rPr>
          <w:noProof/>
        </w:rPr>
        <w:drawing>
          <wp:inline distT="0" distB="0" distL="0" distR="0" wp14:anchorId="6AF194D9" wp14:editId="50E8260B">
            <wp:extent cx="3154680" cy="14356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154680" cy="1435608"/>
                    </a:xfrm>
                    <a:prstGeom prst="rect">
                      <a:avLst/>
                    </a:prstGeom>
                  </pic:spPr>
                </pic:pic>
              </a:graphicData>
            </a:graphic>
          </wp:inline>
        </w:drawing>
      </w:r>
    </w:p>
    <w:p w:rsidR="00202BF0" w:rsidRPr="00ED5FE8" w:rsidRDefault="00202BF0" w:rsidP="00202BF0">
      <w:pPr>
        <w:pStyle w:val="Caption"/>
      </w:pPr>
      <w:bookmarkStart w:id="5" w:name="_Ref493184908"/>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3</w:t>
      </w:r>
      <w:r w:rsidR="00253FD3" w:rsidRPr="00ED5FE8">
        <w:rPr>
          <w:noProof/>
        </w:rPr>
        <w:fldChar w:fldCharType="end"/>
      </w:r>
      <w:bookmarkEnd w:id="5"/>
      <w:r w:rsidRPr="00ED5FE8">
        <w:t xml:space="preserve"> - Charging Station Energy Draw</w:t>
      </w:r>
    </w:p>
    <w:p w:rsidR="00202BF0" w:rsidRPr="00ED5FE8" w:rsidRDefault="00202BF0" w:rsidP="00202BF0">
      <w:pPr>
        <w:pStyle w:val="Body"/>
        <w:keepNext/>
      </w:pPr>
      <w:r w:rsidRPr="00ED5FE8">
        <w:rPr>
          <w:noProof/>
        </w:rPr>
        <w:drawing>
          <wp:inline distT="0" distB="0" distL="0" distR="0" wp14:anchorId="75084C55" wp14:editId="5A655F00">
            <wp:extent cx="3154680" cy="14356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154680" cy="1435608"/>
                    </a:xfrm>
                    <a:prstGeom prst="rect">
                      <a:avLst/>
                    </a:prstGeom>
                  </pic:spPr>
                </pic:pic>
              </a:graphicData>
            </a:graphic>
          </wp:inline>
        </w:drawing>
      </w:r>
    </w:p>
    <w:p w:rsidR="00202BF0" w:rsidRPr="00ED5FE8" w:rsidRDefault="00202BF0" w:rsidP="00202BF0">
      <w:pPr>
        <w:pStyle w:val="Caption"/>
      </w:pPr>
      <w:bookmarkStart w:id="6" w:name="_Ref493179295"/>
      <w:bookmarkStart w:id="7" w:name="_Ref493179284"/>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4</w:t>
      </w:r>
      <w:r w:rsidR="00253FD3" w:rsidRPr="00ED5FE8">
        <w:rPr>
          <w:noProof/>
        </w:rPr>
        <w:fldChar w:fldCharType="end"/>
      </w:r>
      <w:bookmarkEnd w:id="6"/>
      <w:r w:rsidRPr="00ED5FE8">
        <w:t xml:space="preserve"> - Batter Power Supplied</w:t>
      </w:r>
      <w:bookmarkEnd w:id="7"/>
    </w:p>
    <w:p w:rsidR="00274728" w:rsidRPr="00ED5FE8" w:rsidRDefault="00274728" w:rsidP="00274728">
      <w:pPr>
        <w:pStyle w:val="Body"/>
        <w:keepNext/>
      </w:pPr>
      <w:r w:rsidRPr="00ED5FE8">
        <w:rPr>
          <w:noProof/>
        </w:rPr>
        <w:drawing>
          <wp:inline distT="0" distB="0" distL="0" distR="0" wp14:anchorId="7DFA6215" wp14:editId="0991ACBA">
            <wp:extent cx="3154680" cy="14356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154680" cy="1435608"/>
                    </a:xfrm>
                    <a:prstGeom prst="rect">
                      <a:avLst/>
                    </a:prstGeom>
                  </pic:spPr>
                </pic:pic>
              </a:graphicData>
            </a:graphic>
          </wp:inline>
        </w:drawing>
      </w:r>
    </w:p>
    <w:p w:rsidR="00274728" w:rsidRPr="00ED5FE8" w:rsidRDefault="00274728" w:rsidP="00274728">
      <w:pPr>
        <w:pStyle w:val="Caption"/>
      </w:pPr>
      <w:bookmarkStart w:id="8" w:name="_Ref493179376"/>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5</w:t>
      </w:r>
      <w:r w:rsidR="00253FD3" w:rsidRPr="00ED5FE8">
        <w:rPr>
          <w:noProof/>
        </w:rPr>
        <w:fldChar w:fldCharType="end"/>
      </w:r>
      <w:bookmarkEnd w:id="8"/>
      <w:r w:rsidRPr="00ED5FE8">
        <w:t xml:space="preserve"> - Battery Energy Level</w:t>
      </w:r>
    </w:p>
    <w:p w:rsidR="009A798B" w:rsidRPr="00ED5FE8" w:rsidRDefault="00BE2964" w:rsidP="009A798B">
      <w:pPr>
        <w:pStyle w:val="BodyText"/>
      </w:pPr>
      <w:r w:rsidRPr="00ED5FE8">
        <w:lastRenderedPageBreak/>
        <w:fldChar w:fldCharType="begin"/>
      </w:r>
      <w:r w:rsidRPr="00ED5FE8">
        <w:instrText xml:space="preserve"> REF _Ref493179295 \h  \* MERGEFORMAT </w:instrText>
      </w:r>
      <w:r w:rsidRPr="00ED5FE8">
        <w:fldChar w:fldCharType="separate"/>
      </w:r>
      <w:r w:rsidR="00CD6719" w:rsidRPr="00ED5FE8">
        <w:t>Figure 4</w:t>
      </w:r>
      <w:r w:rsidRPr="00ED5FE8">
        <w:fldChar w:fldCharType="end"/>
      </w:r>
      <w:r w:rsidR="009A798B" w:rsidRPr="00ED5FE8">
        <w:t xml:space="preserve"> represents the output of the battery, where negative output indicates that the battery is charging. This shows the battery effectively moving grid power usage from times of high load to times of low load. </w:t>
      </w:r>
    </w:p>
    <w:p w:rsidR="00332756" w:rsidRPr="00ED5FE8" w:rsidRDefault="00AC434B" w:rsidP="00DC03F7">
      <w:pPr>
        <w:pStyle w:val="BodyText"/>
      </w:pPr>
      <w:r w:rsidRPr="00ED5FE8">
        <w:fldChar w:fldCharType="begin"/>
      </w:r>
      <w:r w:rsidR="00274728" w:rsidRPr="00ED5FE8">
        <w:instrText xml:space="preserve"> REF _Ref493179376 \h </w:instrText>
      </w:r>
      <w:r w:rsidR="00ED5FE8">
        <w:instrText xml:space="preserve"> \* MERGEFORMAT </w:instrText>
      </w:r>
      <w:r w:rsidRPr="00ED5FE8">
        <w:fldChar w:fldCharType="separate"/>
      </w:r>
      <w:r w:rsidR="00CD6719" w:rsidRPr="00ED5FE8">
        <w:t xml:space="preserve">Figure </w:t>
      </w:r>
      <w:r w:rsidR="00CD6719" w:rsidRPr="00ED5FE8">
        <w:rPr>
          <w:noProof/>
        </w:rPr>
        <w:t>5</w:t>
      </w:r>
      <w:r w:rsidRPr="00ED5FE8">
        <w:fldChar w:fldCharType="end"/>
      </w:r>
      <w:r w:rsidR="00274728" w:rsidRPr="00ED5FE8">
        <w:t xml:space="preserve"> </w:t>
      </w:r>
      <w:r w:rsidR="00766B31" w:rsidRPr="00ED5FE8">
        <w:t>show</w:t>
      </w:r>
      <w:r w:rsidR="00274728" w:rsidRPr="00ED5FE8">
        <w:t>s</w:t>
      </w:r>
      <w:r w:rsidR="00766B31" w:rsidRPr="00ED5FE8">
        <w:t xml:space="preserve"> the energy remaining</w:t>
      </w:r>
      <w:r w:rsidR="007875E1" w:rsidRPr="00ED5FE8">
        <w:t xml:space="preserve"> in the batteries. Setting the d</w:t>
      </w:r>
      <w:r w:rsidR="00766B31" w:rsidRPr="00ED5FE8">
        <w:t xml:space="preserve">ischarge </w:t>
      </w:r>
      <w:r w:rsidR="007875E1" w:rsidRPr="00ED5FE8">
        <w:t>l</w:t>
      </w:r>
      <w:r w:rsidR="00766B31" w:rsidRPr="00ED5FE8">
        <w:t xml:space="preserve">evel too low will cause the batteries to fully discharge while demand is still low, leaving them unavailable during peak loads, while setting the level too high will make the battery ineffective in reducing peak loads. </w:t>
      </w:r>
      <w:r w:rsidR="00274728" w:rsidRPr="00ED5FE8">
        <w:t xml:space="preserve">This example </w:t>
      </w:r>
      <w:r w:rsidR="00C21D57" w:rsidRPr="00ED5FE8">
        <w:t xml:space="preserve">represents a good, but not necessarily optimal, </w:t>
      </w:r>
      <w:r w:rsidR="00766B31" w:rsidRPr="00ED5FE8">
        <w:t>discharge level and battery size; power is available during most times but the battery is not over specified such that it never runs out of power.</w:t>
      </w:r>
    </w:p>
    <w:p w:rsidR="001579FB" w:rsidRPr="00ED5FE8" w:rsidRDefault="00766B31">
      <w:pPr>
        <w:pStyle w:val="Heading"/>
        <w:numPr>
          <w:ilvl w:val="0"/>
          <w:numId w:val="2"/>
        </w:numPr>
      </w:pPr>
      <w:bookmarkStart w:id="9" w:name="_Ref492923725"/>
      <w:r w:rsidRPr="00ED5FE8">
        <w:rPr>
          <w:lang w:val="en-US"/>
        </w:rPr>
        <w:t>Differentiated Price Optimization</w:t>
      </w:r>
      <w:bookmarkEnd w:id="9"/>
    </w:p>
    <w:p w:rsidR="001579FB" w:rsidRPr="00ED5FE8" w:rsidRDefault="00766B31">
      <w:pPr>
        <w:pStyle w:val="BodyText"/>
      </w:pPr>
      <w:r w:rsidRPr="00ED5FE8">
        <w:t xml:space="preserve">While </w:t>
      </w:r>
      <w:r w:rsidRPr="00ED5FE8">
        <w:rPr>
          <w:color w:val="auto"/>
        </w:rPr>
        <w:t xml:space="preserve">Section </w:t>
      </w:r>
      <w:r w:rsidR="004927E4" w:rsidRPr="00ED5FE8">
        <w:rPr>
          <w:rStyle w:val="Hyperlink0"/>
          <w:color w:val="auto"/>
        </w:rPr>
        <w:t xml:space="preserve">III </w:t>
      </w:r>
      <w:r w:rsidRPr="00ED5FE8">
        <w:rPr>
          <w:rStyle w:val="Hyperlink0"/>
          <w:color w:val="auto"/>
        </w:rPr>
        <w:t>demonstrates the use of batteries to reduce peak power,</w:t>
      </w:r>
      <w:r w:rsidRPr="00ED5FE8">
        <w:rPr>
          <w:color w:val="auto"/>
        </w:rPr>
        <w:t xml:space="preserve"> </w:t>
      </w:r>
      <w:r w:rsidRPr="00ED5FE8">
        <w:t>energy storage is expensive and charging station owners must be incentivized to make an investment in batteries.</w:t>
      </w:r>
      <w:r w:rsidR="00D55A00" w:rsidRPr="00ED5FE8">
        <w:t xml:space="preserve"> </w:t>
      </w:r>
      <w:r w:rsidR="000C186E" w:rsidRPr="00ED5FE8">
        <w:t xml:space="preserve">We propose </w:t>
      </w:r>
      <w:r w:rsidR="001F55DF" w:rsidRPr="00ED5FE8">
        <w:t>incentivizing</w:t>
      </w:r>
      <w:r w:rsidR="000C186E" w:rsidRPr="00ED5FE8">
        <w:t xml:space="preserve"> charging station operators to invest in load-shifting battery infrastructure </w:t>
      </w:r>
      <w:r w:rsidR="001F55DF" w:rsidRPr="00ED5FE8">
        <w:t>by</w:t>
      </w:r>
      <w:r w:rsidR="000C186E" w:rsidRPr="00ED5FE8">
        <w:t xml:space="preserve"> </w:t>
      </w:r>
      <w:r w:rsidR="001F55DF" w:rsidRPr="00ED5FE8">
        <w:t>differentiating</w:t>
      </w:r>
      <w:r w:rsidR="000C186E" w:rsidRPr="00ED5FE8">
        <w:t xml:space="preserve"> peak and nonpeak power prices.</w:t>
      </w:r>
      <w:r w:rsidR="00D55A00" w:rsidRPr="00ED5FE8">
        <w:t xml:space="preserve"> </w:t>
      </w:r>
    </w:p>
    <w:p w:rsidR="001579FB" w:rsidRPr="00ED5FE8" w:rsidRDefault="00AC434B" w:rsidP="00DC03F7">
      <w:pPr>
        <w:pStyle w:val="BodyText"/>
      </w:pPr>
      <w:r w:rsidRPr="00ED5FE8">
        <w:fldChar w:fldCharType="begin"/>
      </w:r>
      <w:r w:rsidR="00D92F06" w:rsidRPr="00ED5FE8">
        <w:instrText xml:space="preserve"> REF _Ref493183996 \h </w:instrText>
      </w:r>
      <w:r w:rsidR="00ED5FE8">
        <w:instrText xml:space="preserve"> \* MERGEFORMAT </w:instrText>
      </w:r>
      <w:r w:rsidRPr="00ED5FE8">
        <w:fldChar w:fldCharType="separate"/>
      </w:r>
      <w:r w:rsidR="00CD6719" w:rsidRPr="00ED5FE8">
        <w:t xml:space="preserve">Figure </w:t>
      </w:r>
      <w:r w:rsidR="00CD6719" w:rsidRPr="00ED5FE8">
        <w:rPr>
          <w:noProof/>
        </w:rPr>
        <w:t>6</w:t>
      </w:r>
      <w:r w:rsidRPr="00ED5FE8">
        <w:fldChar w:fldCharType="end"/>
      </w:r>
      <w:r w:rsidR="00D92F06" w:rsidRPr="00ED5FE8">
        <w:t xml:space="preserve"> </w:t>
      </w:r>
      <w:r w:rsidR="0002261D" w:rsidRPr="00ED5FE8">
        <w:t>shows the utility</w:t>
      </w:r>
      <w:r w:rsidR="000C186E" w:rsidRPr="00ED5FE8">
        <w:t xml:space="preserve"> table</w:t>
      </w:r>
      <w:r w:rsidR="0002261D" w:rsidRPr="00ED5FE8">
        <w:t xml:space="preserve"> </w:t>
      </w:r>
      <w:r w:rsidR="00766B31" w:rsidRPr="00ED5FE8">
        <w:t xml:space="preserve">for a sample charging station. The utility </w:t>
      </w:r>
      <w:r w:rsidR="000C186E" w:rsidRPr="00ED5FE8">
        <w:t xml:space="preserve">function </w:t>
      </w:r>
      <w:r w:rsidR="00766B31" w:rsidRPr="00ED5FE8">
        <w:t>is driven by</w:t>
      </w:r>
      <w:r w:rsidR="00622D0A" w:rsidRPr="00ED5FE8">
        <w:t xml:space="preserve"> the size of the battery (in kW</w:t>
      </w:r>
      <w:r w:rsidR="00766B31" w:rsidRPr="00ED5FE8">
        <w:t>h) and the discharge level (</w:t>
      </w:r>
      <w:r w:rsidR="00257728" w:rsidRPr="00ED5FE8">
        <w:t>charging station load</w:t>
      </w:r>
      <w:r w:rsidR="00766B31" w:rsidRPr="00ED5FE8">
        <w:t xml:space="preserve"> at which the battery begins to supply</w:t>
      </w:r>
      <w:r w:rsidR="00257728" w:rsidRPr="00ED5FE8">
        <w:t xml:space="preserve"> power,</w:t>
      </w:r>
      <w:r w:rsidR="00766B31" w:rsidRPr="00ED5FE8">
        <w:t xml:space="preserve"> in % of max charging station </w:t>
      </w:r>
      <w:r w:rsidR="00257728" w:rsidRPr="00ED5FE8">
        <w:t>load</w:t>
      </w:r>
      <w:r w:rsidR="00766B31" w:rsidRPr="00ED5FE8">
        <w:t xml:space="preserve">). This example </w:t>
      </w:r>
      <w:r w:rsidR="00622D0A" w:rsidRPr="00ED5FE8">
        <w:t>assumes a price of $</w:t>
      </w:r>
      <w:r w:rsidR="009E4508" w:rsidRPr="00ED5FE8">
        <w:t>150</w:t>
      </w:r>
      <w:r w:rsidR="00622D0A" w:rsidRPr="00ED5FE8">
        <w:t xml:space="preserve"> per kW</w:t>
      </w:r>
      <w:r w:rsidR="00766B31" w:rsidRPr="00ED5FE8">
        <w:t xml:space="preserve">h of battery </w:t>
      </w:r>
      <w:r w:rsidR="00720CD2" w:rsidRPr="00ED5FE8">
        <w:t xml:space="preserve">capacity, a battery </w:t>
      </w:r>
      <w:r w:rsidR="00C67E47" w:rsidRPr="00ED5FE8">
        <w:t>lifetime of</w:t>
      </w:r>
      <w:r w:rsidR="00766B31" w:rsidRPr="00ED5FE8">
        <w:t xml:space="preserve"> 5 years</w:t>
      </w:r>
      <w:r w:rsidR="00720CD2" w:rsidRPr="00ED5FE8">
        <w:t>,</w:t>
      </w:r>
      <w:r w:rsidR="00766B31" w:rsidRPr="00ED5FE8">
        <w:t xml:space="preserve"> an i</w:t>
      </w:r>
      <w:r w:rsidR="00622D0A" w:rsidRPr="00ED5FE8">
        <w:t xml:space="preserve">nterest rate of </w:t>
      </w:r>
      <w:r w:rsidR="009E4508" w:rsidRPr="00ED5FE8">
        <w:t>5</w:t>
      </w:r>
      <w:r w:rsidR="00622D0A" w:rsidRPr="00ED5FE8">
        <w:t>%</w:t>
      </w:r>
      <w:r w:rsidR="0095732B" w:rsidRPr="00ED5FE8">
        <w:t xml:space="preserve"> on capital</w:t>
      </w:r>
      <w:r w:rsidR="00622D0A" w:rsidRPr="00ED5FE8">
        <w:t>, a $</w:t>
      </w:r>
      <w:r w:rsidR="00720CD2" w:rsidRPr="00ED5FE8">
        <w:t>0.60</w:t>
      </w:r>
      <w:r w:rsidR="00622D0A" w:rsidRPr="00ED5FE8">
        <w:t xml:space="preserve"> per kW</w:t>
      </w:r>
      <w:r w:rsidR="00766B31" w:rsidRPr="00ED5FE8">
        <w:t>h pe</w:t>
      </w:r>
      <w:r w:rsidR="00622D0A" w:rsidRPr="00ED5FE8">
        <w:t>ak power price</w:t>
      </w:r>
      <w:r w:rsidR="00257728" w:rsidRPr="00ED5FE8">
        <w:t>,</w:t>
      </w:r>
      <w:r w:rsidR="00622D0A" w:rsidRPr="00ED5FE8">
        <w:t xml:space="preserve"> and </w:t>
      </w:r>
      <w:r w:rsidR="00257728" w:rsidRPr="00ED5FE8">
        <w:t xml:space="preserve">a </w:t>
      </w:r>
      <w:r w:rsidR="00622D0A" w:rsidRPr="00ED5FE8">
        <w:t>$0.</w:t>
      </w:r>
      <w:r w:rsidR="00720CD2" w:rsidRPr="00ED5FE8">
        <w:t>09</w:t>
      </w:r>
      <w:r w:rsidR="00622D0A" w:rsidRPr="00ED5FE8">
        <w:t xml:space="preserve"> per kW</w:t>
      </w:r>
      <w:r w:rsidR="00720CD2" w:rsidRPr="00ED5FE8">
        <w:t>h non</w:t>
      </w:r>
      <w:r w:rsidR="00766B31" w:rsidRPr="00ED5FE8">
        <w:t xml:space="preserve">peak price. </w:t>
      </w:r>
      <w:r w:rsidR="000C186E" w:rsidRPr="00ED5FE8">
        <w:t>We evaluated b</w:t>
      </w:r>
      <w:r w:rsidR="000D23AD" w:rsidRPr="00ED5FE8">
        <w:t>attery sizes up to 50 kWh per charging bay. 50 kWh is roughly the size of a battery in a PEV</w:t>
      </w:r>
      <w:r w:rsidR="00720CD2" w:rsidRPr="00ED5FE8">
        <w:t>,</w:t>
      </w:r>
      <w:r w:rsidR="000D23AD" w:rsidRPr="00ED5FE8">
        <w:t xml:space="preserve"> which allows access to commodity battery sources while minimizing infrastructure and space considerations at charging stations. </w:t>
      </w:r>
      <w:r w:rsidR="00766B31" w:rsidRPr="00ED5FE8">
        <w:t xml:space="preserve"> </w:t>
      </w:r>
    </w:p>
    <w:p w:rsidR="00D92F06" w:rsidRPr="00ED5FE8" w:rsidRDefault="00D92F06" w:rsidP="00D92F06">
      <w:pPr>
        <w:pStyle w:val="BodyText"/>
        <w:keepNext/>
        <w:ind w:firstLine="0"/>
      </w:pPr>
      <w:r w:rsidRPr="00ED5FE8">
        <w:rPr>
          <w:noProof/>
        </w:rPr>
        <w:drawing>
          <wp:inline distT="0" distB="0" distL="0" distR="0" wp14:anchorId="349C2108" wp14:editId="64ABF1FE">
            <wp:extent cx="3154045" cy="2813539"/>
            <wp:effectExtent l="0" t="0" r="825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158442" cy="2817462"/>
                    </a:xfrm>
                    <a:prstGeom prst="rect">
                      <a:avLst/>
                    </a:prstGeom>
                  </pic:spPr>
                </pic:pic>
              </a:graphicData>
            </a:graphic>
          </wp:inline>
        </w:drawing>
      </w:r>
    </w:p>
    <w:p w:rsidR="001579FB" w:rsidRPr="00ED5FE8" w:rsidRDefault="00D92F06" w:rsidP="0002261D">
      <w:pPr>
        <w:pStyle w:val="Caption"/>
      </w:pPr>
      <w:bookmarkStart w:id="10" w:name="_Ref493183996"/>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6</w:t>
      </w:r>
      <w:r w:rsidR="00253FD3" w:rsidRPr="00ED5FE8">
        <w:rPr>
          <w:noProof/>
        </w:rPr>
        <w:fldChar w:fldCharType="end"/>
      </w:r>
      <w:bookmarkEnd w:id="10"/>
      <w:r w:rsidRPr="00ED5FE8">
        <w:t xml:space="preserve"> - Charging Station </w:t>
      </w:r>
      <w:r w:rsidR="009E4508" w:rsidRPr="00ED5FE8">
        <w:t>Cost Benefit</w:t>
      </w:r>
    </w:p>
    <w:p w:rsidR="009A798B" w:rsidRPr="00ED5FE8" w:rsidRDefault="009A798B" w:rsidP="009A798B">
      <w:pPr>
        <w:pStyle w:val="BodyText"/>
      </w:pPr>
      <w:r w:rsidRPr="00ED5FE8">
        <w:t xml:space="preserve">Large batteries </w:t>
      </w:r>
      <w:r w:rsidR="00BA4D1C" w:rsidRPr="00ED5FE8">
        <w:t xml:space="preserve">are more effective in </w:t>
      </w:r>
      <w:r w:rsidRPr="00ED5FE8">
        <w:t>reducing peak charging station grid load by actively supplementing more peak power (lower discharge level)</w:t>
      </w:r>
      <w:r w:rsidR="00BA4D1C" w:rsidRPr="00ED5FE8">
        <w:t>.</w:t>
      </w:r>
      <w:r w:rsidRPr="00ED5FE8">
        <w:t xml:space="preserve"> </w:t>
      </w:r>
      <w:r w:rsidR="00BA4D1C" w:rsidRPr="00ED5FE8">
        <w:t xml:space="preserve"> H</w:t>
      </w:r>
      <w:r w:rsidRPr="00ED5FE8">
        <w:t xml:space="preserve">owever </w:t>
      </w:r>
      <w:r w:rsidR="00BA4D1C" w:rsidRPr="00ED5FE8">
        <w:t xml:space="preserve">large </w:t>
      </w:r>
      <w:r w:rsidRPr="00ED5FE8">
        <w:t xml:space="preserve">battery costs </w:t>
      </w:r>
      <w:r w:rsidR="00BA4D1C" w:rsidRPr="00ED5FE8">
        <w:t xml:space="preserve">are a </w:t>
      </w:r>
      <w:r w:rsidRPr="00ED5FE8">
        <w:t>significant</w:t>
      </w:r>
      <w:r w:rsidR="00BA4D1C" w:rsidRPr="00ED5FE8">
        <w:t xml:space="preserve"> capital investment</w:t>
      </w:r>
      <w:r w:rsidRPr="00ED5FE8">
        <w:t xml:space="preserve">, limiting overall </w:t>
      </w:r>
      <w:r w:rsidRPr="00ED5FE8">
        <w:lastRenderedPageBreak/>
        <w:t xml:space="preserve">profitability </w:t>
      </w:r>
      <w:r w:rsidR="00BA4D1C" w:rsidRPr="00ED5FE8">
        <w:t xml:space="preserve">for </w:t>
      </w:r>
      <w:r w:rsidRPr="00ED5FE8">
        <w:t xml:space="preserve">the charging station operator. This effect is shown in </w:t>
      </w:r>
      <w:r w:rsidR="00BE2964" w:rsidRPr="00ED5FE8">
        <w:fldChar w:fldCharType="begin"/>
      </w:r>
      <w:r w:rsidR="00BE2964" w:rsidRPr="00ED5FE8">
        <w:instrText xml:space="preserve"> REF _Ref493183996 \h  \* MERGEFORMAT </w:instrText>
      </w:r>
      <w:r w:rsidR="00BE2964" w:rsidRPr="00ED5FE8">
        <w:fldChar w:fldCharType="separate"/>
      </w:r>
      <w:r w:rsidR="00CD6719" w:rsidRPr="00ED5FE8">
        <w:t>Figure 6</w:t>
      </w:r>
      <w:r w:rsidR="00BE2964" w:rsidRPr="00ED5FE8">
        <w:fldChar w:fldCharType="end"/>
      </w:r>
      <w:r w:rsidR="00BA4D1C" w:rsidRPr="00ED5FE8">
        <w:t>,</w:t>
      </w:r>
      <w:r w:rsidRPr="00ED5FE8">
        <w:t xml:space="preserve"> which has a downward sloping band of profitability from left</w:t>
      </w:r>
      <w:r w:rsidR="0095732B" w:rsidRPr="00ED5FE8">
        <w:t xml:space="preserve"> to</w:t>
      </w:r>
      <w:r w:rsidRPr="00ED5FE8">
        <w:t xml:space="preserve"> right, where </w:t>
      </w:r>
      <w:r w:rsidR="0063621A" w:rsidRPr="00ED5FE8">
        <w:t xml:space="preserve">battery </w:t>
      </w:r>
      <w:r w:rsidRPr="00ED5FE8">
        <w:t>costs are offset by the benefits they provide.</w:t>
      </w:r>
    </w:p>
    <w:p w:rsidR="001579FB" w:rsidRPr="00ED5FE8" w:rsidRDefault="00766B31" w:rsidP="001F55DF">
      <w:pPr>
        <w:pStyle w:val="BodyText"/>
        <w:rPr>
          <w:color w:val="auto"/>
        </w:rPr>
      </w:pPr>
      <w:r w:rsidRPr="00ED5FE8">
        <w:rPr>
          <w:color w:val="auto"/>
        </w:rPr>
        <w:t xml:space="preserve">Charging station owners will seek to </w:t>
      </w:r>
      <w:r w:rsidR="00A253D1" w:rsidRPr="00ED5FE8">
        <w:rPr>
          <w:color w:val="auto"/>
        </w:rPr>
        <w:t>maximize profit</w:t>
      </w:r>
      <w:r w:rsidRPr="00ED5FE8">
        <w:rPr>
          <w:color w:val="auto"/>
        </w:rPr>
        <w:t xml:space="preserve"> by choosing battery size </w:t>
      </w:r>
      <w:proofErr w:type="spellStart"/>
      <w:r w:rsidRPr="00ED5FE8">
        <w:rPr>
          <w:color w:val="auto"/>
        </w:rPr>
        <w:t>B</w:t>
      </w:r>
      <w:r w:rsidRPr="00ED5FE8">
        <w:rPr>
          <w:color w:val="auto"/>
          <w:vertAlign w:val="subscript"/>
        </w:rPr>
        <w:t>cs</w:t>
      </w:r>
      <w:proofErr w:type="spellEnd"/>
      <w:r w:rsidRPr="00ED5FE8">
        <w:rPr>
          <w:color w:val="auto"/>
        </w:rPr>
        <w:t xml:space="preserve"> and discharge level </w:t>
      </w:r>
      <w:proofErr w:type="spellStart"/>
      <w:r w:rsidRPr="00ED5FE8">
        <w:rPr>
          <w:color w:val="auto"/>
        </w:rPr>
        <w:t>D</w:t>
      </w:r>
      <w:r w:rsidRPr="00ED5FE8">
        <w:rPr>
          <w:color w:val="auto"/>
          <w:vertAlign w:val="subscript"/>
        </w:rPr>
        <w:t>cs</w:t>
      </w:r>
      <w:proofErr w:type="spellEnd"/>
      <w:r w:rsidRPr="00ED5FE8">
        <w:rPr>
          <w:color w:val="auto"/>
        </w:rPr>
        <w:t xml:space="preserve"> in the following way:</w:t>
      </w:r>
    </w:p>
    <w:p w:rsidR="001579FB" w:rsidRPr="00ED5FE8" w:rsidRDefault="00253FD3" w:rsidP="00D37DD1">
      <w:pPr>
        <w:pStyle w:val="BodyText"/>
        <w:ind w:firstLine="0"/>
        <w:jc w:val="right"/>
      </w:pPr>
      <m:oMath>
        <m:eqArr>
          <m:eqArrPr>
            <m:ctrlPr>
              <w:rPr>
                <w:rFonts w:ascii="Cambria Math" w:hAnsi="Cambria Math"/>
              </w:rPr>
            </m:ctrlPr>
          </m:eqArrPr>
          <m:e>
            <m:r>
              <w:rPr>
                <w:rFonts w:ascii="Cambria Math" w:hAnsi="Cambria Math"/>
              </w:rPr>
              <m:t>minimize</m:t>
            </m:r>
          </m:e>
          <m:e>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cs</m:t>
                </m:r>
              </m:sub>
            </m:sSub>
            <m:r>
              <w:rPr>
                <w:rFonts w:ascii="Cambria Math" w:hAnsi="Cambria Math"/>
              </w:rPr>
              <m:t>)</m:t>
            </m:r>
          </m:e>
        </m:eqArr>
        <m:d>
          <m:dPr>
            <m:begChr m:val="{"/>
            <m:endChr m:val="}"/>
            <m:ctrlPr>
              <w:rPr>
                <w:rFonts w:ascii="Cambria Math" w:hAnsi="Cambria Math"/>
              </w:rPr>
            </m:ctrlPr>
          </m:dPr>
          <m:e>
            <m:eqArr>
              <m:eqArrPr>
                <m:ctrlPr>
                  <w:rPr>
                    <w:rFonts w:ascii="Cambria Math" w:hAnsi="Cambria Math"/>
                    <w:i/>
                  </w:rPr>
                </m:ctrlPr>
              </m:eqArrPr>
              <m:e>
                <m:sSub>
                  <m:sSubPr>
                    <m:ctrlPr>
                      <w:rPr>
                        <w:rFonts w:ascii="Cambria Math" w:hAnsi="Cambria Math"/>
                      </w:rPr>
                    </m:ctrlPr>
                  </m:sSubPr>
                  <m:e>
                    <m:r>
                      <w:rPr>
                        <w:rFonts w:ascii="Cambria Math" w:hAnsi="Cambria Math"/>
                      </w:rPr>
                      <m:t>P</m:t>
                    </m:r>
                  </m:e>
                  <m:sub>
                    <m:r>
                      <w:rPr>
                        <w:rFonts w:ascii="Cambria Math" w:hAnsi="Cambria Math"/>
                      </w:rPr>
                      <m:t>p,cs</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cs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cs</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np,cs</m:t>
                    </m:r>
                  </m:sub>
                </m:sSub>
                <m:d>
                  <m:dPr>
                    <m:ctrlPr>
                      <w:rPr>
                        <w:rFonts w:ascii="Cambria Math" w:hAnsi="Cambria Math"/>
                      </w:rPr>
                    </m:ctrlPr>
                  </m:dPr>
                  <m:e>
                    <m:sSub>
                      <m:sSubPr>
                        <m:ctrlPr>
                          <w:rPr>
                            <w:rFonts w:ascii="Cambria Math" w:hAnsi="Cambria Math"/>
                          </w:rPr>
                        </m:ctrlPr>
                      </m:sSubPr>
                      <m:e>
                        <m:r>
                          <w:rPr>
                            <w:rFonts w:ascii="Cambria Math" w:hAnsi="Cambria Math"/>
                          </w:rPr>
                          <m:t>B</m:t>
                        </m:r>
                      </m:e>
                      <m:sub>
                        <m:r>
                          <w:rPr>
                            <w:rFonts w:ascii="Cambria Math" w:hAnsi="Cambria Math"/>
                          </w:rPr>
                          <m:t>cs</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cs</m:t>
                        </m:r>
                      </m:sub>
                    </m:sSub>
                  </m:e>
                </m:d>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np</m:t>
                    </m:r>
                  </m:sub>
                </m:sSub>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cs</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battery</m:t>
                    </m:r>
                  </m:sub>
                </m:sSub>
              </m:e>
            </m:eqArr>
          </m:e>
        </m:d>
        <m:r>
          <w:rPr>
            <w:rFonts w:ascii="Cambria Math" w:hAnsi="Cambria Math"/>
          </w:rPr>
          <m:t xml:space="preserve">   (4)</m:t>
        </m:r>
      </m:oMath>
      <w:r w:rsidR="00D37DD1" w:rsidRPr="00ED5FE8">
        <w:t xml:space="preserve">    </w:t>
      </w:r>
    </w:p>
    <w:p w:rsidR="001579FB" w:rsidRPr="00ED5FE8" w:rsidRDefault="001579FB">
      <w:pPr>
        <w:pStyle w:val="BodyText"/>
        <w:ind w:firstLine="0"/>
        <w:rPr>
          <w:sz w:val="16"/>
        </w:rPr>
      </w:pPr>
    </w:p>
    <w:p w:rsidR="00A86167" w:rsidRPr="00ED5FE8" w:rsidRDefault="00A86167" w:rsidP="00A86167">
      <w:pPr>
        <w:pStyle w:val="BodyText"/>
      </w:pPr>
      <w:r w:rsidRPr="00ED5FE8">
        <w:t xml:space="preserve">Where </w:t>
      </w:r>
      <w:proofErr w:type="spellStart"/>
      <w:r w:rsidRPr="00ED5FE8">
        <w:t>C</w:t>
      </w:r>
      <w:r w:rsidRPr="00ED5FE8">
        <w:rPr>
          <w:rStyle w:val="None"/>
          <w:vertAlign w:val="subscript"/>
        </w:rPr>
        <w:t>p</w:t>
      </w:r>
      <w:proofErr w:type="spellEnd"/>
      <w:r w:rsidRPr="00ED5FE8">
        <w:t xml:space="preserve"> is the cost ($/kWh) of power at peak times, </w:t>
      </w:r>
      <w:proofErr w:type="spellStart"/>
      <w:r w:rsidRPr="00ED5FE8">
        <w:t>C</w:t>
      </w:r>
      <w:r w:rsidRPr="00ED5FE8">
        <w:rPr>
          <w:rStyle w:val="None"/>
          <w:vertAlign w:val="subscript"/>
        </w:rPr>
        <w:t>np</w:t>
      </w:r>
      <w:proofErr w:type="spellEnd"/>
      <w:r w:rsidRPr="00ED5FE8">
        <w:t xml:space="preserve"> is the cost ($/kWh) of power at nonpeak times, and </w:t>
      </w:r>
      <w:proofErr w:type="spellStart"/>
      <w:r w:rsidRPr="00ED5FE8">
        <w:t>C</w:t>
      </w:r>
      <w:r w:rsidRPr="00ED5FE8">
        <w:rPr>
          <w:vertAlign w:val="subscript"/>
        </w:rPr>
        <w:t>battery</w:t>
      </w:r>
      <w:proofErr w:type="spellEnd"/>
      <w:r w:rsidRPr="00ED5FE8">
        <w:t xml:space="preserve"> is the cost ($/kWh) of battery storage, </w:t>
      </w:r>
      <w:proofErr w:type="spellStart"/>
      <w:r w:rsidRPr="00ED5FE8">
        <w:t>P</w:t>
      </w:r>
      <w:r w:rsidRPr="00ED5FE8">
        <w:rPr>
          <w:rStyle w:val="None"/>
          <w:vertAlign w:val="subscript"/>
        </w:rPr>
        <w:t>p</w:t>
      </w:r>
      <w:proofErr w:type="gramStart"/>
      <w:r w:rsidRPr="00ED5FE8">
        <w:rPr>
          <w:rStyle w:val="None"/>
          <w:vertAlign w:val="subscript"/>
        </w:rPr>
        <w:t>,cs</w:t>
      </w:r>
      <w:proofErr w:type="spellEnd"/>
      <w:proofErr w:type="gramEnd"/>
      <w:r w:rsidRPr="00ED5FE8">
        <w:t xml:space="preserve"> is the charging station power consumed (kWh) during peak time, </w:t>
      </w:r>
      <w:proofErr w:type="spellStart"/>
      <w:r w:rsidRPr="00ED5FE8">
        <w:t>P</w:t>
      </w:r>
      <w:r w:rsidRPr="00ED5FE8">
        <w:rPr>
          <w:rStyle w:val="None"/>
          <w:vertAlign w:val="subscript"/>
        </w:rPr>
        <w:t>np,cs</w:t>
      </w:r>
      <w:proofErr w:type="spellEnd"/>
      <w:r w:rsidRPr="00ED5FE8">
        <w:t xml:space="preserve"> is the charging station power cons</w:t>
      </w:r>
      <w:r w:rsidR="001F55DF" w:rsidRPr="00ED5FE8">
        <w:t>umed (kWh) during nonpeak times</w:t>
      </w:r>
      <w:r w:rsidRPr="00ED5FE8">
        <w:t>. Based on the difference between peak and nonpeak prices, charging stations will choose to invest in batteries of different sizes.</w:t>
      </w:r>
    </w:p>
    <w:p w:rsidR="001579FB" w:rsidRPr="00ED5FE8" w:rsidRDefault="00766B31" w:rsidP="00D37DD1">
      <w:pPr>
        <w:pStyle w:val="BodyText"/>
      </w:pPr>
      <w:r w:rsidRPr="00ED5FE8">
        <w:t xml:space="preserve">Power grid operators want to reduce the aggregate time spent at peak power. Batteries redistribute power demands, limiting the amount of time that the grid spends at peak power. Accordingly, power grid operators will want to incentivize charging stations to adopt batteries </w:t>
      </w:r>
      <w:r w:rsidR="00A253D1" w:rsidRPr="00ED5FE8">
        <w:t>to</w:t>
      </w:r>
      <w:r w:rsidRPr="00ED5FE8">
        <w:t xml:space="preserve"> affect a reduction in the total time the grid spends at peak power. Power grid operators can influence charging station owners to invest in energy storage </w:t>
      </w:r>
      <w:r w:rsidR="00720CD2" w:rsidRPr="00ED5FE8">
        <w:t>by differentiating peak and non</w:t>
      </w:r>
      <w:r w:rsidRPr="00ED5FE8">
        <w:t>peak prices. The following equation describes the utility function of the grid operator:</w:t>
      </w:r>
    </w:p>
    <w:p w:rsidR="001579FB" w:rsidRPr="00ED5FE8" w:rsidRDefault="00253FD3" w:rsidP="00D37DD1">
      <w:pPr>
        <w:pStyle w:val="BodyText"/>
        <w:jc w:val="center"/>
      </w:pPr>
      <m:oMathPara>
        <m:oMathParaPr>
          <m:jc m:val="right"/>
        </m:oMathParaPr>
        <m:oMath>
          <m:sSub>
            <m:sSubPr>
              <m:ctrlPr>
                <w:rPr>
                  <w:rFonts w:ascii="Cambria Math" w:hAnsi="Cambria Math"/>
                </w:rPr>
              </m:ctrlPr>
            </m:sSubPr>
            <m:e>
              <m:r>
                <w:rPr>
                  <w:rFonts w:ascii="Cambria Math" w:hAnsi="Cambria Math"/>
                </w:rPr>
                <m:t>U</m:t>
              </m:r>
            </m:e>
            <m:sub>
              <m:r>
                <w:rPr>
                  <w:rFonts w:ascii="Cambria Math" w:hAnsi="Cambria Math"/>
                </w:rPr>
                <m:t>grid</m:t>
              </m:r>
            </m:sub>
          </m:sSub>
          <m:r>
            <w:rPr>
              <w:rFonts w:ascii="Cambria Math" w:hAnsi="Cambria Math"/>
            </w:rPr>
            <m:t>=</m:t>
          </m:r>
          <m:eqArr>
            <m:eqArrPr>
              <m:ctrlPr>
                <w:rPr>
                  <w:rFonts w:ascii="Cambria Math" w:hAnsi="Cambria Math"/>
                </w:rPr>
              </m:ctrlPr>
            </m:eqArrPr>
            <m:e>
              <m:r>
                <w:rPr>
                  <w:rFonts w:ascii="Cambria Math" w:hAnsi="Cambria Math"/>
                </w:rPr>
                <m:t>minimize</m:t>
              </m:r>
            </m:e>
            <m:e>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np</m:t>
                  </m:r>
                </m:sub>
              </m:sSub>
              <m:r>
                <w:rPr>
                  <w:rFonts w:ascii="Cambria Math" w:hAnsi="Cambria Math"/>
                </w:rPr>
                <m:t>)</m:t>
              </m:r>
            </m:e>
          </m:eqArr>
          <m:r>
            <w:rPr>
              <w:rFonts w:ascii="Cambria Math" w:hAnsi="Cambria Math"/>
            </w:rPr>
            <m:t xml:space="preserve"> </m:t>
          </m:r>
          <m:d>
            <m:dPr>
              <m:begChr m:val="{"/>
              <m:endChr m:val="}"/>
              <m:ctrlPr>
                <w:rPr>
                  <w:rFonts w:ascii="Cambria Math" w:hAnsi="Cambria Math"/>
                </w:rPr>
              </m:ctrlPr>
            </m:dPr>
            <m:e>
              <m: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np</m:t>
                  </m:r>
                </m:sub>
              </m:sSub>
              <m:r>
                <w:rPr>
                  <w:rFonts w:ascii="Cambria Math" w:hAnsi="Cambria Math"/>
                </w:rPr>
                <m:t xml:space="preserve">) </m:t>
              </m:r>
            </m:e>
          </m:d>
          <m:r>
            <w:rPr>
              <w:rFonts w:ascii="Cambria Math" w:hAnsi="Cambria Math"/>
            </w:rPr>
            <m:t xml:space="preserve">                          (5)</m:t>
          </m:r>
          <m:r>
            <m:rPr>
              <m:sty m:val="p"/>
            </m:rPr>
            <w:br/>
          </m:r>
        </m:oMath>
      </m:oMathPara>
    </w:p>
    <w:p w:rsidR="00A86167" w:rsidRPr="00ED5FE8" w:rsidRDefault="00A86167" w:rsidP="00A86167">
      <w:pPr>
        <w:pStyle w:val="BodyText"/>
        <w:jc w:val="center"/>
      </w:pPr>
      <m:oMathPara>
        <m:oMath>
          <m:r>
            <w:rPr>
              <w:rFonts w:ascii="Cambria Math" w:hAnsi="Cambria Math"/>
            </w:rPr>
            <m:t xml:space="preserve">Subject to: </m:t>
          </m:r>
          <m:sSubSup>
            <m:sSubSupPr>
              <m:ctrlPr>
                <w:rPr>
                  <w:rFonts w:ascii="Cambria Math" w:hAnsi="Cambria Math"/>
                  <w:i/>
                </w:rPr>
              </m:ctrlPr>
            </m:sSubSupPr>
            <m:e>
              <m:r>
                <w:rPr>
                  <w:rFonts w:ascii="Cambria Math" w:hAnsi="Cambria Math"/>
                </w:rPr>
                <m:t>P</m:t>
              </m:r>
            </m:e>
            <m:sub>
              <m:r>
                <w:rPr>
                  <w:rFonts w:ascii="Cambria Math" w:hAnsi="Cambria Math"/>
                </w:rPr>
                <m:t>p</m:t>
              </m:r>
            </m:sub>
            <m:sup>
              <m:r>
                <w:rPr>
                  <w:rFonts w:ascii="Cambria Math" w:hAnsi="Cambria Math"/>
                </w:rPr>
                <m:t>Total</m:t>
              </m:r>
            </m:sup>
          </m:sSubSup>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np</m:t>
              </m:r>
            </m:sub>
            <m:sup>
              <m:r>
                <w:rPr>
                  <w:rFonts w:ascii="Cambria Math" w:hAnsi="Cambria Math"/>
                </w:rPr>
                <m:t>Total</m:t>
              </m:r>
            </m:sup>
          </m:sSubSup>
          <m:sSub>
            <m:sSubPr>
              <m:ctrlPr>
                <w:rPr>
                  <w:rFonts w:ascii="Cambria Math" w:hAnsi="Cambria Math"/>
                  <w:i/>
                </w:rPr>
              </m:ctrlPr>
            </m:sSubPr>
            <m:e>
              <m:r>
                <w:rPr>
                  <w:rFonts w:ascii="Cambria Math" w:hAnsi="Cambria Math"/>
                </w:rPr>
                <m:t>C</m:t>
              </m:r>
            </m:e>
            <m:sub>
              <m:r>
                <w:rPr>
                  <w:rFonts w:ascii="Cambria Math" w:hAnsi="Cambria Math"/>
                </w:rPr>
                <m:t>np</m:t>
              </m:r>
            </m:sub>
          </m:sSub>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p</m:t>
              </m:r>
            </m:sub>
            <m:sup>
              <m:r>
                <w:rPr>
                  <w:rFonts w:ascii="Cambria Math" w:hAnsi="Cambria Math"/>
                </w:rPr>
                <m:t>Total</m:t>
              </m:r>
            </m:sup>
          </m:sSubSup>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np</m:t>
              </m:r>
            </m:sub>
            <m:sup>
              <m:r>
                <w:rPr>
                  <w:rFonts w:ascii="Cambria Math" w:hAnsi="Cambria Math"/>
                </w:rPr>
                <m:t>Total</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prior</m:t>
              </m:r>
            </m:sub>
          </m:sSub>
        </m:oMath>
      </m:oMathPara>
    </w:p>
    <w:p w:rsidR="00A86167" w:rsidRPr="00ED5FE8" w:rsidRDefault="00A86167" w:rsidP="00A86167">
      <w:pPr>
        <w:pStyle w:val="BodyText"/>
      </w:pPr>
      <w:r w:rsidRPr="00ED5FE8">
        <w:t>Where</w:t>
      </w:r>
      <w:r w:rsidR="00520C80" w:rsidRPr="00ED5FE8">
        <w:t xml:space="preserve"> </w:t>
      </w:r>
      <m:oMath>
        <m: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w:rPr>
                <w:rFonts w:ascii="Cambria Math" w:hAnsi="Cambria Math"/>
              </w:rPr>
              <m:t>*</m:t>
            </m:r>
          </m:sup>
        </m:sSubSup>
        <m:r>
          <w:rPr>
            <w:rFonts w:ascii="Cambria Math" w:hAnsi="Cambria Math"/>
          </w:rPr>
          <m:t xml:space="preserve"> </m:t>
        </m:r>
      </m:oMath>
      <w:r w:rsidR="00520C80" w:rsidRPr="00ED5FE8">
        <w:t>is the time spent in peak episodes as a function of differentiated power cost,</w:t>
      </w:r>
      <w:r w:rsidRPr="00ED5FE8">
        <w:t xml:space="preserve"> </w:t>
      </w:r>
      <m:oMath>
        <m:sSubSup>
          <m:sSubSupPr>
            <m:ctrlPr>
              <w:rPr>
                <w:rFonts w:ascii="Cambria Math" w:hAnsi="Cambria Math"/>
                <w:i/>
              </w:rPr>
            </m:ctrlPr>
          </m:sSubSupPr>
          <m:e>
            <m:r>
              <w:rPr>
                <w:rFonts w:ascii="Cambria Math" w:hAnsi="Cambria Math"/>
              </w:rPr>
              <m:t>P</m:t>
            </m:r>
          </m:e>
          <m:sub>
            <m:r>
              <w:rPr>
                <w:rFonts w:ascii="Cambria Math" w:hAnsi="Cambria Math"/>
              </w:rPr>
              <m:t>p</m:t>
            </m:r>
          </m:sub>
          <m:sup>
            <m:r>
              <w:rPr>
                <w:rFonts w:ascii="Cambria Math" w:hAnsi="Cambria Math"/>
              </w:rPr>
              <m:t>Total</m:t>
            </m:r>
          </m:sup>
        </m:sSubSup>
        <m:r>
          <w:rPr>
            <w:rFonts w:ascii="Cambria Math" w:hAnsi="Cambria Math"/>
          </w:rPr>
          <m:t xml:space="preserve"> </m:t>
        </m:r>
        <m:r>
          <m:rPr>
            <m:sty m:val="p"/>
          </m:rPr>
          <w:rPr>
            <w:rFonts w:ascii="Cambria Math" w:hAnsi="Cambria Math"/>
          </w:rPr>
          <m:t>and</m:t>
        </m:r>
        <m:r>
          <w:rPr>
            <w:rFonts w:ascii="Cambria Math" w:hAnsi="Cambria Math"/>
          </w:rPr>
          <m:t xml:space="preserve"> </m:t>
        </m:r>
        <m:sSubSup>
          <m:sSubSupPr>
            <m:ctrlPr>
              <w:rPr>
                <w:rFonts w:ascii="Cambria Math" w:hAnsi="Cambria Math"/>
                <w:i/>
              </w:rPr>
            </m:ctrlPr>
          </m:sSubSupPr>
          <m:e>
            <m:r>
              <w:rPr>
                <w:rFonts w:ascii="Cambria Math" w:hAnsi="Cambria Math"/>
              </w:rPr>
              <m:t>P</m:t>
            </m:r>
          </m:e>
          <m:sub>
            <m:r>
              <w:rPr>
                <w:rFonts w:ascii="Cambria Math" w:hAnsi="Cambria Math"/>
              </w:rPr>
              <m:t>np</m:t>
            </m:r>
          </m:sub>
          <m:sup>
            <m:r>
              <w:rPr>
                <w:rFonts w:ascii="Cambria Math" w:hAnsi="Cambria Math"/>
              </w:rPr>
              <m:t>Total</m:t>
            </m:r>
          </m:sup>
        </m:sSubSup>
      </m:oMath>
      <w:r w:rsidRPr="00ED5FE8">
        <w:t xml:space="preserve">are the aggregate peak and nonpeak power supplied by the grid (kWh), and </w:t>
      </w:r>
      <w:proofErr w:type="spellStart"/>
      <w:r w:rsidRPr="00ED5FE8">
        <w:rPr>
          <w:i/>
        </w:rPr>
        <w:t>C</w:t>
      </w:r>
      <w:r w:rsidRPr="00ED5FE8">
        <w:rPr>
          <w:i/>
          <w:vertAlign w:val="subscript"/>
        </w:rPr>
        <w:t>prior</w:t>
      </w:r>
      <w:proofErr w:type="spellEnd"/>
      <w:r w:rsidRPr="00ED5FE8">
        <w:t xml:space="preserve"> is the price ($/kWh) of power prior to implementing differentiated pricing. More directly, power utilities are regulated such that their profits are a return on infrastructure deployed and not power sold. The goal of this work is to allow for the adoption of large numbers of electric vehicles without infrastructure changes so a constraint is added that the aggregate weighted price grid operators charge is unchanged.  </w:t>
      </w:r>
    </w:p>
    <w:p w:rsidR="001579FB" w:rsidRPr="00ED5FE8" w:rsidRDefault="00766B31" w:rsidP="00C21D57">
      <w:pPr>
        <w:pStyle w:val="Heading"/>
        <w:numPr>
          <w:ilvl w:val="0"/>
          <w:numId w:val="2"/>
        </w:numPr>
      </w:pPr>
      <w:bookmarkStart w:id="11" w:name="_Ref492923777"/>
      <w:r w:rsidRPr="00ED5FE8">
        <w:rPr>
          <w:lang w:val="en-US"/>
        </w:rPr>
        <w:t>Simulation Design</w:t>
      </w:r>
      <w:bookmarkEnd w:id="11"/>
    </w:p>
    <w:p w:rsidR="001579FB" w:rsidRPr="00ED5FE8" w:rsidRDefault="00766B31">
      <w:pPr>
        <w:pStyle w:val="BodyText"/>
      </w:pPr>
      <w:r w:rsidRPr="00ED5FE8">
        <w:t xml:space="preserve">Simulations </w:t>
      </w:r>
      <w:r w:rsidR="0063621A" w:rsidRPr="00ED5FE8">
        <w:t>were performed</w:t>
      </w:r>
      <w:r w:rsidRPr="00ED5FE8">
        <w:t xml:space="preserve"> using </w:t>
      </w:r>
      <w:proofErr w:type="spellStart"/>
      <w:r w:rsidRPr="00ED5FE8">
        <w:t>Gridlab</w:t>
      </w:r>
      <w:proofErr w:type="spellEnd"/>
      <w:r w:rsidRPr="00ED5FE8">
        <w:t xml:space="preserve">-D from the Pacific Northwest National Laboratory. </w:t>
      </w:r>
      <w:proofErr w:type="spellStart"/>
      <w:r w:rsidRPr="00ED5FE8">
        <w:t>Gridlab</w:t>
      </w:r>
      <w:proofErr w:type="spellEnd"/>
      <w:r w:rsidRPr="00ED5FE8">
        <w:t xml:space="preserve">-D was enhanced to support </w:t>
      </w:r>
      <w:r w:rsidR="00A3105E" w:rsidRPr="00ED5FE8">
        <w:t xml:space="preserve">the charging station model detailed in Section </w:t>
      </w:r>
      <w:hyperlink w:anchor="Ref4929235702" w:history="1">
        <w:r w:rsidR="00A3105E" w:rsidRPr="00ED5FE8">
          <w:t>II</w:t>
        </w:r>
      </w:hyperlink>
      <w:r w:rsidR="00A3105E" w:rsidRPr="00ED5FE8">
        <w:t xml:space="preserve"> and </w:t>
      </w:r>
      <w:r w:rsidRPr="00ED5FE8">
        <w:t xml:space="preserve">the </w:t>
      </w:r>
      <w:r w:rsidR="00A3105E" w:rsidRPr="00ED5FE8">
        <w:t>energy storage system</w:t>
      </w:r>
      <w:r w:rsidRPr="00ED5FE8">
        <w:t xml:space="preserve"> model detailed in Section </w:t>
      </w:r>
      <w:hyperlink w:anchor="Ref4929236082" w:history="1">
        <w:r w:rsidRPr="00ED5FE8">
          <w:t>II</w:t>
        </w:r>
      </w:hyperlink>
      <w:r w:rsidR="00A3105E" w:rsidRPr="00ED5FE8">
        <w:t>I</w:t>
      </w:r>
      <w:r w:rsidRPr="00ED5FE8">
        <w:t xml:space="preserve">. </w:t>
      </w:r>
    </w:p>
    <w:p w:rsidR="00C67E47" w:rsidRPr="00ED5FE8" w:rsidRDefault="00C67E47">
      <w:pPr>
        <w:pStyle w:val="BodyText"/>
      </w:pPr>
      <w:r w:rsidRPr="00ED5FE8">
        <w:t xml:space="preserve">The charging station model was implemented as a new type of </w:t>
      </w:r>
      <w:proofErr w:type="spellStart"/>
      <w:r w:rsidRPr="00ED5FE8">
        <w:t>Gridlab</w:t>
      </w:r>
      <w:proofErr w:type="spellEnd"/>
      <w:r w:rsidRPr="00ED5FE8">
        <w:t xml:space="preserve">-D </w:t>
      </w:r>
      <w:proofErr w:type="spellStart"/>
      <w:r w:rsidRPr="00ED5FE8">
        <w:rPr>
          <w:i/>
        </w:rPr>
        <w:t>loadshape</w:t>
      </w:r>
      <w:proofErr w:type="spellEnd"/>
      <w:r w:rsidRPr="00ED5FE8">
        <w:t xml:space="preserve"> object. This </w:t>
      </w:r>
      <w:proofErr w:type="spellStart"/>
      <w:r w:rsidRPr="00ED5FE8">
        <w:rPr>
          <w:i/>
        </w:rPr>
        <w:t>loadshape</w:t>
      </w:r>
      <w:proofErr w:type="spellEnd"/>
      <w:r w:rsidRPr="00ED5FE8">
        <w:t xml:space="preserve"> object consumed a </w:t>
      </w:r>
      <w:proofErr w:type="spellStart"/>
      <w:r w:rsidRPr="00ED5FE8">
        <w:t>Gridlab</w:t>
      </w:r>
      <w:proofErr w:type="spellEnd"/>
      <w:r w:rsidRPr="00ED5FE8">
        <w:t xml:space="preserve">-D </w:t>
      </w:r>
      <w:r w:rsidRPr="00ED5FE8">
        <w:rPr>
          <w:i/>
        </w:rPr>
        <w:t>schedule</w:t>
      </w:r>
      <w:r w:rsidRPr="00ED5FE8">
        <w:t xml:space="preserve"> object containing car arrival probabilities and could be configured with number of charging bays, mean charging time, and charging power per </w:t>
      </w:r>
      <w:r w:rsidRPr="00ED5FE8">
        <w:lastRenderedPageBreak/>
        <w:t xml:space="preserve">bay. </w:t>
      </w:r>
      <w:r w:rsidR="00B94C8A" w:rsidRPr="00ED5FE8">
        <w:t>The</w:t>
      </w:r>
      <w:r w:rsidRPr="00ED5FE8">
        <w:t xml:space="preserve"> </w:t>
      </w:r>
      <w:proofErr w:type="spellStart"/>
      <w:r w:rsidRPr="00ED5FE8">
        <w:rPr>
          <w:i/>
        </w:rPr>
        <w:t>loadshape</w:t>
      </w:r>
      <w:proofErr w:type="spellEnd"/>
      <w:r w:rsidRPr="00ED5FE8">
        <w:t xml:space="preserve"> objects were used to drive a </w:t>
      </w:r>
      <w:proofErr w:type="spellStart"/>
      <w:r w:rsidRPr="00ED5FE8">
        <w:t>Gridlab</w:t>
      </w:r>
      <w:proofErr w:type="spellEnd"/>
      <w:r w:rsidRPr="00ED5FE8">
        <w:t xml:space="preserve">-D three phase load object that represented the aggregate power draw of the charging station. The battery implementation in </w:t>
      </w:r>
      <w:proofErr w:type="spellStart"/>
      <w:r w:rsidRPr="00ED5FE8">
        <w:t>Gridlab</w:t>
      </w:r>
      <w:proofErr w:type="spellEnd"/>
      <w:r w:rsidRPr="00ED5FE8">
        <w:t>-D has a POWER_DRIVEN mode that had many</w:t>
      </w:r>
      <w:r w:rsidR="00010C49" w:rsidRPr="00ED5FE8">
        <w:t xml:space="preserve"> of the features needed, though</w:t>
      </w:r>
      <w:r w:rsidRPr="00ED5FE8">
        <w:t xml:space="preserve"> we modified the charge/discharge logic and fixed several subtle bugs. The </w:t>
      </w:r>
      <w:proofErr w:type="spellStart"/>
      <w:r w:rsidRPr="00ED5FE8">
        <w:t>Feeder_Generator</w:t>
      </w:r>
      <w:proofErr w:type="spellEnd"/>
      <w:r w:rsidRPr="00ED5FE8">
        <w:t xml:space="preserve"> </w:t>
      </w:r>
      <w:proofErr w:type="spellStart"/>
      <w:r w:rsidRPr="00ED5FE8">
        <w:t>Matlab</w:t>
      </w:r>
      <w:proofErr w:type="spellEnd"/>
      <w:r w:rsidRPr="00ED5FE8">
        <w:t xml:space="preserve"> </w:t>
      </w:r>
      <w:proofErr w:type="gramStart"/>
      <w:r w:rsidRPr="00ED5FE8">
        <w:t>script was modified to identify locations for charging station placement and sizing, and add</w:t>
      </w:r>
      <w:proofErr w:type="gramEnd"/>
      <w:r w:rsidRPr="00ED5FE8">
        <w:t xml:space="preserve"> necessary infrastructure components to represent charging stations at those locations.</w:t>
      </w:r>
    </w:p>
    <w:p w:rsidR="001579FB" w:rsidRPr="00ED5FE8" w:rsidRDefault="0063621A">
      <w:pPr>
        <w:pStyle w:val="BodyText"/>
      </w:pPr>
      <w:r w:rsidRPr="00ED5FE8">
        <w:t>S</w:t>
      </w:r>
      <w:r w:rsidR="00766B31" w:rsidRPr="00ED5FE8">
        <w:t>imulations were run on grid</w:t>
      </w:r>
      <w:r w:rsidRPr="00ED5FE8">
        <w:t xml:space="preserve"> models</w:t>
      </w:r>
      <w:r w:rsidR="00766B31" w:rsidRPr="00ED5FE8">
        <w:t xml:space="preserve"> provided by the US Department of Energy [13]. Sample grids were chosen to span different climates, rurality, and population density. Each grid includes a feeder network and associated households, commercial buildings, and industrial loads. </w:t>
      </w:r>
    </w:p>
    <w:p w:rsidR="00D37DD1" w:rsidRPr="00ED5FE8" w:rsidRDefault="00D37DD1">
      <w:pPr>
        <w:pStyle w:val="BodyText"/>
      </w:pPr>
    </w:p>
    <w:tbl>
      <w:tblPr>
        <w:tblStyle w:val="GridTable1Light1"/>
        <w:tblW w:w="5182" w:type="dxa"/>
        <w:tblLayout w:type="fixed"/>
        <w:tblLook w:val="04A0" w:firstRow="1" w:lastRow="0" w:firstColumn="1" w:lastColumn="0" w:noHBand="0" w:noVBand="1"/>
      </w:tblPr>
      <w:tblGrid>
        <w:gridCol w:w="985"/>
        <w:gridCol w:w="1170"/>
        <w:gridCol w:w="900"/>
        <w:gridCol w:w="900"/>
        <w:gridCol w:w="1227"/>
      </w:tblGrid>
      <w:tr w:rsidR="00D809AA" w:rsidRPr="00ED5FE8" w:rsidTr="0095732B">
        <w:trPr>
          <w:cnfStyle w:val="100000000000" w:firstRow="1" w:lastRow="0" w:firstColumn="0" w:lastColumn="0" w:oddVBand="0" w:evenVBand="0" w:oddHBand="0" w:evenHBand="0" w:firstRowFirstColumn="0" w:firstRowLastColumn="0" w:lastRowFirstColumn="0" w:lastRowLastColumn="0"/>
          <w:trHeight w:val="210"/>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pPr>
            <w:r w:rsidRPr="00ED5FE8">
              <w:rPr>
                <w:rStyle w:val="None"/>
                <w:rFonts w:ascii="Calibri" w:eastAsia="Calibri" w:hAnsi="Calibri" w:cs="Calibri"/>
                <w:sz w:val="16"/>
                <w:szCs w:val="16"/>
              </w:rPr>
              <w:t>Grid Name</w:t>
            </w:r>
          </w:p>
        </w:tc>
        <w:tc>
          <w:tcPr>
            <w:tcW w:w="1170" w:type="dxa"/>
          </w:tcPr>
          <w:p w:rsidR="00D809AA" w:rsidRPr="00ED5FE8" w:rsidRDefault="00D809AA" w:rsidP="00D23567">
            <w:pPr>
              <w:pStyle w:val="Body"/>
              <w:cnfStyle w:val="100000000000" w:firstRow="1"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City</w:t>
            </w:r>
          </w:p>
        </w:tc>
        <w:tc>
          <w:tcPr>
            <w:tcW w:w="900" w:type="dxa"/>
          </w:tcPr>
          <w:p w:rsidR="00D809AA" w:rsidRPr="00ED5FE8" w:rsidRDefault="00D809AA" w:rsidP="00D23567">
            <w:pPr>
              <w:pStyle w:val="Body"/>
              <w:cnfStyle w:val="100000000000" w:firstRow="1"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Temp</w:t>
            </w:r>
          </w:p>
        </w:tc>
        <w:tc>
          <w:tcPr>
            <w:tcW w:w="900" w:type="dxa"/>
          </w:tcPr>
          <w:p w:rsidR="00D809AA" w:rsidRPr="00ED5FE8" w:rsidRDefault="00D809AA" w:rsidP="00D23567">
            <w:pPr>
              <w:pStyle w:val="Body"/>
              <w:cnfStyle w:val="100000000000" w:firstRow="1"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Rurality</w:t>
            </w:r>
          </w:p>
        </w:tc>
        <w:tc>
          <w:tcPr>
            <w:tcW w:w="1227" w:type="dxa"/>
          </w:tcPr>
          <w:p w:rsidR="00D809AA" w:rsidRPr="00ED5FE8" w:rsidRDefault="0095732B" w:rsidP="00D23567">
            <w:pPr>
              <w:pStyle w:val="Body"/>
              <w:cnfStyle w:val="100000000000" w:firstRow="1"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 Power for PEV Charging</w:t>
            </w:r>
          </w:p>
        </w:tc>
      </w:tr>
      <w:tr w:rsidR="00D809AA" w:rsidRPr="00ED5FE8" w:rsidTr="0095732B">
        <w:trPr>
          <w:trHeight w:val="215"/>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R1_1247_4</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San Francisco</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Moderate</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Suburban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13%</w:t>
            </w:r>
          </w:p>
        </w:tc>
      </w:tr>
      <w:tr w:rsidR="00D809AA" w:rsidRPr="00ED5FE8" w:rsidTr="0095732B">
        <w:trPr>
          <w:trHeight w:val="220"/>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R2_1247_1</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Chicago</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Mixed</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20%</w:t>
            </w:r>
          </w:p>
        </w:tc>
      </w:tr>
      <w:tr w:rsidR="00D809AA" w:rsidRPr="00ED5FE8" w:rsidTr="0095732B">
        <w:trPr>
          <w:trHeight w:val="220"/>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R2_2500_1</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Chicago</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Mixed</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Suburban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63%</w:t>
            </w:r>
          </w:p>
        </w:tc>
      </w:tr>
      <w:tr w:rsidR="00D809AA" w:rsidRPr="00ED5FE8" w:rsidTr="0095732B">
        <w:trPr>
          <w:trHeight w:val="220"/>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R3_1247_1</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Phoenix</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Hot</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19%</w:t>
            </w:r>
          </w:p>
        </w:tc>
      </w:tr>
      <w:tr w:rsidR="00D809AA" w:rsidRPr="00ED5FE8" w:rsidTr="0095732B">
        <w:trPr>
          <w:trHeight w:val="220"/>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R5_1247_1</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Miami</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Hot</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Suburban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16%</w:t>
            </w:r>
          </w:p>
        </w:tc>
      </w:tr>
      <w:tr w:rsidR="00D809AA" w:rsidRPr="00ED5FE8" w:rsidTr="0095732B">
        <w:trPr>
          <w:trHeight w:val="21"/>
        </w:trPr>
        <w:tc>
          <w:tcPr>
            <w:cnfStyle w:val="001000000000" w:firstRow="0" w:lastRow="0" w:firstColumn="1" w:lastColumn="0" w:oddVBand="0" w:evenVBand="0" w:oddHBand="0" w:evenHBand="0" w:firstRowFirstColumn="0" w:firstRowLastColumn="0" w:lastRowFirstColumn="0" w:lastRowLastColumn="0"/>
            <w:tcW w:w="985" w:type="dxa"/>
          </w:tcPr>
          <w:p w:rsidR="00D809AA" w:rsidRPr="00ED5FE8" w:rsidRDefault="00D809AA" w:rsidP="00D23567">
            <w:pPr>
              <w:pStyle w:val="Body"/>
              <w:spacing w:before="100" w:beforeAutospacing="1" w:after="100" w:afterAutospacing="1"/>
            </w:pPr>
            <w:r w:rsidRPr="00ED5FE8">
              <w:rPr>
                <w:rStyle w:val="None"/>
                <w:rFonts w:ascii="Calibri" w:eastAsia="Calibri" w:hAnsi="Calibri" w:cs="Calibri"/>
                <w:sz w:val="16"/>
                <w:szCs w:val="16"/>
              </w:rPr>
              <w:t>R5_1247_2</w:t>
            </w:r>
          </w:p>
        </w:tc>
        <w:tc>
          <w:tcPr>
            <w:tcW w:w="117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Miami</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Hot</w:t>
            </w:r>
          </w:p>
        </w:tc>
        <w:tc>
          <w:tcPr>
            <w:tcW w:w="900"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Urban</w:t>
            </w:r>
          </w:p>
        </w:tc>
        <w:tc>
          <w:tcPr>
            <w:tcW w:w="1227" w:type="dxa"/>
          </w:tcPr>
          <w:p w:rsidR="00D809AA" w:rsidRPr="00ED5FE8" w:rsidRDefault="00D809AA" w:rsidP="00D23567">
            <w:pPr>
              <w:pStyle w:val="Body"/>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r w:rsidRPr="00ED5FE8">
              <w:rPr>
                <w:rStyle w:val="None"/>
                <w:rFonts w:ascii="Calibri" w:eastAsia="Calibri" w:hAnsi="Calibri" w:cs="Calibri"/>
                <w:sz w:val="16"/>
                <w:szCs w:val="16"/>
              </w:rPr>
              <w:t>24%</w:t>
            </w:r>
          </w:p>
        </w:tc>
      </w:tr>
    </w:tbl>
    <w:p w:rsidR="001579FB" w:rsidRPr="00ED5FE8" w:rsidRDefault="000A0886" w:rsidP="00D37DD1">
      <w:pPr>
        <w:pStyle w:val="Caption"/>
        <w:spacing w:before="120"/>
      </w:pPr>
      <w:r w:rsidRPr="00ED5FE8">
        <w:t xml:space="preserve">Table </w:t>
      </w:r>
      <w:r w:rsidR="00253FD3" w:rsidRPr="00ED5FE8">
        <w:fldChar w:fldCharType="begin"/>
      </w:r>
      <w:r w:rsidR="00253FD3" w:rsidRPr="00ED5FE8">
        <w:instrText xml:space="preserve"> SEQ Table \* ARABIC </w:instrText>
      </w:r>
      <w:r w:rsidR="00253FD3" w:rsidRPr="00ED5FE8">
        <w:fldChar w:fldCharType="separate"/>
      </w:r>
      <w:r w:rsidR="00CD6719" w:rsidRPr="00ED5FE8">
        <w:rPr>
          <w:noProof/>
        </w:rPr>
        <w:t>1</w:t>
      </w:r>
      <w:r w:rsidR="00253FD3" w:rsidRPr="00ED5FE8">
        <w:rPr>
          <w:noProof/>
        </w:rPr>
        <w:fldChar w:fldCharType="end"/>
      </w:r>
      <w:r w:rsidRPr="00ED5FE8">
        <w:t xml:space="preserve"> - Test Power Grids</w:t>
      </w:r>
    </w:p>
    <w:p w:rsidR="001579FB" w:rsidRPr="00ED5FE8" w:rsidRDefault="00766B31">
      <w:pPr>
        <w:pStyle w:val="BodyText"/>
      </w:pPr>
      <w:r w:rsidRPr="00ED5FE8">
        <w:t xml:space="preserve">Simulations were run for a full year and used Typical Meteorological Year 3 (TMY3) [14] weather data to drive heating and cooling power cycles. This was critical to get a realistic approximation of peak power loads. </w:t>
      </w:r>
    </w:p>
    <w:p w:rsidR="008E70BB" w:rsidRPr="00ED5FE8" w:rsidRDefault="00D23567">
      <w:pPr>
        <w:pStyle w:val="BodyText"/>
      </w:pPr>
      <w:r w:rsidRPr="00ED5FE8">
        <w:t xml:space="preserve">Charging station </w:t>
      </w:r>
      <w:r w:rsidR="001F55DF" w:rsidRPr="00ED5FE8">
        <w:t>locations</w:t>
      </w:r>
      <w:r w:rsidR="00766B31" w:rsidRPr="00ED5FE8">
        <w:t xml:space="preserve"> </w:t>
      </w:r>
      <w:r w:rsidRPr="00ED5FE8">
        <w:t>were</w:t>
      </w:r>
      <w:r w:rsidR="00427796" w:rsidRPr="00ED5FE8">
        <w:t xml:space="preserve"> </w:t>
      </w:r>
      <w:r w:rsidRPr="00ED5FE8">
        <w:t xml:space="preserve">selected </w:t>
      </w:r>
      <w:r w:rsidR="00766B31" w:rsidRPr="00ED5FE8">
        <w:t xml:space="preserve">to satisfy two conditions. </w:t>
      </w:r>
      <w:r w:rsidR="00A3105E" w:rsidRPr="00ED5FE8">
        <w:t>A location</w:t>
      </w:r>
      <w:r w:rsidR="00766B31" w:rsidRPr="00ED5FE8">
        <w:t xml:space="preserve"> </w:t>
      </w:r>
      <w:r w:rsidR="00A3105E" w:rsidRPr="00ED5FE8">
        <w:t>must have 3-phase power and</w:t>
      </w:r>
      <w:r w:rsidR="00766B31" w:rsidRPr="00ED5FE8">
        <w:t xml:space="preserve"> at least 12 commercial buildings, where a commercial building is roughly defined as 10,000 ft</w:t>
      </w:r>
      <w:r w:rsidR="00766B31" w:rsidRPr="00ED5FE8">
        <w:rPr>
          <w:rStyle w:val="None"/>
          <w:vertAlign w:val="superscript"/>
        </w:rPr>
        <w:t>2</w:t>
      </w:r>
      <w:r w:rsidR="00766B31" w:rsidRPr="00ED5FE8">
        <w:t xml:space="preserve"> of commercial or industrial space. Each charging station was allocated a charging bay for every 3 commercial buildings it supports thus the minimum charging station size was 4 bays. </w:t>
      </w:r>
    </w:p>
    <w:p w:rsidR="001579FB" w:rsidRPr="00ED5FE8" w:rsidRDefault="00D23567" w:rsidP="00D23567">
      <w:pPr>
        <w:pStyle w:val="BodyText"/>
      </w:pPr>
      <w:r w:rsidRPr="00ED5FE8">
        <w:t xml:space="preserve">For our simulations we chose a charging station bay power of 45kW and a charging time of 30 minutes based on a review of current EV charger standards. </w:t>
      </w:r>
      <w:r w:rsidR="009E4508" w:rsidRPr="00ED5FE8">
        <w:t xml:space="preserve">The most common standard is the SAE J1772 </w:t>
      </w:r>
      <w:r w:rsidR="001F55DF" w:rsidRPr="00ED5FE8">
        <w:t>t</w:t>
      </w:r>
      <w:r w:rsidR="009E4508" w:rsidRPr="00ED5FE8">
        <w:t>hree phase AC charger with p</w:t>
      </w:r>
      <w:r w:rsidR="00C67E47" w:rsidRPr="00ED5FE8">
        <w:t>ower capped at 22kW</w:t>
      </w:r>
      <w:r w:rsidRPr="00ED5FE8">
        <w:t>,</w:t>
      </w:r>
      <w:r w:rsidR="00C67E47" w:rsidRPr="00ED5FE8">
        <w:t xml:space="preserve"> </w:t>
      </w:r>
      <w:r w:rsidR="00010C49" w:rsidRPr="00ED5FE8">
        <w:t>though</w:t>
      </w:r>
      <w:r w:rsidR="009E4508" w:rsidRPr="00ED5FE8">
        <w:t xml:space="preserve"> there are competing </w:t>
      </w:r>
      <w:r w:rsidR="001F55DF" w:rsidRPr="00ED5FE8">
        <w:t>f</w:t>
      </w:r>
      <w:r w:rsidR="009E4508" w:rsidRPr="00ED5FE8">
        <w:t xml:space="preserve">ast </w:t>
      </w:r>
      <w:r w:rsidR="001F55DF" w:rsidRPr="00ED5FE8">
        <w:t>c</w:t>
      </w:r>
      <w:r w:rsidR="009E4508" w:rsidRPr="00ED5FE8">
        <w:t>harging DC Standar</w:t>
      </w:r>
      <w:r w:rsidR="00C67E47" w:rsidRPr="00ED5FE8">
        <w:t>ds such as Tesla Supercharger</w:t>
      </w:r>
      <w:r w:rsidR="009A798B" w:rsidRPr="00ED5FE8">
        <w:t xml:space="preserve"> and</w:t>
      </w:r>
      <w:r w:rsidR="00C67E47" w:rsidRPr="00ED5FE8">
        <w:t xml:space="preserve"> CCS</w:t>
      </w:r>
      <w:r w:rsidR="009E4508" w:rsidRPr="00ED5FE8">
        <w:t xml:space="preserve"> that offer more rapid charging</w:t>
      </w:r>
      <w:r w:rsidR="001F55DF" w:rsidRPr="00ED5FE8">
        <w:t>,</w:t>
      </w:r>
      <w:r w:rsidR="009E4508" w:rsidRPr="00ED5FE8">
        <w:t xml:space="preserve"> with the Tesla Supercharger peaking at 120kW</w:t>
      </w:r>
      <w:r w:rsidR="00C67E47" w:rsidRPr="00ED5FE8">
        <w:t xml:space="preserve"> [2]</w:t>
      </w:r>
      <w:r w:rsidR="009E4508" w:rsidRPr="00ED5FE8">
        <w:t xml:space="preserve">. </w:t>
      </w:r>
      <w:proofErr w:type="spellStart"/>
      <w:r w:rsidR="009E4508" w:rsidRPr="00ED5FE8">
        <w:t>CHAdeMO</w:t>
      </w:r>
      <w:proofErr w:type="spellEnd"/>
      <w:r w:rsidR="009A798B" w:rsidRPr="00ED5FE8">
        <w:t>, a European consortium with a charging standard of their own,</w:t>
      </w:r>
      <w:r w:rsidR="009E4508" w:rsidRPr="00ED5FE8">
        <w:t xml:space="preserve"> estimates diminishing returns on charger cost for units past 45kW</w:t>
      </w:r>
      <w:r w:rsidR="00C67E47" w:rsidRPr="00ED5FE8">
        <w:t xml:space="preserve"> [15]</w:t>
      </w:r>
      <w:r w:rsidR="009E4508" w:rsidRPr="00ED5FE8">
        <w:t>. At 45kW power output</w:t>
      </w:r>
      <w:r w:rsidR="00DA7EDA" w:rsidRPr="00ED5FE8">
        <w:t>,</w:t>
      </w:r>
      <w:r w:rsidR="009E4508" w:rsidRPr="00ED5FE8">
        <w:t xml:space="preserve"> 30 minutes of charging will power a Tesla model S and Nissan Leaf (the two bestselling PEVs) for </w:t>
      </w:r>
      <w:r w:rsidR="00A3105E" w:rsidRPr="00ED5FE8">
        <w:t>67</w:t>
      </w:r>
      <w:r w:rsidR="009E4508" w:rsidRPr="00ED5FE8">
        <w:t xml:space="preserve"> miles a</w:t>
      </w:r>
      <w:r w:rsidR="00A3105E" w:rsidRPr="00ED5FE8">
        <w:t>nd 80 miles respectively.</w:t>
      </w:r>
    </w:p>
    <w:p w:rsidR="001F55DF" w:rsidRPr="00ED5FE8" w:rsidRDefault="000D23AD" w:rsidP="001F55DF">
      <w:pPr>
        <w:pStyle w:val="BodyText"/>
      </w:pPr>
      <w:r w:rsidRPr="00ED5FE8">
        <w:t xml:space="preserve">Simulations were run with </w:t>
      </w:r>
      <w:r w:rsidR="00D23567" w:rsidRPr="00ED5FE8">
        <w:t xml:space="preserve">different </w:t>
      </w:r>
      <w:r w:rsidRPr="00ED5FE8">
        <w:t>batt</w:t>
      </w:r>
      <w:r w:rsidR="009E5B2A" w:rsidRPr="00ED5FE8">
        <w:t xml:space="preserve">ery sizes and discharge levels. For pairs of peak and nonpeak energy prices, each charging station chose the battery configuration that </w:t>
      </w:r>
      <w:r w:rsidR="00894281" w:rsidRPr="00ED5FE8">
        <w:t xml:space="preserve">was best able to increase profitability. Based on the individual charging station battery configuration choices, the power with and without </w:t>
      </w:r>
      <w:proofErr w:type="gramStart"/>
      <w:r w:rsidR="00894281" w:rsidRPr="00ED5FE8">
        <w:t>batteries was</w:t>
      </w:r>
      <w:proofErr w:type="gramEnd"/>
      <w:r w:rsidR="00894281" w:rsidRPr="00ED5FE8">
        <w:t xml:space="preserve"> evaluated and peak episodes were analyzed. Peak prices were varied from $0.10/kWh to $0.60/kWh. For each peak price a </w:t>
      </w:r>
      <w:r w:rsidR="00894281" w:rsidRPr="00ED5FE8">
        <w:lastRenderedPageBreak/>
        <w:t>corresponding nonpeak price was chosen such that the average price for all power consumed was $0.10/</w:t>
      </w:r>
      <w:proofErr w:type="spellStart"/>
      <w:r w:rsidR="00894281" w:rsidRPr="00ED5FE8">
        <w:t>kWh.</w:t>
      </w:r>
      <w:r w:rsidR="001F55DF" w:rsidRPr="00ED5FE8">
        <w:t>Peak</w:t>
      </w:r>
      <w:proofErr w:type="spellEnd"/>
      <w:r w:rsidR="001F55DF" w:rsidRPr="00ED5FE8">
        <w:t xml:space="preserve"> power is defined as the top 5% of power loads between 9am and 6pm over the entire simulated year.</w:t>
      </w:r>
    </w:p>
    <w:p w:rsidR="000D23AD" w:rsidRPr="00ED5FE8" w:rsidRDefault="00766B31" w:rsidP="000D23AD">
      <w:pPr>
        <w:pStyle w:val="Heading"/>
        <w:numPr>
          <w:ilvl w:val="0"/>
          <w:numId w:val="3"/>
        </w:numPr>
        <w:rPr>
          <w:lang w:val="en-US"/>
        </w:rPr>
      </w:pPr>
      <w:bookmarkStart w:id="12" w:name="_Ref492923970"/>
      <w:r w:rsidRPr="00ED5FE8">
        <w:rPr>
          <w:lang w:val="en-US"/>
        </w:rPr>
        <w:t>Results</w:t>
      </w:r>
      <w:bookmarkEnd w:id="12"/>
    </w:p>
    <w:p w:rsidR="000D23AD" w:rsidRPr="00ED5FE8" w:rsidRDefault="00BE2964" w:rsidP="000D23AD">
      <w:pPr>
        <w:pStyle w:val="Body"/>
        <w:jc w:val="left"/>
      </w:pPr>
      <w:r w:rsidRPr="00ED5FE8">
        <w:fldChar w:fldCharType="begin"/>
      </w:r>
      <w:r w:rsidRPr="00ED5FE8">
        <w:instrText xml:space="preserve"> REF _Ref494740241 \h  \* MERGEFORMAT </w:instrText>
      </w:r>
      <w:r w:rsidRPr="00ED5FE8">
        <w:fldChar w:fldCharType="separate"/>
      </w:r>
      <w:r w:rsidR="00CD6719" w:rsidRPr="00ED5FE8">
        <w:t>Figure 7</w:t>
      </w:r>
      <w:r w:rsidRPr="00ED5FE8">
        <w:fldChar w:fldCharType="end"/>
      </w:r>
      <w:r w:rsidR="000D23AD" w:rsidRPr="00ED5FE8">
        <w:t xml:space="preserve"> </w:t>
      </w:r>
      <w:r w:rsidR="00894281" w:rsidRPr="00ED5FE8">
        <w:t xml:space="preserve">shows the mean percent reduction of daily peak power demand and </w:t>
      </w:r>
      <w:r w:rsidRPr="00ED5FE8">
        <w:fldChar w:fldCharType="begin"/>
      </w:r>
      <w:r w:rsidRPr="00ED5FE8">
        <w:instrText xml:space="preserve"> REF _Ref494742104 \h  \* MERGEFORMAT </w:instrText>
      </w:r>
      <w:r w:rsidRPr="00ED5FE8">
        <w:fldChar w:fldCharType="separate"/>
      </w:r>
      <w:r w:rsidR="00CD6719" w:rsidRPr="00ED5FE8">
        <w:t>Figure 8</w:t>
      </w:r>
      <w:r w:rsidRPr="00ED5FE8">
        <w:fldChar w:fldCharType="end"/>
      </w:r>
      <w:r w:rsidR="00894281" w:rsidRPr="00ED5FE8">
        <w:t xml:space="preserve"> shows the percent reduction of maximum peak power for each </w:t>
      </w:r>
      <w:r w:rsidR="00D23567" w:rsidRPr="00ED5FE8">
        <w:t xml:space="preserve">energy model </w:t>
      </w:r>
      <w:r w:rsidR="00894281" w:rsidRPr="00ED5FE8">
        <w:t xml:space="preserve">over the full year. </w:t>
      </w:r>
    </w:p>
    <w:p w:rsidR="000D23AD" w:rsidRPr="00ED5FE8" w:rsidRDefault="000D23AD" w:rsidP="000D23AD">
      <w:pPr>
        <w:pStyle w:val="Body"/>
      </w:pPr>
    </w:p>
    <w:p w:rsidR="000D23AD" w:rsidRPr="00ED5FE8" w:rsidRDefault="004251CA" w:rsidP="000D23AD">
      <w:pPr>
        <w:pStyle w:val="Body"/>
        <w:keepNext/>
        <w:rPr>
          <w:noProof/>
        </w:rPr>
      </w:pPr>
      <w:r w:rsidRPr="00ED5FE8">
        <w:rPr>
          <w:noProof/>
        </w:rPr>
        <w:drawing>
          <wp:inline distT="0" distB="0" distL="0" distR="0" wp14:anchorId="336F7F0E" wp14:editId="576A177F">
            <wp:extent cx="3154680" cy="3154680"/>
            <wp:effectExtent l="0" t="0" r="7620" b="762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3154680" cy="3154680"/>
                    </a:xfrm>
                    <a:prstGeom prst="rect">
                      <a:avLst/>
                    </a:prstGeom>
                  </pic:spPr>
                </pic:pic>
              </a:graphicData>
            </a:graphic>
          </wp:inline>
        </w:drawing>
      </w:r>
    </w:p>
    <w:p w:rsidR="004251CA" w:rsidRPr="00ED5FE8" w:rsidRDefault="004251CA" w:rsidP="004251CA">
      <w:pPr>
        <w:pStyle w:val="Caption"/>
        <w:rPr>
          <w:noProof/>
        </w:rPr>
      </w:pPr>
      <w:bookmarkStart w:id="13" w:name="_Ref494740241"/>
      <w:bookmarkStart w:id="14" w:name="_Ref494740232"/>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7</w:t>
      </w:r>
      <w:r w:rsidR="00253FD3" w:rsidRPr="00ED5FE8">
        <w:rPr>
          <w:noProof/>
        </w:rPr>
        <w:fldChar w:fldCharType="end"/>
      </w:r>
      <w:bookmarkEnd w:id="13"/>
      <w:r w:rsidRPr="00ED5FE8">
        <w:t xml:space="preserve"> – Average Peak Power Reduction</w:t>
      </w:r>
      <w:bookmarkEnd w:id="14"/>
    </w:p>
    <w:p w:rsidR="004251CA" w:rsidRPr="00ED5FE8" w:rsidRDefault="004251CA">
      <w:pPr>
        <w:pStyle w:val="Body"/>
        <w:keepNext/>
        <w:rPr>
          <w:noProof/>
        </w:rPr>
      </w:pPr>
    </w:p>
    <w:p w:rsidR="004251CA" w:rsidRPr="00ED5FE8" w:rsidRDefault="004251CA">
      <w:pPr>
        <w:pStyle w:val="Body"/>
        <w:keepNext/>
        <w:rPr>
          <w:noProof/>
        </w:rPr>
      </w:pPr>
    </w:p>
    <w:p w:rsidR="004251CA" w:rsidRPr="00ED5FE8" w:rsidRDefault="004251CA">
      <w:pPr>
        <w:pStyle w:val="Body"/>
        <w:keepNext/>
        <w:rPr>
          <w:noProof/>
        </w:rPr>
      </w:pPr>
      <w:r w:rsidRPr="00ED5FE8">
        <w:rPr>
          <w:noProof/>
        </w:rPr>
        <w:drawing>
          <wp:inline distT="0" distB="0" distL="0" distR="0" wp14:anchorId="1C14540E" wp14:editId="52E96CA9">
            <wp:extent cx="3154680" cy="3154680"/>
            <wp:effectExtent l="0" t="0" r="7620" b="762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3154680" cy="3154680"/>
                    </a:xfrm>
                    <a:prstGeom prst="rect">
                      <a:avLst/>
                    </a:prstGeom>
                  </pic:spPr>
                </pic:pic>
              </a:graphicData>
            </a:graphic>
          </wp:inline>
        </w:drawing>
      </w:r>
    </w:p>
    <w:p w:rsidR="00DA7EDA" w:rsidRPr="00ED5FE8" w:rsidRDefault="004251CA" w:rsidP="00DC03F7">
      <w:pPr>
        <w:pStyle w:val="Caption"/>
      </w:pPr>
      <w:bookmarkStart w:id="15" w:name="_Ref494742104"/>
      <w:r w:rsidRPr="00ED5FE8">
        <w:t xml:space="preserve">Figure </w:t>
      </w:r>
      <w:r w:rsidR="00253FD3" w:rsidRPr="00ED5FE8">
        <w:fldChar w:fldCharType="begin"/>
      </w:r>
      <w:r w:rsidR="00253FD3" w:rsidRPr="00ED5FE8">
        <w:instrText xml:space="preserve"> SEQ Figure \* ARABIC </w:instrText>
      </w:r>
      <w:r w:rsidR="00253FD3" w:rsidRPr="00ED5FE8">
        <w:fldChar w:fldCharType="separate"/>
      </w:r>
      <w:r w:rsidR="00CD6719" w:rsidRPr="00ED5FE8">
        <w:rPr>
          <w:noProof/>
        </w:rPr>
        <w:t>8</w:t>
      </w:r>
      <w:r w:rsidR="00253FD3" w:rsidRPr="00ED5FE8">
        <w:rPr>
          <w:noProof/>
        </w:rPr>
        <w:fldChar w:fldCharType="end"/>
      </w:r>
      <w:bookmarkEnd w:id="15"/>
      <w:r w:rsidRPr="00ED5FE8">
        <w:t xml:space="preserve"> – Reduction of Maximum Peak</w:t>
      </w:r>
    </w:p>
    <w:p w:rsidR="006734D0" w:rsidRPr="00ED5FE8" w:rsidRDefault="006734D0" w:rsidP="00D23567">
      <w:pPr>
        <w:pStyle w:val="BodyText"/>
      </w:pPr>
      <w:r w:rsidRPr="00ED5FE8">
        <w:lastRenderedPageBreak/>
        <w:t xml:space="preserve">Power </w:t>
      </w:r>
      <w:r w:rsidR="00D23567" w:rsidRPr="00ED5FE8">
        <w:t xml:space="preserve">models </w:t>
      </w:r>
      <w:r w:rsidRPr="00ED5FE8">
        <w:t xml:space="preserve">tested achieved a reduction in </w:t>
      </w:r>
      <w:r w:rsidR="00D22F55" w:rsidRPr="00ED5FE8">
        <w:t xml:space="preserve">average </w:t>
      </w:r>
      <w:r w:rsidRPr="00ED5FE8">
        <w:t xml:space="preserve">peak power loads between </w:t>
      </w:r>
      <w:r w:rsidR="00D22F55" w:rsidRPr="00ED5FE8">
        <w:t>14</w:t>
      </w:r>
      <w:r w:rsidRPr="00ED5FE8">
        <w:t>% and 2</w:t>
      </w:r>
      <w:r w:rsidR="00D22F55" w:rsidRPr="00ED5FE8">
        <w:t xml:space="preserve">5%, and maximum peak reductions of 6% to 29%. As predicted, the benefits increased as the spread between peak and nonpeak prices increased. </w:t>
      </w:r>
    </w:p>
    <w:p w:rsidR="00DC03F7" w:rsidRPr="00ED5FE8" w:rsidRDefault="00DC03F7">
      <w:pPr>
        <w:rPr>
          <w:rFonts w:cs="Arial Unicode MS"/>
          <w:smallCaps/>
          <w:color w:val="000000"/>
          <w:sz w:val="20"/>
          <w:szCs w:val="20"/>
          <w:u w:color="000000"/>
        </w:rPr>
      </w:pPr>
      <w:bookmarkStart w:id="16" w:name="_Ref492923987"/>
    </w:p>
    <w:p w:rsidR="001579FB" w:rsidRPr="00ED5FE8" w:rsidRDefault="00AC434B">
      <w:pPr>
        <w:pStyle w:val="Heading"/>
        <w:numPr>
          <w:ilvl w:val="0"/>
          <w:numId w:val="4"/>
        </w:numPr>
      </w:pPr>
      <w:r w:rsidRPr="00ED5FE8">
        <w:rPr>
          <w:lang w:val="en-US"/>
        </w:rPr>
        <w:t xml:space="preserve"> </w:t>
      </w:r>
      <w:r w:rsidR="00766B31" w:rsidRPr="00ED5FE8">
        <w:rPr>
          <w:lang w:val="it-IT"/>
        </w:rPr>
        <w:t>Conclusion</w:t>
      </w:r>
      <w:bookmarkEnd w:id="16"/>
    </w:p>
    <w:p w:rsidR="001579FB" w:rsidRPr="00ED5FE8" w:rsidRDefault="00766B31" w:rsidP="00546FDA">
      <w:pPr>
        <w:pStyle w:val="BodyText"/>
      </w:pPr>
      <w:r w:rsidRPr="00ED5FE8">
        <w:t xml:space="preserve">This simple model demonstrates the power of economic incentives in the form of differentiated pricing to influence the infrastructure in PEV charging stations </w:t>
      </w:r>
      <w:r w:rsidR="00D23567" w:rsidRPr="00ED5FE8">
        <w:t xml:space="preserve">to help </w:t>
      </w:r>
      <w:r w:rsidRPr="00ED5FE8">
        <w:t>reduce peak grid power load events</w:t>
      </w:r>
      <w:r w:rsidR="00D23567" w:rsidRPr="00ED5FE8">
        <w:t xml:space="preserve">.  </w:t>
      </w:r>
      <w:r w:rsidRPr="00ED5FE8">
        <w:t xml:space="preserve">Based on this model, we conclude that </w:t>
      </w:r>
      <w:r w:rsidR="00D23567" w:rsidRPr="00ED5FE8">
        <w:t xml:space="preserve">distributed </w:t>
      </w:r>
      <w:r w:rsidRPr="00ED5FE8">
        <w:t>batter</w:t>
      </w:r>
      <w:r w:rsidR="00D23567" w:rsidRPr="00ED5FE8">
        <w:t>y storage at charging stations</w:t>
      </w:r>
      <w:r w:rsidRPr="00ED5FE8">
        <w:t xml:space="preserve"> can </w:t>
      </w:r>
      <w:r w:rsidR="00D23567" w:rsidRPr="00ED5FE8">
        <w:t xml:space="preserve">be an </w:t>
      </w:r>
      <w:r w:rsidR="00E01640" w:rsidRPr="00ED5FE8">
        <w:t>effective</w:t>
      </w:r>
      <w:r w:rsidRPr="00ED5FE8">
        <w:t xml:space="preserve"> </w:t>
      </w:r>
      <w:r w:rsidR="00D23567" w:rsidRPr="00ED5FE8">
        <w:t>means</w:t>
      </w:r>
      <w:r w:rsidRPr="00ED5FE8">
        <w:t xml:space="preserve"> </w:t>
      </w:r>
      <w:r w:rsidR="00D23567" w:rsidRPr="00ED5FE8">
        <w:t xml:space="preserve">to </w:t>
      </w:r>
      <w:r w:rsidRPr="00ED5FE8">
        <w:t>reduc</w:t>
      </w:r>
      <w:r w:rsidR="00D23567" w:rsidRPr="00ED5FE8">
        <w:t>e</w:t>
      </w:r>
      <w:r w:rsidRPr="00ED5FE8">
        <w:t xml:space="preserve"> peak power by redistributing power </w:t>
      </w:r>
      <w:r w:rsidR="00D23567" w:rsidRPr="00ED5FE8">
        <w:t>load.  D</w:t>
      </w:r>
      <w:r w:rsidR="009A798B" w:rsidRPr="00ED5FE8">
        <w:t xml:space="preserve">ue to </w:t>
      </w:r>
      <w:r w:rsidR="00D23567" w:rsidRPr="00ED5FE8">
        <w:t xml:space="preserve">battery </w:t>
      </w:r>
      <w:r w:rsidR="009A798B" w:rsidRPr="00ED5FE8">
        <w:t>price</w:t>
      </w:r>
      <w:r w:rsidRPr="00ED5FE8">
        <w:t xml:space="preserve">, </w:t>
      </w:r>
      <w:r w:rsidR="00D23567" w:rsidRPr="00ED5FE8">
        <w:t xml:space="preserve">judicious battery </w:t>
      </w:r>
      <w:r w:rsidRPr="00ED5FE8">
        <w:t>siz</w:t>
      </w:r>
      <w:r w:rsidR="00D23567" w:rsidRPr="00ED5FE8">
        <w:t>ing</w:t>
      </w:r>
      <w:r w:rsidRPr="00ED5FE8">
        <w:t xml:space="preserve"> and </w:t>
      </w:r>
      <w:r w:rsidR="009A798B" w:rsidRPr="00ED5FE8">
        <w:t>operation</w:t>
      </w:r>
      <w:r w:rsidRPr="00ED5FE8">
        <w:t xml:space="preserve"> </w:t>
      </w:r>
      <w:r w:rsidR="00D23567" w:rsidRPr="00ED5FE8">
        <w:t xml:space="preserve">is needed </w:t>
      </w:r>
      <w:r w:rsidRPr="00ED5FE8">
        <w:t xml:space="preserve">to make </w:t>
      </w:r>
      <w:r w:rsidR="00D23567" w:rsidRPr="00ED5FE8">
        <w:t xml:space="preserve">the system most </w:t>
      </w:r>
      <w:r w:rsidRPr="00ED5FE8">
        <w:t xml:space="preserve">profitable. </w:t>
      </w:r>
      <w:r w:rsidR="009A798B" w:rsidRPr="00ED5FE8">
        <w:t>This model also shows</w:t>
      </w:r>
      <w:r w:rsidR="00D23567" w:rsidRPr="00ED5FE8">
        <w:t xml:space="preserve"> </w:t>
      </w:r>
      <w:r w:rsidRPr="00ED5FE8">
        <w:t xml:space="preserve">that power grid operators can influence charging station owners to invest in batteries </w:t>
      </w:r>
      <w:r w:rsidR="00720CD2" w:rsidRPr="00ED5FE8">
        <w:t>by differentiating peak and non</w:t>
      </w:r>
      <w:r w:rsidRPr="00ED5FE8">
        <w:t xml:space="preserve">peak power prices, </w:t>
      </w:r>
      <w:r w:rsidR="00D22F55" w:rsidRPr="00ED5FE8">
        <w:t>and the results of these incentives can significantly reduce peak power demand</w:t>
      </w:r>
      <w:r w:rsidRPr="00ED5FE8">
        <w:t>.</w:t>
      </w:r>
    </w:p>
    <w:p w:rsidR="00546FDA" w:rsidRPr="00ED5FE8" w:rsidRDefault="00977780" w:rsidP="00977780">
      <w:pPr>
        <w:pStyle w:val="BodyText"/>
      </w:pPr>
      <w:r w:rsidRPr="00ED5FE8">
        <w:t xml:space="preserve">As the PEV charging station market evolves and matures, the addition of renewable energy sources will play a major role in </w:t>
      </w:r>
      <w:r w:rsidR="00A47CDF" w:rsidRPr="00ED5FE8">
        <w:t>reshaping traditional load curves</w:t>
      </w:r>
      <w:r w:rsidRPr="00ED5FE8">
        <w:t xml:space="preserve">. Future work on this system will include a comprehensive evaluation of the impacts of solar and wind power. </w:t>
      </w:r>
    </w:p>
    <w:p w:rsidR="001579FB" w:rsidRPr="00ED5FE8" w:rsidRDefault="00766B31">
      <w:pPr>
        <w:pStyle w:val="Heading5"/>
      </w:pPr>
      <w:r w:rsidRPr="00ED5FE8">
        <w:rPr>
          <w:lang w:val="en-US"/>
        </w:rPr>
        <w:t>References</w:t>
      </w:r>
    </w:p>
    <w:p w:rsidR="001579FB" w:rsidRPr="00ED5FE8" w:rsidRDefault="001579FB">
      <w:pPr>
        <w:pStyle w:val="Body"/>
      </w:pPr>
    </w:p>
    <w:p w:rsidR="001579FB" w:rsidRPr="00ED5FE8" w:rsidRDefault="00766B31">
      <w:pPr>
        <w:pStyle w:val="References"/>
        <w:numPr>
          <w:ilvl w:val="0"/>
          <w:numId w:val="6"/>
        </w:numPr>
      </w:pPr>
      <w:r w:rsidRPr="00ED5FE8">
        <w:t xml:space="preserve">World Oil Outlook, Organization of the Oil Exporting Countries (OPEC), Vienna, Austria, Oct 2016 [Online]. Available: </w:t>
      </w:r>
      <w:hyperlink r:id="rId17" w:history="1">
        <w:r w:rsidRPr="00ED5FE8">
          <w:rPr>
            <w:rStyle w:val="Hyperlink1"/>
          </w:rPr>
          <w:t>http://www.opec.org/opec_web/static_files_project/media/downloads/publications/WOO%202016.pdf</w:t>
        </w:r>
      </w:hyperlink>
    </w:p>
    <w:p w:rsidR="001579FB" w:rsidRPr="00ED5FE8" w:rsidRDefault="00766B31">
      <w:pPr>
        <w:pStyle w:val="References"/>
        <w:numPr>
          <w:ilvl w:val="0"/>
          <w:numId w:val="6"/>
        </w:numPr>
      </w:pPr>
      <w:r w:rsidRPr="00ED5FE8">
        <w:t xml:space="preserve">Global EV Outlook </w:t>
      </w:r>
      <w:r w:rsidR="000A41D2" w:rsidRPr="00ED5FE8">
        <w:t>2017.</w:t>
      </w:r>
      <w:r w:rsidRPr="00ED5FE8">
        <w:t xml:space="preserve"> Organization for Economic Co-operation and Development/International Energy Agency, Paris, France, 2017 [Online]. Available: </w:t>
      </w:r>
      <w:hyperlink r:id="rId18" w:history="1">
        <w:r w:rsidRPr="00ED5FE8">
          <w:rPr>
            <w:rStyle w:val="Hyperlink1"/>
          </w:rPr>
          <w:t>https://www.iea.org/media/topics/transport/Global_EV_Outlook_2017_Leaflet.pdf</w:t>
        </w:r>
      </w:hyperlink>
    </w:p>
    <w:p w:rsidR="001579FB" w:rsidRPr="00ED5FE8" w:rsidRDefault="00766B31">
      <w:pPr>
        <w:pStyle w:val="References"/>
        <w:numPr>
          <w:ilvl w:val="0"/>
          <w:numId w:val="6"/>
        </w:numPr>
      </w:pPr>
      <w:r w:rsidRPr="00ED5FE8">
        <w:t xml:space="preserve">N. Albanese and C McKerracher, </w:t>
      </w:r>
      <w:r w:rsidR="000A41D2" w:rsidRPr="00ED5FE8">
        <w:t>“Comparison</w:t>
      </w:r>
      <w:r w:rsidRPr="00ED5FE8">
        <w:t xml:space="preserve"> of long-term EV adoption forecasts," Bloomberg New Energy Finance, New York, NY, Tech. Rep., Jul. 2017.</w:t>
      </w:r>
    </w:p>
    <w:p w:rsidR="001579FB" w:rsidRPr="00ED5FE8" w:rsidRDefault="00766B31">
      <w:pPr>
        <w:pStyle w:val="References"/>
        <w:numPr>
          <w:ilvl w:val="0"/>
          <w:numId w:val="6"/>
        </w:numPr>
      </w:pPr>
      <w:r w:rsidRPr="00ED5FE8">
        <w:t xml:space="preserve">T. R. Hawkins, B. Singh, G. </w:t>
      </w:r>
      <w:proofErr w:type="spellStart"/>
      <w:r w:rsidRPr="00ED5FE8">
        <w:t>Majeau-Bettez</w:t>
      </w:r>
      <w:proofErr w:type="spellEnd"/>
      <w:r w:rsidRPr="00ED5FE8">
        <w:t xml:space="preserve">, and A.H. </w:t>
      </w:r>
      <w:proofErr w:type="spellStart"/>
      <w:r w:rsidRPr="00ED5FE8">
        <w:t>Strømman</w:t>
      </w:r>
      <w:proofErr w:type="spellEnd"/>
      <w:r w:rsidRPr="00ED5FE8">
        <w:t xml:space="preserve">, “Comparative Environmental Life Cycle Assessment of Conventional and Electric Vehicles,” </w:t>
      </w:r>
      <w:r w:rsidRPr="00ED5FE8">
        <w:rPr>
          <w:rStyle w:val="None"/>
          <w:i/>
          <w:iCs/>
        </w:rPr>
        <w:t>Journal of Industrial Ecology</w:t>
      </w:r>
      <w:r w:rsidRPr="00ED5FE8">
        <w:t>, vol. 17, pp. 53–64, Jan 2013.</w:t>
      </w:r>
    </w:p>
    <w:p w:rsidR="001579FB" w:rsidRPr="00ED5FE8" w:rsidRDefault="00766B31">
      <w:pPr>
        <w:pStyle w:val="References"/>
        <w:numPr>
          <w:ilvl w:val="0"/>
          <w:numId w:val="6"/>
        </w:numPr>
        <w:rPr>
          <w:rStyle w:val="None"/>
          <w:u w:val="single"/>
        </w:rPr>
      </w:pPr>
      <w:r w:rsidRPr="00ED5FE8">
        <w:t xml:space="preserve">M.H. </w:t>
      </w:r>
      <w:proofErr w:type="spellStart"/>
      <w:r w:rsidRPr="00ED5FE8">
        <w:t>Amini</w:t>
      </w:r>
      <w:proofErr w:type="spellEnd"/>
      <w:r w:rsidRPr="00ED5FE8">
        <w:t xml:space="preserve">, A. </w:t>
      </w:r>
      <w:proofErr w:type="spellStart"/>
      <w:r w:rsidRPr="00ED5FE8">
        <w:t>Kargarian</w:t>
      </w:r>
      <w:proofErr w:type="spellEnd"/>
      <w:r w:rsidRPr="00ED5FE8">
        <w:t xml:space="preserve">, O. </w:t>
      </w:r>
      <w:proofErr w:type="spellStart"/>
      <w:r w:rsidRPr="00ED5FE8">
        <w:t>Karabasoglu</w:t>
      </w:r>
      <w:proofErr w:type="spellEnd"/>
      <w:r w:rsidRPr="00ED5FE8">
        <w:t xml:space="preserve">, “ARIMA-based decoupled time series forecasting of electric vehicle charging demand for stochastic power system operation,” </w:t>
      </w:r>
      <w:r w:rsidRPr="00ED5FE8">
        <w:rPr>
          <w:rStyle w:val="None"/>
          <w:i/>
          <w:iCs/>
        </w:rPr>
        <w:t>Electric Power Systems Research</w:t>
      </w:r>
      <w:r w:rsidRPr="00ED5FE8">
        <w:t>, vol. 140, pp 378-390, Nov. 2016.</w:t>
      </w:r>
    </w:p>
    <w:p w:rsidR="001579FB" w:rsidRPr="00ED5FE8" w:rsidRDefault="00766B31">
      <w:pPr>
        <w:pStyle w:val="References"/>
        <w:numPr>
          <w:ilvl w:val="0"/>
          <w:numId w:val="6"/>
        </w:numPr>
        <w:rPr>
          <w:rStyle w:val="None"/>
          <w:u w:val="single"/>
        </w:rPr>
      </w:pPr>
      <w:r w:rsidRPr="00ED5FE8">
        <w:rPr>
          <w:rStyle w:val="None"/>
          <w:color w:val="333333"/>
          <w:u w:color="333333"/>
          <w:shd w:val="clear" w:color="auto" w:fill="FFFFFF"/>
        </w:rPr>
        <w:t xml:space="preserve">A.R. Gopal, C. Sheppard, R. </w:t>
      </w:r>
      <w:proofErr w:type="spellStart"/>
      <w:r w:rsidRPr="00ED5FE8">
        <w:rPr>
          <w:rStyle w:val="None"/>
          <w:color w:val="333333"/>
          <w:u w:color="333333"/>
          <w:shd w:val="clear" w:color="auto" w:fill="FFFFFF"/>
        </w:rPr>
        <w:t>Waraich</w:t>
      </w:r>
      <w:proofErr w:type="spellEnd"/>
      <w:r w:rsidRPr="00ED5FE8">
        <w:rPr>
          <w:rStyle w:val="None"/>
          <w:color w:val="333333"/>
          <w:u w:color="333333"/>
          <w:shd w:val="clear" w:color="auto" w:fill="FFFFFF"/>
        </w:rPr>
        <w:t xml:space="preserve">, A. Campbell, and A. </w:t>
      </w:r>
      <w:proofErr w:type="spellStart"/>
      <w:r w:rsidRPr="00ED5FE8">
        <w:rPr>
          <w:rStyle w:val="None"/>
          <w:color w:val="333333"/>
          <w:u w:color="333333"/>
          <w:shd w:val="clear" w:color="auto" w:fill="FFFFFF"/>
        </w:rPr>
        <w:t>Pozdnukov</w:t>
      </w:r>
      <w:proofErr w:type="spellEnd"/>
      <w:r w:rsidRPr="00ED5FE8">
        <w:rPr>
          <w:rStyle w:val="None"/>
          <w:color w:val="333333"/>
          <w:u w:color="333333"/>
          <w:shd w:val="clear" w:color="auto" w:fill="FFFFFF"/>
        </w:rPr>
        <w:t xml:space="preserve">, “Modeling plug-in electric vehicle charging demand with BEAM, the framework for behavior energy autonomy mobility,” Lawrence Berkeley National Laboratory, Berkeley, CA., May 2017, [Online]. Available: </w:t>
      </w:r>
      <w:hyperlink r:id="rId19" w:history="1">
        <w:r w:rsidRPr="00ED5FE8">
          <w:rPr>
            <w:rStyle w:val="Hyperlink2"/>
          </w:rPr>
          <w:t>https://eta.lbl.gov/publications/modeling-plug-electric-vehicle</w:t>
        </w:r>
      </w:hyperlink>
    </w:p>
    <w:p w:rsidR="001579FB" w:rsidRPr="00ED5FE8" w:rsidRDefault="00766B31">
      <w:pPr>
        <w:pStyle w:val="References"/>
        <w:numPr>
          <w:ilvl w:val="0"/>
          <w:numId w:val="6"/>
        </w:numPr>
      </w:pPr>
      <w:r w:rsidRPr="00ED5FE8">
        <w:t xml:space="preserve">J. de </w:t>
      </w:r>
      <w:proofErr w:type="spellStart"/>
      <w:r w:rsidRPr="00ED5FE8">
        <w:t>Hoog</w:t>
      </w:r>
      <w:proofErr w:type="spellEnd"/>
      <w:r w:rsidRPr="00ED5FE8">
        <w:t xml:space="preserve">, T. </w:t>
      </w:r>
      <w:proofErr w:type="spellStart"/>
      <w:r w:rsidRPr="00ED5FE8">
        <w:t>Alpcan</w:t>
      </w:r>
      <w:proofErr w:type="spellEnd"/>
      <w:r w:rsidRPr="00ED5FE8">
        <w:t xml:space="preserve">, M. Brazil, D. A. Thomas and I. </w:t>
      </w:r>
      <w:proofErr w:type="spellStart"/>
      <w:r w:rsidRPr="00ED5FE8">
        <w:t>Mareels</w:t>
      </w:r>
      <w:proofErr w:type="spellEnd"/>
      <w:r w:rsidRPr="00ED5FE8">
        <w:t xml:space="preserve">, "A Market Mechanism for Electric Vehicle Charging Under Network Constraints," </w:t>
      </w:r>
      <w:r w:rsidRPr="00ED5FE8">
        <w:rPr>
          <w:rStyle w:val="None"/>
          <w:i/>
          <w:iCs/>
        </w:rPr>
        <w:t>IEEE Transactions on Smart Grid</w:t>
      </w:r>
      <w:r w:rsidRPr="00ED5FE8">
        <w:t>, vol. 7, no. 2, pp. 827-836, March 2016.</w:t>
      </w:r>
    </w:p>
    <w:p w:rsidR="001579FB" w:rsidRPr="00ED5FE8" w:rsidRDefault="00766B31">
      <w:pPr>
        <w:pStyle w:val="References"/>
        <w:numPr>
          <w:ilvl w:val="0"/>
          <w:numId w:val="6"/>
        </w:numPr>
      </w:pPr>
      <w:r w:rsidRPr="00ED5FE8">
        <w:t xml:space="preserve">S. I. </w:t>
      </w:r>
      <w:proofErr w:type="spellStart"/>
      <w:r w:rsidRPr="00ED5FE8">
        <w:t>Vagropoulos</w:t>
      </w:r>
      <w:proofErr w:type="spellEnd"/>
      <w:r w:rsidRPr="00ED5FE8">
        <w:t xml:space="preserve">, G. A. </w:t>
      </w:r>
      <w:proofErr w:type="spellStart"/>
      <w:r w:rsidRPr="00ED5FE8">
        <w:t>Balaskas</w:t>
      </w:r>
      <w:proofErr w:type="spellEnd"/>
      <w:r w:rsidRPr="00ED5FE8">
        <w:t xml:space="preserve"> and A. G. </w:t>
      </w:r>
      <w:proofErr w:type="spellStart"/>
      <w:r w:rsidRPr="00ED5FE8">
        <w:t>Bakirtzis</w:t>
      </w:r>
      <w:proofErr w:type="spellEnd"/>
      <w:r w:rsidRPr="00ED5FE8">
        <w:t xml:space="preserve">, "An Investigation of Plug-In Electric Vehicle Charging Impact on Power Systems Scheduling and Energy Costs," </w:t>
      </w:r>
      <w:r w:rsidRPr="00ED5FE8">
        <w:rPr>
          <w:rStyle w:val="None"/>
          <w:i/>
          <w:iCs/>
        </w:rPr>
        <w:t>IEEE Transactions on Power Systems</w:t>
      </w:r>
      <w:r w:rsidRPr="00ED5FE8">
        <w:t>, vol. 32, no. 3, pp. 1902-1912, May 2017.</w:t>
      </w:r>
    </w:p>
    <w:p w:rsidR="001579FB" w:rsidRPr="00ED5FE8" w:rsidRDefault="00766B31">
      <w:pPr>
        <w:pStyle w:val="References"/>
        <w:numPr>
          <w:ilvl w:val="0"/>
          <w:numId w:val="6"/>
        </w:numPr>
      </w:pPr>
      <w:r w:rsidRPr="00ED5FE8">
        <w:t xml:space="preserve">E. L. </w:t>
      </w:r>
      <w:proofErr w:type="spellStart"/>
      <w:r w:rsidRPr="00ED5FE8">
        <w:t>Karfopoulos</w:t>
      </w:r>
      <w:proofErr w:type="spellEnd"/>
      <w:r w:rsidRPr="00ED5FE8">
        <w:t xml:space="preserve"> and N. D. </w:t>
      </w:r>
      <w:proofErr w:type="spellStart"/>
      <w:r w:rsidRPr="00ED5FE8">
        <w:t>Hatziargyriou</w:t>
      </w:r>
      <w:proofErr w:type="spellEnd"/>
      <w:r w:rsidRPr="00ED5FE8">
        <w:t xml:space="preserve">, "Distributed Coordination of Electric Vehicles Providing V2G Services," </w:t>
      </w:r>
      <w:r w:rsidRPr="00ED5FE8">
        <w:rPr>
          <w:rStyle w:val="None"/>
          <w:i/>
          <w:iCs/>
        </w:rPr>
        <w:t>IEEE Transactions on Power Systems</w:t>
      </w:r>
      <w:r w:rsidRPr="00ED5FE8">
        <w:t>, vol. 31, no. 1, pp. 329-338, Jan. 2016.</w:t>
      </w:r>
    </w:p>
    <w:p w:rsidR="001579FB" w:rsidRPr="00ED5FE8" w:rsidRDefault="00766B31">
      <w:pPr>
        <w:pStyle w:val="References"/>
        <w:numPr>
          <w:ilvl w:val="0"/>
          <w:numId w:val="6"/>
        </w:numPr>
      </w:pPr>
      <w:r w:rsidRPr="00ED5FE8">
        <w:lastRenderedPageBreak/>
        <w:t xml:space="preserve">J. J. Q. Yu, </w:t>
      </w:r>
      <w:proofErr w:type="spellStart"/>
      <w:r w:rsidRPr="00ED5FE8">
        <w:t>Junhao</w:t>
      </w:r>
      <w:proofErr w:type="spellEnd"/>
      <w:r w:rsidRPr="00ED5FE8">
        <w:t xml:space="preserve"> Lin, A. Y. S. Lam and V. O. K. Li, "Maximizing aggregator profit through energy trading by coordinated electric vehicle charging," </w:t>
      </w:r>
      <w:r w:rsidRPr="00ED5FE8">
        <w:rPr>
          <w:rStyle w:val="None"/>
          <w:i/>
          <w:iCs/>
        </w:rPr>
        <w:t>2016 IEEE International Conference on Smart Grid Communications</w:t>
      </w:r>
      <w:r w:rsidRPr="00ED5FE8">
        <w:t>, Sydney, NSW, pp. 497-502.</w:t>
      </w:r>
    </w:p>
    <w:p w:rsidR="001579FB" w:rsidRPr="00ED5FE8" w:rsidRDefault="00766B31">
      <w:pPr>
        <w:pStyle w:val="References"/>
        <w:numPr>
          <w:ilvl w:val="0"/>
          <w:numId w:val="6"/>
        </w:numPr>
      </w:pPr>
      <w:r w:rsidRPr="00ED5FE8">
        <w:t xml:space="preserve">S. Kumar and R. Y. </w:t>
      </w:r>
      <w:proofErr w:type="spellStart"/>
      <w:r w:rsidRPr="00ED5FE8">
        <w:t>Udaykumar</w:t>
      </w:r>
      <w:proofErr w:type="spellEnd"/>
      <w:r w:rsidRPr="00ED5FE8">
        <w:t xml:space="preserve">, "Markov chain based stochastic model of electric vehicle parking lot occupancy in vehicle-to-grid," </w:t>
      </w:r>
      <w:r w:rsidRPr="00ED5FE8">
        <w:rPr>
          <w:rStyle w:val="None"/>
          <w:i/>
          <w:iCs/>
        </w:rPr>
        <w:t>2015 IEEE International Conference on Computational Intelligence and Computing Research (ICCIC),</w:t>
      </w:r>
      <w:r w:rsidRPr="00ED5FE8">
        <w:t xml:space="preserve"> Madurai, pp. 1-4.</w:t>
      </w:r>
    </w:p>
    <w:p w:rsidR="001579FB" w:rsidRPr="00ED5FE8" w:rsidRDefault="00766B31">
      <w:pPr>
        <w:pStyle w:val="References"/>
        <w:numPr>
          <w:ilvl w:val="0"/>
          <w:numId w:val="6"/>
        </w:numPr>
      </w:pPr>
      <w:r w:rsidRPr="00ED5FE8">
        <w:t xml:space="preserve">C. </w:t>
      </w:r>
      <w:proofErr w:type="spellStart"/>
      <w:r w:rsidRPr="00ED5FE8">
        <w:t>Farkas</w:t>
      </w:r>
      <w:proofErr w:type="spellEnd"/>
      <w:r w:rsidRPr="00ED5FE8">
        <w:t xml:space="preserve">, L. </w:t>
      </w:r>
      <w:proofErr w:type="spellStart"/>
      <w:r w:rsidRPr="00ED5FE8">
        <w:t>Prikler</w:t>
      </w:r>
      <w:proofErr w:type="spellEnd"/>
      <w:r w:rsidRPr="00ED5FE8">
        <w:t xml:space="preserve">, “Stochastic Modeling of EV Charging at Charging Stations,” 2012 International Conference on Renewable Energies and Power Quality, Santiago de </w:t>
      </w:r>
      <w:proofErr w:type="spellStart"/>
      <w:r w:rsidRPr="00ED5FE8">
        <w:t>Compostela</w:t>
      </w:r>
      <w:proofErr w:type="spellEnd"/>
      <w:r w:rsidRPr="00ED5FE8">
        <w:t>, Spain, pp. 1046-1051</w:t>
      </w:r>
    </w:p>
    <w:p w:rsidR="001579FB" w:rsidRPr="00ED5FE8" w:rsidRDefault="00766B31">
      <w:pPr>
        <w:pStyle w:val="References"/>
        <w:numPr>
          <w:ilvl w:val="0"/>
          <w:numId w:val="6"/>
        </w:numPr>
      </w:pPr>
      <w:r w:rsidRPr="00ED5FE8">
        <w:t xml:space="preserve">K. Schneider, C. </w:t>
      </w:r>
      <w:proofErr w:type="spellStart"/>
      <w:r w:rsidRPr="00ED5FE8">
        <w:t>Yousu</w:t>
      </w:r>
      <w:proofErr w:type="spellEnd"/>
      <w:r w:rsidRPr="00ED5FE8">
        <w:t xml:space="preserve">, D. </w:t>
      </w:r>
      <w:proofErr w:type="spellStart"/>
      <w:r w:rsidRPr="00ED5FE8">
        <w:t>Chassin</w:t>
      </w:r>
      <w:proofErr w:type="spellEnd"/>
      <w:r w:rsidRPr="00ED5FE8">
        <w:t xml:space="preserve">, R. Pratt, D. Engel, and S. Thompson, “Modern Grid Initiative Distribution Taxonomy Final Report”. United States </w:t>
      </w:r>
      <w:proofErr w:type="spellStart"/>
      <w:r w:rsidRPr="00ED5FE8">
        <w:t>Departement</w:t>
      </w:r>
      <w:proofErr w:type="spellEnd"/>
      <w:r w:rsidRPr="00ED5FE8">
        <w:t xml:space="preserve"> of Energy, Nov. 2008 </w:t>
      </w:r>
      <w:r w:rsidRPr="00ED5FE8">
        <w:rPr>
          <w:rStyle w:val="None"/>
          <w:color w:val="333333"/>
          <w:u w:color="333333"/>
          <w:shd w:val="clear" w:color="auto" w:fill="FFFFFF"/>
        </w:rPr>
        <w:t xml:space="preserve">[Online]. Available: </w:t>
      </w:r>
      <w:hyperlink r:id="rId20" w:history="1">
        <w:r w:rsidRPr="00ED5FE8">
          <w:rPr>
            <w:rStyle w:val="Hyperlink1"/>
          </w:rPr>
          <w:t>http://www.osti.gov/scitech/servlets/purl/1040684</w:t>
        </w:r>
      </w:hyperlink>
      <w:r w:rsidRPr="00ED5FE8">
        <w:t>.</w:t>
      </w:r>
    </w:p>
    <w:p w:rsidR="00C67E47" w:rsidRPr="00ED5FE8" w:rsidRDefault="00766B31" w:rsidP="004927E4">
      <w:pPr>
        <w:pStyle w:val="References"/>
        <w:numPr>
          <w:ilvl w:val="0"/>
          <w:numId w:val="6"/>
        </w:numPr>
      </w:pPr>
      <w:r w:rsidRPr="00ED5FE8">
        <w:t>S. Wilcox, W. Marion, Typical Meteorological Year 3 (TMY3) Data Sets, Technical Report NREL/TP-581-43156, National Renewable Energy Laboratory, Golden, Colorado, Apr. 2008</w:t>
      </w:r>
    </w:p>
    <w:p w:rsidR="001579FB" w:rsidRPr="00ED5FE8" w:rsidRDefault="009E5B2A" w:rsidP="009E5B2A">
      <w:pPr>
        <w:pStyle w:val="References"/>
        <w:numPr>
          <w:ilvl w:val="0"/>
          <w:numId w:val="6"/>
        </w:numPr>
      </w:pPr>
      <w:proofErr w:type="spellStart"/>
      <w:r w:rsidRPr="00ED5FE8">
        <w:t>CHAdeMO</w:t>
      </w:r>
      <w:proofErr w:type="spellEnd"/>
      <w:r w:rsidRPr="00ED5FE8">
        <w:t xml:space="preserve"> Association, “Characteristics of </w:t>
      </w:r>
      <w:proofErr w:type="spellStart"/>
      <w:r w:rsidRPr="00ED5FE8">
        <w:t>CHAdeMO</w:t>
      </w:r>
      <w:proofErr w:type="spellEnd"/>
      <w:r w:rsidRPr="00ED5FE8">
        <w:t xml:space="preserve"> Quick Charging System”, Paris, France, </w:t>
      </w:r>
      <w:r w:rsidRPr="00ED5FE8">
        <w:rPr>
          <w:rStyle w:val="None"/>
          <w:color w:val="333333"/>
          <w:u w:color="333333"/>
          <w:shd w:val="clear" w:color="auto" w:fill="FFFFFF"/>
        </w:rPr>
        <w:t xml:space="preserve">[Online]. Available: </w:t>
      </w:r>
      <w:r w:rsidRPr="00ED5FE8">
        <w:t>http://www.chademo.com/pdf/characteristics.pdf</w:t>
      </w:r>
      <w:bookmarkStart w:id="17" w:name="_GoBack"/>
      <w:bookmarkEnd w:id="17"/>
    </w:p>
    <w:sectPr w:rsidR="001579FB" w:rsidRPr="00ED5FE8" w:rsidSect="00AC434B">
      <w:type w:val="continuous"/>
      <w:pgSz w:w="12240" w:h="15840"/>
      <w:pgMar w:top="1080" w:right="1021" w:bottom="1247" w:left="1021" w:header="720" w:footer="720" w:gutter="0"/>
      <w:cols w:num="2" w:space="26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FD3" w:rsidRDefault="00253FD3">
      <w:r>
        <w:separator/>
      </w:r>
    </w:p>
  </w:endnote>
  <w:endnote w:type="continuationSeparator" w:id="0">
    <w:p w:rsidR="00253FD3" w:rsidRDefault="00253F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FD3" w:rsidRDefault="00253FD3">
      <w:r>
        <w:separator/>
      </w:r>
    </w:p>
  </w:footnote>
  <w:footnote w:type="continuationSeparator" w:id="0">
    <w:p w:rsidR="00253FD3" w:rsidRDefault="00253F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15FEC"/>
    <w:multiLevelType w:val="hybridMultilevel"/>
    <w:tmpl w:val="44D05BA8"/>
    <w:styleLink w:val="ImportedStyle1"/>
    <w:lvl w:ilvl="0" w:tplc="B5120C9A">
      <w:start w:val="1"/>
      <w:numFmt w:val="upperRoman"/>
      <w:lvlText w:val="%1."/>
      <w:lvlJc w:val="left"/>
      <w:pPr>
        <w:ind w:left="411" w:hanging="24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0E80470">
      <w:start w:val="1"/>
      <w:numFmt w:val="upperLetter"/>
      <w:lvlText w:val="%2."/>
      <w:lvlJc w:val="left"/>
      <w:pPr>
        <w:tabs>
          <w:tab w:val="num" w:pos="382"/>
        </w:tabs>
        <w:ind w:left="217" w:hanging="52"/>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A5426E2">
      <w:start w:val="1"/>
      <w:numFmt w:val="decimal"/>
      <w:lvlText w:val="%3)"/>
      <w:lvlJc w:val="left"/>
      <w:pPr>
        <w:ind w:left="361"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290656EA">
      <w:start w:val="1"/>
      <w:numFmt w:val="lowerLetter"/>
      <w:lvlText w:val="%4)"/>
      <w:lvlJc w:val="left"/>
      <w:pPr>
        <w:ind w:left="361"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CB389E90">
      <w:start w:val="1"/>
      <w:numFmt w:val="lowerLetter"/>
      <w:lvlText w:val="%5)"/>
      <w:lvlJc w:val="left"/>
      <w:pPr>
        <w:ind w:left="1981"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4E00E80">
      <w:start w:val="1"/>
      <w:numFmt w:val="lowerLetter"/>
      <w:lvlText w:val="(%6)"/>
      <w:lvlJc w:val="left"/>
      <w:pPr>
        <w:tabs>
          <w:tab w:val="num" w:pos="3765"/>
        </w:tabs>
        <w:ind w:left="3600"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E7ACC0C">
      <w:start w:val="1"/>
      <w:numFmt w:val="lowerRoman"/>
      <w:lvlText w:val="(%7)"/>
      <w:lvlJc w:val="left"/>
      <w:pPr>
        <w:tabs>
          <w:tab w:val="num" w:pos="4485"/>
        </w:tabs>
        <w:ind w:left="4320"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8EC9772">
      <w:start w:val="1"/>
      <w:numFmt w:val="lowerLetter"/>
      <w:lvlText w:val="(%8)"/>
      <w:lvlJc w:val="left"/>
      <w:pPr>
        <w:tabs>
          <w:tab w:val="num" w:pos="5205"/>
        </w:tabs>
        <w:ind w:left="5040"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87BCBF32">
      <w:start w:val="1"/>
      <w:numFmt w:val="lowerRoman"/>
      <w:lvlText w:val="(%9)"/>
      <w:lvlJc w:val="left"/>
      <w:pPr>
        <w:tabs>
          <w:tab w:val="num" w:pos="5925"/>
        </w:tabs>
        <w:ind w:left="5760" w:hanging="196"/>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36994522"/>
    <w:multiLevelType w:val="hybridMultilevel"/>
    <w:tmpl w:val="D0FA8CEC"/>
    <w:styleLink w:val="ImportedStyle2"/>
    <w:lvl w:ilvl="0" w:tplc="AE9E83A2">
      <w:start w:val="1"/>
      <w:numFmt w:val="decimal"/>
      <w:lvlText w:val="%1."/>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440C03E8">
      <w:start w:val="1"/>
      <w:numFmt w:val="decimal"/>
      <w:lvlText w:val="%2."/>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tplc="55ECCD64">
      <w:start w:val="1"/>
      <w:numFmt w:val="decimal"/>
      <w:lvlText w:val="%3."/>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tplc="1BBA1620">
      <w:start w:val="1"/>
      <w:numFmt w:val="decimal"/>
      <w:lvlText w:val="%4."/>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tplc="1FD81802">
      <w:start w:val="1"/>
      <w:numFmt w:val="decimal"/>
      <w:lvlText w:val="%5."/>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5" w:tplc="722EB37A">
      <w:start w:val="1"/>
      <w:numFmt w:val="decimal"/>
      <w:lvlText w:val="%6."/>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tplc="BFD258AA">
      <w:start w:val="1"/>
      <w:numFmt w:val="decimal"/>
      <w:lvlText w:val="%7."/>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tplc="E6B8D8DA">
      <w:start w:val="1"/>
      <w:numFmt w:val="decimal"/>
      <w:lvlText w:val="%8."/>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8" w:tplc="DC426B1C">
      <w:start w:val="1"/>
      <w:numFmt w:val="decimal"/>
      <w:lvlText w:val="%9."/>
      <w:lvlJc w:val="left"/>
      <w:pPr>
        <w:ind w:left="360" w:hanging="360"/>
      </w:pPr>
      <w:rPr>
        <w:rFonts w:hAnsi="Arial Unicode MS"/>
        <w:caps w:val="0"/>
        <w:smallCaps w:val="0"/>
        <w:strike w:val="0"/>
        <w:dstrike w:val="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42B97511"/>
    <w:multiLevelType w:val="hybridMultilevel"/>
    <w:tmpl w:val="44D05BA8"/>
    <w:numStyleLink w:val="ImportedStyle1"/>
  </w:abstractNum>
  <w:abstractNum w:abstractNumId="3">
    <w:nsid w:val="4977182F"/>
    <w:multiLevelType w:val="hybridMultilevel"/>
    <w:tmpl w:val="D0FA8CEC"/>
    <w:numStyleLink w:val="ImportedStyle2"/>
  </w:abstractNum>
  <w:num w:numId="1">
    <w:abstractNumId w:val="0"/>
  </w:num>
  <w:num w:numId="2">
    <w:abstractNumId w:val="2"/>
  </w:num>
  <w:num w:numId="3">
    <w:abstractNumId w:val="2"/>
    <w:lvlOverride w:ilvl="0">
      <w:startOverride w:val="6"/>
    </w:lvlOverride>
  </w:num>
  <w:num w:numId="4">
    <w:abstractNumId w:val="2"/>
    <w:lvlOverride w:ilvl="0">
      <w:lvl w:ilvl="0" w:tplc="C18A5754">
        <w:start w:val="1"/>
        <w:numFmt w:val="upperRoman"/>
        <w:lvlText w:val="%1."/>
        <w:lvlJc w:val="left"/>
        <w:pPr>
          <w:tabs>
            <w:tab w:val="num" w:pos="576"/>
          </w:tabs>
          <w:ind w:left="215" w:firstLine="16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1">
      <w:lvl w:ilvl="1" w:tplc="ABD478DC">
        <w:start w:val="1"/>
        <w:numFmt w:val="upperLetter"/>
        <w:suff w:val="nothing"/>
        <w:lvlText w:val="%2."/>
        <w:lvlJc w:val="left"/>
        <w:pPr>
          <w:ind w:left="360"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2">
      <w:lvl w:ilvl="2" w:tplc="F1784DCA">
        <w:start w:val="1"/>
        <w:numFmt w:val="decimal"/>
        <w:suff w:val="nothing"/>
        <w:lvlText w:val="%3)"/>
        <w:lvlJc w:val="left"/>
        <w:pPr>
          <w:ind w:left="21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3">
      <w:lvl w:ilvl="3" w:tplc="A51CBE0E">
        <w:start w:val="1"/>
        <w:numFmt w:val="lowerLetter"/>
        <w:suff w:val="nothing"/>
        <w:lvlText w:val="%4)"/>
        <w:lvlJc w:val="left"/>
        <w:pPr>
          <w:ind w:left="21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4">
      <w:lvl w:ilvl="4" w:tplc="A1F6FD7C">
        <w:start w:val="1"/>
        <w:numFmt w:val="lowerLetter"/>
        <w:suff w:val="nothing"/>
        <w:lvlText w:val="%5)"/>
        <w:lvlJc w:val="left"/>
        <w:pPr>
          <w:ind w:left="201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5">
      <w:lvl w:ilvl="5" w:tplc="3E9416C2">
        <w:start w:val="1"/>
        <w:numFmt w:val="lowerLetter"/>
        <w:suff w:val="nothing"/>
        <w:lvlText w:val="(%6)"/>
        <w:lvlJc w:val="left"/>
        <w:pPr>
          <w:ind w:left="381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6">
      <w:lvl w:ilvl="6" w:tplc="6882A204">
        <w:start w:val="1"/>
        <w:numFmt w:val="lowerRoman"/>
        <w:suff w:val="nothing"/>
        <w:lvlText w:val="(%7)"/>
        <w:lvlJc w:val="left"/>
        <w:pPr>
          <w:ind w:left="453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7">
      <w:lvl w:ilvl="7" w:tplc="225EEC2A">
        <w:start w:val="1"/>
        <w:numFmt w:val="lowerLetter"/>
        <w:suff w:val="nothing"/>
        <w:lvlText w:val="(%8)"/>
        <w:lvlJc w:val="left"/>
        <w:pPr>
          <w:ind w:left="525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lvlOverride w:ilvl="8">
      <w:lvl w:ilvl="8" w:tplc="CD140A40">
        <w:start w:val="1"/>
        <w:numFmt w:val="lowerRoman"/>
        <w:suff w:val="nothing"/>
        <w:lvlText w:val="(%9)"/>
        <w:lvlJc w:val="left"/>
        <w:pPr>
          <w:ind w:left="5975" w:firstLine="215"/>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9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9FB"/>
    <w:rsid w:val="00010C49"/>
    <w:rsid w:val="0002261D"/>
    <w:rsid w:val="000751D6"/>
    <w:rsid w:val="00091B94"/>
    <w:rsid w:val="000A0886"/>
    <w:rsid w:val="000A41D2"/>
    <w:rsid w:val="000C186E"/>
    <w:rsid w:val="000D23AD"/>
    <w:rsid w:val="000E61ED"/>
    <w:rsid w:val="001579FB"/>
    <w:rsid w:val="00185582"/>
    <w:rsid w:val="001909AB"/>
    <w:rsid w:val="001C201D"/>
    <w:rsid w:val="001D55D3"/>
    <w:rsid w:val="001F55DF"/>
    <w:rsid w:val="00202BF0"/>
    <w:rsid w:val="00253FD3"/>
    <w:rsid w:val="00257728"/>
    <w:rsid w:val="00274728"/>
    <w:rsid w:val="00310761"/>
    <w:rsid w:val="00332756"/>
    <w:rsid w:val="003679AB"/>
    <w:rsid w:val="00411D7D"/>
    <w:rsid w:val="004251CA"/>
    <w:rsid w:val="00427796"/>
    <w:rsid w:val="004927E4"/>
    <w:rsid w:val="00520C80"/>
    <w:rsid w:val="00533BC5"/>
    <w:rsid w:val="00546FDA"/>
    <w:rsid w:val="00576DD2"/>
    <w:rsid w:val="00597B14"/>
    <w:rsid w:val="005F2E67"/>
    <w:rsid w:val="006222C8"/>
    <w:rsid w:val="00622D0A"/>
    <w:rsid w:val="0063621A"/>
    <w:rsid w:val="00640937"/>
    <w:rsid w:val="006734D0"/>
    <w:rsid w:val="006A1D6C"/>
    <w:rsid w:val="006B1AA4"/>
    <w:rsid w:val="00720CD2"/>
    <w:rsid w:val="00766B31"/>
    <w:rsid w:val="007875E1"/>
    <w:rsid w:val="007B3C2E"/>
    <w:rsid w:val="007C1DC5"/>
    <w:rsid w:val="007E6A9A"/>
    <w:rsid w:val="00894281"/>
    <w:rsid w:val="008B4359"/>
    <w:rsid w:val="008E70BB"/>
    <w:rsid w:val="0095732B"/>
    <w:rsid w:val="00970D82"/>
    <w:rsid w:val="0097220F"/>
    <w:rsid w:val="00977780"/>
    <w:rsid w:val="009A798B"/>
    <w:rsid w:val="009B3D83"/>
    <w:rsid w:val="009C30B4"/>
    <w:rsid w:val="009E4508"/>
    <w:rsid w:val="009E5B2A"/>
    <w:rsid w:val="00A253D1"/>
    <w:rsid w:val="00A3105E"/>
    <w:rsid w:val="00A47CDF"/>
    <w:rsid w:val="00A85B59"/>
    <w:rsid w:val="00A86167"/>
    <w:rsid w:val="00A86AC3"/>
    <w:rsid w:val="00AA2561"/>
    <w:rsid w:val="00AC434B"/>
    <w:rsid w:val="00B94C8A"/>
    <w:rsid w:val="00BA4D1C"/>
    <w:rsid w:val="00BB4E06"/>
    <w:rsid w:val="00BE2964"/>
    <w:rsid w:val="00BF4A55"/>
    <w:rsid w:val="00C0144B"/>
    <w:rsid w:val="00C21D57"/>
    <w:rsid w:val="00C67E47"/>
    <w:rsid w:val="00CB2FDB"/>
    <w:rsid w:val="00CC6018"/>
    <w:rsid w:val="00CD6719"/>
    <w:rsid w:val="00CE5171"/>
    <w:rsid w:val="00D22F55"/>
    <w:rsid w:val="00D2326C"/>
    <w:rsid w:val="00D23567"/>
    <w:rsid w:val="00D37DD1"/>
    <w:rsid w:val="00D4177D"/>
    <w:rsid w:val="00D4681F"/>
    <w:rsid w:val="00D55A00"/>
    <w:rsid w:val="00D809AA"/>
    <w:rsid w:val="00D92F06"/>
    <w:rsid w:val="00DA7EDA"/>
    <w:rsid w:val="00DC03F7"/>
    <w:rsid w:val="00DE2074"/>
    <w:rsid w:val="00E01640"/>
    <w:rsid w:val="00EC55AB"/>
    <w:rsid w:val="00ED5FE8"/>
    <w:rsid w:val="00F45543"/>
    <w:rsid w:val="00F9213C"/>
    <w:rsid w:val="00FB1A8E"/>
    <w:rsid w:val="00FB5A78"/>
    <w:rsid w:val="00FC2506"/>
    <w:rsid w:val="00FD3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34B"/>
    <w:rPr>
      <w:sz w:val="24"/>
      <w:szCs w:val="24"/>
    </w:rPr>
  </w:style>
  <w:style w:type="paragraph" w:styleId="Heading5">
    <w:name w:val="heading 5"/>
    <w:next w:val="Body"/>
    <w:rsid w:val="00AC434B"/>
    <w:pPr>
      <w:tabs>
        <w:tab w:val="left" w:pos="360"/>
      </w:tabs>
      <w:spacing w:before="160" w:after="80"/>
      <w:jc w:val="center"/>
      <w:outlineLvl w:val="4"/>
    </w:pPr>
    <w:rPr>
      <w:rFonts w:cs="Arial Unicode MS"/>
      <w:smallCaps/>
      <w:color w:val="000000"/>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434B"/>
    <w:rPr>
      <w:u w:val="single"/>
    </w:rPr>
  </w:style>
  <w:style w:type="paragraph" w:customStyle="1" w:styleId="HeaderFooter">
    <w:name w:val="Header &amp; Footer"/>
    <w:rsid w:val="00AC434B"/>
    <w:pPr>
      <w:tabs>
        <w:tab w:val="right" w:pos="9020"/>
      </w:tabs>
    </w:pPr>
    <w:rPr>
      <w:rFonts w:ascii="Helvetica Neue" w:hAnsi="Helvetica Neue" w:cs="Arial Unicode MS"/>
      <w:color w:val="000000"/>
      <w:sz w:val="24"/>
      <w:szCs w:val="24"/>
    </w:rPr>
  </w:style>
  <w:style w:type="paragraph" w:customStyle="1" w:styleId="papertitle">
    <w:name w:val="paper title"/>
    <w:rsid w:val="00AC434B"/>
    <w:pPr>
      <w:spacing w:after="120"/>
      <w:jc w:val="center"/>
    </w:pPr>
    <w:rPr>
      <w:rFonts w:cs="Arial Unicode MS"/>
      <w:color w:val="000000"/>
      <w:sz w:val="48"/>
      <w:szCs w:val="48"/>
      <w:u w:color="000000"/>
    </w:rPr>
  </w:style>
  <w:style w:type="paragraph" w:customStyle="1" w:styleId="Body">
    <w:name w:val="Body"/>
    <w:rsid w:val="00AC434B"/>
    <w:pPr>
      <w:jc w:val="center"/>
    </w:pPr>
    <w:rPr>
      <w:rFonts w:eastAsia="Times New Roman"/>
      <w:color w:val="000000"/>
      <w:u w:color="000000"/>
    </w:rPr>
  </w:style>
  <w:style w:type="paragraph" w:customStyle="1" w:styleId="Author">
    <w:name w:val="Author"/>
    <w:rsid w:val="00AC434B"/>
    <w:pPr>
      <w:spacing w:before="360" w:after="40"/>
      <w:jc w:val="center"/>
    </w:pPr>
    <w:rPr>
      <w:rFonts w:cs="Arial Unicode MS"/>
      <w:color w:val="000000"/>
      <w:sz w:val="22"/>
      <w:szCs w:val="22"/>
      <w:u w:color="000000"/>
    </w:rPr>
  </w:style>
  <w:style w:type="paragraph" w:customStyle="1" w:styleId="Affiliation">
    <w:name w:val="Affiliation"/>
    <w:rsid w:val="00AC434B"/>
    <w:pPr>
      <w:jc w:val="center"/>
    </w:pPr>
    <w:rPr>
      <w:rFonts w:cs="Arial Unicode MS"/>
      <w:color w:val="000000"/>
      <w:u w:color="000000"/>
    </w:rPr>
  </w:style>
  <w:style w:type="paragraph" w:customStyle="1" w:styleId="Abstract">
    <w:name w:val="Abstract"/>
    <w:rsid w:val="00AC434B"/>
    <w:pPr>
      <w:spacing w:after="200"/>
      <w:jc w:val="both"/>
    </w:pPr>
    <w:rPr>
      <w:rFonts w:cs="Arial Unicode MS"/>
      <w:b/>
      <w:bCs/>
      <w:color w:val="000000"/>
      <w:sz w:val="18"/>
      <w:szCs w:val="18"/>
      <w:u w:color="000000"/>
    </w:rPr>
  </w:style>
  <w:style w:type="paragraph" w:customStyle="1" w:styleId="Heading">
    <w:name w:val="Heading"/>
    <w:next w:val="Body"/>
    <w:rsid w:val="00AC434B"/>
    <w:pPr>
      <w:keepNext/>
      <w:keepLines/>
      <w:tabs>
        <w:tab w:val="left" w:pos="216"/>
        <w:tab w:val="left" w:pos="576"/>
      </w:tabs>
      <w:spacing w:before="80" w:after="80"/>
      <w:ind w:firstLine="165"/>
      <w:jc w:val="center"/>
      <w:outlineLvl w:val="0"/>
    </w:pPr>
    <w:rPr>
      <w:rFonts w:cs="Arial Unicode MS"/>
      <w:smallCaps/>
      <w:color w:val="000000"/>
      <w:u w:color="000000"/>
      <w:lang w:val="fr-FR"/>
    </w:rPr>
  </w:style>
  <w:style w:type="numbering" w:customStyle="1" w:styleId="ImportedStyle1">
    <w:name w:val="Imported Style 1"/>
    <w:rsid w:val="00AC434B"/>
    <w:pPr>
      <w:numPr>
        <w:numId w:val="1"/>
      </w:numPr>
    </w:pPr>
  </w:style>
  <w:style w:type="paragraph" w:styleId="BodyText">
    <w:name w:val="Body Text"/>
    <w:rsid w:val="00AC434B"/>
    <w:pPr>
      <w:spacing w:after="120" w:line="228" w:lineRule="auto"/>
      <w:ind w:firstLine="288"/>
      <w:jc w:val="both"/>
    </w:pPr>
    <w:rPr>
      <w:rFonts w:cs="Arial Unicode MS"/>
      <w:color w:val="000000"/>
      <w:u w:color="000000"/>
    </w:rPr>
  </w:style>
  <w:style w:type="paragraph" w:styleId="Caption">
    <w:name w:val="caption"/>
    <w:next w:val="Body"/>
    <w:rsid w:val="00AC434B"/>
    <w:pPr>
      <w:spacing w:after="200"/>
      <w:jc w:val="center"/>
    </w:pPr>
    <w:rPr>
      <w:rFonts w:eastAsia="Times New Roman"/>
      <w:i/>
      <w:iCs/>
      <w:color w:val="44546A"/>
      <w:sz w:val="18"/>
      <w:szCs w:val="18"/>
      <w:u w:color="44546A"/>
    </w:rPr>
  </w:style>
  <w:style w:type="character" w:customStyle="1" w:styleId="None">
    <w:name w:val="None"/>
    <w:rsid w:val="00AC434B"/>
  </w:style>
  <w:style w:type="character" w:customStyle="1" w:styleId="Hyperlink0">
    <w:name w:val="Hyperlink.0"/>
    <w:basedOn w:val="None"/>
    <w:rsid w:val="00AC434B"/>
    <w:rPr>
      <w:color w:val="FF2600"/>
    </w:rPr>
  </w:style>
  <w:style w:type="paragraph" w:customStyle="1" w:styleId="Default">
    <w:name w:val="Default"/>
    <w:rsid w:val="00AC434B"/>
    <w:rPr>
      <w:rFonts w:ascii="Helvetica Neue" w:eastAsia="Helvetica Neue" w:hAnsi="Helvetica Neue" w:cs="Helvetica Neue"/>
      <w:color w:val="000000"/>
      <w:sz w:val="22"/>
      <w:szCs w:val="22"/>
    </w:rPr>
  </w:style>
  <w:style w:type="paragraph" w:customStyle="1" w:styleId="References">
    <w:name w:val="References"/>
    <w:rsid w:val="00AC434B"/>
    <w:pPr>
      <w:tabs>
        <w:tab w:val="left" w:pos="360"/>
      </w:tabs>
      <w:jc w:val="both"/>
    </w:pPr>
    <w:rPr>
      <w:rFonts w:cs="Arial Unicode MS"/>
      <w:color w:val="000000"/>
      <w:sz w:val="16"/>
      <w:szCs w:val="16"/>
      <w:u w:color="000000"/>
    </w:rPr>
  </w:style>
  <w:style w:type="numbering" w:customStyle="1" w:styleId="ImportedStyle2">
    <w:name w:val="Imported Style 2"/>
    <w:rsid w:val="00AC434B"/>
    <w:pPr>
      <w:numPr>
        <w:numId w:val="5"/>
      </w:numPr>
    </w:pPr>
  </w:style>
  <w:style w:type="character" w:customStyle="1" w:styleId="Hyperlink1">
    <w:name w:val="Hyperlink.1"/>
    <w:basedOn w:val="Hyperlink"/>
    <w:rsid w:val="00AC434B"/>
    <w:rPr>
      <w:color w:val="0563C1"/>
      <w:u w:val="single" w:color="0563C1"/>
    </w:rPr>
  </w:style>
  <w:style w:type="character" w:customStyle="1" w:styleId="Hyperlink2">
    <w:name w:val="Hyperlink.2"/>
    <w:basedOn w:val="Hyperlink1"/>
    <w:rsid w:val="00AC434B"/>
    <w:rPr>
      <w:color w:val="0563C1"/>
      <w:u w:val="single" w:color="0563C1"/>
      <w:shd w:val="clear" w:color="auto" w:fill="FFFFFF"/>
    </w:rPr>
  </w:style>
  <w:style w:type="paragraph" w:customStyle="1" w:styleId="references0">
    <w:name w:val="references"/>
    <w:rsid w:val="00AC434B"/>
    <w:pPr>
      <w:tabs>
        <w:tab w:val="left" w:pos="360"/>
      </w:tabs>
      <w:spacing w:after="50" w:line="180" w:lineRule="exact"/>
      <w:jc w:val="both"/>
    </w:pPr>
    <w:rPr>
      <w:rFonts w:eastAsia="Times New Roman"/>
      <w:color w:val="000000"/>
      <w:sz w:val="16"/>
      <w:szCs w:val="16"/>
      <w:u w:color="000000"/>
    </w:rPr>
  </w:style>
  <w:style w:type="paragraph" w:styleId="CommentText">
    <w:name w:val="annotation text"/>
    <w:basedOn w:val="Normal"/>
    <w:link w:val="CommentTextChar"/>
    <w:uiPriority w:val="99"/>
    <w:semiHidden/>
    <w:unhideWhenUsed/>
    <w:rsid w:val="00AC434B"/>
    <w:rPr>
      <w:sz w:val="20"/>
      <w:szCs w:val="20"/>
    </w:rPr>
  </w:style>
  <w:style w:type="character" w:customStyle="1" w:styleId="CommentTextChar">
    <w:name w:val="Comment Text Char"/>
    <w:basedOn w:val="DefaultParagraphFont"/>
    <w:link w:val="CommentText"/>
    <w:uiPriority w:val="99"/>
    <w:semiHidden/>
    <w:rsid w:val="00AC434B"/>
  </w:style>
  <w:style w:type="character" w:styleId="CommentReference">
    <w:name w:val="annotation reference"/>
    <w:basedOn w:val="DefaultParagraphFont"/>
    <w:uiPriority w:val="99"/>
    <w:semiHidden/>
    <w:unhideWhenUsed/>
    <w:rsid w:val="00AC434B"/>
    <w:rPr>
      <w:sz w:val="16"/>
      <w:szCs w:val="16"/>
    </w:rPr>
  </w:style>
  <w:style w:type="paragraph" w:styleId="BalloonText">
    <w:name w:val="Balloon Text"/>
    <w:basedOn w:val="Normal"/>
    <w:link w:val="BalloonTextChar"/>
    <w:uiPriority w:val="99"/>
    <w:semiHidden/>
    <w:unhideWhenUsed/>
    <w:rsid w:val="00EC5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AB"/>
    <w:rPr>
      <w:rFonts w:ascii="Segoe UI" w:hAnsi="Segoe UI" w:cs="Segoe UI"/>
      <w:sz w:val="18"/>
      <w:szCs w:val="18"/>
    </w:rPr>
  </w:style>
  <w:style w:type="table" w:customStyle="1" w:styleId="GridTable1Light1">
    <w:name w:val="Grid Table 1 Light1"/>
    <w:basedOn w:val="TableNormal"/>
    <w:uiPriority w:val="46"/>
    <w:rsid w:val="00D37D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751D6"/>
    <w:rPr>
      <w:b/>
      <w:bCs/>
    </w:rPr>
  </w:style>
  <w:style w:type="character" w:customStyle="1" w:styleId="CommentSubjectChar">
    <w:name w:val="Comment Subject Char"/>
    <w:basedOn w:val="CommentTextChar"/>
    <w:link w:val="CommentSubject"/>
    <w:uiPriority w:val="99"/>
    <w:semiHidden/>
    <w:rsid w:val="000751D6"/>
    <w:rPr>
      <w:b/>
      <w:bCs/>
    </w:rPr>
  </w:style>
  <w:style w:type="paragraph" w:styleId="Revision">
    <w:name w:val="Revision"/>
    <w:hidden/>
    <w:uiPriority w:val="99"/>
    <w:semiHidden/>
    <w:rsid w:val="000751D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C434B"/>
    <w:rPr>
      <w:sz w:val="24"/>
      <w:szCs w:val="24"/>
    </w:rPr>
  </w:style>
  <w:style w:type="paragraph" w:styleId="Heading5">
    <w:name w:val="heading 5"/>
    <w:next w:val="Body"/>
    <w:rsid w:val="00AC434B"/>
    <w:pPr>
      <w:tabs>
        <w:tab w:val="left" w:pos="360"/>
      </w:tabs>
      <w:spacing w:before="160" w:after="80"/>
      <w:jc w:val="center"/>
      <w:outlineLvl w:val="4"/>
    </w:pPr>
    <w:rPr>
      <w:rFonts w:cs="Arial Unicode MS"/>
      <w:smallCaps/>
      <w:color w:val="000000"/>
      <w:u w:color="000000"/>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C434B"/>
    <w:rPr>
      <w:u w:val="single"/>
    </w:rPr>
  </w:style>
  <w:style w:type="paragraph" w:customStyle="1" w:styleId="HeaderFooter">
    <w:name w:val="Header &amp; Footer"/>
    <w:rsid w:val="00AC434B"/>
    <w:pPr>
      <w:tabs>
        <w:tab w:val="right" w:pos="9020"/>
      </w:tabs>
    </w:pPr>
    <w:rPr>
      <w:rFonts w:ascii="Helvetica Neue" w:hAnsi="Helvetica Neue" w:cs="Arial Unicode MS"/>
      <w:color w:val="000000"/>
      <w:sz w:val="24"/>
      <w:szCs w:val="24"/>
    </w:rPr>
  </w:style>
  <w:style w:type="paragraph" w:customStyle="1" w:styleId="papertitle">
    <w:name w:val="paper title"/>
    <w:rsid w:val="00AC434B"/>
    <w:pPr>
      <w:spacing w:after="120"/>
      <w:jc w:val="center"/>
    </w:pPr>
    <w:rPr>
      <w:rFonts w:cs="Arial Unicode MS"/>
      <w:color w:val="000000"/>
      <w:sz w:val="48"/>
      <w:szCs w:val="48"/>
      <w:u w:color="000000"/>
    </w:rPr>
  </w:style>
  <w:style w:type="paragraph" w:customStyle="1" w:styleId="Body">
    <w:name w:val="Body"/>
    <w:rsid w:val="00AC434B"/>
    <w:pPr>
      <w:jc w:val="center"/>
    </w:pPr>
    <w:rPr>
      <w:rFonts w:eastAsia="Times New Roman"/>
      <w:color w:val="000000"/>
      <w:u w:color="000000"/>
    </w:rPr>
  </w:style>
  <w:style w:type="paragraph" w:customStyle="1" w:styleId="Author">
    <w:name w:val="Author"/>
    <w:rsid w:val="00AC434B"/>
    <w:pPr>
      <w:spacing w:before="360" w:after="40"/>
      <w:jc w:val="center"/>
    </w:pPr>
    <w:rPr>
      <w:rFonts w:cs="Arial Unicode MS"/>
      <w:color w:val="000000"/>
      <w:sz w:val="22"/>
      <w:szCs w:val="22"/>
      <w:u w:color="000000"/>
    </w:rPr>
  </w:style>
  <w:style w:type="paragraph" w:customStyle="1" w:styleId="Affiliation">
    <w:name w:val="Affiliation"/>
    <w:rsid w:val="00AC434B"/>
    <w:pPr>
      <w:jc w:val="center"/>
    </w:pPr>
    <w:rPr>
      <w:rFonts w:cs="Arial Unicode MS"/>
      <w:color w:val="000000"/>
      <w:u w:color="000000"/>
    </w:rPr>
  </w:style>
  <w:style w:type="paragraph" w:customStyle="1" w:styleId="Abstract">
    <w:name w:val="Abstract"/>
    <w:rsid w:val="00AC434B"/>
    <w:pPr>
      <w:spacing w:after="200"/>
      <w:jc w:val="both"/>
    </w:pPr>
    <w:rPr>
      <w:rFonts w:cs="Arial Unicode MS"/>
      <w:b/>
      <w:bCs/>
      <w:color w:val="000000"/>
      <w:sz w:val="18"/>
      <w:szCs w:val="18"/>
      <w:u w:color="000000"/>
    </w:rPr>
  </w:style>
  <w:style w:type="paragraph" w:customStyle="1" w:styleId="Heading">
    <w:name w:val="Heading"/>
    <w:next w:val="Body"/>
    <w:rsid w:val="00AC434B"/>
    <w:pPr>
      <w:keepNext/>
      <w:keepLines/>
      <w:tabs>
        <w:tab w:val="left" w:pos="216"/>
        <w:tab w:val="left" w:pos="576"/>
      </w:tabs>
      <w:spacing w:before="80" w:after="80"/>
      <w:ind w:firstLine="165"/>
      <w:jc w:val="center"/>
      <w:outlineLvl w:val="0"/>
    </w:pPr>
    <w:rPr>
      <w:rFonts w:cs="Arial Unicode MS"/>
      <w:smallCaps/>
      <w:color w:val="000000"/>
      <w:u w:color="000000"/>
      <w:lang w:val="fr-FR"/>
    </w:rPr>
  </w:style>
  <w:style w:type="numbering" w:customStyle="1" w:styleId="ImportedStyle1">
    <w:name w:val="Imported Style 1"/>
    <w:rsid w:val="00AC434B"/>
    <w:pPr>
      <w:numPr>
        <w:numId w:val="1"/>
      </w:numPr>
    </w:pPr>
  </w:style>
  <w:style w:type="paragraph" w:styleId="BodyText">
    <w:name w:val="Body Text"/>
    <w:rsid w:val="00AC434B"/>
    <w:pPr>
      <w:spacing w:after="120" w:line="228" w:lineRule="auto"/>
      <w:ind w:firstLine="288"/>
      <w:jc w:val="both"/>
    </w:pPr>
    <w:rPr>
      <w:rFonts w:cs="Arial Unicode MS"/>
      <w:color w:val="000000"/>
      <w:u w:color="000000"/>
    </w:rPr>
  </w:style>
  <w:style w:type="paragraph" w:styleId="Caption">
    <w:name w:val="caption"/>
    <w:next w:val="Body"/>
    <w:rsid w:val="00AC434B"/>
    <w:pPr>
      <w:spacing w:after="200"/>
      <w:jc w:val="center"/>
    </w:pPr>
    <w:rPr>
      <w:rFonts w:eastAsia="Times New Roman"/>
      <w:i/>
      <w:iCs/>
      <w:color w:val="44546A"/>
      <w:sz w:val="18"/>
      <w:szCs w:val="18"/>
      <w:u w:color="44546A"/>
    </w:rPr>
  </w:style>
  <w:style w:type="character" w:customStyle="1" w:styleId="None">
    <w:name w:val="None"/>
    <w:rsid w:val="00AC434B"/>
  </w:style>
  <w:style w:type="character" w:customStyle="1" w:styleId="Hyperlink0">
    <w:name w:val="Hyperlink.0"/>
    <w:basedOn w:val="None"/>
    <w:rsid w:val="00AC434B"/>
    <w:rPr>
      <w:color w:val="FF2600"/>
    </w:rPr>
  </w:style>
  <w:style w:type="paragraph" w:customStyle="1" w:styleId="Default">
    <w:name w:val="Default"/>
    <w:rsid w:val="00AC434B"/>
    <w:rPr>
      <w:rFonts w:ascii="Helvetica Neue" w:eastAsia="Helvetica Neue" w:hAnsi="Helvetica Neue" w:cs="Helvetica Neue"/>
      <w:color w:val="000000"/>
      <w:sz w:val="22"/>
      <w:szCs w:val="22"/>
    </w:rPr>
  </w:style>
  <w:style w:type="paragraph" w:customStyle="1" w:styleId="References">
    <w:name w:val="References"/>
    <w:rsid w:val="00AC434B"/>
    <w:pPr>
      <w:tabs>
        <w:tab w:val="left" w:pos="360"/>
      </w:tabs>
      <w:jc w:val="both"/>
    </w:pPr>
    <w:rPr>
      <w:rFonts w:cs="Arial Unicode MS"/>
      <w:color w:val="000000"/>
      <w:sz w:val="16"/>
      <w:szCs w:val="16"/>
      <w:u w:color="000000"/>
    </w:rPr>
  </w:style>
  <w:style w:type="numbering" w:customStyle="1" w:styleId="ImportedStyle2">
    <w:name w:val="Imported Style 2"/>
    <w:rsid w:val="00AC434B"/>
    <w:pPr>
      <w:numPr>
        <w:numId w:val="5"/>
      </w:numPr>
    </w:pPr>
  </w:style>
  <w:style w:type="character" w:customStyle="1" w:styleId="Hyperlink1">
    <w:name w:val="Hyperlink.1"/>
    <w:basedOn w:val="Hyperlink"/>
    <w:rsid w:val="00AC434B"/>
    <w:rPr>
      <w:color w:val="0563C1"/>
      <w:u w:val="single" w:color="0563C1"/>
    </w:rPr>
  </w:style>
  <w:style w:type="character" w:customStyle="1" w:styleId="Hyperlink2">
    <w:name w:val="Hyperlink.2"/>
    <w:basedOn w:val="Hyperlink1"/>
    <w:rsid w:val="00AC434B"/>
    <w:rPr>
      <w:color w:val="0563C1"/>
      <w:u w:val="single" w:color="0563C1"/>
      <w:shd w:val="clear" w:color="auto" w:fill="FFFFFF"/>
    </w:rPr>
  </w:style>
  <w:style w:type="paragraph" w:customStyle="1" w:styleId="references0">
    <w:name w:val="references"/>
    <w:rsid w:val="00AC434B"/>
    <w:pPr>
      <w:tabs>
        <w:tab w:val="left" w:pos="360"/>
      </w:tabs>
      <w:spacing w:after="50" w:line="180" w:lineRule="exact"/>
      <w:jc w:val="both"/>
    </w:pPr>
    <w:rPr>
      <w:rFonts w:eastAsia="Times New Roman"/>
      <w:color w:val="000000"/>
      <w:sz w:val="16"/>
      <w:szCs w:val="16"/>
      <w:u w:color="000000"/>
    </w:rPr>
  </w:style>
  <w:style w:type="paragraph" w:styleId="CommentText">
    <w:name w:val="annotation text"/>
    <w:basedOn w:val="Normal"/>
    <w:link w:val="CommentTextChar"/>
    <w:uiPriority w:val="99"/>
    <w:semiHidden/>
    <w:unhideWhenUsed/>
    <w:rsid w:val="00AC434B"/>
    <w:rPr>
      <w:sz w:val="20"/>
      <w:szCs w:val="20"/>
    </w:rPr>
  </w:style>
  <w:style w:type="character" w:customStyle="1" w:styleId="CommentTextChar">
    <w:name w:val="Comment Text Char"/>
    <w:basedOn w:val="DefaultParagraphFont"/>
    <w:link w:val="CommentText"/>
    <w:uiPriority w:val="99"/>
    <w:semiHidden/>
    <w:rsid w:val="00AC434B"/>
  </w:style>
  <w:style w:type="character" w:styleId="CommentReference">
    <w:name w:val="annotation reference"/>
    <w:basedOn w:val="DefaultParagraphFont"/>
    <w:uiPriority w:val="99"/>
    <w:semiHidden/>
    <w:unhideWhenUsed/>
    <w:rsid w:val="00AC434B"/>
    <w:rPr>
      <w:sz w:val="16"/>
      <w:szCs w:val="16"/>
    </w:rPr>
  </w:style>
  <w:style w:type="paragraph" w:styleId="BalloonText">
    <w:name w:val="Balloon Text"/>
    <w:basedOn w:val="Normal"/>
    <w:link w:val="BalloonTextChar"/>
    <w:uiPriority w:val="99"/>
    <w:semiHidden/>
    <w:unhideWhenUsed/>
    <w:rsid w:val="00EC55A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55AB"/>
    <w:rPr>
      <w:rFonts w:ascii="Segoe UI" w:hAnsi="Segoe UI" w:cs="Segoe UI"/>
      <w:sz w:val="18"/>
      <w:szCs w:val="18"/>
    </w:rPr>
  </w:style>
  <w:style w:type="table" w:customStyle="1" w:styleId="GridTable1Light1">
    <w:name w:val="Grid Table 1 Light1"/>
    <w:basedOn w:val="TableNormal"/>
    <w:uiPriority w:val="46"/>
    <w:rsid w:val="00D37DD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0751D6"/>
    <w:rPr>
      <w:b/>
      <w:bCs/>
    </w:rPr>
  </w:style>
  <w:style w:type="character" w:customStyle="1" w:styleId="CommentSubjectChar">
    <w:name w:val="Comment Subject Char"/>
    <w:basedOn w:val="CommentTextChar"/>
    <w:link w:val="CommentSubject"/>
    <w:uiPriority w:val="99"/>
    <w:semiHidden/>
    <w:rsid w:val="000751D6"/>
    <w:rPr>
      <w:b/>
      <w:bCs/>
    </w:rPr>
  </w:style>
  <w:style w:type="paragraph" w:styleId="Revision">
    <w:name w:val="Revision"/>
    <w:hidden/>
    <w:uiPriority w:val="99"/>
    <w:semiHidden/>
    <w:rsid w:val="000751D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iea.org/media/topics/transport/Global_EV_Outlook_2017_Leaflet.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opec.org/opec_web/static_files_project/media/downloads/publications/WOO%25202016.p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osti.gov/scitech/servlets/purl/1040684"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eta.lbl.gov/publications/modeling-plug-electric-vehicl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ctr"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FE3F3-E708-49A4-8CFB-0F50636A7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3342</Words>
  <Characters>19054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Telcordia</Company>
  <LinksUpToDate>false</LinksUpToDate>
  <CharactersWithSpaces>22352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Marty</dc:creator>
  <cp:lastModifiedBy>jonathan</cp:lastModifiedBy>
  <cp:revision>2</cp:revision>
  <cp:lastPrinted>2017-10-24T02:04:00Z</cp:lastPrinted>
  <dcterms:created xsi:type="dcterms:W3CDTF">2017-10-26T00:44:00Z</dcterms:created>
  <dcterms:modified xsi:type="dcterms:W3CDTF">2017-10-26T00:44:00Z</dcterms:modified>
</cp:coreProperties>
</file>