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6AE92" w14:textId="77777777" w:rsidR="00051F52" w:rsidRDefault="00000000">
      <w:pPr>
        <w:spacing w:after="40"/>
      </w:pPr>
      <w:r>
        <w:rPr>
          <w:rFonts w:ascii="Calibri" w:eastAsia="Calibri" w:hAnsi="Calibri" w:cs="Calibri"/>
          <w:b/>
          <w:bCs/>
          <w:color w:val="E7562E"/>
          <w:sz w:val="52"/>
          <w:szCs w:val="52"/>
        </w:rPr>
        <w:t>Mi Sistema de Diseño</w:t>
      </w:r>
    </w:p>
    <w:p w14:paraId="58B3FB38" w14:textId="77777777" w:rsidR="00051F52" w:rsidRDefault="00000000">
      <w:pPr>
        <w:spacing w:after="60"/>
      </w:pPr>
      <w:r>
        <w:rPr>
          <w:rFonts w:ascii="Calibri" w:eastAsia="Calibri" w:hAnsi="Calibri" w:cs="Calibri"/>
          <w:b/>
          <w:bCs/>
          <w:color w:val="202225"/>
          <w:sz w:val="26"/>
          <w:szCs w:val="26"/>
        </w:rPr>
        <w:t>jonmircha — descripción en lenguaje natural</w:t>
      </w:r>
    </w:p>
    <w:p w14:paraId="0BB96791" w14:textId="77777777" w:rsidR="00051F52" w:rsidRDefault="00051F52">
      <w:pPr>
        <w:pBdr>
          <w:bottom w:val="single" w:sz="12" w:space="6" w:color="E7562E"/>
        </w:pBdr>
        <w:spacing w:after="200"/>
      </w:pPr>
    </w:p>
    <w:p w14:paraId="62C6DF72" w14:textId="2B5EB0A6" w:rsidR="00051F52" w:rsidRDefault="00000000">
      <w:pPr>
        <w:spacing w:after="240"/>
      </w:pPr>
      <w:r>
        <w:rPr>
          <w:rFonts w:ascii="Calibri" w:eastAsia="Calibri" w:hAnsi="Calibri" w:cs="Calibri"/>
          <w:i/>
          <w:iCs/>
          <w:color w:val="5A5A5A"/>
        </w:rPr>
        <w:t xml:space="preserve">Este documento es un ejemplo de cómo se describe un sistema de diseño completo en lenguaje natural, en Word. Es el punto de partida del proyecto: a partir de una descripción como esta, </w:t>
      </w:r>
      <w:r w:rsidR="00522065">
        <w:rPr>
          <w:rFonts w:ascii="Calibri" w:eastAsia="Calibri" w:hAnsi="Calibri" w:cs="Calibri"/>
          <w:i/>
          <w:iCs/>
          <w:color w:val="5A5A5A"/>
        </w:rPr>
        <w:t>OpenCode</w:t>
      </w:r>
      <w:r>
        <w:rPr>
          <w:rFonts w:ascii="Calibri" w:eastAsia="Calibri" w:hAnsi="Calibri" w:cs="Calibri"/>
          <w:i/>
          <w:iCs/>
          <w:color w:val="5A5A5A"/>
        </w:rPr>
        <w:t xml:space="preserve"> genera el archivo DESIGN.md con sus tokens (los valores organizados en formato YAML) y su estructura. Aquí está descrito el sistema real de la marca jonmircha; tú describe el de tu propia marca con este mismo nivel de detalle.</w:t>
      </w:r>
    </w:p>
    <w:p w14:paraId="0276F3FB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1 · Personalidad</w:t>
      </w:r>
    </w:p>
    <w:p w14:paraId="287A9650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marca encarna una estética moderna, enérgica y centrada en la docencia, que tiende un puente entre la experiencia técnica y la calidez cercana. Se apoya en naranjas vibrantes y carbones profundos, y transmite confianza, creatividad y pasión por la enseñanza digital.</w:t>
      </w:r>
    </w:p>
    <w:p w14:paraId="01E54267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Priorizo la claridad y la legibilidad con una filosofía minimalista: layouts limpios, mucho espacio en blanco y tipografía con propósito. Está pensada para creadores y desarrolladores; respeta el tiempo y la carga cognitiva del usuario. En una frase: un acento audaz pero sin abrumar, alto contraste, y componentes sin ornamentación innecesaria.</w:t>
      </w:r>
    </w:p>
    <w:p w14:paraId="53310A89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2 · Colores</w:t>
      </w:r>
    </w:p>
    <w:p w14:paraId="1B6E0E8E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paleta se construye sobre dos naranjas de marca y una base de neutros de alto contraste. Estos son mis colores y para qué uso cada uno:</w:t>
      </w:r>
    </w:p>
    <w:p w14:paraId="68310D77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Naranja de acción (#E7562E): </w:t>
      </w:r>
      <w:r>
        <w:rPr>
          <w:rFonts w:ascii="Calibri" w:eastAsia="Calibri" w:hAnsi="Calibri" w:cs="Calibri"/>
          <w:color w:val="202225"/>
          <w:sz w:val="22"/>
          <w:szCs w:val="22"/>
        </w:rPr>
        <w:t>mi color principal; lo uso para los botones de acción (CTA), los acentos, los títulos y la identidad de marca.</w:t>
      </w:r>
    </w:p>
    <w:p w14:paraId="3CDE6AB1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Naranja alterno (#E7762E): </w:t>
      </w:r>
      <w:r>
        <w:rPr>
          <w:rFonts w:ascii="Calibri" w:eastAsia="Calibri" w:hAnsi="Calibri" w:cs="Calibri"/>
          <w:color w:val="202225"/>
          <w:sz w:val="22"/>
          <w:szCs w:val="22"/>
        </w:rPr>
        <w:t>una variante sutil del naranja, para énfasis puntual.</w:t>
      </w:r>
    </w:p>
    <w:p w14:paraId="3BAFE7AF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Azul cielo (#0088CC): </w:t>
      </w:r>
      <w:r>
        <w:rPr>
          <w:rFonts w:ascii="Calibri" w:eastAsia="Calibri" w:hAnsi="Calibri" w:cs="Calibri"/>
          <w:color w:val="202225"/>
          <w:sz w:val="22"/>
          <w:szCs w:val="22"/>
        </w:rPr>
        <w:t>el color de los enlaces y de los elementos interactivos secundarios.</w:t>
      </w:r>
    </w:p>
    <w:p w14:paraId="6658072E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Cian claro (#73CFFA): </w:t>
      </w:r>
      <w:r>
        <w:rPr>
          <w:rFonts w:ascii="Calibri" w:eastAsia="Calibri" w:hAnsi="Calibri" w:cs="Calibri"/>
          <w:color w:val="202225"/>
          <w:sz w:val="22"/>
          <w:szCs w:val="22"/>
        </w:rPr>
        <w:t>un azul más claro para fondos o estados hover.</w:t>
      </w:r>
    </w:p>
    <w:p w14:paraId="5A184B0C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Gris de botón (#EEEEEE): </w:t>
      </w:r>
      <w:r>
        <w:rPr>
          <w:rFonts w:ascii="Calibri" w:eastAsia="Calibri" w:hAnsi="Calibri" w:cs="Calibri"/>
          <w:color w:val="202225"/>
          <w:sz w:val="22"/>
          <w:szCs w:val="22"/>
        </w:rPr>
        <w:t>fondo de los botones secundarios y fantasma.</w:t>
      </w:r>
    </w:p>
    <w:p w14:paraId="7103F54E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Negro casi puro (#202225): </w:t>
      </w:r>
      <w:r>
        <w:rPr>
          <w:rFonts w:ascii="Calibri" w:eastAsia="Calibri" w:hAnsi="Calibri" w:cs="Calibri"/>
          <w:color w:val="202225"/>
          <w:sz w:val="22"/>
          <w:szCs w:val="22"/>
        </w:rPr>
        <w:t>el texto principal y el color de mayor contraste.</w:t>
      </w:r>
    </w:p>
    <w:p w14:paraId="3FE6AB65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Gris medio (#808080): </w:t>
      </w:r>
      <w:r>
        <w:rPr>
          <w:rFonts w:ascii="Calibri" w:eastAsia="Calibri" w:hAnsi="Calibri" w:cs="Calibri"/>
          <w:color w:val="202225"/>
          <w:sz w:val="22"/>
          <w:szCs w:val="22"/>
        </w:rPr>
        <w:t>texto terciario y elementos deshabilitados.</w:t>
      </w:r>
    </w:p>
    <w:p w14:paraId="0F4A177D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Carbón oscuro (#2B3A42): </w:t>
      </w:r>
      <w:r>
        <w:rPr>
          <w:rFonts w:ascii="Calibri" w:eastAsia="Calibri" w:hAnsi="Calibri" w:cs="Calibri"/>
          <w:color w:val="202225"/>
          <w:sz w:val="22"/>
          <w:szCs w:val="22"/>
        </w:rPr>
        <w:t>fondos profundos o texto secundario.</w:t>
      </w:r>
    </w:p>
    <w:p w14:paraId="2873C910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Carbón medio (#20252C): </w:t>
      </w:r>
      <w:r>
        <w:rPr>
          <w:rFonts w:ascii="Calibri" w:eastAsia="Calibri" w:hAnsi="Calibri" w:cs="Calibri"/>
          <w:color w:val="202225"/>
          <w:sz w:val="22"/>
          <w:szCs w:val="22"/>
        </w:rPr>
        <w:t>neutro oscuro para capas.</w:t>
      </w:r>
    </w:p>
    <w:p w14:paraId="7CF53C8E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Carbón profundo (#202B38): </w:t>
      </w:r>
      <w:r>
        <w:rPr>
          <w:rFonts w:ascii="Calibri" w:eastAsia="Calibri" w:hAnsi="Calibri" w:cs="Calibri"/>
          <w:color w:val="202225"/>
          <w:sz w:val="22"/>
          <w:szCs w:val="22"/>
        </w:rPr>
        <w:t>el más profundo, para overlays de alto contraste.</w:t>
      </w:r>
    </w:p>
    <w:p w14:paraId="67211A4E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Gris muy claro (#FCFCFC): </w:t>
      </w:r>
      <w:r>
        <w:rPr>
          <w:rFonts w:ascii="Calibri" w:eastAsia="Calibri" w:hAnsi="Calibri" w:cs="Calibri"/>
          <w:color w:val="202225"/>
          <w:sz w:val="22"/>
          <w:szCs w:val="22"/>
        </w:rPr>
        <w:t>mi fondo base, casi blanco.</w:t>
      </w:r>
    </w:p>
    <w:p w14:paraId="7BFB12CD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Blanco roto (#F7F7F7): </w:t>
      </w:r>
      <w:r>
        <w:rPr>
          <w:rFonts w:ascii="Calibri" w:eastAsia="Calibri" w:hAnsi="Calibri" w:cs="Calibri"/>
          <w:color w:val="202225"/>
          <w:sz w:val="22"/>
          <w:szCs w:val="22"/>
        </w:rPr>
        <w:t>un fondo alternativo suave.</w:t>
      </w:r>
    </w:p>
    <w:p w14:paraId="6A0D34F6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Blanco (#FFFFFF): </w:t>
      </w:r>
      <w:r>
        <w:rPr>
          <w:rFonts w:ascii="Calibri" w:eastAsia="Calibri" w:hAnsi="Calibri" w:cs="Calibri"/>
          <w:color w:val="202225"/>
          <w:sz w:val="22"/>
          <w:szCs w:val="22"/>
        </w:rPr>
        <w:t>blanco puro para máximo contraste.</w:t>
      </w:r>
    </w:p>
    <w:p w14:paraId="17B5B030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3 · Tipografía</w:t>
      </w:r>
    </w:p>
    <w:p w14:paraId="3034EDB7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Uso tres familias con roles claros. PT Sans es mi fuente principal: para el cuerpo de texto, la navegación y el contenido general. Raleway es la secundaria: para títulos, botones y énfasis. Raleway Black (la versión más gruesa) la reservo para los títulos más importantes. Y Roboto Mono para fragmentos de código.</w:t>
      </w:r>
    </w:p>
    <w:p w14:paraId="79905BDF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Sobre los tamaños: el título display (el más grande) va en Raleway Black a 40px con interlineado de 48px. Los título 1 en PT Sans a 40px con peso 700; los título 2 en Raleway Black a 40px. Los título 3 (subsecciones) en PT Sans a 16px peso 700. El cuerpo del texto en PT Sans a 20px con interlineado de 30px. Los ítems de lista en Raleway a 20px. El texto pequeño en Raleway a 16px. La etiqueta de los botones en Raleway a 19.216px. Y los enlaces en PT Sans a 20px.</w:t>
      </w:r>
    </w:p>
    <w:p w14:paraId="32216469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La jerarquía siempre se logra con tamaño, peso y color, nunca con opacidad. El cuerpo nunca baja de 16px, y uso Raleway Black con moderación, solo para los titulares más importantes.</w:t>
      </w:r>
    </w:p>
    <w:p w14:paraId="4615E749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4 · Layout y espaciado</w:t>
      </w:r>
    </w:p>
    <w:p w14:paraId="5156BEE0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espaciado se basa en una unidad de 8px. La escala va de 4px (microespaciado) a 8, 12, 16, 24, 32, 40, 48, 92 y 136px. Los botones y campos usan 12–16px de espacio interno; las tarjetas 12–24px; y las secciones grandes se separan por 48–92px verticales.</w:t>
      </w:r>
    </w:p>
    <w:p w14:paraId="07E56BAC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ancho máximo del contenido es 1440px. En escritorio uso una rejilla de 12 columnas; en tableta, 8 columnas con márgenes de 48px; en móvil, una sola columna con márgenes de 12–16px.</w:t>
      </w:r>
    </w:p>
    <w:p w14:paraId="0760663A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espacio en blanco es generoso e intencional: el contenido nunca va apretado y las secciones se separan por al menos 92px para crear zonas visuales claras.</w:t>
      </w:r>
    </w:p>
    <w:p w14:paraId="183E7027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5 · Profundidad</w:t>
      </w:r>
    </w:p>
    <w:p w14:paraId="2E613AAC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diseño es mayormente plano. Uso sombras suaves y difusas solo cuando hay interacción o apilamiento. Los niveles son: plano (sin sombra) para tarjetas en reposo, campos y navegación; una elevación sutil (0 2px 4px con opacidad 0.08) para el hover de las tarjetas; una elevación media (0 4px 12px, 0.12) para tarjetas elevadas, modales y popovers; una elevación alta (0 8px 24px, 0.16) para botones flotantes; y un velo oscuro (negro al 0.5) para el fondo de los modales. Nunca uso sombras más profundas que eso; la idea es mantener todo limpio y moderno.</w:t>
      </w:r>
    </w:p>
    <w:p w14:paraId="63149C4B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6 · Formas</w:t>
      </w:r>
    </w:p>
    <w:p w14:paraId="28BCD1D9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Las esquinas por defecto van rectas (0px), para una estética nítida y moderna. Uso un redondeo sutil de 8px de forma opcional en elementos flotantes, y 16px reservado para componentes especiales. Los círculos perfectos (50%) los uso para los botones de ícono, las fotos de perfil y los badges. El motivo de marca es mi logo del búho, construido con el degradado naranja.</w:t>
      </w:r>
    </w:p>
    <w:p w14:paraId="6ECB3B2F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7 · Componentes</w:t>
      </w:r>
    </w:p>
    <w:p w14:paraId="05AA739D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Botones</w:t>
      </w:r>
    </w:p>
    <w:p w14:paraId="7721F2F9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botón principal tiene fondo naranja (#E7562E) y texto blanco, en Raleway a 19.216px, con esquinas muy redondeadas tipo píldora (50px) y espacio interno de 12px por 24px. Al pasar el cursor se oscurece un poco (#D94D1F); al presionarlo se oscurece más (#C63C0A) y encoge ligeramente. Si está deshabilitado, va en gris (#CCCCCC) con texto gris (#808080).</w:t>
      </w:r>
    </w:p>
    <w:p w14:paraId="6C732959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El botón secundario es un botón de ícono circular: fondo gris claro (#EEEEEE), ícono naranja (#E7562E), de 32×32px con esquinas totalmente redondeadas (50%). Al pasar el cursor invierte a fondo naranja con ícono blanco.</w:t>
      </w:r>
    </w:p>
    <w:p w14:paraId="190634F1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botón fantasma es tipo enlace: sin fondo, texto azul (#0088CC) en PT Sans a 20px. Al pasar el cursor cambia a naranja con subrayado.</w:t>
      </w:r>
    </w:p>
    <w:p w14:paraId="1E29D3E6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Tarjetas y contenedores</w:t>
      </w:r>
    </w:p>
    <w:p w14:paraId="45B2E9EF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Mis tarjetas de contenido tienen fondo transparente (o gris muy claro #FCFCFC), texto oscuro (#202225) en PT Sans a 20px, esquinas rectas (0px) y espacio interno horizontal de 12px. Al pasar el cursor ganan una sombra sutil.</w:t>
      </w:r>
    </w:p>
    <w:p w14:paraId="7BC54552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La sección hero (de ancho completo) va con fondo blanco o #FCFCFC, 48px de espacio horizontal y 92px vertical, hasta un ancho máximo de 1440px. La barra de navegación es transparente, con texto #202225, 64px de alto, y opcionalmente un borde inferior gris (#EEEEEE).</w:t>
      </w:r>
    </w:p>
    <w:p w14:paraId="5A015046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Campos y formularios</w:t>
      </w:r>
    </w:p>
    <w:p w14:paraId="7F71866F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Los campos de texto tienen fondo blanco, texto #202225 en PT Sans a 20px, espacio interno de 12px por 16px, y un borde gris de 2px (#EEEEEE) con esquinas rectas. Al enfocarlos, el borde se pone naranja (#E7562E) con un halo suave. El placeholder va en gris (#808080). Las etiquetas van en PT Sans a 16px peso 700.</w:t>
      </w:r>
    </w:p>
    <w:p w14:paraId="413F5DF0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Navegación y enlaces</w:t>
      </w:r>
    </w:p>
    <w:p w14:paraId="3703A591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Los enlaces del menú principal van en PT Sans a 20px, color #202225; al pasar el cursor cambian a naranja con subrayado de 2px, y el activo lleva subrayado de 3px. Los enlaces dentro del texto van en azul (#0088CC) sin subrayado, que aparece al pasar el cursor en naranja. Los enlaces que son títulos (en Raleway Black) van en naranja (#E7562E) y bajan su opacidad al 0.8 en hover.</w:t>
      </w:r>
    </w:p>
    <w:p w14:paraId="21F37C4D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Íconos sociales</w:t>
      </w:r>
    </w:p>
    <w:p w14:paraId="14F45A89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Los íconos de redes son botones circulares de 32×32px con fondo gris claro (#EEEEEE) e ícono oscuro (#202225). Al pasar el cursor, el fondo se pone naranja y el ícono blanco.</w:t>
      </w:r>
    </w:p>
    <w:p w14:paraId="7D41F4F6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Etiquetas, avatar y tarjetas de contenido</w:t>
      </w:r>
    </w:p>
    <w:p w14:paraId="665F6E3C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Uso etiquetas tipo píldora (chips) para mostrar tecnologías, categorías o marcas: fondo gris claro (#EEEEEE), texto oscuro, letra pequeña (13px) y esquinas totalmente redondeadas.</w:t>
      </w:r>
    </w:p>
    <w:p w14:paraId="7614F126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foto de perfil (avatar) va recortada en círculo (radio 50%), a 200px (160px en móvil), con un borde gris claro de 4px.</w:t>
      </w:r>
    </w:p>
    <w:p w14:paraId="1C743A97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Para los enlaces de contacto uso botones con ícono y etiqueta: fondo blanco, texto oscuro, ícono naranja, borde gris de 1px y esquinas rectas. Al pasar el cursor, el borde y el texto se ponen naranja.</w:t>
      </w:r>
    </w:p>
    <w:p w14:paraId="31F86908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Para enlazar recursos (como mis playlists) uso tarjetas de curso en columna: el ícono arriba, el título en Raleway (700, 19px) y abajo un enlace “Ver →” en azul. Fondo blanco, borde gris y esquinas rectas; en hover el borde se pone naranja y aparece una sombra sutil.</w:t>
      </w:r>
    </w:p>
    <w:p w14:paraId="21E217E6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Para listas de habilidades uso elementos con un ícono de acento (naranja) seguido del texto, dentro de una tarjeta de fondo blanco con borde gris.</w:t>
      </w:r>
    </w:p>
    <w:p w14:paraId="79BB8AAC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Para educación y experiencia uso tarjetas con acento lateral: un borde izquierdo naranja de 4px, fondo blanco, borde gris y esquinas rectas. Llevan una fila superior con el título o el rol y, a la derecha, la fecha (en fuente monoespaciada, gris), seguida de la descripción.</w:t>
      </w:r>
    </w:p>
    <w:p w14:paraId="2AC3EA90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8 · Reglas (sí y no)</w:t>
      </w:r>
    </w:p>
    <w:p w14:paraId="390A5660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Sí</w:t>
      </w:r>
    </w:p>
    <w:p w14:paraId="5CA08654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Usa el naranja (#E7562E) para todos los CTA primarios y el énfasis de marca.</w:t>
      </w:r>
    </w:p>
    <w:p w14:paraId="154E1C1C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Mantén 20px como tamaño base del cuerpo en escritorio; nunca bajes de 16px.</w:t>
      </w:r>
    </w:p>
    <w:p w14:paraId="70991E9C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Aplica 48–92px de espaciado vertical entre secciones mayores.</w:t>
      </w:r>
    </w:p>
    <w:p w14:paraId="3D38289B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Usa PT Sans para cuerpo y navegación, y Raleway Black solo para títulos de nivel superior.</w:t>
      </w:r>
    </w:p>
    <w:p w14:paraId="2E7A855F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Combina el naranja con fondos blancos y gris claro para máximo contraste.</w:t>
      </w:r>
    </w:p>
    <w:p w14:paraId="2D5B56CB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Usa botones de ícono circulares (50%) para enlaces sociales y acciones secundarias.</w:t>
      </w:r>
    </w:p>
    <w:p w14:paraId="241D75F3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Mantén tarjetas y componentes a 0px de radio para una apariencia nítida.</w:t>
      </w:r>
    </w:p>
    <w:p w14:paraId="1942BAB4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Implementa los estados hover con cambios de color o subrayados, nunca con opacidad sola.</w:t>
      </w:r>
    </w:p>
    <w:p w14:paraId="3001538C" w14:textId="77777777" w:rsidR="00051F52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No</w:t>
      </w:r>
    </w:p>
    <w:p w14:paraId="3DEEF8A0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uses el naranja y el azul juntos en un mismo elemento interactivo; elige uno.</w:t>
      </w:r>
    </w:p>
    <w:p w14:paraId="13C4F901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uses sombras más profundas que 0 8px 24px.</w:t>
      </w:r>
    </w:p>
    <w:p w14:paraId="06915DE7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uses grises más claros que #808080 para texto.</w:t>
      </w:r>
    </w:p>
    <w:p w14:paraId="11CC25C9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apliques tipografías serif en la jerarquía principal.</w:t>
      </w:r>
    </w:p>
    <w:p w14:paraId="5FD252B4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hagas botones menores a 32px (circulares) o 40px de alto (rectangulares).</w:t>
      </w:r>
    </w:p>
    <w:p w14:paraId="22BBB68F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escondas navegación crítica tras menús desplegables en móvil sin necesidad.</w:t>
      </w:r>
    </w:p>
    <w:p w14:paraId="16574665" w14:textId="77777777" w:rsidR="00051F52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No uses imágenes de fondo o texturas que compitan con la legibilidad.</w:t>
      </w:r>
    </w:p>
    <w:p w14:paraId="2D345E3E" w14:textId="77777777" w:rsidR="00051F52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9 · Comportamiento responsivo</w:t>
      </w:r>
    </w:p>
    <w:p w14:paraId="4D104A49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diseño es mobile-first y se adapta en cuatro tamaños. En móvil (320–599px): una sola columna, márgenes de 12px, secciones separadas por 24px. En tableta (600–1023px): 2–3 columnas, márgenes de 48px, secciones de 48px. En escritorio (1024–1439px): 3 o más columnas, márgenes de 48–92px, secciones de 92px. En escritorio amplio (1440px+): ancho máximo de 1440px centrado, secciones de 92–136px.</w:t>
      </w:r>
    </w:p>
    <w:p w14:paraId="04FEC397" w14:textId="77777777" w:rsidR="00051F52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Los elementos interactivos (botones, íconos, enlaces) miden mínimo 44×44px para ser cómodos al tacto, y los campos de formulario mínimo 40px de alto. En móvil, la navegación se apila o se vuelve un menú hamburguesa; las tarjetas pasan a una columna; los titulares pueden bajar un poco pero nunca de 24px, y el cuerpo se mantiene en 18–20px.</w:t>
      </w:r>
    </w:p>
    <w:p w14:paraId="3CA22F01" w14:textId="77777777" w:rsidR="00051F52" w:rsidRDefault="00000000">
      <w:pPr>
        <w:pBdr>
          <w:top w:val="single" w:sz="8" w:space="8" w:color="CCCCCC"/>
        </w:pBdr>
        <w:spacing w:before="340" w:after="8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¿Y los tokens y la guía del agente?</w:t>
      </w:r>
    </w:p>
    <w:p w14:paraId="34F20737" w14:textId="44CCA1C1" w:rsidR="00051F52" w:rsidRDefault="00000000">
      <w:pPr>
        <w:spacing w:after="80"/>
      </w:pPr>
      <w:r>
        <w:rPr>
          <w:rFonts w:ascii="Calibri" w:eastAsia="Calibri" w:hAnsi="Calibri" w:cs="Calibri"/>
          <w:i/>
          <w:iCs/>
          <w:color w:val="5A5A5A"/>
        </w:rPr>
        <w:t xml:space="preserve">No los escribo yo. A partir de esta descripción, </w:t>
      </w:r>
      <w:r w:rsidR="00522065">
        <w:rPr>
          <w:rFonts w:ascii="Calibri" w:eastAsia="Calibri" w:hAnsi="Calibri" w:cs="Calibri"/>
          <w:i/>
          <w:iCs/>
          <w:color w:val="5A5A5A"/>
        </w:rPr>
        <w:t>OpenCode</w:t>
      </w:r>
      <w:r>
        <w:rPr>
          <w:rFonts w:ascii="Calibri" w:eastAsia="Calibri" w:hAnsi="Calibri" w:cs="Calibri"/>
          <w:i/>
          <w:iCs/>
          <w:color w:val="5A5A5A"/>
        </w:rPr>
        <w:t xml:space="preserve"> genera el archivo DESIGN.md con los tokens (todos estos valores organizados en formato YAML) y una guía de construcción para el agente. Mi trabajo como diseñador es describir las decisiones; el agente arma la estructura técnica.</w:t>
      </w:r>
    </w:p>
    <w:sectPr w:rsidR="00051F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603078"/>
    <w:multiLevelType w:val="hybridMultilevel"/>
    <w:tmpl w:val="326A8C14"/>
    <w:lvl w:ilvl="0" w:tplc="4D3C4A22">
      <w:start w:val="1"/>
      <w:numFmt w:val="bullet"/>
      <w:lvlText w:val="•"/>
      <w:lvlJc w:val="left"/>
      <w:pPr>
        <w:ind w:left="460" w:hanging="260"/>
      </w:pPr>
    </w:lvl>
    <w:lvl w:ilvl="1" w:tplc="88E8B4BC">
      <w:numFmt w:val="decimal"/>
      <w:lvlText w:val=""/>
      <w:lvlJc w:val="left"/>
    </w:lvl>
    <w:lvl w:ilvl="2" w:tplc="2976F39A">
      <w:numFmt w:val="decimal"/>
      <w:lvlText w:val=""/>
      <w:lvlJc w:val="left"/>
    </w:lvl>
    <w:lvl w:ilvl="3" w:tplc="E206B008">
      <w:numFmt w:val="decimal"/>
      <w:lvlText w:val=""/>
      <w:lvlJc w:val="left"/>
    </w:lvl>
    <w:lvl w:ilvl="4" w:tplc="DA1A9DF2">
      <w:numFmt w:val="decimal"/>
      <w:lvlText w:val=""/>
      <w:lvlJc w:val="left"/>
    </w:lvl>
    <w:lvl w:ilvl="5" w:tplc="DFA69AC2">
      <w:numFmt w:val="decimal"/>
      <w:lvlText w:val=""/>
      <w:lvlJc w:val="left"/>
    </w:lvl>
    <w:lvl w:ilvl="6" w:tplc="8D2AE682">
      <w:numFmt w:val="decimal"/>
      <w:lvlText w:val=""/>
      <w:lvlJc w:val="left"/>
    </w:lvl>
    <w:lvl w:ilvl="7" w:tplc="A8AA2C5E">
      <w:numFmt w:val="decimal"/>
      <w:lvlText w:val=""/>
      <w:lvlJc w:val="left"/>
    </w:lvl>
    <w:lvl w:ilvl="8" w:tplc="66BCA2F2">
      <w:numFmt w:val="decimal"/>
      <w:lvlText w:val=""/>
      <w:lvlJc w:val="left"/>
    </w:lvl>
  </w:abstractNum>
  <w:abstractNum w:abstractNumId="1" w15:restartNumberingAfterBreak="0">
    <w:nsid w:val="382F21B0"/>
    <w:multiLevelType w:val="hybridMultilevel"/>
    <w:tmpl w:val="225A3E84"/>
    <w:lvl w:ilvl="0" w:tplc="CD48BAF2">
      <w:start w:val="1"/>
      <w:numFmt w:val="bullet"/>
      <w:lvlText w:val="●"/>
      <w:lvlJc w:val="left"/>
      <w:pPr>
        <w:ind w:left="720" w:hanging="360"/>
      </w:pPr>
    </w:lvl>
    <w:lvl w:ilvl="1" w:tplc="892286E0">
      <w:start w:val="1"/>
      <w:numFmt w:val="bullet"/>
      <w:lvlText w:val="○"/>
      <w:lvlJc w:val="left"/>
      <w:pPr>
        <w:ind w:left="1440" w:hanging="360"/>
      </w:pPr>
    </w:lvl>
    <w:lvl w:ilvl="2" w:tplc="D1A2CE70">
      <w:start w:val="1"/>
      <w:numFmt w:val="bullet"/>
      <w:lvlText w:val="■"/>
      <w:lvlJc w:val="left"/>
      <w:pPr>
        <w:ind w:left="2160" w:hanging="360"/>
      </w:pPr>
    </w:lvl>
    <w:lvl w:ilvl="3" w:tplc="3592A95E">
      <w:start w:val="1"/>
      <w:numFmt w:val="bullet"/>
      <w:lvlText w:val="●"/>
      <w:lvlJc w:val="left"/>
      <w:pPr>
        <w:ind w:left="2880" w:hanging="360"/>
      </w:pPr>
    </w:lvl>
    <w:lvl w:ilvl="4" w:tplc="3042C058">
      <w:start w:val="1"/>
      <w:numFmt w:val="bullet"/>
      <w:lvlText w:val="○"/>
      <w:lvlJc w:val="left"/>
      <w:pPr>
        <w:ind w:left="3600" w:hanging="360"/>
      </w:pPr>
    </w:lvl>
    <w:lvl w:ilvl="5" w:tplc="7D3CD778">
      <w:start w:val="1"/>
      <w:numFmt w:val="bullet"/>
      <w:lvlText w:val="■"/>
      <w:lvlJc w:val="left"/>
      <w:pPr>
        <w:ind w:left="4320" w:hanging="360"/>
      </w:pPr>
    </w:lvl>
    <w:lvl w:ilvl="6" w:tplc="B572607A">
      <w:start w:val="1"/>
      <w:numFmt w:val="bullet"/>
      <w:lvlText w:val="●"/>
      <w:lvlJc w:val="left"/>
      <w:pPr>
        <w:ind w:left="5040" w:hanging="360"/>
      </w:pPr>
    </w:lvl>
    <w:lvl w:ilvl="7" w:tplc="C4627D3C">
      <w:start w:val="1"/>
      <w:numFmt w:val="bullet"/>
      <w:lvlText w:val="●"/>
      <w:lvlJc w:val="left"/>
      <w:pPr>
        <w:ind w:left="5760" w:hanging="360"/>
      </w:pPr>
    </w:lvl>
    <w:lvl w:ilvl="8" w:tplc="FF6432C8">
      <w:start w:val="1"/>
      <w:numFmt w:val="bullet"/>
      <w:lvlText w:val="●"/>
      <w:lvlJc w:val="left"/>
      <w:pPr>
        <w:ind w:left="6480" w:hanging="360"/>
      </w:pPr>
    </w:lvl>
  </w:abstractNum>
  <w:num w:numId="1" w16cid:durableId="1794327098">
    <w:abstractNumId w:val="1"/>
    <w:lvlOverride w:ilvl="0">
      <w:startOverride w:val="1"/>
    </w:lvlOverride>
  </w:num>
  <w:num w:numId="2" w16cid:durableId="529104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F52"/>
    <w:rsid w:val="00051F52"/>
    <w:rsid w:val="003E7C74"/>
    <w:rsid w:val="0052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94D1C"/>
  <w15:docId w15:val="{659602FA-9019-1441-BEF4-C80020DA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1597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2026-07-13T13:25:00Z</dcterms:created>
  <dcterms:modified xsi:type="dcterms:W3CDTF">2026-08-11T02:12:00Z</dcterms:modified>
</cp:coreProperties>
</file>