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6.png" ContentType="image/png"/>
  <Override PartName="/word/media/rId142.png" ContentType="image/png"/>
  <Override PartName="/word/media/rId138.png" ContentType="image/png"/>
  <Override PartName="/word/media/rId134.png" ContentType="image/png"/>
  <Override PartName="/word/media/rId150.png" ContentType="image/png"/>
  <Override PartName="/word/media/rId130.png" ContentType="image/png"/>
  <Override PartName="/word/media/rId154.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Subtitle"/>
        <w:spacing w:line="240" w:lineRule="auto"/>
        <w:jc w:val="center"/>
      </w:pPr>
      <w:r>
        <w:t xml:space="preserve">Doctorado en Informática</w:t>
      </w:r>
    </w:p>
    <w:p>
      <w:pPr>
        <w:spacing w:line="240" w:lineRule="auto"/>
        <w:jc w:val="center"/>
      </w:pPr>
    </w:p>
    <w:p>
      <w:pPr>
        <w:spacing w:line="240" w:lineRule="auto"/>
        <w:jc w:val="center"/>
      </w:pPr>
    </w:p>
    <w:p>
      <w:pPr>
        <w:pStyle w:val="Title"/>
        <w:spacing w:line="240" w:lineRule="auto"/>
        <w:jc w:val="center"/>
      </w:pPr>
      <w:r>
        <w:t xml:space="preserve">Arquitectura Agnóstica para la Interpretabilidad de Modelos de Inteligencia Artificial de Caja Negra</w:t>
      </w:r>
    </w:p>
    <w:p>
      <w:pPr>
        <w:spacing w:line="240" w:lineRule="auto"/>
        <w:jc w:val="center"/>
      </w:pPr>
    </w:p>
    <w:p>
      <w:pPr>
        <w:spacing w:line="240" w:lineRule="auto"/>
        <w:jc w:val="center"/>
      </w:pPr>
    </w:p>
    <w:p>
      <w:pPr>
        <w:spacing w:line="240" w:lineRule="auto"/>
        <w:jc w:val="center"/>
      </w:pPr>
    </w:p>
    <w:p>
      <w:pPr>
        <w:pStyle w:val="Author"/>
        <w:spacing w:line="240" w:lineRule="auto"/>
        <w:jc w:val="center"/>
      </w:pPr>
      <w:r>
        <w:t xml:space="preserve">Jonathan Herrera Vásquez</w:t>
      </w:r>
    </w:p>
    <w:p>
      <w:pPr>
        <w:pStyle w:val="Author"/>
        <w:spacing w:line="240" w:lineRule="auto"/>
        <w:jc w:val="center"/>
      </w:pPr>
      <w:r>
        <w:t xml:space="preserve">Director: Dr. Miguel Herrero Uceda</w:t>
      </w:r>
    </w:p>
    <w:p>
      <w:pPr>
        <w:spacing w:line="240" w:lineRule="auto"/>
        <w:jc w:val="center"/>
      </w:pPr>
    </w:p>
    <w:p>
      <w:pPr>
        <w:spacing w:line="240" w:lineRule="auto"/>
        <w:jc w:val="center"/>
      </w:pPr>
    </w:p>
    <w:p>
      <w:pPr>
        <w:spacing w:line="240" w:lineRule="auto"/>
        <w:jc w:val="center"/>
      </w:pPr>
    </w:p>
    <w:p>
      <w:pPr>
        <w:pStyle w:val="Date"/>
        <w:spacing w:line="240" w:lineRule="auto"/>
        <w:jc w:val="center"/>
      </w:pPr>
      <w:r>
        <w:t xml:space="preserve">Cancún, México</w:t>
      </w:r>
    </w:p>
    <w:p>
      <w:r>
        <w:br w:type="page"/>
      </w:r>
    </w:p>
    <w:sdt>
      <w:sdtPr>
        <w:docPartObj>
          <w:docPartGallery w:val="Table of Contents"/>
          <w:docPartUnique/>
        </w:docPartObj>
      </w:sdtPr>
      <w:sdtContent>
        <w:p>
          <w:pPr>
            <w:pStyle w:val="TtulodeTDC"/>
            <w:spacing w:line="360" w:lineRule="auto"/>
            <w:jc w:val="both"/>
          </w:pPr>
          <w:r>
            <w:t xml:space="preserve">Tabla de contenidos</w:t>
          </w:r>
        </w:p>
        <w:p>
          <w:pPr>
            <w:spacing w:line="360" w:lineRule="auto"/>
            <w:jc w:val="both"/>
          </w:pPr>
          <w:r>
            <w:fldChar w:fldCharType="begin" w:dirty="true"/>
            <w:instrText xml:space="preserve">TOC \o "1-3" \h \z \u</w:instrText>
            <w:fldChar w:fldCharType="separate"/>
            <w:fldChar w:fldCharType="end"/>
          </w:r>
        </w:p>
      </w:sdtContent>
    </w:sdt>
    <w:p>
      <w:r>
        <w:br w:type="page"/>
      </w:r>
    </w:p>
    <w:bookmarkStart w:id="25" w:name="dedicatoria"/>
    <w:p>
      <w:pPr>
        <w:pStyle w:val="Ttulo1"/>
        <w:spacing w:line="360" w:lineRule="auto"/>
        <w:jc w:val="center"/>
      </w:pPr>
      <w:r>
        <w:t xml:space="preserve">Dedicatoria</w:t>
      </w:r>
    </w:p>
    <w:p>
      <w:pPr>
        <w:pStyle w:val="FirstParagraph"/>
        <w:spacing w:line="360" w:lineRule="auto"/>
        <w:jc w:val="right"/>
      </w:pPr>
      <w:r>
        <w:rPr>
          <w:iCs/>
          <w:i/>
        </w:rPr>
        <w:t xml:space="preserve">A mi hijo, Alejandro, su curiosidad es mi inspiración para seguir buscando</w:t>
      </w:r>
      <w:r>
        <w:rPr>
          <w:iCs/>
          <w:i/>
        </w:rPr>
        <w:t xml:space="preserve"> </w:t>
      </w:r>
      <w:r>
        <w:rPr>
          <w:iCs/>
          <w:i/>
        </w:rPr>
        <w:t xml:space="preserve">respuesta a todas las preguntas.</w:t>
      </w:r>
    </w:p>
    <w:p>
      <w:pPr>
        <w:pStyle w:val="Textoindependiente"/>
        <w:spacing w:line="360" w:lineRule="auto"/>
        <w:jc w:val="right"/>
      </w:pPr>
      <w:r>
        <w:rPr>
          <w:iCs/>
          <w:i/>
        </w:rPr>
        <w:t xml:space="preserve">A mi esposa, Liena, tu presencia en mi vida me ha hecho una mejor persona.</w:t>
      </w:r>
    </w:p>
    <w:p>
      <w:pPr>
        <w:pStyle w:val="Textoindependiente"/>
        <w:spacing w:line="360" w:lineRule="auto"/>
        <w:jc w:val="right"/>
      </w:pPr>
      <w:r>
        <w:rPr>
          <w:iCs/>
          <w:i/>
        </w:rPr>
        <w:t xml:space="preserve">A mi madre, Alis, sin tu guía no hubiese podido llegar aquí.</w:t>
      </w:r>
    </w:p>
    <w:p>
      <w:pPr>
        <w:pStyle w:val="Textoindependiente"/>
        <w:spacing w:line="360" w:lineRule="auto"/>
        <w:jc w:val="right"/>
      </w:pPr>
      <w:r>
        <w:rPr>
          <w:iCs/>
          <w:i/>
        </w:rPr>
        <w:t xml:space="preserve">Jonathan Herrera Vásquez</w:t>
      </w:r>
    </w:p>
    <w:p>
      <w:pPr>
        <w:spacing w:line="360" w:lineRule="auto"/>
        <w:jc w:val="right"/>
      </w:pPr>
      <w:r>
        <w:rPr>
          <w:iCs/>
          <w:i/>
        </w:rPr>
        <w:br w:type="page"/>
      </w:r>
    </w:p>
    <w:bookmarkEnd w:id="25"/>
    <w:bookmarkStart w:id="26" w:name="agradecimientos"/>
    <w:p>
      <w:pPr>
        <w:pStyle w:val="Ttulo1"/>
        <w:spacing w:line="360" w:lineRule="auto"/>
        <w:jc w:val="center"/>
      </w:pPr>
      <w:r>
        <w:t xml:space="preserve">Agradecimientos</w:t>
      </w:r>
    </w:p>
    <w:p>
      <w:pPr>
        <w:pStyle w:val="FirstParagraph"/>
        <w:spacing w:line="360" w:lineRule="auto"/>
        <w:jc w:val="right"/>
      </w:pPr>
      <w:r>
        <w:rPr>
          <w:iCs/>
          <w:i/>
        </w:rPr>
        <w:t xml:space="preserve">Agradezco a mi familia por todo su apoyo en el camino a través de los años.</w:t>
      </w:r>
    </w:p>
    <w:p>
      <w:pPr>
        <w:pStyle w:val="Textoindependiente"/>
        <w:spacing w:line="360" w:lineRule="auto"/>
        <w:jc w:val="right"/>
      </w:pPr>
      <w:r>
        <w:rPr>
          <w:iCs/>
          <w:i/>
        </w:rPr>
        <w:t xml:space="preserve">Agradezco al Dr. Miguel Herrero Uceda por su apoyo en el proceso de elaboración</w:t>
      </w:r>
      <w:r>
        <w:rPr>
          <w:iCs/>
          <w:i/>
        </w:rPr>
        <w:t xml:space="preserve"> </w:t>
      </w:r>
      <w:r>
        <w:rPr>
          <w:iCs/>
          <w:i/>
        </w:rPr>
        <w:t xml:space="preserve">de esta tesis.</w:t>
      </w:r>
    </w:p>
    <w:p>
      <w:pPr>
        <w:spacing w:line="360" w:lineRule="auto"/>
        <w:jc w:val="right"/>
      </w:pPr>
      <w:r>
        <w:rPr>
          <w:iCs/>
          <w:i/>
        </w:rPr>
        <w:br w:type="page"/>
      </w:r>
    </w:p>
    <w:bookmarkEnd w:id="26"/>
    <w:bookmarkStart w:id="27"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fragmentación evaluativa del campo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 que hace explícitas tres brechas de constructo del campo.</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sobre 15 bloques con control de multiplicidad y en un análisis pareado SHAP–LIME que cuantifica el trade-off calidad–coste. Los resultados muestran diferencias grandes y consistentes entre métodos: SHAP alcanza la mejor fidelidad y estabilidad medias, con tamaños de efecto muy grandes frente a LIME (d_z = 4.82 en fidelidad y d_z = 3.00 en estabilidad), si bien la ventaja no es uniforme entre familias de modelos. LIME resulta competitivo cuando la latencia es crítica, a costa de una inestabilidad severa bajo la configuración y el espacio de características evaluados; se trata de una propiedad del par (configuración, espacio de características) y no de una propiedad universal del método. Anchors y DiCE responden a objetivos explicativos cualitativamente distintos a la atribución de características. Una validación cruzada sobre dos conjuntos de datos adicionales replica el ordenamiento de fidelidad entre SHAP y Anchors, delimitando el alcance externo de los hallazgos.</w:t>
      </w:r>
    </w:p>
    <w:p>
      <w:pPr>
        <w:pStyle w:val="Textoindependiente"/>
        <w:spacing w:line="360" w:lineRule="auto"/>
        <w:jc w:val="both"/>
      </w:pPr>
      <w:r>
        <w:t xml:space="preserve">Un estudio complementario evalúa si jueces basados en modelos de lenguaje pueden sostener la evaluación semántica de explicaciones. El resultado es negativo: la concordancia inter-juez, medida como ICC(1,1), se sitúa entre 0.321 y 0.601 según la dimensión evaluada, sin alcanzar el umbral exigible para sustentar afirmaciones confirmativas, por lo que su uso queda acotado a un papel exploratorio y de calibración instrumental. En conjunto, la tesis aporta un protocolo portable, evidencia comparativa cuantificada con sus condiciones de validez explícitas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7"/>
    <w:bookmarkStart w:id="28"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the field,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 which makes three of the field’s construct gaps explicit.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over 15 blocks with multiplicity control and on a paired SHAP-LIME analysis quantifying the quality-cost trade-off. Results show large and consistent differences across methods: SHAP attains the best mean faithfulness and stability, with very large effect sizes over LIME (d_z = 4.82 for faithfulness and d_z = 3.00 for stability), although the advantage is not uniform across model families. LIME remains attractive when latency constraints dominate, at the cost of severe instability under the configuration and feature space evaluated; this is a property of the (configuration, feature space) pair rather than a universal property of the method. Anchors and DiCE address qualitatively different explanatory objectives than feature attribution. A cross-dataset check on two further datasets replicates the SHAP-over-Anchors faithfulness ordering, delimiting the external scope of the findings.</w:t>
      </w:r>
    </w:p>
    <w:p>
      <w:pPr>
        <w:pStyle w:val="Textoindependiente"/>
        <w:spacing w:line="360" w:lineRule="auto"/>
        <w:jc w:val="both"/>
      </w:pPr>
      <w:r>
        <w:t xml:space="preserve">A complementary study evaluates whether language-model judges can sustain the semantic evaluation of explanations. The result is negative: inter-judge agreement, measured as ICC(1,1), ranges from 0.321 to 0.601 depending on the dimension, falling short of the threshold required to support confirmatory claims, which confines such judges to an exploratory, instrument-calibration role. Overall, the thesis contributes a portable protocol, quantified comparative evidence with its validity conditions made explicit,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8"/>
    <w:bookmarkStart w:id="29"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y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y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 y</w:t>
      </w:r>
      <w:r>
        <w:t xml:space="preserve"> </w:t>
      </w:r>
      <w:r>
        <w:t xml:space="preserve">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w:t>
      </w:r>
      <w:r>
        <w:t xml:space="preserve"> </w:t>
      </w:r>
      <w:r>
        <w:t xml:space="preserve">conjunto de datos, el diseño factorial, la operacionalización de métricas, el</w:t>
      </w:r>
      <w:r>
        <w:t xml:space="preserve"> </w:t>
      </w:r>
      <w:r>
        <w:t xml:space="preserve">análisis de cobertura y el plan de inferencia estadística. El</w:t>
      </w:r>
      <w:r>
        <w:t xml:space="preserve"> </w:t>
      </w:r>
      <w:r>
        <w:rPr>
          <w:b/>
          <w:bCs/>
        </w:rPr>
        <w:t xml:space="preserve">Capítulo 4</w:t>
      </w:r>
      <w:r>
        <w:t xml:space="preserve"> </w:t>
      </w:r>
      <w:r>
        <w:t xml:space="preserve">expone y discute los resultados empíricos del Estudio Omnibus Multimétrico y</w:t>
      </w:r>
      <w:r>
        <w:t xml:space="preserve"> </w:t>
      </w:r>
      <w:r>
        <w:t xml:space="preserve">del Estudio Pareado LIME–SHAP, con plena trazabilidad de afirmaciones. El</w:t>
      </w:r>
      <w:r>
        <w:t xml:space="preserve"> </w:t>
      </w:r>
      <w:r>
        <w:rPr>
          <w:b/>
          <w:bCs/>
        </w:rPr>
        <w:t xml:space="preserve">Capítulo 5</w:t>
      </w:r>
      <w:r>
        <w:t xml:space="preserve"> </w:t>
      </w:r>
      <w:r>
        <w:t xml:space="preserve">desarrolla la taxonomía de métricas XAI como contribución</w:t>
      </w:r>
      <w:r>
        <w:t xml:space="preserve"> </w:t>
      </w:r>
      <w:r>
        <w:t xml:space="preserve">teórica autónoma. El</w:t>
      </w:r>
      <w:r>
        <w:t xml:space="preserve"> </w:t>
      </w:r>
      <w:r>
        <w:rPr>
          <w:b/>
          <w:bCs/>
        </w:rPr>
        <w:t xml:space="preserve">Capítulo 6</w:t>
      </w:r>
      <w:r>
        <w:t xml:space="preserve"> </w:t>
      </w:r>
      <w:r>
        <w:t xml:space="preserve">sintetiza las conclusiones, separa las</w:t>
      </w:r>
      <w:r>
        <w:t xml:space="preserve"> </w:t>
      </w:r>
      <w:r>
        <w:t xml:space="preserve">contribuciones de la literatura previa, reconoce las limitaciones y propone</w:t>
      </w:r>
      <w:r>
        <w:t xml:space="preserve"> </w:t>
      </w:r>
      <w:r>
        <w:t xml:space="preserve">líneas de investigación futura. Los apéndices documentan los datos, modelos,</w:t>
      </w:r>
      <w:r>
        <w:t xml:space="preserve"> </w:t>
      </w:r>
      <w:r>
        <w:t xml:space="preserve">configuraciones, salidas estadísticas y entorno de reproducción.</w:t>
      </w:r>
    </w:p>
    <w:bookmarkEnd w:id="29"/>
    <w:bookmarkStart w:id="46" w:name="X13574bcfb14bbd4e095f2c559ff6b33999e5b97"/>
    <w:p>
      <w:pPr>
        <w:pStyle w:val="Ttulo1"/>
        <w:spacing w:line="360" w:lineRule="auto"/>
        <w:jc w:val="both"/>
      </w:pPr>
      <w:r>
        <w:t xml:space="preserve">Capítulo 1. </w:t>
      </w: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30" w:name="problema-de-investigación"/>
    <w:p>
      <w:pPr>
        <w:pStyle w:val="Ttulo2"/>
        <w:spacing w:line="360" w:lineRule="auto"/>
        <w:jc w:val="both"/>
      </w:pPr>
      <w:r>
        <w:t xml:space="preserve">1.1 </w:t>
      </w: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y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y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y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30"/>
    <w:bookmarkStart w:id="31" w:name="justificación-científica-y-práctica"/>
    <w:p>
      <w:pPr>
        <w:pStyle w:val="Ttulo2"/>
        <w:spacing w:line="360" w:lineRule="auto"/>
        <w:jc w:val="both"/>
      </w:pPr>
      <w:r>
        <w:t xml:space="preserve">1.2 </w:t>
      </w: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y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y Zhang 2023)</w:t>
      </w:r>
      <w:r>
        <w:t xml:space="preserve">, en la auditoría de sesgos en sistemas de clasificación de texto</w:t>
      </w:r>
      <w:r>
        <w:t xml:space="preserve"> </w:t>
      </w:r>
      <w:r>
        <w:t xml:space="preserve">(Muntasir y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y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y Thangarajah 2024; Hosseini y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1"/>
    <w:bookmarkStart w:id="37" w:name="objetivos-e-hipótesis"/>
    <w:p>
      <w:pPr>
        <w:pStyle w:val="Ttulo2"/>
        <w:spacing w:line="360" w:lineRule="auto"/>
        <w:jc w:val="both"/>
      </w:pPr>
      <w:r>
        <w:t xml:space="preserve">1.3 </w:t>
      </w:r>
      <w:r>
        <w:t xml:space="preserve">Objetivos e hipótesis</w:t>
      </w:r>
    </w:p>
    <w:bookmarkStart w:id="32" w:name="objetivo-general"/>
    <w:p>
      <w:pPr>
        <w:pStyle w:val="Ttulo3"/>
        <w:spacing w:line="360" w:lineRule="auto"/>
        <w:jc w:val="both"/>
      </w:pPr>
      <w:r>
        <w:t xml:space="preserve">1.3.1 </w:t>
      </w:r>
      <w:r>
        <w:t xml:space="preserve">Objetivo general</w:t>
      </w:r>
    </w:p>
    <w:p>
      <w:pPr>
        <w:pStyle w:val="FirstParagraph"/>
        <w:spacing w:line="360" w:lineRule="auto"/>
        <w:jc w:val="both"/>
      </w:pPr>
      <w:r>
        <w:t xml:space="preserve">Desarrollar y evaluar empíricamente un marco de evaluación multinivel y</w:t>
      </w:r>
      <w:r>
        <w:t xml:space="preserve"> </w:t>
      </w:r>
      <w:r>
        <w:t xml:space="preserve">reproducible para métodos de explicabilidad agnósticos al modelo —articulado en</w:t>
      </w:r>
      <w:r>
        <w:t xml:space="preserve"> </w:t>
      </w:r>
      <w:r>
        <w:t xml:space="preserve">un protocolo de operación (FOM-7), un benchmark cuantitativo multi-métrico y una</w:t>
      </w:r>
      <w:r>
        <w:t xml:space="preserve"> </w:t>
      </w:r>
      <w:r>
        <w:t xml:space="preserve">taxonomía estructurada del espacio de métricas—, con el fin de establecer</w:t>
      </w:r>
      <w:r>
        <w:t xml:space="preserve"> </w:t>
      </w:r>
      <w:r>
        <w:t xml:space="preserve">criterios técnicamente fundamentados para la selección y comparación de métodos</w:t>
      </w:r>
      <w:r>
        <w:t xml:space="preserve"> </w:t>
      </w:r>
      <w:r>
        <w:t xml:space="preserve">XAI en contextos de datos tabulares, delimitando explícitamente el alcance de</w:t>
      </w:r>
      <w:r>
        <w:t xml:space="preserve"> </w:t>
      </w:r>
      <w:r>
        <w:t xml:space="preserve">validez de la evidencia obtenida.</w:t>
      </w:r>
    </w:p>
    <w:bookmarkEnd w:id="32"/>
    <w:bookmarkStart w:id="33" w:name="objetivos-específicos"/>
    <w:p>
      <w:pPr>
        <w:pStyle w:val="Ttulo3"/>
        <w:spacing w:line="360" w:lineRule="auto"/>
        <w:jc w:val="both"/>
      </w:pPr>
      <w:r>
        <w:t xml:space="preserve">1.3.2 </w:t>
      </w: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el Estudio Omnibus Multimétrico —la comparación de los</w:t>
      </w:r>
      <w:r>
        <w:t xml:space="preserve"> </w:t>
      </w:r>
      <w:r>
        <w:t xml:space="preserve">cuatro métodos agnósticos— y el Estudio Pareado LIME–SHAP, y que haga</w:t>
      </w:r>
      <w:r>
        <w:t xml:space="preserve"> </w:t>
      </w:r>
      <w:r>
        <w:t xml:space="preserve">explícitas las brechas de constructo del campo.</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w:t>
      </w:r>
      <w:r>
        <w:t xml:space="preserve"> </w:t>
      </w:r>
      <w:r>
        <w:t xml:space="preserve">de determinar si dicho instrumento alcanza la convergencia necesaria para</w:t>
      </w:r>
      <w:r>
        <w:t xml:space="preserve"> </w:t>
      </w:r>
      <w:r>
        <w:t xml:space="preserve">sostener afirmaciones confirmativas. Derivado de la Brecha 3 del Capítulo 5,</w:t>
      </w:r>
      <w:r>
        <w:t xml:space="preserve"> </w:t>
      </w:r>
      <w:r>
        <w:t xml:space="preserve">su alcance es exploratorio y de calibración instrumental, no confirmativo;</w:t>
      </w:r>
      <w:r>
        <w:t xml:space="preserve"> </w:t>
      </w:r>
      <w:r>
        <w:t xml:space="preserve">el estatuto epistémico de la proposición asociada se argumenta junto a P2.</w:t>
      </w:r>
    </w:p>
    <w:bookmarkEnd w:id="33"/>
    <w:bookmarkStart w:id="35" w:name="nomenclatura-de-los-estudios"/>
    <w:p>
      <w:pPr>
        <w:pStyle w:val="Ttulo3"/>
        <w:spacing w:line="360" w:lineRule="auto"/>
        <w:jc w:val="both"/>
      </w:pPr>
      <w:r>
        <w:t xml:space="preserve">1.3.3 </w:t>
      </w:r>
      <w:r>
        <w:t xml:space="preserve">Nomenclatura de los estudios</w:t>
      </w:r>
    </w:p>
    <w:p>
      <w:pPr>
        <w:pStyle w:val="FirstParagraph"/>
        <w:spacing w:line="360" w:lineRule="auto"/>
        <w:jc w:val="both"/>
      </w:pPr>
      <w:r>
        <w:t xml:space="preserve">La investigación se articula en cuatro estudios, cuya denominación se emplea de</w:t>
      </w:r>
      <w:r>
        <w:t xml:space="preserve"> </w:t>
      </w:r>
      <w:r>
        <w:t xml:space="preserve">forma uniforme en el resto del documento. Los objetivos 1 y 4 —formalización del</w:t>
      </w:r>
      <w:r>
        <w:t xml:space="preserve"> </w:t>
      </w:r>
      <w:r>
        <w:t xml:space="preserve">protocolo FOM-7 y caracterización de su reproducibilidad— son transversales a los</w:t>
      </w:r>
      <w:r>
        <w:t xml:space="preserve"> </w:t>
      </w:r>
      <w:r>
        <w:t xml:space="preserve">dos estudios empíricos y no se adscriben a uno solo de ellos.</w:t>
      </w:r>
    </w:p>
    <w:tbl>
      <w:tblPr>
        <w:tblStyle w:val="Table"/>
        <w:tblW w:type="pct" w:w="5000"/>
        <w:jc w:val="center"/>
        <w:tblLayout w:type="fixed"/>
        <w:tblLook w:firstRow="0" w:lastRow="0" w:firstColumn="0" w:lastColumn="0" w:noHBand="0" w:noVBand="0" w:val="0000"/>
      </w:tblPr>
      <w:tblGrid>
        <w:gridCol w:w="7920"/>
      </w:tblGrid>
      <w:tr>
        <w:tc>
          <w:tcPr/>
          <w:bookmarkStart w:id="34" w:name="tbl-estudios"/>
          <w:p>
            <w:pPr>
              <w:pStyle w:val="ImageCaption"/>
              <w:spacing w:before="200" w:line="360" w:lineRule="auto"/>
              <w:jc w:val="center"/>
            </w:pPr>
            <w:r>
              <w:t xml:space="preserve">Tabla 1.1: Nomenclatura, alcance y trazabilidad de los cuatro estudios.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44"/>
              <w:gridCol w:w="3436"/>
              <w:gridCol w:w="1494"/>
              <w:gridCol w:w="1643"/>
            </w:tblGrid>
            <w:tr>
              <w:trPr>
                <w:tblHeader w:val="on"/>
              </w:trPr>
              <w:tc>
                <w:tcPr/>
                <w:p>
                  <w:pPr>
                    <w:pStyle w:val="Compact"/>
                    <w:jc w:val="both"/>
                    <w:jc w:val="center"/>
                    <w:spacing w:line="360" w:lineRule="auto"/>
                  </w:pPr>
                  <w:r>
                    <w:rPr>
                      <w:bCs/>
                      <w:b/>
                    </w:rPr>
                    <w:t xml:space="preserve">Estudio</w:t>
                  </w:r>
                </w:p>
              </w:tc>
              <w:tc>
                <w:tcPr/>
                <w:p>
                  <w:pPr>
                    <w:pStyle w:val="Compact"/>
                    <w:jc w:val="both"/>
                    <w:jc w:val="center"/>
                    <w:spacing w:line="360" w:lineRule="auto"/>
                  </w:pPr>
                  <w:r>
                    <w:rPr>
                      <w:bCs/>
                      <w:b/>
                    </w:rPr>
                    <w:t xml:space="preserve">Pregunta que responde</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Capítulos</w:t>
                  </w:r>
                </w:p>
              </w:tc>
            </w:tr>
            <w:tr>
              <w:tc>
                <w:tcPr/>
                <w:p>
                  <w:pPr>
                    <w:pStyle w:val="Compact"/>
                    <w:jc w:val="both"/>
                    <w:jc w:val="center"/>
                    <w:spacing w:line="360" w:lineRule="auto"/>
                  </w:pPr>
                  <w:r>
                    <w:rPr>
                      <w:b/>
                      <w:bCs/>
                    </w:rPr>
                    <w:t xml:space="preserve">Estudio Omnibus Multimétrico</w:t>
                  </w:r>
                </w:p>
              </w:tc>
              <w:tc>
                <w:tcPr/>
                <w:p>
                  <w:pPr>
                    <w:pStyle w:val="Compact"/>
                    <w:jc w:val="both"/>
                    <w:jc w:val="center"/>
                    <w:spacing w:line="360" w:lineRule="auto"/>
                  </w:pPr>
                  <w:r>
                    <w:t xml:space="preserve">¿Difieren SHAP, LIME, Anchors y DiCE en las cinco métricas de calidad sobre el diseño factorial completo?</w:t>
                  </w:r>
                </w:p>
              </w:tc>
              <w:tc>
                <w:tcPr/>
                <w:p>
                  <w:pPr>
                    <w:pStyle w:val="Compact"/>
                    <w:jc w:val="both"/>
                    <w:jc w:val="center"/>
                    <w:spacing w:line="360" w:lineRule="auto"/>
                  </w:pPr>
                  <w:r>
                    <w:t xml:space="preserve">OE2</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Pareado LIME–SHAP</w:t>
                  </w:r>
                </w:p>
              </w:tc>
              <w:tc>
                <w:tcPr/>
                <w:p>
                  <w:pPr>
                    <w:pStyle w:val="Compact"/>
                    <w:jc w:val="both"/>
                    <w:jc w:val="center"/>
                    <w:spacing w:line="360" w:lineRule="auto"/>
                  </w:pPr>
                  <w:r>
                    <w:t xml:space="preserve">¿Cómo se comporta la relación calidad-coste entre LIME y SHAP sobre celdas coincidentes de modelo, semilla y tamaño de muestra?</w:t>
                  </w:r>
                </w:p>
              </w:tc>
              <w:tc>
                <w:tcPr/>
                <w:p>
                  <w:pPr>
                    <w:pStyle w:val="Compact"/>
                    <w:jc w:val="both"/>
                    <w:jc w:val="center"/>
                    <w:spacing w:line="360" w:lineRule="auto"/>
                  </w:pPr>
                  <w:r>
                    <w:t xml:space="preserve">OE3</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Taxonómico</w:t>
                  </w:r>
                </w:p>
              </w:tc>
              <w:tc>
                <w:tcPr/>
                <w:p>
                  <w:pPr>
                    <w:pStyle w:val="Compact"/>
                    <w:jc w:val="both"/>
                    <w:jc w:val="center"/>
                    <w:spacing w:line="360" w:lineRule="auto"/>
                  </w:pPr>
                  <w:r>
                    <w:t xml:space="preserve">¿Qué estructura conceptual organiza el espacio de métricas de evaluación XAI y qué brechas de constructo revela?</w:t>
                  </w:r>
                </w:p>
              </w:tc>
              <w:tc>
                <w:tcPr/>
                <w:p>
                  <w:pPr>
                    <w:pStyle w:val="Compact"/>
                    <w:jc w:val="both"/>
                    <w:jc w:val="center"/>
                    <w:spacing w:line="360" w:lineRule="auto"/>
                  </w:pPr>
                  <w:r>
                    <w:t xml:space="preserve">OE5</w:t>
                  </w:r>
                </w:p>
              </w:tc>
              <w:tc>
                <w:tcPr/>
                <w:p>
                  <w:pPr>
                    <w:pStyle w:val="Compact"/>
                    <w:jc w:val="both"/>
                    <w:jc w:val="center"/>
                    <w:spacing w:line="360" w:lineRule="auto"/>
                  </w:pPr>
                  <w:r>
                    <w:t xml:space="preserve">5</w:t>
                  </w:r>
                </w:p>
              </w:tc>
            </w:tr>
            <w:tr>
              <w:tc>
                <w:tcPr/>
                <w:p>
                  <w:pPr>
                    <w:pStyle w:val="Compact"/>
                    <w:jc w:val="both"/>
                    <w:jc w:val="center"/>
                    <w:spacing w:line="360" w:lineRule="auto"/>
                  </w:pPr>
                  <w:r>
                    <w:rPr>
                      <w:b/>
                      <w:bCs/>
                    </w:rPr>
                    <w:t xml:space="preserve">Estudio de Fiabilidad Inter-juez</w:t>
                  </w:r>
                </w:p>
              </w:tc>
              <w:tc>
                <w:tcPr/>
                <w:p>
                  <w:pPr>
                    <w:pStyle w:val="Compact"/>
                    <w:jc w:val="both"/>
                    <w:jc w:val="center"/>
                    <w:spacing w:line="360" w:lineRule="auto"/>
                  </w:pPr>
                  <w:r>
                    <w:t xml:space="preserve">¿Alcanzan los evaluadores semánticos basados en LLM la convergencia inter-juez necesaria para sostener afirmaciones confirmativas?</w:t>
                  </w:r>
                </w:p>
              </w:tc>
              <w:tc>
                <w:tcPr/>
                <w:p>
                  <w:pPr>
                    <w:pStyle w:val="Compact"/>
                    <w:jc w:val="both"/>
                    <w:jc w:val="center"/>
                    <w:spacing w:line="360" w:lineRule="auto"/>
                  </w:pPr>
                  <w:r>
                    <w:t xml:space="preserve">OE6</w:t>
                  </w:r>
                </w:p>
              </w:tc>
              <w:tc>
                <w:tcPr/>
                <w:p>
                  <w:pPr>
                    <w:pStyle w:val="Compact"/>
                    <w:jc w:val="both"/>
                    <w:jc w:val="center"/>
                    <w:spacing w:line="360" w:lineRule="auto"/>
                  </w:pPr>
                  <w:r>
                    <w:t xml:space="preserve">3 y 5</w:t>
                  </w:r>
                </w:p>
              </w:tc>
            </w:tr>
          </w:tbl>
          <w:bookmarkEnd w:id="34"/>
          <w:p>
            <w:pPr>
              <w:spacing w:line="360" w:lineRule="auto"/>
              <w:jc w:val="both"/>
            </w:pPr>
          </w:p>
        </w:tc>
      </w:tr>
    </w:tbl>
    <w:p>
      <w:pPr>
        <w:pStyle w:val="Textoindependiente"/>
        <w:spacing w:line="360" w:lineRule="auto"/>
        <w:jc w:val="both"/>
      </w:pPr>
      <w:r>
        <w:t xml:space="preserve">Estos nombres sustituyen a las letras identificadoras (Estudios A, B y C)</w:t>
      </w:r>
      <w:r>
        <w:t xml:space="preserve"> </w:t>
      </w:r>
      <w:r>
        <w:t xml:space="preserve">empleadas en versiones previas del documento.</w:t>
      </w:r>
    </w:p>
    <w:bookmarkEnd w:id="35"/>
    <w:bookmarkStart w:id="36" w:name="hipótesis-o-proposiciones-de-trabajo"/>
    <w:p>
      <w:pPr>
        <w:pStyle w:val="Ttulo3"/>
        <w:spacing w:line="360" w:lineRule="auto"/>
        <w:jc w:val="both"/>
      </w:pPr>
      <w:r>
        <w:t xml:space="preserve">1.3.4 </w:t>
      </w: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y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w:t>
      </w:r>
      <w:r>
        <w:t xml:space="preserve"> </w:t>
      </w:r>
      <w:r>
        <w:t xml:space="preserve">la taxonomía del Capítulo 5 identificó la Brecha 3 —la evaluación semántica</w:t>
      </w:r>
      <w:r>
        <w:t xml:space="preserve"> </w:t>
      </w:r>
      <w:r>
        <w:t xml:space="preserve">crece más rápido que su base de validación empírica— y su función es calibrar</w:t>
      </w:r>
      <w:r>
        <w:t xml:space="preserve"> </w:t>
      </w:r>
      <w:r>
        <w:t xml:space="preserve">un</w:t>
      </w:r>
      <w:r>
        <w:t xml:space="preserve"> </w:t>
      </w:r>
      <w:r>
        <w:rPr>
          <w:i/>
          <w:iCs/>
        </w:rPr>
        <w:t xml:space="preserve">instrumento de medida</w:t>
      </w:r>
      <w:r>
        <w:t xml:space="preserve">, no evaluar los métodos explicadores. Esta</w:t>
      </w:r>
      <w:r>
        <w:t xml:space="preserve"> </w:t>
      </w:r>
      <w:r>
        <w:t xml:space="preserve">distinción se declara aquí de forma explícita, y no</w:t>
      </w:r>
      <w:r>
        <w:t xml:space="preserve"> </w:t>
      </w:r>
      <w:r>
        <w:rPr>
          <w:i/>
          <w:iCs/>
        </w:rPr>
        <w:t xml:space="preserve">a posteriori</w:t>
      </w:r>
      <w:r>
        <w:t xml:space="preserve">, porque el</w:t>
      </w:r>
      <w:r>
        <w:t xml:space="preserve"> </w:t>
      </w:r>
      <w:r>
        <w:t xml:space="preserve">propio protocolo que esta tesis propone exige que el alcance inferencial</w:t>
      </w:r>
      <w:r>
        <w:t xml:space="preserve"> </w:t>
      </w:r>
      <w:r>
        <w:t xml:space="preserve">admisible de cada afirmación sea declarado junto con la afirmación misma:</w:t>
      </w:r>
      <w:r>
        <w:t xml:space="preserve"> </w:t>
      </w:r>
      <w:r>
        <w:t xml:space="preserve">presentar P2 como si hubiera sido preespecificada junto a H1–H3 sería</w:t>
      </w:r>
      <w:r>
        <w:t xml:space="preserve"> </w:t>
      </w:r>
      <w:r>
        <w:t xml:space="preserve">precisamente el modo de fallo que la puerta 7 está diseñada para impedir. En</w:t>
      </w:r>
      <w:r>
        <w:t xml:space="preserve"> </w:t>
      </w:r>
      <w:r>
        <w:t xml:space="preserve">consecuencia, el resultado de P2 —cualquiera que sea— no modifica las</w:t>
      </w:r>
      <w:r>
        <w:t xml:space="preserve"> </w:t>
      </w:r>
      <w:r>
        <w:t xml:space="preserve">conclusiones confirmativas del Estudio Omnibus Multimétrico ni del Estudio</w:t>
      </w:r>
      <w:r>
        <w:t xml:space="preserve"> </w:t>
      </w:r>
      <w:r>
        <w:t xml:space="preserve">Pareado LIME–SHAP, y se reporta como evidencia de calibración del instrumento</w:t>
      </w:r>
      <w:r>
        <w:t xml:space="preserve"> </w:t>
      </w:r>
      <w:r>
        <w:t xml:space="preserve">semántico (Capítulos 3, 5 y 6).</w:t>
      </w:r>
    </w:p>
    <w:bookmarkEnd w:id="36"/>
    <w:bookmarkEnd w:id="37"/>
    <w:bookmarkStart w:id="45" w:name="metodología-general-de-la-investigación"/>
    <w:p>
      <w:pPr>
        <w:pStyle w:val="Ttulo2"/>
        <w:spacing w:line="360" w:lineRule="auto"/>
        <w:jc w:val="both"/>
      </w:pPr>
      <w:r>
        <w:t xml:space="preserve">1.4 </w:t>
      </w:r>
      <w:r>
        <w:t xml:space="preserve">Metodología general de la investigación</w:t>
      </w:r>
    </w:p>
    <w:bookmarkStart w:id="38" w:name="enfoque"/>
    <w:p>
      <w:pPr>
        <w:pStyle w:val="Ttulo3"/>
        <w:spacing w:line="360" w:lineRule="auto"/>
        <w:jc w:val="both"/>
      </w:pPr>
      <w:r>
        <w:t xml:space="preserve">1.4.1 </w:t>
      </w: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del Estudio Omnibus Multimétrico y del</w:t>
      </w:r>
      <w:r>
        <w:t xml:space="preserve"> </w:t>
      </w:r>
      <w:r>
        <w:t xml:space="preserve">Estudio Pareado LIME–SHAP descansa en el análisis estadístico de métricas</w:t>
      </w:r>
      <w:r>
        <w:t xml:space="preserve"> </w:t>
      </w:r>
      <w:r>
        <w:t xml:space="preserve">computadas sobre experimentos controlados y reproducibles, siguiendo una</w:t>
      </w:r>
      <w:r>
        <w:t xml:space="preserve"> </w:t>
      </w:r>
      <w:r>
        <w:t xml:space="preserve">lógica hipotético-deductiva. El Estudio Taxonómico —que actúa como puente</w:t>
      </w:r>
      <w:r>
        <w:t xml:space="preserve"> </w:t>
      </w:r>
      <w:r>
        <w:t xml:space="preserve">conceptual integrador— adopta una metodología de revisión estructurada con</w:t>
      </w:r>
      <w:r>
        <w:t xml:space="preserve"> </w:t>
      </w:r>
      <w:r>
        <w:t xml:space="preserve">codificación explícita de dimensiones, siguiendo protocolos de síntesis</w:t>
      </w:r>
      <w:r>
        <w:t xml:space="preserve"> </w:t>
      </w:r>
      <w:r>
        <w:t xml:space="preserve">narrativa rigurosa</w:t>
      </w:r>
      <w:r>
        <w:t xml:space="preserve"> </w:t>
      </w:r>
      <w:r>
        <w:t xml:space="preserve">(Linardatos 2020; Gilpin 2018; Schwalbe 2023; Abdul Kadir et al. 2023)</w:t>
      </w:r>
      <w:r>
        <w:t xml:space="preserve">.</w:t>
      </w:r>
    </w:p>
    <w:bookmarkEnd w:id="38"/>
    <w:bookmarkStart w:id="39" w:name="tipo-de-investigación"/>
    <w:p>
      <w:pPr>
        <w:pStyle w:val="Ttulo3"/>
        <w:spacing w:line="360" w:lineRule="auto"/>
        <w:jc w:val="both"/>
      </w:pPr>
      <w:r>
        <w:t xml:space="preserve">1.4.2 </w:t>
      </w:r>
      <w:r>
        <w:t xml:space="preserve">Tipo de investigación</w:t>
      </w:r>
    </w:p>
    <w:p>
      <w:pPr>
        <w:pStyle w:val="FirstParagraph"/>
        <w:spacing w:line="360" w:lineRule="auto"/>
        <w:jc w:val="both"/>
      </w:pPr>
      <w:r>
        <w:t xml:space="preserve">El Estudio Omnibus Multimétrico y el Estudio Pareado LIME–SHAP corresponden a</w:t>
      </w:r>
      <w:r>
        <w:t xml:space="preserve"> </w:t>
      </w:r>
      <w:r>
        <w:t xml:space="preserve">investigación comparativa-experimental no intervencional: los métodos XAI son</w:t>
      </w:r>
      <w:r>
        <w:t xml:space="preserve"> </w:t>
      </w:r>
      <w:r>
        <w:t xml:space="preserve">los factores de tratamiento, los modelos predictivos son el contexto</w:t>
      </w:r>
      <w:r>
        <w:t xml:space="preserve"> </w:t>
      </w:r>
      <w:r>
        <w:t xml:space="preserve">experimental y las métricas de calidad son las variables de resultado. El</w:t>
      </w:r>
      <w:r>
        <w:t xml:space="preserve"> </w:t>
      </w:r>
      <w:r>
        <w:t xml:space="preserve">Estudio Taxonómico corresponde a una revisión sistemática estructurada con</w:t>
      </w:r>
      <w:r>
        <w:t xml:space="preserve"> </w:t>
      </w:r>
      <w:r>
        <w:t xml:space="preserve">propósito taxonómico y de síntesis de brechas de constructo en el campo de la</w:t>
      </w:r>
      <w:r>
        <w:t xml:space="preserve"> </w:t>
      </w:r>
      <w:r>
        <w:t xml:space="preserve">evaluación XAI.</w:t>
      </w:r>
    </w:p>
    <w:bookmarkEnd w:id="39"/>
    <w:bookmarkStart w:id="40" w:name="universo-y-contexto-experimental"/>
    <w:p>
      <w:pPr>
        <w:pStyle w:val="Ttulo3"/>
        <w:spacing w:line="360" w:lineRule="auto"/>
        <w:jc w:val="both"/>
      </w:pPr>
      <w:r>
        <w:t xml:space="preserve">1.4.3 </w:t>
      </w: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y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40"/>
    <w:bookmarkStart w:id="41" w:name="Xdcd1be9d99c262f87a75615ad9164d40f630ac9"/>
    <w:p>
      <w:pPr>
        <w:pStyle w:val="Ttulo3"/>
        <w:spacing w:line="360" w:lineRule="auto"/>
        <w:jc w:val="both"/>
      </w:pPr>
      <w:r>
        <w:t xml:space="preserve">1.4.4 </w:t>
      </w: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Omnibus Multimétrico)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Estudio Pareado LIME–SHAP opera</w:t>
      </w:r>
      <w:r>
        <w:t xml:space="preserve"> </w:t>
      </w:r>
      <w:r>
        <w:t xml:space="preserve">sobre 75 celdas coincidentes.</w:t>
      </w:r>
    </w:p>
    <w:bookmarkEnd w:id="41"/>
    <w:bookmarkStart w:id="42" w:name="criterios-de-inclusión-y-exclusión"/>
    <w:p>
      <w:pPr>
        <w:pStyle w:val="Ttulo3"/>
        <w:spacing w:line="360" w:lineRule="auto"/>
        <w:jc w:val="both"/>
      </w:pPr>
      <w:r>
        <w:t xml:space="preserve">1.4.5 </w:t>
      </w: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Estudio Pareado LIME–SHAP.</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42"/>
    <w:bookmarkStart w:id="43" w:name="variables-dimensiones-y-métricas"/>
    <w:p>
      <w:pPr>
        <w:pStyle w:val="Ttulo3"/>
        <w:spacing w:line="360" w:lineRule="auto"/>
        <w:jc w:val="both"/>
      </w:pPr>
      <w:r>
        <w:t xml:space="preserve">1.4.6 </w:t>
      </w: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y Verbert 2024; Canha et al. 2025; Zheng et al. 2025)</w:t>
      </w:r>
      <w:r>
        <w:t xml:space="preserve">.</w:t>
      </w:r>
    </w:p>
    <w:bookmarkEnd w:id="43"/>
    <w:bookmarkStart w:id="44" w:name="estrategia-procedimental"/>
    <w:p>
      <w:pPr>
        <w:pStyle w:val="Ttulo3"/>
        <w:spacing w:line="360" w:lineRule="auto"/>
        <w:jc w:val="both"/>
      </w:pPr>
      <w:r>
        <w:t xml:space="preserve">1.4.7 </w:t>
      </w: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4"/>
    <w:bookmarkEnd w:id="45"/>
    <w:bookmarkEnd w:id="46"/>
    <w:bookmarkStart w:id="62" w:name="X5df853d312351836bad75f10c25fdcfe7ebc358"/>
    <w:p>
      <w:pPr>
        <w:pStyle w:val="Ttulo1"/>
        <w:spacing w:line="360" w:lineRule="auto"/>
        <w:jc w:val="both"/>
      </w:pPr>
      <w:r>
        <w:t xml:space="preserve">Capítulo 2. </w:t>
      </w:r>
      <w:r>
        <w:t xml:space="preserve">Marco teórico específico / fundamentos conceptuales</w:t>
      </w:r>
    </w:p>
    <w:bookmarkStart w:id="47" w:name="propósito-del-capítulo"/>
    <w:p>
      <w:pPr>
        <w:pStyle w:val="Ttulo2"/>
        <w:spacing w:line="360" w:lineRule="auto"/>
        <w:jc w:val="both"/>
      </w:pPr>
      <w:r>
        <w:t xml:space="preserve">2.1 </w:t>
      </w: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7"/>
    <w:bookmarkStart w:id="48" w:name="Xe6760546a452d6306b93a783545f3c51ee07c22"/>
    <w:p>
      <w:pPr>
        <w:pStyle w:val="Ttulo2"/>
        <w:spacing w:line="360" w:lineRule="auto"/>
        <w:jc w:val="both"/>
      </w:pPr>
      <w:r>
        <w:t xml:space="preserve">2.2 </w:t>
      </w: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y Martinez 2019)</w:t>
      </w:r>
      <w:r>
        <w:t xml:space="preserve">, arquitecturas prototípicas</w:t>
      </w:r>
      <w:r>
        <w:t xml:space="preserve"> </w:t>
      </w:r>
      <w:r>
        <w:t xml:space="preserve">(Hess y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y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8"/>
    <w:bookmarkStart w:id="49" w:name="distinciones-conceptuales-fundamentales"/>
    <w:p>
      <w:pPr>
        <w:pStyle w:val="Ttulo2"/>
        <w:spacing w:line="360" w:lineRule="auto"/>
        <w:jc w:val="both"/>
      </w:pPr>
      <w:r>
        <w:t xml:space="preserve">2.3 </w:t>
      </w: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9"/>
    <w:bookmarkStart w:id="54" w:name="Xa854bcdfe02171eee67e88340a3233edf48569f"/>
    <w:p>
      <w:pPr>
        <w:pStyle w:val="Ttulo2"/>
        <w:spacing w:line="360" w:lineRule="auto"/>
        <w:jc w:val="both"/>
      </w:pPr>
      <w:r>
        <w:t xml:space="preserve">2.4 </w:t>
      </w:r>
      <w:r>
        <w:t xml:space="preserve">Métodos de explicación evaluados en esta tesis</w:t>
      </w:r>
    </w:p>
    <w:bookmarkStart w:id="50" w:name="Xbbcfa782e2d35f160f8750f56befcd9ee8cf14e"/>
    <w:p>
      <w:pPr>
        <w:pStyle w:val="Ttulo3"/>
        <w:spacing w:line="360" w:lineRule="auto"/>
        <w:jc w:val="both"/>
      </w:pPr>
      <w:r>
        <w:t xml:space="preserve">2.4.1 </w:t>
      </w: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50"/>
    <w:bookmarkStart w:id="51" w:name="X187de0a2f0f332efaa60a19888eaffd7cc2e7b5"/>
    <w:p>
      <w:pPr>
        <w:pStyle w:val="Ttulo3"/>
        <w:spacing w:line="360" w:lineRule="auto"/>
        <w:jc w:val="both"/>
      </w:pPr>
      <w:r>
        <w:t xml:space="preserve">2.4.2 </w:t>
      </w: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y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51"/>
    <w:bookmarkStart w:id="52" w:name="X029215b3a63b0848a75a7aa70454b1144c0f31f"/>
    <w:p>
      <w:pPr>
        <w:pStyle w:val="Ttulo3"/>
        <w:spacing w:line="360" w:lineRule="auto"/>
        <w:jc w:val="both"/>
      </w:pPr>
      <w:r>
        <w:t xml:space="preserve">2.4.3 </w:t>
      </w: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52"/>
    <w:bookmarkStart w:id="53" w:name="Xd196f32f12fd1cc1850af93995e5a1615dfcb83"/>
    <w:p>
      <w:pPr>
        <w:pStyle w:val="Ttulo3"/>
        <w:spacing w:line="360" w:lineRule="auto"/>
        <w:jc w:val="both"/>
      </w:pPr>
      <w:r>
        <w:t xml:space="preserve">2.4.4 </w:t>
      </w: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3"/>
    <w:bookmarkEnd w:id="54"/>
    <w:bookmarkStart w:id="58" w:name="marcos-y-protocolos-de-evaluación-xai"/>
    <w:p>
      <w:pPr>
        <w:pStyle w:val="Ttulo2"/>
        <w:spacing w:line="360" w:lineRule="auto"/>
        <w:jc w:val="both"/>
      </w:pPr>
      <w:r>
        <w:t xml:space="preserve">2.5 </w:t>
      </w: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y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y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2.1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jc w:val="center"/>
        <w:tblLayout w:type="fixed"/>
        <w:tblLook w:firstRow="0" w:lastRow="0" w:firstColumn="0" w:lastColumn="0" w:noHBand="0" w:noVBand="0" w:val="0000"/>
      </w:tblPr>
      <w:tblGrid>
        <w:gridCol w:w="7920"/>
      </w:tblGrid>
      <w:tr>
        <w:tc>
          <w:tcPr/>
          <w:bookmarkStart w:id="55" w:name="tbl-framework-comparison"/>
          <w:p>
            <w:pPr>
              <w:pStyle w:val="ImageCaption"/>
              <w:spacing w:before="200" w:line="360" w:lineRule="auto"/>
              <w:jc w:val="center"/>
            </w:pPr>
            <w:r>
              <w:t xml:space="preserve">Tabla 2.1: Comparación de marcos de evaluación XAI según cobertura, reproducibilidad, gobernanza y tipo de evaluación.</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Marco / protocolo</w:t>
                  </w:r>
                </w:p>
              </w:tc>
              <w:tc>
                <w:tcPr/>
                <w:p>
                  <w:pPr>
                    <w:pStyle w:val="Compact"/>
                    <w:jc w:val="both"/>
                    <w:jc w:val="center"/>
                    <w:spacing w:line="360" w:lineRule="auto"/>
                  </w:pPr>
                  <w:r>
                    <w:rPr>
                      <w:bCs/>
                      <w:b/>
                    </w:rPr>
                    <w:t xml:space="preserve">Cobertura de métricas</w:t>
                  </w:r>
                </w:p>
              </w:tc>
              <w:tc>
                <w:tcPr/>
                <w:p>
                  <w:pPr>
                    <w:pStyle w:val="Compact"/>
                    <w:jc w:val="both"/>
                    <w:jc w:val="center"/>
                    <w:spacing w:line="360" w:lineRule="auto"/>
                  </w:pPr>
                  <w:r>
                    <w:rPr>
                      <w:bCs/>
                      <w:b/>
                    </w:rPr>
                    <w:t xml:space="preserve">Soporte a reproducibilidad</w:t>
                  </w:r>
                </w:p>
              </w:tc>
              <w:tc>
                <w:tcPr/>
                <w:p>
                  <w:pPr>
                    <w:pStyle w:val="Compact"/>
                    <w:jc w:val="both"/>
                    <w:jc w:val="center"/>
                    <w:spacing w:line="360" w:lineRule="auto"/>
                  </w:pPr>
                  <w:r>
                    <w:rPr>
                      <w:bCs/>
                      <w:b/>
                    </w:rPr>
                    <w:t xml:space="preserve">Protocolo de gobernanza</w:t>
                  </w:r>
                </w:p>
              </w:tc>
              <w:tc>
                <w:tcPr/>
                <w:p>
                  <w:pPr>
                    <w:pStyle w:val="Compact"/>
                    <w:jc w:val="both"/>
                    <w:jc w:val="center"/>
                    <w:spacing w:line="360" w:lineRule="auto"/>
                  </w:pPr>
                  <w:r>
                    <w:rPr>
                      <w:bCs/>
                      <w:b/>
                    </w:rP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5"/>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y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y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6" w:name="X900f39c64f84f209bdf33df61ada6c5cfa8ef2d"/>
    <w:p>
      <w:pPr>
        <w:pStyle w:val="Ttulo3"/>
        <w:spacing w:line="360" w:lineRule="auto"/>
        <w:jc w:val="both"/>
      </w:pPr>
      <w:r>
        <w:t xml:space="preserve">2.5.1 </w:t>
      </w: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y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y Carman 2024)</w:t>
      </w:r>
      <w:r>
        <w:t xml:space="preserve">, el diseño de la interfaz que la presenta</w:t>
      </w:r>
      <w:r>
        <w:t xml:space="preserve"> </w:t>
      </w:r>
      <w:r>
        <w:t xml:space="preserve">(Bhat y Long 2024; Alkhateeb y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y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y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y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6"/>
    <w:bookmarkStart w:id="57" w:name="Xcb28a5da8e0ee4c37a7111d109b1f7262846e3e"/>
    <w:p>
      <w:pPr>
        <w:pStyle w:val="Ttulo3"/>
        <w:spacing w:line="360" w:lineRule="auto"/>
        <w:jc w:val="both"/>
      </w:pPr>
      <w:r>
        <w:t xml:space="preserve">2.5.2 </w:t>
      </w: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7"/>
    <w:bookmarkEnd w:id="58"/>
    <w:bookmarkStart w:id="59" w:name="X1ac049df9037bab7d9ddedb9eb6dfc246d0f001"/>
    <w:p>
      <w:pPr>
        <w:pStyle w:val="Ttulo2"/>
        <w:spacing w:line="360" w:lineRule="auto"/>
        <w:jc w:val="both"/>
      </w:pPr>
      <w:r>
        <w:t xml:space="preserve">2.6 </w:t>
      </w: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y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rPr>
                <w:bCs/>
                <w:b/>
              </w:rPr>
              <w:t xml:space="preserve">Método</w:t>
            </w:r>
          </w:p>
        </w:tc>
        <w:tc>
          <w:tcPr/>
          <w:p>
            <w:pPr>
              <w:pStyle w:val="Compact"/>
              <w:spacing w:line="360" w:lineRule="auto"/>
              <w:jc w:val="both"/>
            </w:pPr>
            <w:r>
              <w:rPr>
                <w:bCs/>
                <w:b/>
              </w:rPr>
              <w:t xml:space="preserve">Objeto explicativo principal</w:t>
            </w:r>
          </w:p>
        </w:tc>
        <w:tc>
          <w:tcPr/>
          <w:p>
            <w:pPr>
              <w:pStyle w:val="Compact"/>
              <w:spacing w:line="360" w:lineRule="auto"/>
              <w:jc w:val="both"/>
            </w:pPr>
            <w:r>
              <w:rPr>
                <w:bCs/>
                <w:b/>
              </w:rPr>
              <w:t xml:space="preserve">Constructos naturalmente alineados</w:t>
            </w:r>
          </w:p>
        </w:tc>
        <w:tc>
          <w:tcPr/>
          <w:p>
            <w:pPr>
              <w:pStyle w:val="Compact"/>
              <w:spacing w:line="360" w:lineRule="auto"/>
              <w:jc w:val="both"/>
            </w:pPr>
            <w:r>
              <w:rPr>
                <w:bCs/>
                <w:b/>
              </w:rPr>
              <w:t xml:space="preserve">Riesgos de evaluación</w:t>
            </w:r>
          </w:p>
        </w:tc>
        <w:tc>
          <w:tcPr/>
          <w:p>
            <w:pPr>
              <w:pStyle w:val="Compact"/>
              <w:spacing w:line="360" w:lineRule="auto"/>
              <w:jc w:val="both"/>
            </w:pPr>
            <w:r>
              <w:rPr>
                <w:bCs/>
                <w:b/>
              </w:rP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9"/>
    <w:bookmarkStart w:id="60" w:name="X56f8700cbeeed185eff27b2505360753d99a361"/>
    <w:p>
      <w:pPr>
        <w:pStyle w:val="Ttulo2"/>
        <w:spacing w:line="360" w:lineRule="auto"/>
        <w:jc w:val="both"/>
      </w:pPr>
      <w:r>
        <w:t xml:space="preserve">2.7 </w:t>
      </w: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60"/>
    <w:bookmarkStart w:id="61" w:name="síntesis-crítica-justificación-de-fom-7"/>
    <w:p>
      <w:pPr>
        <w:pStyle w:val="Ttulo2"/>
        <w:spacing w:line="360" w:lineRule="auto"/>
        <w:jc w:val="both"/>
      </w:pPr>
      <w:r>
        <w:t xml:space="preserve">2.8 </w:t>
      </w: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y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61"/>
    <w:bookmarkEnd w:id="62"/>
    <w:bookmarkStart w:id="105" w:name="marco-empírico-y-diseño-experimental"/>
    <w:p>
      <w:pPr>
        <w:pStyle w:val="Ttulo1"/>
        <w:spacing w:line="360" w:lineRule="auto"/>
        <w:jc w:val="both"/>
      </w:pPr>
      <w:r>
        <w:t xml:space="preserve">Capítulo 3. </w:t>
      </w: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(el Estudio Omnibus Multimétrico) y la comparación pareada enfocada entre LIME</w:t>
      </w:r>
      <w:r>
        <w:t xml:space="preserve"> </w:t>
      </w:r>
      <w:r>
        <w:t xml:space="preserve">y SHAP (el Estudio Pareado LIME–SHAP). Ambos estudios comparten el mismo</w:t>
      </w:r>
      <w:r>
        <w:t xml:space="preserve"> </w:t>
      </w:r>
      <w:r>
        <w:t xml:space="preserve">pipeline experimental, el mismo conjunto de datos y los mismos artefactos de</w:t>
      </w:r>
      <w:r>
        <w:t xml:space="preserve"> </w:t>
      </w:r>
      <w:r>
        <w:t xml:space="preserve">modelo, y se distinguen por el alcance del análisis inferencial: el estudio</w:t>
      </w:r>
      <w:r>
        <w:t xml:space="preserve"> </w:t>
      </w:r>
      <w:r>
        <w:t xml:space="preserve">omnibus evalúa los cuatro métodos sobre el diseño factorial completo; el</w:t>
      </w:r>
      <w:r>
        <w:t xml:space="preserve"> </w:t>
      </w:r>
      <w:r>
        <w:t xml:space="preserve">estudio pareado restringe la inferencia confirmativa al subconjunto pareado</w:t>
      </w:r>
      <w:r>
        <w:t xml:space="preserve"> </w:t>
      </w:r>
      <w:r>
        <w:t xml:space="preserve">LIME-SHAP. El capítulo se organiza en ocho secciones: las dos fases</w:t>
      </w:r>
      <w:r>
        <w:t xml:space="preserve"> </w:t>
      </w:r>
      <w:r>
        <w:t xml:space="preserve">experimentales (EXP1 y EXP2), el conjunto de datos y el protocolo de</w:t>
      </w:r>
      <w:r>
        <w:t xml:space="preserve"> </w:t>
      </w:r>
      <w:r>
        <w:t xml:space="preserve">preprocesamiento, el diseño factorial, las configuraciones de los</w:t>
      </w:r>
      <w:r>
        <w:t xml:space="preserve"> </w:t>
      </w:r>
      <w:r>
        <w:t xml:space="preserve">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6" w:name="fases-experimentales-exp1-y-exp2"/>
    <w:p>
      <w:pPr>
        <w:pStyle w:val="Ttulo2"/>
        <w:spacing w:line="360" w:lineRule="auto"/>
        <w:jc w:val="both"/>
      </w:pPr>
      <w:r>
        <w:t xml:space="preserve">3.1 </w:t>
      </w: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4" w:name="X32cac70d6076bcfbcdceb21da7e13d3984b2a1d"/>
    <w:p>
      <w:pPr>
        <w:pStyle w:val="Ttulo3"/>
        <w:spacing w:line="360" w:lineRule="auto"/>
        <w:jc w:val="both"/>
      </w:pPr>
      <w:r>
        <w:t xml:space="preserve">3.1.1 </w:t>
      </w: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jc w:val="center"/>
        <w:tblLayout w:type="fixed"/>
        <w:tblLook w:firstRow="0" w:lastRow="0" w:firstColumn="0" w:lastColumn="0" w:noHBand="0" w:noVBand="0" w:val="0000"/>
      </w:tblPr>
      <w:tblGrid>
        <w:gridCol w:w="7920"/>
      </w:tblGrid>
      <w:tr>
        <w:tc>
          <w:tcPr/>
          <w:bookmarkStart w:id="63" w:name="tbl-model-performance"/>
          <w:p>
            <w:pPr>
              <w:pStyle w:val="ImageCaption"/>
              <w:spacing w:before="200" w:line="360" w:lineRule="auto"/>
              <w:jc w:val="center"/>
            </w:pPr>
            <w:r>
              <w:t xml:space="preserve">Tabla 3.1: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Exactitud</w:t>
                  </w:r>
                </w:p>
              </w:tc>
              <w:tc>
                <w:tcPr/>
                <w:p>
                  <w:pPr>
                    <w:pStyle w:val="Compact"/>
                    <w:jc w:val="both"/>
                    <w:jc w:val="center"/>
                    <w:spacing w:line="360" w:lineRule="auto"/>
                  </w:pPr>
                  <w:r>
                    <w:rPr>
                      <w:bCs/>
                      <w:b/>
                    </w:rPr>
                    <w:t xml:space="preserve">Precisión</w:t>
                  </w:r>
                </w:p>
              </w:tc>
              <w:tc>
                <w:tcPr/>
                <w:p>
                  <w:pPr>
                    <w:pStyle w:val="Compact"/>
                    <w:jc w:val="both"/>
                    <w:jc w:val="center"/>
                    <w:spacing w:line="360" w:lineRule="auto"/>
                  </w:pPr>
                  <w:r>
                    <w:rPr>
                      <w:bCs/>
                      <w:b/>
                    </w:rPr>
                    <w:t xml:space="preserve">Recall</w:t>
                  </w:r>
                </w:p>
              </w:tc>
              <w:tc>
                <w:tcPr/>
                <w:p>
                  <w:pPr>
                    <w:pStyle w:val="Compact"/>
                    <w:jc w:val="both"/>
                    <w:jc w:val="center"/>
                    <w:spacing w:line="360" w:lineRule="auto"/>
                  </w:pPr>
                  <w:r>
                    <w:rPr>
                      <w:bCs/>
                      <w:b/>
                    </w:rPr>
                    <w:t xml:space="preserve">F1</w:t>
                  </w:r>
                </w:p>
              </w:tc>
              <w:tc>
                <w:tcPr/>
                <w:p>
                  <w:pPr>
                    <w:pStyle w:val="Compact"/>
                    <w:jc w:val="both"/>
                    <w:jc w:val="center"/>
                    <w:spacing w:line="360" w:lineRule="auto"/>
                  </w:pPr>
                  <w:r>
                    <w:rPr>
                      <w:bCs/>
                      <w:b/>
                    </w:rP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3"/>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4"/>
    <w:bookmarkStart w:id="65" w:name="X88dee61532cae681dfa2cfeee2779c5c9929176"/>
    <w:p>
      <w:pPr>
        <w:pStyle w:val="Ttulo3"/>
        <w:spacing w:line="360" w:lineRule="auto"/>
        <w:jc w:val="both"/>
      </w:pPr>
      <w:r>
        <w:t xml:space="preserve">3.1.2 </w:t>
      </w: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del Estudio Omnibus Multimétrico y del Estudio Pareado LIME–SHAP.</w:t>
      </w:r>
    </w:p>
    <w:bookmarkEnd w:id="65"/>
    <w:bookmarkEnd w:id="66"/>
    <w:bookmarkStart w:id="70" w:name="Xb179eb5e9b7cbdb0e78e991d72b8aeee41d8932"/>
    <w:p>
      <w:pPr>
        <w:pStyle w:val="Ttulo2"/>
        <w:spacing w:line="360" w:lineRule="auto"/>
        <w:jc w:val="both"/>
      </w:pPr>
      <w:r>
        <w:t xml:space="preserve">3.2 </w:t>
      </w:r>
      <w:r>
        <w:t xml:space="preserve">Conjunto de datos y protocolo de preprocesamiento</w:t>
      </w:r>
    </w:p>
    <w:bookmarkStart w:id="67" w:name="descripción-del-conjunto-de-datos"/>
    <w:p>
      <w:pPr>
        <w:pStyle w:val="Ttulo3"/>
        <w:spacing w:line="360" w:lineRule="auto"/>
        <w:jc w:val="both"/>
      </w:pPr>
      <w:r>
        <w:t xml:space="preserve">3.2.1 </w:t>
      </w: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y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7"/>
    <w:bookmarkStart w:id="68" w:name="carga-limpieza-y-partición"/>
    <w:p>
      <w:pPr>
        <w:pStyle w:val="Ttulo3"/>
        <w:spacing w:line="360" w:lineRule="auto"/>
        <w:jc w:val="both"/>
      </w:pPr>
      <w:r>
        <w:t xml:space="preserve">3.2.2 </w:t>
      </w: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8"/>
    <w:bookmarkStart w:id="69" w:name="controles-de-fuga-de-datos"/>
    <w:p>
      <w:pPr>
        <w:pStyle w:val="Ttulo3"/>
        <w:spacing w:line="360" w:lineRule="auto"/>
        <w:jc w:val="both"/>
      </w:pPr>
      <w:r>
        <w:t xml:space="preserve">3.2.3 </w:t>
      </w: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9"/>
    <w:bookmarkEnd w:id="70"/>
    <w:bookmarkStart w:id="72" w:name="X810bf4db8899260d734480c9f59b02e6a2182a3"/>
    <w:p>
      <w:pPr>
        <w:pStyle w:val="Ttulo2"/>
        <w:spacing w:line="360" w:lineRule="auto"/>
        <w:jc w:val="both"/>
      </w:pPr>
      <w:r>
        <w:t xml:space="preserve">3.3 </w:t>
      </w: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71" w:name="X7f3be01e797123bdbedac923d646584591998bc"/>
    <w:p>
      <w:pPr>
        <w:pStyle w:val="Ttulo3"/>
        <w:spacing w:line="360" w:lineRule="auto"/>
        <w:jc w:val="both"/>
      </w:pPr>
      <w:r>
        <w:t xml:space="preserve">3.3.1 </w:t>
      </w: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Pareado LIME–SHAP es la</w:t>
      </w:r>
      <w:r>
        <w:t xml:space="preserve"> </w:t>
      </w:r>
      <w:r>
        <w:rPr>
          <w:b/>
          <w:bCs/>
        </w:rPr>
        <w:t xml:space="preserve">celda</w:t>
      </w:r>
      <w:r>
        <w:rPr>
          <w:b/>
          <w:bCs/>
        </w:rPr>
        <w:t xml:space="preserve"> </w:t>
      </w:r>
      <w:r>
        <w:rPr>
          <w:b/>
          <w:bCs/>
        </w:rPr>
        <w:t xml:space="preserve">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w:t>
      </w:r>
      <w:r>
        <w:t xml:space="preserve"> </w:t>
      </w:r>
      <w:r>
        <w:t xml:space="preserve">calificados de SHAP y LIME con coordenadas idénticas.</w:t>
      </w:r>
    </w:p>
    <w:bookmarkEnd w:id="71"/>
    <w:bookmarkEnd w:id="72"/>
    <w:bookmarkStart w:id="75" w:name="Xa1b63f5b80ef9314faeb5aae6b8d7e743e4217a"/>
    <w:p>
      <w:pPr>
        <w:pStyle w:val="Ttulo2"/>
        <w:spacing w:line="360" w:lineRule="auto"/>
        <w:jc w:val="both"/>
      </w:pPr>
      <w:r>
        <w:t xml:space="preserve">3.4 </w:t>
      </w:r>
      <w:r>
        <w:t xml:space="preserve">Protocolo de muestreo de instancias y configuración de explicadores</w:t>
      </w:r>
    </w:p>
    <w:bookmarkStart w:id="73" w:name="X22a27531824c8c7d79a9c6abca6e13f987fd35c"/>
    <w:p>
      <w:pPr>
        <w:pStyle w:val="Ttulo3"/>
        <w:spacing w:line="360" w:lineRule="auto"/>
        <w:jc w:val="both"/>
      </w:pPr>
      <w:r>
        <w:t xml:space="preserve">3.4.1 </w:t>
      </w: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3"/>
    <w:bookmarkStart w:id="74" w:name="configuración-de-los-explicadores"/>
    <w:p>
      <w:pPr>
        <w:pStyle w:val="Ttulo3"/>
        <w:spacing w:line="360" w:lineRule="auto"/>
        <w:jc w:val="both"/>
      </w:pPr>
      <w:r>
        <w:t xml:space="preserve">3.4.2 </w:t>
      </w: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4"/>
    <w:bookmarkEnd w:id="75"/>
    <w:bookmarkStart w:id="83" w:name="sec-metricas"/>
    <w:p>
      <w:pPr>
        <w:pStyle w:val="Ttulo2"/>
        <w:spacing w:line="360" w:lineRule="auto"/>
        <w:jc w:val="both"/>
      </w:pPr>
      <w:r>
        <w:t xml:space="preserve">3.5 </w:t>
      </w: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6" w:name="fidelidad"/>
    <w:p>
      <w:pPr>
        <w:pStyle w:val="Ttulo3"/>
        <w:spacing w:line="360" w:lineRule="auto"/>
        <w:jc w:val="both"/>
      </w:pPr>
      <w:r>
        <w:t xml:space="preserve">3.5.1 </w:t>
      </w: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6"/>
    <w:bookmarkStart w:id="77" w:name="estabilidad"/>
    <w:p>
      <w:pPr>
        <w:pStyle w:val="Ttulo3"/>
        <w:spacing w:line="360" w:lineRule="auto"/>
        <w:jc w:val="both"/>
      </w:pPr>
      <w:r>
        <w:t xml:space="preserve">3.5.2 </w:t>
      </w: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7"/>
    <w:bookmarkStart w:id="78" w:name="parsimonia"/>
    <w:p>
      <w:pPr>
        <w:pStyle w:val="Ttulo3"/>
        <w:spacing w:line="360" w:lineRule="auto"/>
        <w:jc w:val="both"/>
      </w:pPr>
      <w:r>
        <w:t xml:space="preserve">3.5.3 </w:t>
      </w: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8"/>
    <w:bookmarkStart w:id="79" w:name="brecha-de-fidelidad"/>
    <w:p>
      <w:pPr>
        <w:pStyle w:val="Ttulo3"/>
        <w:spacing w:line="360" w:lineRule="auto"/>
        <w:jc w:val="both"/>
      </w:pPr>
      <w:r>
        <w:t xml:space="preserve">3.5.4 </w:t>
      </w: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9"/>
    <w:bookmarkStart w:id="80" w:name="coste-computacional"/>
    <w:p>
      <w:pPr>
        <w:pStyle w:val="Ttulo3"/>
        <w:spacing w:line="360" w:lineRule="auto"/>
        <w:jc w:val="both"/>
      </w:pPr>
      <w:r>
        <w:t xml:space="preserve">3.5.5 </w:t>
      </w: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80"/>
    <w:bookmarkStart w:id="82" w:name="resumen-de-métricas-primarias"/>
    <w:p>
      <w:pPr>
        <w:pStyle w:val="Ttulo3"/>
        <w:spacing w:line="360" w:lineRule="auto"/>
        <w:jc w:val="both"/>
      </w:pPr>
      <w:r>
        <w:t xml:space="preserve">3.5.6 </w:t>
      </w:r>
      <w:r>
        <w:t xml:space="preserve">Resumen de métricas primarias</w:t>
      </w:r>
    </w:p>
    <w:tbl>
      <w:tblPr>
        <w:tblStyle w:val="Table"/>
        <w:tblW w:type="pct" w:w="5000"/>
        <w:jc w:val="center"/>
        <w:tblLayout w:type="fixed"/>
        <w:tblLook w:firstRow="0" w:lastRow="0" w:firstColumn="0" w:lastColumn="0" w:noHBand="0" w:noVBand="0" w:val="0000"/>
      </w:tblPr>
      <w:tblGrid>
        <w:gridCol w:w="7920"/>
      </w:tblGrid>
      <w:tr>
        <w:tc>
          <w:tcPr/>
          <w:bookmarkStart w:id="81" w:name="tbl-metrics"/>
          <w:p>
            <w:pPr>
              <w:pStyle w:val="ImageCaption"/>
              <w:spacing w:before="200" w:line="360" w:lineRule="auto"/>
              <w:jc w:val="center"/>
            </w:pPr>
            <w:r>
              <w:t xml:space="preserve">Tabla 3.2: Métricas primarias del benchmark con unidades y direcciones.</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Símbolo</w:t>
                  </w:r>
                </w:p>
              </w:tc>
              <w:tc>
                <w:tcPr/>
                <w:p>
                  <w:pPr>
                    <w:pStyle w:val="Compact"/>
                    <w:jc w:val="both"/>
                    <w:jc w:val="center"/>
                    <w:spacing w:line="360" w:lineRule="auto"/>
                  </w:pPr>
                  <w:r>
                    <w:rPr>
                      <w:bCs/>
                      <w:b/>
                    </w:rPr>
                    <w:t xml:space="preserve">Unidad</w:t>
                  </w:r>
                </w:p>
              </w:tc>
              <w:tc>
                <w:tcPr/>
                <w:p>
                  <w:pPr>
                    <w:pStyle w:val="Compact"/>
                    <w:jc w:val="both"/>
                    <w:jc w:val="center"/>
                    <w:spacing w:line="360" w:lineRule="auto"/>
                  </w:pPr>
                  <w:r>
                    <w:rPr>
                      <w:bCs/>
                      <w:b/>
                    </w:rP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81"/>
          <w:p>
            <w:pPr>
              <w:spacing w:line="360" w:lineRule="auto"/>
              <w:jc w:val="both"/>
            </w:pPr>
          </w:p>
        </w:tc>
      </w:tr>
    </w:tbl>
    <w:bookmarkEnd w:id="82"/>
    <w:bookmarkEnd w:id="83"/>
    <w:bookmarkStart w:id="85" w:name="protocolo-de-operación-fom-7"/>
    <w:p>
      <w:pPr>
        <w:pStyle w:val="Ttulo2"/>
        <w:spacing w:line="360" w:lineRule="auto"/>
        <w:jc w:val="both"/>
      </w:pPr>
      <w:r>
        <w:t xml:space="preserve">3.6 </w:t>
      </w: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 3.7)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3.3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jc w:val="center"/>
        <w:tblLayout w:type="fixed"/>
        <w:tblLook w:firstRow="0" w:lastRow="0" w:firstColumn="0" w:lastColumn="0" w:noHBand="0" w:noVBand="0" w:val="0000"/>
      </w:tblPr>
      <w:tblGrid>
        <w:gridCol w:w="7920"/>
      </w:tblGrid>
      <w:tr>
        <w:tc>
          <w:tcPr/>
          <w:bookmarkStart w:id="84" w:name="tbl-fom7-gates"/>
          <w:p>
            <w:pPr>
              <w:pStyle w:val="ImageCaption"/>
              <w:spacing w:before="200" w:line="360" w:lineRule="auto"/>
              <w:jc w:val="center"/>
            </w:pPr>
            <w:r>
              <w:t xml:space="preserve">Tabla 3.3: Puertas FOM-7, artefactos y modos de fallo controlados.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Puerta</w:t>
                  </w:r>
                </w:p>
              </w:tc>
              <w:tc>
                <w:tcPr/>
                <w:p>
                  <w:pPr>
                    <w:pStyle w:val="Compact"/>
                    <w:jc w:val="both"/>
                    <w:jc w:val="center"/>
                    <w:spacing w:line="360" w:lineRule="auto"/>
                  </w:pPr>
                  <w:r>
                    <w:rPr>
                      <w:bCs/>
                      <w:b/>
                    </w:rPr>
                    <w:t xml:space="preserve">Propósito</w:t>
                  </w:r>
                </w:p>
              </w:tc>
              <w:tc>
                <w:tcPr/>
                <w:p>
                  <w:pPr>
                    <w:pStyle w:val="Compact"/>
                    <w:jc w:val="both"/>
                    <w:jc w:val="center"/>
                    <w:spacing w:line="360" w:lineRule="auto"/>
                  </w:pPr>
                  <w:r>
                    <w:rPr>
                      <w:bCs/>
                      <w:b/>
                    </w:rPr>
                    <w:t xml:space="preserve">Artefacto de entrada</w:t>
                  </w:r>
                </w:p>
              </w:tc>
              <w:tc>
                <w:tcPr/>
                <w:p>
                  <w:pPr>
                    <w:pStyle w:val="Compact"/>
                    <w:jc w:val="both"/>
                    <w:jc w:val="center"/>
                    <w:spacing w:line="360" w:lineRule="auto"/>
                  </w:pPr>
                  <w:r>
                    <w:rPr>
                      <w:bCs/>
                      <w:b/>
                    </w:rPr>
                    <w:t xml:space="preserve">Artefacto de salida</w:t>
                  </w:r>
                </w:p>
              </w:tc>
              <w:tc>
                <w:tcPr/>
                <w:p>
                  <w:pPr>
                    <w:pStyle w:val="Compact"/>
                    <w:jc w:val="both"/>
                    <w:jc w:val="center"/>
                    <w:spacing w:line="360" w:lineRule="auto"/>
                  </w:pPr>
                  <w:r>
                    <w:rPr>
                      <w:bCs/>
                      <w:b/>
                    </w:rPr>
                    <w:t xml:space="preserve">Fallo controlado</w:t>
                  </w:r>
                </w:p>
              </w:tc>
              <w:tc>
                <w:tcPr/>
                <w:p>
                  <w:pPr>
                    <w:pStyle w:val="Compact"/>
                    <w:jc w:val="both"/>
                    <w:jc w:val="center"/>
                    <w:spacing w:line="360" w:lineRule="auto"/>
                  </w:pPr>
                  <w:r>
                    <w:rPr>
                      <w:bCs/>
                      <w:b/>
                    </w:rP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4.1</w:t>
                    </w:r>
                  </w:hyperlink>
                  <w:r>
                    <w:t xml:space="preserve"> </w:t>
                  </w:r>
                  <w:r>
                    <w:t xml:space="preserve">y</w:t>
                  </w:r>
                  <w:r>
                    <w:t xml:space="preserve"> </w:t>
                  </w:r>
                  <w:hyperlink w:anchor="tbl-claim-traceability">
                    <w:r>
                      <w:rPr>
                        <w:rStyle w:val="Hipervnculo"/>
                      </w:rPr>
                      <w:t xml:space="preserve">4.7</w:t>
                    </w:r>
                  </w:hyperlink>
                </w:p>
              </w:tc>
            </w:tr>
          </w:tbl>
          <w:bookmarkEnd w:id="84"/>
          <w:p>
            <w:pPr>
              <w:spacing w:line="360" w:lineRule="auto"/>
              <w:jc w:val="both"/>
            </w:pPr>
          </w:p>
        </w:tc>
      </w:tr>
    </w:tbl>
    <w:bookmarkEnd w:id="85"/>
    <w:bookmarkStart w:id="90" w:name="X70736bc07e73377e919d2c60f119994d057bf14"/>
    <w:p>
      <w:pPr>
        <w:pStyle w:val="Ttulo2"/>
        <w:spacing w:line="360" w:lineRule="auto"/>
        <w:jc w:val="both"/>
      </w:pPr>
      <w:r>
        <w:t xml:space="preserve">3.7 </w:t>
      </w:r>
      <w:r>
        <w:t xml:space="preserve">Cobertura de artefactos y análisis del impacto de datos faltantes</w:t>
      </w:r>
    </w:p>
    <w:bookmarkStart w:id="88" w:name="inventario-de-cobertura"/>
    <w:p>
      <w:pPr>
        <w:pStyle w:val="Ttulo3"/>
        <w:spacing w:line="360" w:lineRule="auto"/>
        <w:jc w:val="both"/>
      </w:pPr>
      <w:r>
        <w:t xml:space="preserve">3.7.1 </w:t>
      </w: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jc w:val="center"/>
        <w:tblLayout w:type="fixed"/>
        <w:tblLook w:firstRow="0" w:lastRow="0" w:firstColumn="0" w:lastColumn="0" w:noHBand="0" w:noVBand="0" w:val="0000"/>
      </w:tblPr>
      <w:tblGrid>
        <w:gridCol w:w="7920"/>
      </w:tblGrid>
      <w:tr>
        <w:tc>
          <w:tcPr/>
          <w:bookmarkStart w:id="86" w:name="tbl-coverage"/>
          <w:p>
            <w:pPr>
              <w:pStyle w:val="ImageCaption"/>
              <w:spacing w:before="200" w:line="360" w:lineRule="auto"/>
              <w:jc w:val="center"/>
            </w:pPr>
            <w:r>
              <w:t xml:space="preserve">Tabla 3.4: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Cohorte</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Presentes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6"/>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jc w:val="center"/>
        <w:tblLayout w:type="fixed"/>
        <w:tblLook w:firstRow="0" w:lastRow="0" w:firstColumn="0" w:lastColumn="0" w:noHBand="0" w:noVBand="0" w:val="0000"/>
      </w:tblPr>
      <w:tblGrid>
        <w:gridCol w:w="7920"/>
      </w:tblGrid>
      <w:tr>
        <w:tc>
          <w:tcPr/>
          <w:bookmarkStart w:id="87" w:name="tbl-coverage-method"/>
          <w:p>
            <w:pPr>
              <w:pStyle w:val="ImageCaption"/>
              <w:spacing w:before="200" w:line="360" w:lineRule="auto"/>
              <w:jc w:val="center"/>
            </w:pPr>
            <w:r>
              <w:t xml:space="preserve">Tabla 3.5: Cobertura analítica por método. SHAP incluye la superposición de</w:t>
            </w:r>
            <w:r>
              <w:t xml:space="preserve"> </w:t>
            </w:r>
            <w:r>
              <w:t xml:space="preserve">recuperación.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Método</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7"/>
          <w:p>
            <w:pPr>
              <w:spacing w:line="360" w:lineRule="auto"/>
              <w:jc w:val="both"/>
            </w:pPr>
          </w:p>
        </w:tc>
      </w:tr>
    </w:tbl>
    <w:bookmarkEnd w:id="88"/>
    <w:bookmarkStart w:id="89" w:name="Xcb4396ffd8bf23e7b418105a9e8d3fef7075c0b"/>
    <w:p>
      <w:pPr>
        <w:pStyle w:val="Ttulo3"/>
        <w:spacing w:line="360" w:lineRule="auto"/>
        <w:jc w:val="both"/>
      </w:pPr>
      <w:r>
        <w:t xml:space="preserve">3.7.2 </w:t>
      </w: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Estudio Pareado LIME–SHAP.</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omnibus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w:t>
      </w:r>
      <w:r>
        <w:t xml:space="preserve"> </w:t>
      </w:r>
      <w:r>
        <w:t xml:space="preserve">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Estudio Pareado LIME–SHAP.</w:t>
      </w:r>
      <w:r>
        <w:t xml:space="preserve"> </w:t>
      </w:r>
      <w:r>
        <w:t xml:space="preserve">Con cobertura completa de</w:t>
      </w:r>
      <w:r>
        <w:t xml:space="preserve"> </w:t>
      </w:r>
      <w:r>
        <w:t xml:space="preserve">SHAP (75/75) y LIME (75/75), su cobertura pareada es del 100%. Los datos</w:t>
      </w:r>
      <w:r>
        <w:t xml:space="preserve"> </w:t>
      </w:r>
      <w:r>
        <w:t xml:space="preserve">faltantes de Anchors y DiCE</w:t>
      </w:r>
      <w:r>
        <w:t xml:space="preserve"> </w:t>
      </w:r>
      <w:r>
        <w:rPr>
          <w:b/>
          <w:bCs/>
        </w:rPr>
        <w:t xml:space="preserve">no afectan</w:t>
      </w:r>
      <w:r>
        <w:t xml:space="preserve"> </w:t>
      </w:r>
      <w:r>
        <w:t xml:space="preserve">a este estudio.</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Tabla 6.10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Estudio Pareado LIME–SHAP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9"/>
    <w:bookmarkEnd w:id="90"/>
    <w:bookmarkStart w:id="98" w:name="plan-de-inferencia-estadística"/>
    <w:p>
      <w:pPr>
        <w:pStyle w:val="Ttulo2"/>
        <w:spacing w:line="360" w:lineRule="auto"/>
        <w:jc w:val="both"/>
      </w:pPr>
      <w:r>
        <w:t xml:space="preserve">3.8 </w:t>
      </w:r>
      <w:r>
        <w:t xml:space="preserve">Plan de inferencia estadística</w:t>
      </w:r>
    </w:p>
    <w:bookmarkStart w:id="91" w:name="Xb1cf6929af397b34ac8b341602720570fd1cf16"/>
    <w:p>
      <w:pPr>
        <w:pStyle w:val="Ttulo3"/>
        <w:spacing w:line="360" w:lineRule="auto"/>
        <w:jc w:val="both"/>
      </w:pPr>
      <w:r>
        <w:t xml:space="preserve">3.8.1 </w:t>
      </w:r>
      <w:r>
        <w:t xml:space="preserve">Estudio Omnibus Multimétrico: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91"/>
    <w:bookmarkStart w:id="92" w:name="localización-post-hoc-nemenyi"/>
    <w:p>
      <w:pPr>
        <w:pStyle w:val="Ttulo3"/>
        <w:spacing w:line="360" w:lineRule="auto"/>
        <w:jc w:val="both"/>
      </w:pPr>
      <w:r>
        <w:t xml:space="preserve">3.8.2 </w:t>
      </w: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92"/>
    <w:bookmarkStart w:id="93" w:name="X82a710d830240cc18776e0ef609d9e71b3f53e7"/>
    <w:p>
      <w:pPr>
        <w:pStyle w:val="Ttulo3"/>
        <w:spacing w:line="360" w:lineRule="auto"/>
        <w:jc w:val="both"/>
      </w:pPr>
      <w:r>
        <w:t xml:space="preserve">3.8.3 </w:t>
      </w: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3"/>
    <w:bookmarkStart w:id="95" w:name="control-de-multiplicidad"/>
    <w:p>
      <w:pPr>
        <w:pStyle w:val="Ttulo3"/>
        <w:spacing w:line="360" w:lineRule="auto"/>
        <w:jc w:val="both"/>
      </w:pPr>
      <w:r>
        <w:t xml:space="preserve">3.8.4 </w:t>
      </w: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jc w:val="center"/>
        <w:tblLayout w:type="fixed"/>
        <w:tblLook w:firstRow="0" w:lastRow="0" w:firstColumn="0" w:lastColumn="0" w:noHBand="0" w:noVBand="0" w:val="0000"/>
      </w:tblPr>
      <w:tblGrid>
        <w:gridCol w:w="7920"/>
      </w:tblGrid>
      <w:tr>
        <w:tc>
          <w:tcPr/>
          <w:bookmarkStart w:id="94" w:name="tbl-stat-plan"/>
          <w:p>
            <w:pPr>
              <w:pStyle w:val="ImageCaption"/>
              <w:spacing w:before="200" w:line="360" w:lineRule="auto"/>
              <w:jc w:val="center"/>
            </w:pPr>
            <w:r>
              <w:t xml:space="preserve">Tabla 3.6: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rPr>
                      <w:bCs/>
                      <w:b/>
                    </w:rPr>
                    <w:t xml:space="preserve">Corrección</w:t>
                  </w:r>
                </w:p>
              </w:tc>
            </w:tr>
            <w:tr>
              <w:tc>
                <w:tcPr/>
                <w:p>
                  <w:pPr>
                    <w:pStyle w:val="Compact"/>
                    <w:jc w:val="both"/>
                    <w:jc w:val="center"/>
                    <w:spacing w:line="360" w:lineRule="auto"/>
                  </w:pPr>
                  <w:r>
                    <w:t xml:space="preserve">Friedman (estudio omnibus)</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omnibus)</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(omnibus y pareado)</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4"/>
          <w:p>
            <w:pPr>
              <w:spacing w:line="360" w:lineRule="auto"/>
              <w:jc w:val="both"/>
            </w:pPr>
          </w:p>
        </w:tc>
      </w:tr>
    </w:tbl>
    <w:bookmarkEnd w:id="95"/>
    <w:bookmarkStart w:id="97" w:name="X8d8a6fe44143f1c1b581a8bcb7389a6bd938df3"/>
    <w:p>
      <w:pPr>
        <w:pStyle w:val="Ttulo3"/>
        <w:spacing w:line="360" w:lineRule="auto"/>
        <w:jc w:val="both"/>
      </w:pPr>
      <w:r>
        <w:t xml:space="preserve">3.8.5 </w:t>
      </w:r>
      <w:r>
        <w:t xml:space="preserve">Resumen del plan estadístico por hipótesis</w:t>
      </w:r>
    </w:p>
    <w:tbl>
      <w:tblPr>
        <w:tblStyle w:val="Table"/>
        <w:tblW w:type="pct" w:w="5000"/>
        <w:jc w:val="center"/>
        <w:tblLayout w:type="fixed"/>
        <w:tblLook w:firstRow="0" w:lastRow="0" w:firstColumn="0" w:lastColumn="0" w:noHBand="0" w:noVBand="0" w:val="0000"/>
      </w:tblPr>
      <w:tblGrid>
        <w:gridCol w:w="7920"/>
      </w:tblGrid>
      <w:tr>
        <w:tc>
          <w:tcPr/>
          <w:bookmarkStart w:id="96" w:name="tbl-hypo-plan"/>
          <w:p>
            <w:pPr>
              <w:pStyle w:val="ImageCaption"/>
              <w:spacing w:before="200" w:line="360" w:lineRule="auto"/>
              <w:jc w:val="center"/>
            </w:pPr>
            <w:r>
              <w:t xml:space="preserve">Tabla 3.7: Plan de decisiones estadísticas por hipótesis.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rPr>
                      <w:bCs/>
                      <w:b/>
                    </w:rPr>
                    <w:t xml:space="preserve">Hipótesis</w:t>
                  </w:r>
                </w:p>
              </w:tc>
              <w:tc>
                <w:tcPr/>
                <w:p>
                  <w:pPr>
                    <w:pStyle w:val="Compact"/>
                    <w:jc w:val="both"/>
                    <w:jc w:val="center"/>
                    <w:spacing w:line="360" w:lineRule="auto"/>
                  </w:pPr>
                  <w:r>
                    <w:rPr>
                      <w:bCs/>
                      <w:b/>
                    </w:rP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rPr>
                      <w:bCs/>
                      <w:b/>
                    </w:rP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6"/>
          <w:p>
            <w:pPr>
              <w:spacing w:line="360" w:lineRule="auto"/>
              <w:jc w:val="both"/>
            </w:pPr>
          </w:p>
        </w:tc>
      </w:tr>
    </w:tbl>
    <w:bookmarkEnd w:id="97"/>
    <w:bookmarkEnd w:id="98"/>
    <w:bookmarkStart w:id="100" w:name="amenazas-a-la-validez"/>
    <w:p>
      <w:pPr>
        <w:pStyle w:val="Ttulo2"/>
        <w:spacing w:line="360" w:lineRule="auto"/>
        <w:jc w:val="both"/>
      </w:pPr>
      <w:r>
        <w:t xml:space="preserve">3.9 </w:t>
      </w: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jc w:val="center"/>
        <w:tblLayout w:type="fixed"/>
        <w:tblLook w:firstRow="0" w:lastRow="0" w:firstColumn="0" w:lastColumn="0" w:noHBand="0" w:noVBand="0" w:val="0000"/>
      </w:tblPr>
      <w:tblGrid>
        <w:gridCol w:w="7920"/>
      </w:tblGrid>
      <w:tr>
        <w:tc>
          <w:tcPr/>
          <w:bookmarkStart w:id="99" w:name="tbl-validity-threats"/>
          <w:p>
            <w:pPr>
              <w:pStyle w:val="ImageCaption"/>
              <w:spacing w:before="200" w:line="360" w:lineRule="auto"/>
              <w:jc w:val="center"/>
            </w:pPr>
            <w:r>
              <w:t xml:space="preserve">Tabla 3.8: Amenazas a la validez, controles y riesgo residual.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Amenaza principal</w:t>
                  </w:r>
                </w:p>
              </w:tc>
              <w:tc>
                <w:tcPr/>
                <w:p>
                  <w:pPr>
                    <w:pStyle w:val="Compact"/>
                    <w:jc w:val="both"/>
                    <w:jc w:val="center"/>
                    <w:spacing w:line="360" w:lineRule="auto"/>
                  </w:pPr>
                  <w:r>
                    <w:rPr>
                      <w:bCs/>
                      <w:b/>
                    </w:rPr>
                    <w:t xml:space="preserve">Control aplicado</w:t>
                  </w:r>
                </w:p>
              </w:tc>
              <w:tc>
                <w:tcPr/>
                <w:p>
                  <w:pPr>
                    <w:pStyle w:val="Compact"/>
                    <w:jc w:val="both"/>
                    <w:jc w:val="center"/>
                    <w:spacing w:line="360" w:lineRule="auto"/>
                  </w:pPr>
                  <w:r>
                    <w:rPr>
                      <w:bCs/>
                      <w:b/>
                    </w:rP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9"/>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100"/>
    <w:bookmarkStart w:id="101" w:name="trazabilidad-y-reproducibilidad"/>
    <w:p>
      <w:pPr>
        <w:pStyle w:val="Ttulo2"/>
        <w:spacing w:line="360" w:lineRule="auto"/>
        <w:jc w:val="both"/>
      </w:pPr>
      <w:r>
        <w:t xml:space="preserve">3.10 </w:t>
      </w: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101"/>
    <w:bookmarkStart w:id="104" w:name="sec-estudios-complementarios"/>
    <w:p>
      <w:pPr>
        <w:pStyle w:val="Ttulo2"/>
        <w:spacing w:line="360" w:lineRule="auto"/>
        <w:jc w:val="both"/>
      </w:pPr>
      <w:r>
        <w:t xml:space="preserve">3.11 </w:t>
      </w: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102" w:name="sec-exp3-diseno"/>
    <w:p>
      <w:pPr>
        <w:pStyle w:val="Ttulo3"/>
        <w:spacing w:line="360" w:lineRule="auto"/>
        <w:jc w:val="both"/>
      </w:pPr>
      <w:r>
        <w:t xml:space="preserve">3.11.1 </w:t>
      </w: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y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y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102"/>
    <w:bookmarkStart w:id="103" w:name="sec-exp4-diseno"/>
    <w:p>
      <w:pPr>
        <w:pStyle w:val="Ttulo3"/>
        <w:spacing w:line="360" w:lineRule="auto"/>
        <w:jc w:val="both"/>
      </w:pPr>
      <w:r>
        <w:t xml:space="preserve">3.11.2 </w:t>
      </w: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w:t>
      </w:r>
      <w:hyperlink w:anchor="sec-taxonomia-brechas">
        <w:r>
          <w:rPr>
            <w:rStyle w:val="Hipervnculo"/>
          </w:rPr>
          <w:t xml:space="preserve">5.6</w:t>
        </w:r>
      </w:hyperlink>
      <w:r>
        <w:t xml:space="preserve">: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5.3</w:t>
        </w:r>
      </w:hyperlink>
      <w:r>
        <w:t xml:space="preserve"> </w:t>
      </w:r>
      <w:r>
        <w:t xml:space="preserve">del Capítulo 5).</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y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y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3"/>
    <w:bookmarkEnd w:id="104"/>
    <w:bookmarkEnd w:id="105"/>
    <w:bookmarkStart w:id="163" w:name="resultados-y-discusión"/>
    <w:p>
      <w:pPr>
        <w:pStyle w:val="Ttulo1"/>
        <w:spacing w:line="360" w:lineRule="auto"/>
        <w:jc w:val="both"/>
      </w:pPr>
      <w:r>
        <w:t xml:space="preserve">Capítulo 4. </w:t>
      </w:r>
      <w:r>
        <w:t xml:space="preserve">Resultados y discusión</w:t>
      </w:r>
    </w:p>
    <w:p>
      <w:pPr>
        <w:pStyle w:val="FirstParagraph"/>
        <w:spacing w:line="360" w:lineRule="auto"/>
        <w:jc w:val="both"/>
      </w:pPr>
      <w:r>
        <w:t xml:space="preserve">Este capítulo presenta los resultados empíricos del Estudio Omnibus</w:t>
      </w:r>
      <w:r>
        <w:t xml:space="preserve"> </w:t>
      </w:r>
      <w:r>
        <w:t xml:space="preserve">Multimétrico y del Estudio Pareado LIME–SHAP, organizados conforme a las</w:t>
      </w:r>
      <w:r>
        <w:t xml:space="preserve"> </w:t>
      </w:r>
      <w:r>
        <w:t xml:space="preserve">hipótesis y proposición de trabajo establecidas en el Capítulo 1. La</w:t>
      </w:r>
      <w:r>
        <w:t xml:space="preserve"> </w:t>
      </w:r>
      <w:r>
        <w:t xml:space="preserve">exposición sigue la secuencia lógica del protocolo FOM-7: primero se</w:t>
      </w:r>
      <w:r>
        <w:t xml:space="preserve"> </w:t>
      </w:r>
      <w:r>
        <w:t xml:space="preserve">documentan los resultados del análisis omnibus multimétrico, luego el análisis</w:t>
      </w:r>
      <w:r>
        <w:t xml:space="preserve"> </w:t>
      </w:r>
      <w:r>
        <w:t xml:space="preserve">pareado SHAP-LIME, y finalmente la verificación de la proposición de</w:t>
      </w:r>
      <w:r>
        <w:t xml:space="preserve"> </w:t>
      </w:r>
      <w:r>
        <w:t xml:space="preserve">reproducibilidad (P1). La discusión integradora al final del capítulo articula</w:t>
      </w:r>
      <w:r>
        <w:t xml:space="preserve"> </w:t>
      </w:r>
      <w:r>
        <w:t xml:space="preserve">los hallazgos con la literatura y deriva criterios operativos de selección de</w:t>
      </w:r>
      <w:r>
        <w:t xml:space="preserve"> </w:t>
      </w:r>
      <w:r>
        <w:t xml:space="preserve">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7" w:name="X265f56e886428ba30debc49e85dcc5a7469d3ae"/>
    <w:p>
      <w:pPr>
        <w:pStyle w:val="Ttulo2"/>
        <w:spacing w:line="360" w:lineRule="auto"/>
        <w:jc w:val="both"/>
      </w:pPr>
      <w:r>
        <w:t xml:space="preserve">4.1 </w:t>
      </w: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4.1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jc w:val="center"/>
        <w:tblLayout w:type="fixed"/>
        <w:tblLook w:firstRow="0" w:lastRow="0" w:firstColumn="0" w:lastColumn="0" w:noHBand="0" w:noVBand="0" w:val="0000"/>
      </w:tblPr>
      <w:tblGrid>
        <w:gridCol w:w="7920"/>
      </w:tblGrid>
      <w:tr>
        <w:tc>
          <w:tcPr/>
          <w:bookmarkStart w:id="106" w:name="tbl-results-overview"/>
          <w:p>
            <w:pPr>
              <w:pStyle w:val="ImageCaption"/>
              <w:spacing w:before="200" w:line="360" w:lineRule="auto"/>
              <w:jc w:val="center"/>
            </w:pPr>
            <w:r>
              <w:t xml:space="preserve">Tabla 4.1: Resumen auditable de hipótesis, pruebas y decisiones.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Test</w:t>
                  </w:r>
                </w:p>
              </w:tc>
              <w:tc>
                <w:tcPr/>
                <w:p>
                  <w:pPr>
                    <w:pStyle w:val="Compact"/>
                    <w:jc w:val="both"/>
                    <w:jc w:val="center"/>
                    <w:spacing w:line="360" w:lineRule="auto"/>
                  </w:pPr>
                  <w:r>
                    <w:rPr>
                      <w:bCs/>
                      <w:b/>
                    </w:rPr>
                    <w:t xml:space="preserve">Unidad /</w:t>
                  </w:r>
                  <w:r>
                    <w:rPr>
                      <w:bCs/>
                      <w:b/>
                    </w:rPr>
                    <w:t xml:space="preserve"> </w:t>
                  </w:r>
                  <ns1:oMath>
                    <ns1:r>
                      <ns1:t>n</ns1:t>
                    </ns1:r>
                  </ns1:oMath>
                </w:p>
              </w:tc>
              <w:tc>
                <w:tcPr/>
                <w:p>
                  <w:pPr>
                    <w:pStyle w:val="Compact"/>
                    <w:jc w:val="both"/>
                    <w:jc w:val="center"/>
                    <w:spacing w:line="360" w:lineRule="auto"/>
                  </w:pPr>
                  <w:r>
                    <w:rPr>
                      <w:bCs/>
                      <w:b/>
                    </w:rP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rPr>
                      <w:bCs/>
                      <w:b/>
                    </w:rPr>
                    <w:t xml:space="preserve">Efecto</w:t>
                  </w:r>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6"/>
          <w:p>
            <w:pPr>
              <w:spacing w:line="360" w:lineRule="auto"/>
              <w:jc w:val="both"/>
            </w:pPr>
          </w:p>
        </w:tc>
      </w:tr>
    </w:tbl>
    <w:bookmarkEnd w:id="107"/>
    <w:bookmarkStart w:id="113" w:name="sec-estudio-a"/>
    <w:p>
      <w:pPr>
        <w:pStyle w:val="Ttulo2"/>
        <w:spacing w:line="360" w:lineRule="auto"/>
        <w:jc w:val="both"/>
      </w:pPr>
      <w:r>
        <w:t xml:space="preserve">4.2 </w:t>
      </w:r>
      <w:r>
        <w:t xml:space="preserve">Estudio Omnibus Multimétrico: H1 y H2</w:t>
      </w:r>
    </w:p>
    <w:bookmarkStart w:id="110" w:name="X41be5df394949178755daa825e68dc45d5470c0"/>
    <w:p>
      <w:pPr>
        <w:pStyle w:val="Ttulo3"/>
        <w:spacing w:line="360" w:lineRule="auto"/>
        <w:jc w:val="both"/>
      </w:pPr>
      <w:r>
        <w:t xml:space="preserve">4.2.1 </w:t>
      </w: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jc w:val="center"/>
        <w:tblLayout w:type="fixed"/>
        <w:tblLook w:firstRow="0" w:lastRow="0" w:firstColumn="0" w:lastColumn="0" w:noHBand="0" w:noVBand="0" w:val="0000"/>
      </w:tblPr>
      <w:tblGrid>
        <w:gridCol w:w="7920"/>
      </w:tblGrid>
      <w:tr>
        <w:tc>
          <w:tcPr/>
          <w:bookmarkStart w:id="108" w:name="tbl-friedman-fidelity"/>
          <w:p>
            <w:pPr>
              <w:pStyle w:val="ImageCaption"/>
              <w:spacing w:before="200" w:line="360" w:lineRule="auto"/>
              <w:jc w:val="center"/>
            </w:pPr>
            <w:r>
              <w:t xml:space="preserve">Tabla 4.2: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8"/>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jc w:val="center"/>
        <w:tblLayout w:type="fixed"/>
        <w:tblLook w:firstRow="0" w:lastRow="0" w:firstColumn="0" w:lastColumn="0" w:noHBand="0" w:noVBand="0" w:val="0000"/>
      </w:tblPr>
      <w:tblGrid>
        <w:gridCol w:w="7920"/>
      </w:tblGrid>
      <w:tr>
        <w:tc>
          <w:tcPr/>
          <w:bookmarkStart w:id="109" w:name="tbl-nemenyi-fidelity"/>
          <w:p>
            <w:pPr>
              <w:pStyle w:val="ImageCaption"/>
              <w:spacing w:before="200" w:line="360" w:lineRule="auto"/>
              <w:jc w:val="center"/>
            </w:pPr>
            <w:r>
              <w:t xml:space="preserve">Tabla 4.3: Comparaciones post-hoc de Nemenyi para fidelidad.</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rPr>
                      <w:bCs/>
                      <w:b/>
                    </w:rPr>
                    <w:t xml:space="preserve">CD</w:t>
                  </w:r>
                </w:p>
              </w:tc>
              <w:tc>
                <w:tcPr/>
                <w:p>
                  <w:pPr>
                    <w:pStyle w:val="Compact"/>
                    <w:jc w:val="both"/>
                    <w:spacing w:line="360" w:lineRule="auto"/>
                  </w:pPr>
                  <w:r>
                    <w:rPr>
                      <w:bCs/>
                      <w:b/>
                    </w:rP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9"/>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w:t>
      </w:r>
      <w:r>
        <w:t xml:space="preserve"> </w:t>
      </w:r>
      <w:r>
        <w:t xml:space="preserve">pareado del Estudio Pareado LIME–SHAP.</w:t>
      </w:r>
    </w:p>
    <w:bookmarkEnd w:id="110"/>
    <w:bookmarkStart w:id="112" w:name="X117d71016dd8839ee57c9e60cc09d0400ac5f3d"/>
    <w:p>
      <w:pPr>
        <w:pStyle w:val="Ttulo3"/>
        <w:spacing w:line="360" w:lineRule="auto"/>
        <w:jc w:val="both"/>
      </w:pPr>
      <w:r>
        <w:t xml:space="preserve">4.2.2 </w:t>
      </w: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jc w:val="center"/>
        <w:tblLayout w:type="fixed"/>
        <w:tblLook w:firstRow="0" w:lastRow="0" w:firstColumn="0" w:lastColumn="0" w:noHBand="0" w:noVBand="0" w:val="0000"/>
      </w:tblPr>
      <w:tblGrid>
        <w:gridCol w:w="7920"/>
      </w:tblGrid>
      <w:tr>
        <w:tc>
          <w:tcPr/>
          <w:bookmarkStart w:id="111" w:name="tbl-friedman-stability"/>
          <w:p>
            <w:pPr>
              <w:pStyle w:val="ImageCaption"/>
              <w:spacing w:before="200" w:line="360" w:lineRule="auto"/>
              <w:jc w:val="center"/>
            </w:pPr>
            <w:r>
              <w:t xml:space="preserve">Tabla 4.4: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11"/>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12"/>
    <w:bookmarkEnd w:id="113"/>
    <w:bookmarkStart w:id="117" w:name="sec-estudio-b"/>
    <w:p>
      <w:pPr>
        <w:pStyle w:val="Ttulo2"/>
        <w:spacing w:line="360" w:lineRule="auto"/>
        <w:jc w:val="both"/>
      </w:pPr>
      <w:r>
        <w:t xml:space="preserve">4.3 </w:t>
      </w:r>
      <w:r>
        <w:t xml:space="preserve">Estudio Pareado LIME–SHAP: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5" w:name="diferencias-en-métricas-de-calidad"/>
    <w:p>
      <w:pPr>
        <w:pStyle w:val="Ttulo3"/>
        <w:spacing w:line="360" w:lineRule="auto"/>
        <w:jc w:val="both"/>
      </w:pPr>
      <w:r>
        <w:t xml:space="preserve">4.3.1 </w:t>
      </w: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jc w:val="center"/>
        <w:tblLayout w:type="fixed"/>
        <w:tblLook w:firstRow="0" w:lastRow="0" w:firstColumn="0" w:lastColumn="0" w:noHBand="0" w:noVBand="0" w:val="0000"/>
      </w:tblPr>
      <w:tblGrid>
        <w:gridCol w:w="7920"/>
      </w:tblGrid>
      <w:tr>
        <w:tc>
          <w:tcPr/>
          <w:bookmarkStart w:id="114" w:name="tbl-paired-shap-lime"/>
          <w:p>
            <w:pPr>
              <w:pStyle w:val="ImageCaption"/>
              <w:spacing w:before="200" w:line="360" w:lineRule="auto"/>
              <w:jc w:val="center"/>
            </w:pPr>
            <w:r>
              <w:t xml:space="preserve">Tabla 4.5: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rPr>
                      <w:bCs/>
                      <w:b/>
                    </w:rP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rPr>
                      <w:bCs/>
                      <w:b/>
                    </w:rPr>
                    <w:t xml:space="preserve">Pos.</w:t>
                  </w:r>
                </w:p>
              </w:tc>
              <w:tc>
                <w:tcPr/>
                <w:p>
                  <w:pPr>
                    <w:pStyle w:val="Compact"/>
                    <w:jc w:val="both"/>
                    <w:spacing w:line="360" w:lineRule="auto"/>
                  </w:pPr>
                  <w:r>
                    <w:rPr>
                      <w:bCs/>
                      <w:b/>
                    </w:rP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4"/>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5"/>
    <w:bookmarkStart w:id="116" w:name="X2c15e0a178907c68bf437d0d85cae845d1c590b"/>
    <w:p>
      <w:pPr>
        <w:pStyle w:val="Ttulo3"/>
        <w:spacing w:line="360" w:lineRule="auto"/>
        <w:jc w:val="both"/>
      </w:pPr>
      <w:r>
        <w:t xml:space="preserve">4.3.2 </w:t>
      </w: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6"/>
    <w:bookmarkEnd w:id="117"/>
    <w:bookmarkStart w:id="119" w:name="sec-p1"/>
    <w:p>
      <w:pPr>
        <w:pStyle w:val="Ttulo2"/>
        <w:spacing w:line="360" w:lineRule="auto"/>
        <w:jc w:val="both"/>
      </w:pPr>
      <w:r>
        <w:t xml:space="preserve">4.4 </w:t>
      </w: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jc w:val="center"/>
        <w:tblLayout w:type="fixed"/>
        <w:tblLook w:firstRow="0" w:lastRow="0" w:firstColumn="0" w:lastColumn="0" w:noHBand="0" w:noVBand="0" w:val="0000"/>
      </w:tblPr>
      <w:tblGrid>
        <w:gridCol w:w="7920"/>
      </w:tblGrid>
      <w:tr>
        <w:tc>
          <w:tcPr/>
          <w:bookmarkStart w:id="118" w:name="tbl-cv-p1"/>
          <w:p>
            <w:pPr>
              <w:pStyle w:val="ImageCaption"/>
              <w:spacing w:before="200" w:line="360" w:lineRule="auto"/>
              <w:jc w:val="center"/>
            </w:pPr>
            <w:r>
              <w:t xml:space="preserve">Tabla 4.6: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Métrica</w:t>
                  </w:r>
                </w:p>
              </w:tc>
              <w:tc>
                <w:tcPr/>
                <w:p>
                  <w:pPr>
                    <w:pStyle w:val="Compact"/>
                    <w:jc w:val="both"/>
                    <w:spacing w:line="360" w:lineRule="auto"/>
                  </w:pPr>
                  <w:r>
                    <w:rPr>
                      <w:bCs/>
                      <w:b/>
                    </w:rPr>
                    <w:t xml:space="preserve">Media</w:t>
                  </w:r>
                </w:p>
              </w:tc>
              <w:tc>
                <w:tcPr/>
                <w:p>
                  <w:pPr>
                    <w:pStyle w:val="Compact"/>
                    <w:jc w:val="both"/>
                    <w:spacing w:line="360" w:lineRule="auto"/>
                  </w:pPr>
                  <w:r>
                    <w:rPr>
                      <w:bCs/>
                      <w:b/>
                    </w:rPr>
                    <w:t xml:space="preserve">Desv. típica</w:t>
                  </w:r>
                </w:p>
              </w:tc>
              <w:tc>
                <w:tcPr/>
                <w:p>
                  <w:pPr>
                    <w:pStyle w:val="Compact"/>
                    <w:jc w:val="both"/>
                    <w:spacing w:line="360" w:lineRule="auto"/>
                  </w:pPr>
                  <w:r>
                    <w:rPr>
                      <w:bCs/>
                      <w:b/>
                    </w:rPr>
                    <w:t xml:space="preserve">CV (%)</w:t>
                  </w:r>
                </w:p>
              </w:tc>
              <w:tc>
                <w:tcPr/>
                <w:p>
                  <w:pPr>
                    <w:pStyle w:val="Compact"/>
                    <w:jc w:val="both"/>
                    <w:spacing w:line="360" w:lineRule="auto"/>
                  </w:pPr>
                  <w:r>
                    <w:rPr>
                      <w:bCs/>
                      <w:b/>
                    </w:rP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8"/>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9"/>
    <w:bookmarkStart w:id="124" w:name="sec-perfiles"/>
    <w:p>
      <w:pPr>
        <w:pStyle w:val="Ttulo2"/>
        <w:spacing w:line="360" w:lineRule="auto"/>
        <w:jc w:val="both"/>
      </w:pPr>
      <w:r>
        <w:t xml:space="preserve">4.5 </w:t>
      </w: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20" w:name="shap"/>
    <w:p>
      <w:pPr>
        <w:pStyle w:val="Ttulo3"/>
        <w:spacing w:line="360" w:lineRule="auto"/>
        <w:jc w:val="both"/>
      </w:pPr>
      <w:r>
        <w:t xml:space="preserve">4.5.1 </w:t>
      </w: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w:t>
      </w:r>
      <w:hyperlink w:anchor="sec-metricas">
        <w:r>
          <w:rPr>
            <w:rStyle w:val="Hipervnculo"/>
          </w:rPr>
          <w:t xml:space="preserve">3.5</w:t>
        </w:r>
      </w:hyperlink>
      <w:r>
        <w:t xml:space="preserve">),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20"/>
    <w:bookmarkStart w:id="121" w:name="lime"/>
    <w:p>
      <w:pPr>
        <w:pStyle w:val="Ttulo3"/>
        <w:spacing w:line="360" w:lineRule="auto"/>
        <w:jc w:val="both"/>
      </w:pPr>
      <w:r>
        <w:t xml:space="preserve">4.5.2 </w:t>
      </w: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y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21"/>
    <w:bookmarkStart w:id="122" w:name="anchors"/>
    <w:p>
      <w:pPr>
        <w:pStyle w:val="Ttulo3"/>
        <w:spacing w:line="360" w:lineRule="auto"/>
        <w:jc w:val="both"/>
      </w:pPr>
      <w:r>
        <w:t xml:space="preserve">4.5.3 </w:t>
      </w: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Tabla 4.2</w:t>
        </w:r>
      </w:hyperlink>
      <w:r>
        <w:t xml:space="preserve">,</w:t>
      </w:r>
      <w:r>
        <w:t xml:space="preserve"> </w:t>
      </w:r>
      <w:hyperlink w:anchor="tbl-friedman-stability">
        <w:r>
          <w:rPr>
            <w:rStyle w:val="Hipervnculo"/>
          </w:rPr>
          <w:t xml:space="preserve">Tabla 4.4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22"/>
    <w:bookmarkStart w:id="123" w:name="dice"/>
    <w:p>
      <w:pPr>
        <w:pStyle w:val="Ttulo3"/>
        <w:spacing w:line="360" w:lineRule="auto"/>
        <w:jc w:val="both"/>
      </w:pPr>
      <w:r>
        <w:t xml:space="preserve">4.5.4 </w:t>
      </w: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3"/>
    <w:bookmarkEnd w:id="124"/>
    <w:bookmarkStart w:id="127" w:name="sec-transversal"/>
    <w:p>
      <w:pPr>
        <w:pStyle w:val="Ttulo2"/>
        <w:spacing w:line="360" w:lineRule="auto"/>
        <w:jc w:val="both"/>
      </w:pPr>
      <w:r>
        <w:t xml:space="preserve">4.6 </w:t>
      </w:r>
      <w:r>
        <w:t xml:space="preserve">Análisis transversal: efecto del modelo base y del tamaño de muestra</w:t>
      </w:r>
    </w:p>
    <w:bookmarkStart w:id="125" w:name="Xd0dc4cebb30e80d859f681a41b6366a7a2cd5a6"/>
    <w:p>
      <w:pPr>
        <w:pStyle w:val="Ttulo3"/>
        <w:spacing w:line="360" w:lineRule="auto"/>
        <w:jc w:val="both"/>
      </w:pPr>
      <w:r>
        <w:t xml:space="preserve">4.6.1 </w:t>
      </w: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Tabla 6.9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5"/>
    <w:bookmarkStart w:id="126" w:name="X4b1cce5291d3b83ee4e2fe33ac88be27315f5a8"/>
    <w:p>
      <w:pPr>
        <w:pStyle w:val="Ttulo3"/>
        <w:spacing w:line="360" w:lineRule="auto"/>
        <w:jc w:val="both"/>
      </w:pPr>
      <w:r>
        <w:t xml:space="preserve">4.6.2 </w:t>
      </w: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6"/>
    <w:bookmarkEnd w:id="127"/>
    <w:bookmarkStart w:id="129" w:name="sec-trazabilidad-resultados"/>
    <w:p>
      <w:pPr>
        <w:pStyle w:val="Ttulo2"/>
        <w:spacing w:line="360" w:lineRule="auto"/>
        <w:jc w:val="both"/>
      </w:pPr>
      <w:r>
        <w:t xml:space="preserve">4.7 </w:t>
      </w: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4.7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jc w:val="center"/>
        <w:tblLayout w:type="fixed"/>
        <w:tblLook w:firstRow="0" w:lastRow="0" w:firstColumn="0" w:lastColumn="0" w:noHBand="0" w:noVBand="0" w:val="0000"/>
      </w:tblPr>
      <w:tblGrid>
        <w:gridCol w:w="7920"/>
      </w:tblGrid>
      <w:tr>
        <w:tc>
          <w:tcPr/>
          <w:bookmarkStart w:id="128" w:name="tbl-claim-traceability"/>
          <w:p>
            <w:pPr>
              <w:pStyle w:val="ImageCaption"/>
              <w:spacing w:before="200" w:line="360" w:lineRule="auto"/>
              <w:jc w:val="center"/>
            </w:pPr>
            <w:r>
              <w:t xml:space="preserve">Tabla 4.7: Trazabilidad de claims, artefactos y alcance inferencial.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Evidencia en tesis</w:t>
                  </w:r>
                </w:p>
              </w:tc>
              <w:tc>
                <w:tcPr/>
                <w:p>
                  <w:pPr>
                    <w:pStyle w:val="Compact"/>
                    <w:jc w:val="both"/>
                    <w:jc w:val="center"/>
                    <w:spacing w:line="360" w:lineRule="auto"/>
                  </w:pPr>
                  <w:r>
                    <w:rPr>
                      <w:bCs/>
                      <w:b/>
                    </w:rPr>
                    <w:t xml:space="preserve">Artefacto fuente</w:t>
                  </w:r>
                </w:p>
              </w:tc>
              <w:tc>
                <w:tcPr/>
                <w:p>
                  <w:pPr>
                    <w:pStyle w:val="Compact"/>
                    <w:jc w:val="both"/>
                    <w:jc w:val="center"/>
                    <w:spacing w:line="360" w:lineRule="auto"/>
                  </w:pPr>
                  <w:r>
                    <w:rPr>
                      <w:bCs/>
                      <w:b/>
                    </w:rPr>
                    <w:t xml:space="preserve">Script / proceso</w:t>
                  </w:r>
                </w:p>
              </w:tc>
              <w:tc>
                <w:tcPr/>
                <w:p>
                  <w:pPr>
                    <w:pStyle w:val="Compact"/>
                    <w:jc w:val="both"/>
                    <w:jc w:val="center"/>
                    <w:spacing w:line="360" w:lineRule="auto"/>
                  </w:pPr>
                  <w:r>
                    <w:rPr>
                      <w:bCs/>
                      <w:b/>
                    </w:rP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4.2</w:t>
                    </w:r>
                  </w:hyperlink>
                  <w:r>
                    <w:t xml:space="preserve"> </w:t>
                  </w:r>
                  <w:r>
                    <w:t xml:space="preserve">y</w:t>
                  </w:r>
                  <w:r>
                    <w:t xml:space="preserve"> </w:t>
                  </w:r>
                  <w:hyperlink w:anchor="tbl-nemenyi-fidelity">
                    <w:r>
                      <w:rPr>
                        <w:rStyle w:val="Hipervnculo"/>
                      </w:rPr>
                      <w:t xml:space="preserve">4.3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4.4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4.5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4.6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8"/>
          <w:p>
            <w:pPr>
              <w:spacing w:line="360" w:lineRule="auto"/>
              <w:jc w:val="both"/>
            </w:pPr>
          </w:p>
        </w:tc>
      </w:tr>
    </w:tbl>
    <w:bookmarkEnd w:id="129"/>
    <w:bookmarkStart w:id="158" w:name="sec-visualizaciones-resultados"/>
    <w:p>
      <w:pPr>
        <w:pStyle w:val="Ttulo2"/>
        <w:spacing w:line="360" w:lineRule="auto"/>
        <w:jc w:val="both"/>
      </w:pPr>
      <w:r>
        <w:t xml:space="preserve">4.8 </w:t>
      </w: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jc w:val="center"/>
        <w:tblLayout w:type="fixed"/>
        <w:tblLook w:firstRow="0" w:lastRow="0" w:firstColumn="0" w:lastColumn="0" w:noHBand="0" w:noVBand="0" w:val="0000"/>
      </w:tblPr>
      <w:tblGrid>
        <w:gridCol w:w="7920"/>
      </w:tblGrid>
      <w:tr>
        <w:tc>
          <w:tcPr/>
          <w:bookmarkStart w:id="133" w:name="fig-estabilidad-coste"/>
          <w:p>
            <w:pPr>
              <w:pStyle w:val="Compact"/>
              <w:jc w:val="center"/>
              <w:spacing w:line="360" w:lineRule="auto"/>
            </w:pPr>
            <w:r>
              <w:drawing>
                <ns2:inline>
                  <ns2:extent cx="5052060" cy="3154709"/>
                  <ns2:effectExtent b="0" l="0" r="0" t="0"/>
                  <ns2:docPr descr="" title="" id="131" name="Picture"/>
                  <ns3:graphic>
                    <ns3:graphicData uri="http://schemas.openxmlformats.org/drawingml/2006/picture">
                      <ns4:pic>
                        <ns4:nvPicPr>
                          <ns4:cNvPr descr="assets/figures/fig_estabilidad_coste_es.png" id="132" name="Picture"/>
                          <ns4:cNvPicPr>
                            <ns3:picLocks noChangeArrowheads="1" noChangeAspect="1"/>
                          </ns4:cNvPicPr>
                        </ns4:nvPicPr>
                        <ns4:blipFill>
                          <ns3:blip ns5:embed="rId130"/>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3"/>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37" w:name="fig-correlacion-metricas"/>
          <w:p>
            <w:pPr>
              <w:pStyle w:val="Compact"/>
              <w:jc w:val="center"/>
              <w:spacing w:line="360" w:lineRule="auto"/>
            </w:pPr>
            <w:r>
              <w:drawing>
                <ns2:inline>
                  <ns2:extent cx="5052060" cy="3860951"/>
                  <ns2:effectExtent b="0" l="0" r="0" t="0"/>
                  <ns2:docPr descr="" title="" id="135" name="Picture"/>
                  <ns3:graphic>
                    <ns3:graphicData uri="http://schemas.openxmlformats.org/drawingml/2006/picture">
                      <ns4:pic>
                        <ns4:nvPicPr>
                          <ns4:cNvPr descr="assets/figures/fig_correlacion_metricas_es.png" id="136" name="Picture"/>
                          <ns4:cNvPicPr>
                            <ns3:picLocks noChangeArrowheads="1" noChangeAspect="1"/>
                          </ns4:cNvPicPr>
                        </ns4:nvPicPr>
                        <ns4:blipFill>
                          <ns3:blip ns5:embed="rId134"/>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7"/>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1" w:name="fig-cobertura-exp2"/>
          <w:p>
            <w:pPr>
              <w:pStyle w:val="Compact"/>
              <w:jc w:val="center"/>
              <w:spacing w:line="360" w:lineRule="auto"/>
            </w:pPr>
            <w:r>
              <w:drawing>
                <ns2:inline>
                  <ns2:extent cx="5052060" cy="3412866"/>
                  <ns2:effectExtent b="0" l="0" r="0" t="0"/>
                  <ns2:docPr descr="" title="" id="139" name="Picture"/>
                  <ns3:graphic>
                    <ns3:graphicData uri="http://schemas.openxmlformats.org/drawingml/2006/picture">
                      <ns4:pic>
                        <ns4:nvPicPr>
                          <ns4:cNvPr descr="assets/figures/fig_cobertura_exp2_es.png" id="140" name="Picture"/>
                          <ns4:cNvPicPr>
                            <ns3:picLocks noChangeArrowheads="1" noChangeAspect="1"/>
                          </ns4:cNvPicPr>
                        </ns4:nvPicPr>
                        <ns4:blipFill>
                          <ns3:blip ns5:embed="rId138"/>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41"/>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5" w:name="fig-cd-diagram"/>
          <w:p>
            <w:pPr>
              <w:pStyle w:val="Compact"/>
              <w:jc w:val="center"/>
              <w:spacing w:line="360" w:lineRule="auto"/>
            </w:pPr>
            <w:r>
              <w:drawing>
                <ns2:inline>
                  <ns2:extent cx="5646420" cy="1801452"/>
                  <ns2:effectExtent b="0" l="0" r="0" t="0"/>
                  <ns2:docPr descr="" title="" id="143" name="Picture"/>
                  <ns3:graphic>
                    <ns3:graphicData uri="http://schemas.openxmlformats.org/drawingml/2006/picture">
                      <ns4:pic>
                        <ns4:nvPicPr>
                          <ns4:cNvPr descr="assets/figures/fig_cd_diagram_es.png" id="144" name="Picture"/>
                          <ns4:cNvPicPr>
                            <ns3:picLocks noChangeArrowheads="1" noChangeAspect="1"/>
                          </ns4:cNvPicPr>
                        </ns4:nvPicPr>
                        <ns4:blipFill>
                          <ns3:blip ns5:embed="rId142"/>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5"/>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9" w:name="fig-boxplots-metricas"/>
          <w:p>
            <w:pPr>
              <w:pStyle w:val="Compact"/>
              <w:jc w:val="center"/>
              <w:spacing w:line="360" w:lineRule="auto"/>
            </w:pPr>
            <w:r>
              <w:drawing>
                <ns2:inline>
                  <ns2:extent cx="5646420" cy="2662237"/>
                  <ns2:effectExtent b="0" l="0" r="0" t="0"/>
                  <ns2:docPr descr="" title="" id="147" name="Picture"/>
                  <ns3:graphic>
                    <ns3:graphicData uri="http://schemas.openxmlformats.org/drawingml/2006/picture">
                      <ns4:pic>
                        <ns4:nvPicPr>
                          <ns4:cNvPr descr="assets/figures/fig_boxplots_metricas_es.png" id="148" name="Picture"/>
                          <ns4:cNvPicPr>
                            <ns3:picLocks noChangeArrowheads="1" noChangeAspect="1"/>
                          </ns4:cNvPicPr>
                        </ns4:nvPicPr>
                        <ns4:blipFill>
                          <ns3:blip ns5:embed="rId146"/>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49"/>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3" w:name="fig-diferencias-pareadas"/>
          <w:p>
            <w:pPr>
              <w:pStyle w:val="Compact"/>
              <w:jc w:val="center"/>
              <w:spacing w:line="360" w:lineRule="auto"/>
            </w:pPr>
            <w:r>
              <w:drawing>
                <ns2:inline>
                  <ns2:extent cx="5646420" cy="2357586"/>
                  <ns2:effectExtent b="0" l="0" r="0" t="0"/>
                  <ns2:docPr descr="" title="" id="151" name="Picture"/>
                  <ns3:graphic>
                    <ns3:graphicData uri="http://schemas.openxmlformats.org/drawingml/2006/picture">
                      <ns4:pic>
                        <ns4:nvPicPr>
                          <ns4:cNvPr descr="assets/figures/fig_diferencias_pareadas_es.png" id="152" name="Picture"/>
                          <ns4:cNvPicPr>
                            <ns3:picLocks noChangeArrowheads="1" noChangeAspect="1"/>
                          </ns4:cNvPicPr>
                        </ns4:nvPicPr>
                        <ns4:blipFill>
                          <ns3:blip ns5:embed="rId150"/>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3"/>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7" w:name="fig-radar-metodos"/>
          <w:p>
            <w:pPr>
              <w:pStyle w:val="Compact"/>
              <w:jc w:val="center"/>
              <w:spacing w:line="360" w:lineRule="auto"/>
            </w:pPr>
            <w:r>
              <w:drawing>
                <ns2:inline>
                  <ns2:extent cx="4160520" cy="3582746"/>
                  <ns2:effectExtent b="0" l="0" r="0" t="0"/>
                  <ns2:docPr descr="" title="" id="155" name="Picture"/>
                  <ns3:graphic>
                    <ns3:graphicData uri="http://schemas.openxmlformats.org/drawingml/2006/picture">
                      <ns4:pic>
                        <ns4:nvPicPr>
                          <ns4:cNvPr descr="assets/figures/fig_radar_metodos_es.png" id="156" name="Picture"/>
                          <ns4:cNvPicPr>
                            <ns3:picLocks noChangeArrowheads="1" noChangeAspect="1"/>
                          </ns4:cNvPicPr>
                        </ns4:nvPicPr>
                        <ns4:blipFill>
                          <ns3:blip ns5:embed="rId154"/>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7"/>
        </w:tc>
      </w:tr>
    </w:tbl>
    <w:bookmarkEnd w:id="158"/>
    <w:bookmarkStart w:id="162" w:name="sec-discusion"/>
    <w:p>
      <w:pPr>
        <w:pStyle w:val="Ttulo2"/>
        <w:spacing w:line="360" w:lineRule="auto"/>
        <w:jc w:val="both"/>
      </w:pPr>
      <w:r>
        <w:t xml:space="preserve">4.9 </w:t>
      </w:r>
      <w:r>
        <w:t xml:space="preserve">Discusión</w:t>
      </w:r>
    </w:p>
    <w:bookmarkStart w:id="159" w:name="interpretación-conjunta-de-h1-h2-y-h3"/>
    <w:p>
      <w:pPr>
        <w:pStyle w:val="Ttulo3"/>
        <w:spacing w:line="360" w:lineRule="auto"/>
        <w:jc w:val="both"/>
      </w:pPr>
      <w:r>
        <w:t xml:space="preserve">4.9.1 </w:t>
      </w: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9"/>
    <w:bookmarkStart w:id="160" w:name="Xbd024e4a7bd7bf8de011157bde8f5cf667c76a0"/>
    <w:p>
      <w:pPr>
        <w:pStyle w:val="Ttulo3"/>
        <w:spacing w:line="360" w:lineRule="auto"/>
        <w:jc w:val="both"/>
      </w:pPr>
      <w:r>
        <w:t xml:space="preserve">4.9.2 </w:t>
      </w: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60"/>
    <w:bookmarkStart w:id="161" w:name="X99626a17a471bd5fb48825a2c4d4fcdcb69bcee"/>
    <w:p>
      <w:pPr>
        <w:pStyle w:val="Ttulo3"/>
        <w:spacing w:line="360" w:lineRule="auto"/>
        <w:jc w:val="both"/>
      </w:pPr>
      <w:r>
        <w:t xml:space="preserve">4.9.3 </w:t>
      </w: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y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61"/>
    <w:bookmarkEnd w:id="162"/>
    <w:bookmarkEnd w:id="163"/>
    <w:bookmarkStart w:id="175" w:name="Xa967782ce714a135dc69dc69099ccfe835ec70b"/>
    <w:p>
      <w:pPr>
        <w:pStyle w:val="Ttulo1"/>
        <w:spacing w:line="360" w:lineRule="auto"/>
        <w:jc w:val="both"/>
      </w:pPr>
      <w:r>
        <w:t xml:space="preserve">Capítulo 5. </w:t>
      </w: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Figura 4.2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Figura 4.7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Taxonómico de la tesis: una taxonomía</w:t>
      </w:r>
      <w:r>
        <w:t xml:space="preserve"> </w:t>
      </w:r>
      <w:r>
        <w:t xml:space="preserve">estructurada del espacio de métricas de evaluación XAI. Su función es dar peso</w:t>
      </w:r>
      <w:r>
        <w:t xml:space="preserve"> </w:t>
      </w:r>
      <w:r>
        <w:t xml:space="preserve">conceptual propio a la tercera contribución doctoral. Los capítulos anteriores</w:t>
      </w:r>
      <w:r>
        <w:t xml:space="preserve"> </w:t>
      </w:r>
      <w:r>
        <w:t xml:space="preserve">mostraron que FOM-7 necesita distinguir objetos explicativos, constructos de</w:t>
      </w:r>
      <w:r>
        <w:t xml:space="preserve"> </w:t>
      </w:r>
      <w:r>
        <w:t xml:space="preserve">calidad, fuentes de evidencia y contextos de uso. Este capítulo convierte esa</w:t>
      </w:r>
      <w:r>
        <w:t xml:space="preserve"> </w:t>
      </w:r>
      <w:r>
        <w:t xml:space="preserve">necesidad en una matriz de clasificación que permite interpretar el benchmark</w:t>
      </w:r>
      <w:r>
        <w:t xml:space="preserve"> </w:t>
      </w:r>
      <w:r>
        <w:t xml:space="preserve">y, al mismo 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4" w:name="sec-taxonomia-metodo"/>
    <w:p>
      <w:pPr>
        <w:pStyle w:val="Ttulo2"/>
        <w:spacing w:line="360" w:lineRule="auto"/>
        <w:jc w:val="both"/>
      </w:pPr>
      <w:r>
        <w:t xml:space="preserve">5.1 </w:t>
      </w: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y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5.1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64"/>
    <w:bookmarkStart w:id="165" w:name="sec-taxonomia-motivacion"/>
    <w:p>
      <w:pPr>
        <w:pStyle w:val="Ttulo2"/>
        <w:spacing w:line="360" w:lineRule="auto"/>
        <w:jc w:val="both"/>
      </w:pPr>
      <w:r>
        <w:t xml:space="preserve">5.2 </w:t>
      </w: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y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dos estudios empíricos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5"/>
    <w:bookmarkStart w:id="166" w:name="sec-taxonomia-ejes"/>
    <w:p>
      <w:pPr>
        <w:pStyle w:val="Ttulo2"/>
        <w:spacing w:line="360" w:lineRule="auto"/>
        <w:jc w:val="both"/>
      </w:pPr>
      <w:r>
        <w:t xml:space="preserve">5.3 </w:t>
      </w: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y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y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6"/>
    <w:bookmarkStart w:id="168" w:name="sec-taxonomia-matriz"/>
    <w:p>
      <w:pPr>
        <w:pStyle w:val="Ttulo2"/>
        <w:spacing w:line="360" w:lineRule="auto"/>
        <w:jc w:val="both"/>
      </w:pPr>
      <w:r>
        <w:t xml:space="preserve">5.4 </w:t>
      </w: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5.1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jc w:val="center"/>
        <w:tblLayout w:type="fixed"/>
        <w:tblLook w:firstRow="0" w:lastRow="0" w:firstColumn="0" w:lastColumn="0" w:noHBand="0" w:noVBand="0" w:val="0000"/>
      </w:tblPr>
      <w:tblGrid>
        <w:gridCol w:w="7920"/>
      </w:tblGrid>
      <w:tr>
        <w:tc>
          <w:tcPr/>
          <w:bookmarkStart w:id="167" w:name="tbl-taxonomia-ampliada"/>
          <w:p>
            <w:pPr>
              <w:pStyle w:val="ImageCaption"/>
              <w:spacing w:before="200" w:line="360" w:lineRule="auto"/>
              <w:jc w:val="center"/>
            </w:pPr>
            <w:r>
              <w:t xml:space="preserve">Tabla 5.1: Taxonomía ampliada de métricas y constructos de evaluación XAI.</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Métrica / constructo</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Fuente de evidencia</w:t>
                  </w:r>
                </w:p>
              </w:tc>
              <w:tc>
                <w:tcPr/>
                <w:p>
                  <w:pPr>
                    <w:pStyle w:val="Compact"/>
                    <w:jc w:val="both"/>
                    <w:jc w:val="center"/>
                    <w:spacing w:line="360" w:lineRule="auto"/>
                  </w:pPr>
                  <w:r>
                    <w:rPr>
                      <w:bCs/>
                      <w:b/>
                    </w:rPr>
                    <w:t xml:space="preserve">Propiedad</w:t>
                  </w:r>
                </w:p>
              </w:tc>
              <w:tc>
                <w:tcPr/>
                <w:p>
                  <w:pPr>
                    <w:pStyle w:val="Compact"/>
                    <w:jc w:val="both"/>
                    <w:jc w:val="center"/>
                    <w:spacing w:line="360" w:lineRule="auto"/>
                  </w:pPr>
                  <w:r>
                    <w:rPr>
                      <w:bCs/>
                      <w:b/>
                    </w:rPr>
                    <w:t xml:space="preserve">Contexto típico</w:t>
                  </w:r>
                </w:p>
              </w:tc>
              <w:tc>
                <w:tcPr/>
                <w:p>
                  <w:pPr>
                    <w:pStyle w:val="Compact"/>
                    <w:jc w:val="both"/>
                    <w:jc w:val="center"/>
                    <w:spacing w:line="360" w:lineRule="auto"/>
                  </w:pPr>
                  <w:r>
                    <w:rPr>
                      <w:bCs/>
                      <w:b/>
                    </w:rP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7"/>
          <w:p>
            <w:pPr>
              <w:spacing w:line="360" w:lineRule="auto"/>
              <w:jc w:val="both"/>
            </w:pPr>
          </w:p>
        </w:tc>
      </w:tr>
    </w:tbl>
    <w:bookmarkEnd w:id="168"/>
    <w:bookmarkStart w:id="170" w:name="sec-taxonomia-benchmark"/>
    <w:p>
      <w:pPr>
        <w:pStyle w:val="Ttulo2"/>
        <w:spacing w:line="360" w:lineRule="auto"/>
        <w:jc w:val="both"/>
      </w:pPr>
      <w:r>
        <w:t xml:space="preserve">5.5 </w:t>
      </w:r>
      <w:r>
        <w:t xml:space="preserve">Mapeo del benchmark a la taxonomía</w:t>
      </w:r>
    </w:p>
    <w:p>
      <w:pPr>
        <w:pStyle w:val="FirstParagraph"/>
        <w:spacing w:line="360" w:lineRule="auto"/>
        <w:jc w:val="both"/>
      </w:pPr>
      <w:r>
        <w:t xml:space="preserve">Las cinco métricas operacionalizadas en el Estudio Omnibus Multimétrico y el</w:t>
      </w:r>
      <w:r>
        <w:t xml:space="preserve"> </w:t>
      </w:r>
      <w:r>
        <w:t xml:space="preserve">Estudio Pareado LIME–SHAP se localizan en la taxonomía de la siguiente manera:</w:t>
      </w:r>
    </w:p>
    <w:tbl>
      <w:tblPr>
        <w:tblStyle w:val="Table"/>
        <w:tblW w:type="pct" w:w="5000"/>
        <w:jc w:val="center"/>
        <w:tblLayout w:type="fixed"/>
        <w:tblLook w:firstRow="0" w:lastRow="0" w:firstColumn="0" w:lastColumn="0" w:noHBand="0" w:noVBand="0" w:val="0000"/>
      </w:tblPr>
      <w:tblGrid>
        <w:gridCol w:w="7920"/>
      </w:tblGrid>
      <w:tr>
        <w:tc>
          <w:tcPr/>
          <w:bookmarkStart w:id="169" w:name="tbl-taxonomia-benchmark"/>
          <w:p>
            <w:pPr>
              <w:pStyle w:val="ImageCaption"/>
              <w:spacing w:before="200" w:line="360" w:lineRule="auto"/>
              <w:jc w:val="center"/>
            </w:pPr>
            <w:r>
              <w:t xml:space="preserve">Tabla 5.2: Mapeo de las métricas del benchmark a los cuatro ejes de la taxonomía.</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Eje 1: objetivo</w:t>
                  </w:r>
                </w:p>
              </w:tc>
              <w:tc>
                <w:tcPr/>
                <w:p>
                  <w:pPr>
                    <w:pStyle w:val="Compact"/>
                    <w:jc w:val="both"/>
                    <w:jc w:val="center"/>
                    <w:spacing w:line="360" w:lineRule="auto"/>
                  </w:pPr>
                  <w:r>
                    <w:rPr>
                      <w:bCs/>
                      <w:b/>
                    </w:rPr>
                    <w:t xml:space="preserve">Eje 2: fuente de evidencia</w:t>
                  </w:r>
                </w:p>
              </w:tc>
              <w:tc>
                <w:tcPr/>
                <w:p>
                  <w:pPr>
                    <w:pStyle w:val="Compact"/>
                    <w:jc w:val="both"/>
                    <w:jc w:val="center"/>
                    <w:spacing w:line="360" w:lineRule="auto"/>
                  </w:pPr>
                  <w:r>
                    <w:rPr>
                      <w:bCs/>
                      <w:b/>
                    </w:rPr>
                    <w:t xml:space="preserve">Eje 3: propiedad</w:t>
                  </w:r>
                </w:p>
              </w:tc>
              <w:tc>
                <w:tcPr/>
                <w:p>
                  <w:pPr>
                    <w:pStyle w:val="Compact"/>
                    <w:jc w:val="both"/>
                    <w:jc w:val="center"/>
                    <w:spacing w:line="360" w:lineRule="auto"/>
                  </w:pPr>
                  <w:r>
                    <w:rPr>
                      <w:bCs/>
                      <w:b/>
                    </w:rP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9"/>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70"/>
    <w:bookmarkStart w:id="171" w:name="sec-taxonomia-brechas"/>
    <w:p>
      <w:pPr>
        <w:pStyle w:val="Ttulo2"/>
        <w:spacing w:line="360" w:lineRule="auto"/>
        <w:jc w:val="both"/>
      </w:pPr>
      <w:r>
        <w:t xml:space="preserve">5.6 </w:t>
      </w: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5.1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5.2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dos estudios empíricos.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w:t>
      </w:r>
      <w:hyperlink w:anchor="sec-exp4-fiabilidad">
        <w:r>
          <w:rPr>
            <w:rStyle w:val="Hipervnculo"/>
          </w:rPr>
          <w:t xml:space="preserve">5.8</w:t>
        </w:r>
      </w:hyperlink>
      <w:r>
        <w:t xml:space="preserve">.</w:t>
      </w:r>
    </w:p>
    <w:bookmarkEnd w:id="171"/>
    <w:bookmarkStart w:id="172" w:name="sec-taxonomia-contribucion"/>
    <w:p>
      <w:pPr>
        <w:pStyle w:val="Ttulo2"/>
        <w:spacing w:line="360" w:lineRule="auto"/>
        <w:jc w:val="both"/>
      </w:pPr>
      <w:r>
        <w:t xml:space="preserve">5.7 </w:t>
      </w: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y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72"/>
    <w:bookmarkStart w:id="174" w:name="sec-exp4-fiabilidad"/>
    <w:p>
      <w:pPr>
        <w:pStyle w:val="Ttulo2"/>
        <w:spacing w:line="360" w:lineRule="auto"/>
        <w:jc w:val="both"/>
      </w:pPr>
      <w:r>
        <w:t xml:space="preserve">5.8 </w:t>
      </w:r>
      <w:r>
        <w:t xml:space="preserve">Estudio de Fiabilidad Inter-juez (EXP4)</w:t>
      </w:r>
    </w:p>
    <w:p>
      <w:pPr>
        <w:pStyle w:val="FirstParagraph"/>
        <w:spacing w:line="360" w:lineRule="auto"/>
        <w:jc w:val="both"/>
      </w:pPr>
      <w:r>
        <w:t xml:space="preserve">La Brecha 3 (§</w:t>
      </w:r>
      <w:hyperlink w:anchor="sec-taxonomia-brechas">
        <w:r>
          <w:rPr>
            <w:rStyle w:val="Hipervnculo"/>
          </w:rPr>
          <w:t xml:space="preserve">5.6</w:t>
        </w:r>
      </w:hyperlink>
      <w:r>
        <w:t xml:space="preserve">) identifica que la evaluación semántica</w:t>
      </w:r>
      <w:r>
        <w:t xml:space="preserve"> </w:t>
      </w:r>
      <w:r>
        <w:t xml:space="preserve">crece más rápido que su base de validación empírica. EXP4 (diseñado en</w:t>
      </w:r>
      <w:r>
        <w:t xml:space="preserve"> </w:t>
      </w:r>
      <w:r>
        <w:t xml:space="preserve">§</w:t>
      </w:r>
      <w:hyperlink w:anchor="sec-exp4-diseno">
        <w:r>
          <w:rPr>
            <w:rStyle w:val="Hipervnculo"/>
          </w:rPr>
          <w:t xml:space="preserve">3.11.2</w:t>
        </w:r>
      </w:hyperlink>
      <w:r>
        <w:t xml:space="preserve">,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5.3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y Li 2016)</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173" w:name="tbl-exp4-icc"/>
          <w:p>
            <w:pPr>
              <w:pStyle w:val="ImageCaption"/>
              <w:spacing w:before="200" w:line="360" w:lineRule="auto"/>
              <w:jc w:val="center"/>
            </w:pPr>
            <w:r>
              <w:t xml:space="preserve">Tabla 5.3: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y Li 2016)</w:t>
            </w:r>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Dimensión</w:t>
                  </w:r>
                </w:p>
              </w:tc>
              <w:tc>
                <w:tcPr/>
                <w:p>
                  <w:pPr>
                    <w:pStyle w:val="Compact"/>
                    <w:jc w:val="both"/>
                    <w:jc w:val="center"/>
                    <w:spacing w:line="360" w:lineRule="auto"/>
                  </w:pPr>
                  <w:r>
                    <w:rPr>
                      <w:bCs/>
                      <w:b/>
                    </w:rPr>
                    <w:t xml:space="preserve">ICC(1,1)</w:t>
                  </w:r>
                </w:p>
              </w:tc>
              <w:tc>
                <w:tcPr/>
                <w:p>
                  <w:pPr>
                    <w:pStyle w:val="Compact"/>
                    <w:jc w:val="both"/>
                    <w:jc w:val="center"/>
                    <w:spacing w:line="360" w:lineRule="auto"/>
                  </w:pPr>
                  <w:r>
                    <w:rPr>
                      <w:bCs/>
                      <w:b/>
                    </w:rPr>
                    <w:t xml:space="preserve">Krippendorff</w:t>
                  </w:r>
                  <w:r>
                    <w:rPr>
                      <w:bCs/>
                      <w:b/>
                    </w:rP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3"/>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y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4"/>
    <w:bookmarkEnd w:id="175"/>
    <w:bookmarkStart w:id="191" w:name="conclusiones"/>
    <w:p>
      <w:pPr>
        <w:pStyle w:val="Ttulo1"/>
        <w:spacing w:line="360" w:lineRule="auto"/>
        <w:jc w:val="both"/>
      </w:pPr>
      <w:r>
        <w:t xml:space="preserve">Capítulo 6. </w:t>
      </w: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8" w:name="sec-respuesta"/>
    <w:p>
      <w:pPr>
        <w:pStyle w:val="Ttulo2"/>
        <w:spacing w:line="360" w:lineRule="auto"/>
        <w:jc w:val="both"/>
      </w:pPr>
      <w:r>
        <w:t xml:space="preserve">6.1 </w:t>
      </w: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jc w:val="center"/>
        <w:tblLayout w:type="fixed"/>
        <w:tblLook w:firstRow="0" w:lastRow="0" w:firstColumn="0" w:lastColumn="0" w:noHBand="0" w:noVBand="0" w:val="0000"/>
      </w:tblPr>
      <w:tblGrid>
        <w:gridCol w:w="7920"/>
      </w:tblGrid>
      <w:tr>
        <w:tc>
          <w:tcPr/>
          <w:bookmarkStart w:id="176" w:name="tbl-hipotesis"/>
          <w:p>
            <w:pPr>
              <w:pStyle w:val="ImageCaption"/>
              <w:spacing w:before="200" w:line="360" w:lineRule="auto"/>
              <w:jc w:val="center"/>
            </w:pPr>
            <w:r>
              <w:t xml:space="preserve">Tabla 6.1: Síntesis de hipótesis y proposiciones de trabajo.</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rPr>
                      <w:bCs/>
                      <w:b/>
                    </w:rPr>
                    <w:t xml:space="preserve">Hipótesis / Proposición</w:t>
                  </w:r>
                </w:p>
              </w:tc>
              <w:tc>
                <w:tcPr/>
                <w:p>
                  <w:pPr>
                    <w:pStyle w:val="Compact"/>
                    <w:jc w:val="both"/>
                    <w:spacing w:line="360" w:lineRule="auto"/>
                  </w:pPr>
                  <w:r>
                    <w:rPr>
                      <w:bCs/>
                      <w:b/>
                    </w:rPr>
                    <w:t xml:space="preserve">Resultado</w:t>
                  </w:r>
                </w:p>
              </w:tc>
              <w:tc>
                <w:tcPr/>
                <w:p>
                  <w:pPr>
                    <w:pStyle w:val="Compact"/>
                    <w:jc w:val="both"/>
                    <w:spacing w:line="360" w:lineRule="auto"/>
                  </w:pPr>
                  <w:r>
                    <w:rPr>
                      <w:bCs/>
                      <w:b/>
                    </w:rP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6"/>
          <w:p>
            <w:pPr>
              <w:spacing w:line="360" w:lineRule="auto"/>
              <w:jc w:val="both"/>
            </w:pPr>
          </w:p>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77" w:name="tbl-objetivos"/>
          <w:p>
            <w:pPr>
              <w:pStyle w:val="ImageCaption"/>
              <w:spacing w:before="200" w:line="360" w:lineRule="auto"/>
              <w:jc w:val="center"/>
            </w:pPr>
            <w:r>
              <w:t xml:space="preserve">Tabla 6.2: Cierre de objetivos específicos.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rPr>
                      <w:bCs/>
                      <w:b/>
                    </w:rPr>
                    <w:t xml:space="preserve">Objetivo específico</w:t>
                  </w:r>
                </w:p>
              </w:tc>
              <w:tc>
                <w:tcPr/>
                <w:p>
                  <w:pPr>
                    <w:pStyle w:val="Compact"/>
                    <w:jc w:val="both"/>
                    <w:spacing w:line="360" w:lineRule="auto"/>
                  </w:pPr>
                  <w:r>
                    <w:rPr>
                      <w:bCs/>
                      <w:b/>
                    </w:rP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 y explicitar brechas de constructo</w:t>
                  </w:r>
                </w:p>
              </w:tc>
              <w:tc>
                <w:tcPr/>
                <w:p>
                  <w:pPr>
                    <w:pStyle w:val="Compact"/>
                    <w:jc w:val="both"/>
                    <w:spacing w:line="360" w:lineRule="auto"/>
                  </w:pPr>
                  <w:r>
                    <w:t xml:space="preserve">Completado. Taxonomía de cuatro ejes en el Capítulo 5; tres brechas enunciadas en §</w:t>
                  </w:r>
                  <w:hyperlink w:anchor="sec-taxonomia-brechas">
                    <w:r>
                      <w:rPr>
                        <w:rStyle w:val="Hipervnculo"/>
                      </w:rPr>
                      <w:t xml:space="preserve">5.6</w:t>
                    </w:r>
                  </w:hyperlink>
                  <w:r>
                    <w:t xml:space="preserve">, de las que la Brecha 3 origina OE6.</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w:t>
                  </w:r>
                  <w:hyperlink w:anchor="sec-exp4-fiabilidad">
                    <w:r>
                      <w:rPr>
                        <w:rStyle w:val="Hipervnculo"/>
                      </w:rPr>
                      <w:t xml:space="preserve">5.8</w:t>
                    </w:r>
                  </w:hyperlink>
                  <w:r>
                    <w:t xml:space="preserve">.</w:t>
                  </w:r>
                </w:p>
              </w:tc>
            </w:tr>
          </w:tbl>
          <w:bookmarkEnd w:id="177"/>
          <w:p>
            <w:pPr>
              <w:spacing w:line="360" w:lineRule="auto"/>
              <w:jc w:val="both"/>
            </w:pPr>
          </w:p>
        </w:tc>
      </w:tr>
    </w:tbl>
    <w:bookmarkEnd w:id="178"/>
    <w:bookmarkStart w:id="182" w:name="sec-contribuciones"/>
    <w:p>
      <w:pPr>
        <w:pStyle w:val="Ttulo2"/>
        <w:spacing w:line="360" w:lineRule="auto"/>
        <w:jc w:val="both"/>
      </w:pPr>
      <w:r>
        <w:t xml:space="preserve">6.2 </w:t>
      </w:r>
      <w:r>
        <w:t xml:space="preserve">Contribuciones científicas</w:t>
      </w:r>
    </w:p>
    <w:bookmarkStart w:id="179" w:name="X2e7af289f3df14f7e31f2445fc83a79cfc8b431"/>
    <w:p>
      <w:pPr>
        <w:pStyle w:val="Ttulo3"/>
        <w:spacing w:line="360" w:lineRule="auto"/>
        <w:jc w:val="both"/>
      </w:pPr>
      <w:r>
        <w:t xml:space="preserve">6.2.1 </w:t>
      </w: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9"/>
    <w:bookmarkStart w:id="180" w:name="X93d1d918ce055ba24ba9e9f0b305f424c9a5ca8"/>
    <w:p>
      <w:pPr>
        <w:pStyle w:val="Ttulo3"/>
        <w:spacing w:line="360" w:lineRule="auto"/>
        <w:jc w:val="both"/>
      </w:pPr>
      <w:r>
        <w:t xml:space="preserve">6.2.2 </w:t>
      </w: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ns1:t>
        </ns1:r>
        <ns1:r>
          <ns1:t>3.00</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y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w:t>
      </w:r>
      <w:hyperlink w:anchor="sec-limitaciones">
        <w:r>
          <w:rPr>
            <w:rStyle w:val="Hipervnculo"/>
          </w:rPr>
          <w:t xml:space="preserve">6.4</w:t>
        </w:r>
      </w:hyperlink>
      <w:r>
        <w:t xml:space="preserve"> </w:t>
      </w:r>
      <w:r>
        <w:t xml:space="preserve">y §</w:t>
      </w:r>
      <w:hyperlink w:anchor="sec-exp3-nota">
        <w:r>
          <w:rPr>
            <w:rStyle w:val="Hipervnculo"/>
          </w:rPr>
          <w:t xml:space="preserve">6.5.1</w:t>
        </w:r>
      </w:hyperlink>
      <w:r>
        <w:t xml:space="preserve">,</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y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80"/>
    <w:bookmarkStart w:id="181" w:name="X6583905c1b1630bf3acfdae91528ca52ef61481"/>
    <w:p>
      <w:pPr>
        <w:pStyle w:val="Ttulo3"/>
        <w:spacing w:line="360" w:lineRule="auto"/>
        <w:jc w:val="both"/>
      </w:pPr>
      <w:r>
        <w:t xml:space="preserve">6.2.3 </w:t>
      </w: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Tabla 6.4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81"/>
    <w:bookmarkEnd w:id="182"/>
    <w:bookmarkStart w:id="184" w:name="sec-posicionamiento"/>
    <w:p>
      <w:pPr>
        <w:pStyle w:val="Ttulo2"/>
        <w:spacing w:line="360" w:lineRule="auto"/>
        <w:jc w:val="both"/>
      </w:pPr>
      <w:r>
        <w:t xml:space="preserve">6.3 </w:t>
      </w: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6.3</w:t>
        </w:r>
      </w:hyperlink>
      <w:r>
        <w:t xml:space="preserve"> </w:t>
      </w:r>
      <w:r>
        <w:t xml:space="preserve">realiza esta separación de forma explícita.</w:t>
      </w:r>
    </w:p>
    <w:tbl>
      <w:tblPr>
        <w:tblStyle w:val="Table"/>
        <w:tblW w:type="pct" w:w="5000"/>
        <w:jc w:val="center"/>
        <w:tblLayout w:type="fixed"/>
        <w:tblLook w:firstRow="0" w:lastRow="0" w:firstColumn="0" w:lastColumn="0" w:noHBand="0" w:noVBand="0" w:val="0000"/>
      </w:tblPr>
      <w:tblGrid>
        <w:gridCol w:w="7920"/>
      </w:tblGrid>
      <w:tr>
        <w:tc>
          <w:tcPr/>
          <w:bookmarkStart w:id="183" w:name="tbl-contribucion-separacion"/>
          <w:p>
            <w:pPr>
              <w:pStyle w:val="ImageCaption"/>
              <w:spacing w:before="200" w:line="360" w:lineRule="auto"/>
              <w:jc w:val="center"/>
            </w:pPr>
            <w:r>
              <w:t xml:space="preserve">Tabla 6.3: Separación de contribuciones respecto a los trabajos más cercanos.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Contribución</w:t>
                  </w:r>
                </w:p>
              </w:tc>
              <w:tc>
                <w:tcPr/>
                <w:p>
                  <w:pPr>
                    <w:pStyle w:val="Compact"/>
                    <w:jc w:val="both"/>
                    <w:jc w:val="center"/>
                    <w:spacing w:line="360" w:lineRule="auto"/>
                  </w:pPr>
                  <w:r>
                    <w:rPr>
                      <w:bCs/>
                      <w:b/>
                    </w:rPr>
                    <w:t xml:space="preserve">Trabajos más cercanos</w:t>
                  </w:r>
                </w:p>
              </w:tc>
              <w:tc>
                <w:tcPr/>
                <w:p>
                  <w:pPr>
                    <w:pStyle w:val="Compact"/>
                    <w:jc w:val="both"/>
                    <w:jc w:val="center"/>
                    <w:spacing w:line="360" w:lineRule="auto"/>
                  </w:pPr>
                  <w:r>
                    <w:rPr>
                      <w:bCs/>
                      <w:b/>
                    </w:rPr>
                    <w:t xml:space="preserve">En qué se solapa</w:t>
                  </w:r>
                </w:p>
              </w:tc>
              <w:tc>
                <w:tcPr/>
                <w:p>
                  <w:pPr>
                    <w:pStyle w:val="Compact"/>
                    <w:jc w:val="both"/>
                    <w:jc w:val="center"/>
                    <w:spacing w:line="360" w:lineRule="auto"/>
                  </w:pPr>
                  <w:r>
                    <w:rPr>
                      <w:bCs/>
                      <w:b/>
                    </w:rP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3"/>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4"/>
    <w:bookmarkStart w:id="185" w:name="sec-limitaciones"/>
    <w:p>
      <w:pPr>
        <w:pStyle w:val="Ttulo2"/>
        <w:spacing w:line="360" w:lineRule="auto"/>
        <w:jc w:val="both"/>
      </w:pPr>
      <w:r>
        <w:t xml:space="preserve">6.4 </w:t>
      </w: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y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Tabla 6.11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w:t>
      </w:r>
      <w:hyperlink w:anchor="sec-exp3-nota">
        <w:r>
          <w:rPr>
            <w:rStyle w:val="Hipervnculo"/>
          </w:rPr>
          <w:t xml:space="preserve">6.5.1</w:t>
        </w:r>
      </w:hyperlink>
      <w:r>
        <w:t xml:space="preserve">)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0.196</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5"/>
    <w:bookmarkStart w:id="188" w:name="sec-fronteras"/>
    <w:p>
      <w:pPr>
        <w:pStyle w:val="Ttulo2"/>
        <w:spacing w:line="360" w:lineRule="auto"/>
        <w:jc w:val="both"/>
      </w:pPr>
      <w:r>
        <w:t xml:space="preserve">6.5 </w:t>
      </w: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6.4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jc w:val="center"/>
        <w:tblLayout w:type="fixed"/>
        <w:tblLook w:firstRow="0" w:lastRow="0" w:firstColumn="0" w:lastColumn="0" w:noHBand="0" w:noVBand="0" w:val="0000"/>
      </w:tblPr>
      <w:tblGrid>
        <w:gridCol w:w="7920"/>
      </w:tblGrid>
      <w:tr>
        <w:tc>
          <w:tcPr/>
          <w:bookmarkStart w:id="186" w:name="tbl-fronteras-generalizacion"/>
          <w:p>
            <w:pPr>
              <w:pStyle w:val="ImageCaption"/>
              <w:spacing w:before="200" w:line="360" w:lineRule="auto"/>
              <w:jc w:val="center"/>
            </w:pPr>
            <w:r>
              <w:t xml:space="preserve">Tabla 6.4: Fronteras de generalización de los hallazgos principales.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Afirmación</w:t>
                  </w:r>
                </w:p>
              </w:tc>
              <w:tc>
                <w:tcPr/>
                <w:p>
                  <w:pPr>
                    <w:pStyle w:val="Compact"/>
                    <w:jc w:val="both"/>
                    <w:jc w:val="center"/>
                    <w:spacing w:line="360" w:lineRule="auto"/>
                  </w:pPr>
                  <w:r>
                    <w:rPr>
                      <w:bCs/>
                      <w:b/>
                    </w:rPr>
                    <w:t xml:space="preserve">Soportada para</w:t>
                  </w:r>
                </w:p>
              </w:tc>
              <w:tc>
                <w:tcPr/>
                <w:p>
                  <w:pPr>
                    <w:pStyle w:val="Compact"/>
                    <w:jc w:val="both"/>
                    <w:jc w:val="center"/>
                    <w:spacing w:line="360" w:lineRule="auto"/>
                  </w:pPr>
                  <w:r>
                    <w:rPr>
                      <w:bCs/>
                      <w:b/>
                    </w:rPr>
                    <w:t xml:space="preserve">No soportada para</w:t>
                  </w:r>
                </w:p>
              </w:tc>
              <w:tc>
                <w:tcPr/>
                <w:p>
                  <w:pPr>
                    <w:pStyle w:val="Compact"/>
                    <w:jc w:val="both"/>
                    <w:jc w:val="center"/>
                    <w:spacing w:line="360" w:lineRule="auto"/>
                  </w:pPr>
                  <w:r>
                    <w:rPr>
                      <w:bCs/>
                      <w:b/>
                    </w:rP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w:t>
                  </w:r>
                  <w:hyperlink w:anchor="sec-exp3-nota">
                    <w:r>
                      <w:rPr>
                        <w:rStyle w:val="Hipervnculo"/>
                      </w:rPr>
                      <w:t xml:space="preserve">6.5.1</w:t>
                    </w:r>
                  </w:hyperlink>
                  <w:r>
                    <w:t xml:space="preserve">).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w:t>
                  </w:r>
                  <w:hyperlink w:anchor="sec-exp3-nota">
                    <w:r>
                      <w:rPr>
                        <w:rStyle w:val="Hipervnculo"/>
                      </w:rPr>
                      <w:t xml:space="preserve">6.5.1</w:t>
                    </w:r>
                  </w:hyperlink>
                  <w:r>
                    <w:t xml:space="preserve"> </w:t>
                  </w:r>
                  <w:r>
                    <w:t xml:space="preserve">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6"/>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7" w:name="sec-exp3-nota"/>
    <w:p>
      <w:pPr>
        <w:pStyle w:val="Ttulo3"/>
        <w:spacing w:line="360" w:lineRule="auto"/>
        <w:jc w:val="both"/>
      </w:pPr>
      <w:r>
        <w:t xml:space="preserve">6.5.1 </w:t>
      </w: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y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y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ambas cifras para RF).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7"/>
    <w:bookmarkEnd w:id="188"/>
    <w:bookmarkStart w:id="189" w:name="sec-futuro"/>
    <w:p>
      <w:pPr>
        <w:pStyle w:val="Ttulo2"/>
        <w:spacing w:line="360" w:lineRule="auto"/>
        <w:jc w:val="both"/>
      </w:pPr>
      <w:r>
        <w:t xml:space="preserve">6.6 </w:t>
      </w: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w:t>
      </w:r>
      <w:hyperlink w:anchor="sec-exp4-fiabilidad">
        <w:r>
          <w:rPr>
            <w:rStyle w:val="Hipervnculo"/>
          </w:rPr>
          <w:t xml:space="preserve">5.8</w:t>
        </w:r>
      </w:hyperlink>
      <w:r>
        <w:t xml:space="preserve">)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w:t>
      </w:r>
      <w:hyperlink w:anchor="sec-exp4-fiabilidad">
        <w:r>
          <w:rPr>
            <w:rStyle w:val="Hipervnculo"/>
          </w:rPr>
          <w:t xml:space="preserve">5.8</w:t>
        </w:r>
      </w:hyperlink>
      <w:r>
        <w:t xml:space="preserve"> </w:t>
      </w:r>
      <w:r>
        <w:t xml:space="preserve">(especificación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9"/>
    <w:bookmarkStart w:id="190" w:name="sec-sintesis"/>
    <w:p>
      <w:pPr>
        <w:pStyle w:val="Ttulo2"/>
        <w:spacing w:line="360" w:lineRule="auto"/>
        <w:jc w:val="both"/>
      </w:pPr>
      <w:r>
        <w:t xml:space="preserve">6.7 </w:t>
      </w: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y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w:t>
      </w:r>
      <w:hyperlink w:anchor="sec-limitaciones">
        <w:r>
          <w:rPr>
            <w:rStyle w:val="Hipervnculo"/>
          </w:rPr>
          <w:t xml:space="preserve">6.4</w:t>
        </w:r>
      </w:hyperlink>
      <w:r>
        <w:t xml:space="preserve">).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6.6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90"/>
    <w:bookmarkEnd w:id="191"/>
    <w:bookmarkStart w:id="454" w:name="referencias"/>
    <w:p>
      <w:pPr>
        <w:pStyle w:val="Ttulo1"/>
        <w:spacing w:line="360" w:lineRule="auto"/>
        <w:jc w:val="both"/>
      </w:pPr>
      <w:r>
        <w:t xml:space="preserve">Referencias</w:t>
      </w:r>
    </w:p>
    <w:bookmarkStart w:id="453" w:name="refs"/>
    <w:bookmarkStart w:id="193" w:name="ref-abdul2018"/>
    <w:p>
      <w:pPr>
        <w:pStyle w:val="Bibliography"/>
        <w:spacing w:line="360" w:lineRule="auto"/>
        <w:jc w:val="both"/>
      </w:pPr>
      <w:r>
        <w:t xml:space="preserve">Abdul, Ashraf, Jo Vermeulen, Danding Wang, Brian Y. Lim, y Mohan Kankanhalli. 2018.</w:t>
      </w:r>
      <w:r>
        <w:t xml:space="preserve"> </w:t>
      </w:r>
      <w:r>
        <w:t xml:space="preserve">«Trends and Trajectories for Explainable, Accountable and Intelligible Systems: An HCI Research Agenda»</w:t>
      </w:r>
      <w:r>
        <w:t xml:space="preserve">.</w:t>
      </w:r>
      <w:r>
        <w:t xml:space="preserve"> </w:t>
      </w:r>
      <w:r>
        <w:rPr>
          <w:i/>
          <w:iCs/>
        </w:rPr>
        <w:t xml:space="preserve">Proceedings of the 2018 CHI Conference on Human Factors in Computing Systems</w:t>
      </w:r>
      <w:r>
        <w:t xml:space="preserve">, 1-18.</w:t>
      </w:r>
      <w:r>
        <w:t xml:space="preserve"> </w:t>
      </w:r>
      <w:hyperlink ns5:id="rId192">
        <w:r>
          <w:rPr>
            <w:rStyle w:val="Hipervnculo"/>
          </w:rPr>
          <w:t xml:space="preserve">https://doi.org/10.1145/3173574.3174156</w:t>
        </w:r>
      </w:hyperlink>
      <w:r>
        <w:t xml:space="preserve">.</w:t>
      </w:r>
    </w:p>
    <w:bookmarkEnd w:id="193"/>
    <w:bookmarkStart w:id="195" w:name="ref-abdulkadir2023"/>
    <w:p>
      <w:pPr>
        <w:pStyle w:val="Bibliography"/>
        <w:spacing w:line="360" w:lineRule="auto"/>
        <w:jc w:val="both"/>
      </w:pPr>
      <w:r>
        <w:t xml:space="preserve">Abdul Kadir, M., A. Mosavi, y D. Sonntag. 2023.</w:t>
      </w:r>
      <w:r>
        <w:t xml:space="preserve"> </w:t>
      </w:r>
      <w:r>
        <w:t xml:space="preserve">«Evaluation Metrics for XAI: A Review, Taxonomy, and Practical Applications»</w:t>
      </w:r>
      <w:r>
        <w:t xml:space="preserve">.</w:t>
      </w:r>
      <w:r>
        <w:t xml:space="preserve"> </w:t>
      </w:r>
      <w:r>
        <w:rPr>
          <w:i/>
          <w:iCs/>
        </w:rPr>
        <w:t xml:space="preserve">INES 2023 Proceedings</w:t>
      </w:r>
      <w:r>
        <w:t xml:space="preserve">, advance online publication.</w:t>
      </w:r>
      <w:r>
        <w:t xml:space="preserve"> </w:t>
      </w:r>
      <w:hyperlink ns5:id="rId194">
        <w:r>
          <w:rPr>
            <w:rStyle w:val="Hipervnculo"/>
          </w:rPr>
          <w:t xml:space="preserve">https://doi.org/10.1109/INES59045.2023.1030000</w:t>
        </w:r>
      </w:hyperlink>
      <w:r>
        <w:t xml:space="preserve">.</w:t>
      </w:r>
    </w:p>
    <w:bookmarkEnd w:id="195"/>
    <w:bookmarkStart w:id="197" w:name="ref-abusitta2024"/>
    <w:p>
      <w:pPr>
        <w:pStyle w:val="Bibliography"/>
        <w:spacing w:line="360" w:lineRule="auto"/>
        <w:jc w:val="both"/>
      </w:pPr>
      <w:r>
        <w:t xml:space="preserve">Abusitta, Adel, Miles Q. Li, y Benjamin C. M. Fung. 2024.</w:t>
      </w:r>
      <w:r>
        <w:t xml:space="preserve"> </w:t>
      </w:r>
      <w:r>
        <w:rPr>
          <w:i/>
          <w:iCs/>
        </w:rPr>
        <w:t xml:space="preserve">Survey on Explainable Ai: Techniques, Challenges and Open Issues</w:t>
      </w:r>
      <w:r>
        <w:t xml:space="preserve">. Elsevier BV.</w:t>
      </w:r>
      <w:r>
        <w:t xml:space="preserve"> </w:t>
      </w:r>
      <w:hyperlink ns5:id="rId196">
        <w:r>
          <w:rPr>
            <w:rStyle w:val="Hipervnculo"/>
          </w:rPr>
          <w:t xml:space="preserve">https://doi.org/10.2139/ssrn.4710037</w:t>
        </w:r>
      </w:hyperlink>
      <w:r>
        <w:t xml:space="preserve">.</w:t>
      </w:r>
    </w:p>
    <w:bookmarkEnd w:id="197"/>
    <w:bookmarkStart w:id="199"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w:t>
      </w:r>
      <w:r>
        <w:t xml:space="preserve"> </w:t>
      </w:r>
      <w:r>
        <w:rPr>
          <w:i/>
          <w:iCs/>
        </w:rPr>
        <w:t xml:space="preserve">IEEE Access</w:t>
      </w:r>
      <w:r>
        <w:t xml:space="preserve"> </w:t>
      </w:r>
      <w:r>
        <w:t xml:space="preserve">6: 52138-60.</w:t>
      </w:r>
      <w:r>
        <w:t xml:space="preserve"> </w:t>
      </w:r>
      <w:hyperlink ns5:id="rId198">
        <w:r>
          <w:rPr>
            <w:rStyle w:val="Hipervnculo"/>
          </w:rPr>
          <w:t xml:space="preserve">https://doi.org/10.1109/access.2018.2870052</w:t>
        </w:r>
      </w:hyperlink>
      <w:r>
        <w:t xml:space="preserve">.</w:t>
      </w:r>
    </w:p>
    <w:bookmarkEnd w:id="199"/>
    <w:bookmarkStart w:id="201"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w:t>
      </w:r>
      <w:r>
        <w:t xml:space="preserve"> </w:t>
      </w:r>
      <w:r>
        <w:rPr>
          <w:i/>
          <w:iCs/>
        </w:rPr>
        <w:t xml:space="preserve">ACM Computing Surveys</w:t>
      </w:r>
      <w:r>
        <w:t xml:space="preserve"> </w:t>
      </w:r>
      <w:r>
        <w:t xml:space="preserve">55 (7): 1-38.</w:t>
      </w:r>
      <w:r>
        <w:t xml:space="preserve"> </w:t>
      </w:r>
      <w:hyperlink ns5:id="rId200">
        <w:r>
          <w:rPr>
            <w:rStyle w:val="Hipervnculo"/>
          </w:rPr>
          <w:t xml:space="preserve">https://doi.org/10.1145/3533381</w:t>
        </w:r>
      </w:hyperlink>
      <w:r>
        <w:t xml:space="preserve">.</w:t>
      </w:r>
    </w:p>
    <w:bookmarkEnd w:id="201"/>
    <w:bookmarkStart w:id="203" w:name="ref-agarwal2023"/>
    <w:p>
      <w:pPr>
        <w:pStyle w:val="Bibliography"/>
        <w:spacing w:line="360" w:lineRule="auto"/>
        <w:jc w:val="both"/>
      </w:pPr>
      <w:r>
        <w:t xml:space="preserve">Agarwal, Chirag, Owen Queen, Himabindu Lakkaraju, y Marinka Zitnik. 2023.</w:t>
      </w:r>
      <w:r>
        <w:t xml:space="preserve"> </w:t>
      </w:r>
      <w:r>
        <w:t xml:space="preserve">«Evaluating explainability for graph neural networks»</w:t>
      </w:r>
      <w:r>
        <w:t xml:space="preserve">.</w:t>
      </w:r>
      <w:r>
        <w:t xml:space="preserve"> </w:t>
      </w:r>
      <w:r>
        <w:rPr>
          <w:i/>
          <w:iCs/>
        </w:rPr>
        <w:t xml:space="preserve">Scientific Data</w:t>
      </w:r>
      <w:r>
        <w:t xml:space="preserve"> </w:t>
      </w:r>
      <w:r>
        <w:t xml:space="preserve">10 (1).</w:t>
      </w:r>
      <w:r>
        <w:t xml:space="preserve"> </w:t>
      </w:r>
      <w:hyperlink ns5:id="rId202">
        <w:r>
          <w:rPr>
            <w:rStyle w:val="Hipervnculo"/>
          </w:rPr>
          <w:t xml:space="preserve">https://doi.org/10.1038/s41597-023-01974-x</w:t>
        </w:r>
      </w:hyperlink>
      <w:r>
        <w:t xml:space="preserve">.</w:t>
      </w:r>
    </w:p>
    <w:bookmarkEnd w:id="203"/>
    <w:bookmarkStart w:id="204"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w:t>
      </w:r>
      <w:r>
        <w:t xml:space="preserve"> </w:t>
      </w:r>
      <w:r>
        <w:rPr>
          <w:i/>
          <w:iCs/>
        </w:rPr>
        <w:t xml:space="preserve">Advances in Neural Information Processing Systems (NeurIPS)</w:t>
      </w:r>
      <w:r>
        <w:t xml:space="preserve">.</w:t>
      </w:r>
    </w:p>
    <w:bookmarkEnd w:id="204"/>
    <w:bookmarkStart w:id="206"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w:t>
      </w:r>
      <w:r>
        <w:t xml:space="preserve"> </w:t>
      </w:r>
      <w:r>
        <w:rPr>
          <w:i/>
          <w:iCs/>
        </w:rPr>
        <w:t xml:space="preserve">Information Fusion</w:t>
      </w:r>
      <w:r>
        <w:t xml:space="preserve"> </w:t>
      </w:r>
      <w:r>
        <w:t xml:space="preserve">99: 101805.</w:t>
      </w:r>
      <w:r>
        <w:t xml:space="preserve"> </w:t>
      </w:r>
      <w:hyperlink ns5:id="rId205">
        <w:r>
          <w:rPr>
            <w:rStyle w:val="Hipervnculo"/>
          </w:rPr>
          <w:t xml:space="preserve">https://doi.org/10.1016/j.inffus.2023.101805</w:t>
        </w:r>
      </w:hyperlink>
      <w:r>
        <w:t xml:space="preserve">.</w:t>
      </w:r>
    </w:p>
    <w:bookmarkEnd w:id="206"/>
    <w:bookmarkStart w:id="208" w:name="ref-alkhateeb2025"/>
    <w:p>
      <w:pPr>
        <w:pStyle w:val="Bibliography"/>
        <w:spacing w:line="360" w:lineRule="auto"/>
        <w:jc w:val="both"/>
      </w:pPr>
      <w:r>
        <w:t xml:space="preserve">Alkhateeb, Banan Mohammad, y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07">
        <w:r>
          <w:rPr>
            <w:rStyle w:val="Hipervnculo"/>
          </w:rPr>
          <w:t xml:space="preserve">https://doi.org/10.1007/978-3-032-06744-9_14</w:t>
        </w:r>
      </w:hyperlink>
      <w:r>
        <w:t xml:space="preserve">.</w:t>
      </w:r>
    </w:p>
    <w:bookmarkEnd w:id="208"/>
    <w:bookmarkStart w:id="210"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w:t>
      </w:r>
      <w:r>
        <w:t xml:space="preserve"> </w:t>
      </w:r>
      <w:r>
        <w:rPr>
          <w:i/>
          <w:iCs/>
        </w:rPr>
        <w:t xml:space="preserve">Annual Review of Statistics and Its Application</w:t>
      </w:r>
      <w:r>
        <w:t xml:space="preserve"> </w:t>
      </w:r>
      <w:r>
        <w:t xml:space="preserve">11 (1): 97-121.</w:t>
      </w:r>
      <w:r>
        <w:t xml:space="preserve"> </w:t>
      </w:r>
      <w:hyperlink ns5:id="rId209">
        <w:r>
          <w:rPr>
            <w:rStyle w:val="Hipervnculo"/>
          </w:rPr>
          <w:t xml:space="preserve">https://doi.org/10.1146/annurev-statistics-040120-030919</w:t>
        </w:r>
      </w:hyperlink>
      <w:r>
        <w:t xml:space="preserve">.</w:t>
      </w:r>
    </w:p>
    <w:bookmarkEnd w:id="210"/>
    <w:bookmarkStart w:id="212"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w:t>
      </w:r>
      <w:r>
        <w:t xml:space="preserve"> </w:t>
      </w:r>
      <w:r>
        <w:rPr>
          <w:i/>
          <w:iCs/>
        </w:rPr>
        <w:t xml:space="preserve">Technologies</w:t>
      </w:r>
      <w:r>
        <w:t xml:space="preserve"> </w:t>
      </w:r>
      <w:r>
        <w:t xml:space="preserve">13 (3): 93.</w:t>
      </w:r>
      <w:r>
        <w:t xml:space="preserve"> </w:t>
      </w:r>
      <w:hyperlink ns5:id="rId211">
        <w:r>
          <w:rPr>
            <w:rStyle w:val="Hipervnculo"/>
          </w:rPr>
          <w:t xml:space="preserve">https://doi.org/10.3390/technologies13030093</w:t>
        </w:r>
      </w:hyperlink>
      <w:r>
        <w:t xml:space="preserve">.</w:t>
      </w:r>
    </w:p>
    <w:bookmarkEnd w:id="212"/>
    <w:bookmarkStart w:id="214" w:name="ref-alvarezmelis2018"/>
    <w:p>
      <w:pPr>
        <w:pStyle w:val="Bibliography"/>
        <w:spacing w:line="360" w:lineRule="auto"/>
        <w:jc w:val="both"/>
      </w:pPr>
      <w:r>
        <w:t xml:space="preserve">Alvarez-Melis, David, y Tommi S. Jaakkola. 2018.</w:t>
      </w:r>
      <w:r>
        <w:t xml:space="preserve"> </w:t>
      </w:r>
      <w:r>
        <w:rPr>
          <w:i/>
          <w:iCs/>
        </w:rPr>
        <w:t xml:space="preserve">On the Robustness of Interpretability Methods</w:t>
      </w:r>
      <w:r>
        <w:t xml:space="preserve">.</w:t>
      </w:r>
      <w:r>
        <w:t xml:space="preserve"> </w:t>
      </w:r>
      <w:hyperlink ns5:id="rId213">
        <w:r>
          <w:rPr>
            <w:rStyle w:val="Hipervnculo"/>
          </w:rPr>
          <w:t xml:space="preserve">https://arxiv.org/abs/1806.08049</w:t>
        </w:r>
      </w:hyperlink>
      <w:r>
        <w:t xml:space="preserve">.</w:t>
      </w:r>
    </w:p>
    <w:bookmarkEnd w:id="214"/>
    <w:bookmarkStart w:id="216"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w:t>
      </w:r>
      <w:r>
        <w:t xml:space="preserve"> </w:t>
      </w:r>
      <w:r>
        <w:rPr>
          <w:i/>
          <w:iCs/>
        </w:rPr>
        <w:t xml:space="preserve">AI Magazine</w:t>
      </w:r>
      <w:r>
        <w:t xml:space="preserve"> </w:t>
      </w:r>
      <w:r>
        <w:t xml:space="preserve">35 (4): 105-20.</w:t>
      </w:r>
      <w:r>
        <w:t xml:space="preserve"> </w:t>
      </w:r>
      <w:hyperlink ns5:id="rId215">
        <w:r>
          <w:rPr>
            <w:rStyle w:val="Hipervnculo"/>
          </w:rPr>
          <w:t xml:space="preserve">https://doi.org/10.1609/aimag.v35i4.2513</w:t>
        </w:r>
      </w:hyperlink>
      <w:r>
        <w:t xml:space="preserve">.</w:t>
      </w:r>
    </w:p>
    <w:bookmarkEnd w:id="216"/>
    <w:bookmarkStart w:id="218"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w:t>
      </w:r>
      <w:r>
        <w:t xml:space="preserve"> </w:t>
      </w:r>
      <w:r>
        <w:rPr>
          <w:i/>
          <w:iCs/>
        </w:rPr>
        <w:t xml:space="preserve">Wiley Interdisciplinary Reviews Data Mining and Knowledge Discovery</w:t>
      </w:r>
      <w:r>
        <w:t xml:space="preserve"> </w:t>
      </w:r>
      <w:r>
        <w:t xml:space="preserve">11 (5).</w:t>
      </w:r>
      <w:r>
        <w:t xml:space="preserve"> </w:t>
      </w:r>
      <w:hyperlink ns5:id="rId217">
        <w:r>
          <w:rPr>
            <w:rStyle w:val="Hipervnculo"/>
          </w:rPr>
          <w:t xml:space="preserve">https://doi.org/10.1002/widm.1424</w:t>
        </w:r>
      </w:hyperlink>
      <w:r>
        <w:t xml:space="preserve">.</w:t>
      </w:r>
    </w:p>
    <w:bookmarkEnd w:id="218"/>
    <w:bookmarkStart w:id="220"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w:t>
      </w:r>
      <w:r>
        <w:t xml:space="preserve"> </w:t>
      </w:r>
      <w:r>
        <w:rPr>
          <w:i/>
          <w:iCs/>
        </w:rPr>
        <w:t xml:space="preserve">Journal of the Royal Statistical Society Series B (Statistical Methodology)</w:t>
      </w:r>
      <w:r>
        <w:t xml:space="preserve"> </w:t>
      </w:r>
      <w:r>
        <w:t xml:space="preserve">82 (4): 1059-86.</w:t>
      </w:r>
      <w:r>
        <w:t xml:space="preserve"> </w:t>
      </w:r>
      <w:hyperlink ns5:id="rId219">
        <w:r>
          <w:rPr>
            <w:rStyle w:val="Hipervnculo"/>
          </w:rPr>
          <w:t xml:space="preserve">https://doi.org/10.1111/rssb.12377</w:t>
        </w:r>
      </w:hyperlink>
      <w:r>
        <w:t xml:space="preserve">.</w:t>
      </w:r>
    </w:p>
    <w:bookmarkEnd w:id="220"/>
    <w:bookmarkStart w:id="222"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w:t>
      </w:r>
      <w:r>
        <w:t xml:space="preserve"> </w:t>
      </w:r>
      <w:r>
        <w:rPr>
          <w:i/>
          <w:iCs/>
        </w:rPr>
        <w:t xml:space="preserve">Information Fusion</w:t>
      </w:r>
      <w:r>
        <w:t xml:space="preserve"> </w:t>
      </w:r>
      <w:r>
        <w:t xml:space="preserve">58: 82-115.</w:t>
      </w:r>
      <w:r>
        <w:t xml:space="preserve"> </w:t>
      </w:r>
      <w:hyperlink ns5:id="rId221">
        <w:r>
          <w:rPr>
            <w:rStyle w:val="Hipervnculo"/>
          </w:rPr>
          <w:t xml:space="preserve">https://doi.org/10.1016/j.inffus.2019.12.012</w:t>
        </w:r>
      </w:hyperlink>
      <w:r>
        <w:t xml:space="preserve">.</w:t>
      </w:r>
    </w:p>
    <w:bookmarkEnd w:id="222"/>
    <w:bookmarkStart w:id="224" w:name="ref-bacardit2024"/>
    <w:p>
      <w:pPr>
        <w:pStyle w:val="Bibliography"/>
        <w:spacing w:line="360" w:lineRule="auto"/>
        <w:jc w:val="both"/>
      </w:pPr>
      <w:r>
        <w:t xml:space="preserve">Bacardit, Jaume, Alexander Brownlee, Stefano Cagnoni, Giovanni Iacca, John McCall, y David Walker. 2024.</w:t>
      </w:r>
      <w:r>
        <w:t xml:space="preserve"> </w:t>
      </w:r>
      <w:r>
        <w:t xml:space="preserve">«Introduction to the Special Issue on Explainable AI in Evolutionary Computation»</w:t>
      </w:r>
      <w:r>
        <w:t xml:space="preserve">.</w:t>
      </w:r>
      <w:r>
        <w:t xml:space="preserve"> </w:t>
      </w:r>
      <w:r>
        <w:rPr>
          <w:i/>
          <w:iCs/>
        </w:rPr>
        <w:t xml:space="preserve">ACM Transactions on Evolutionary Learning and Optimization</w:t>
      </w:r>
      <w:r>
        <w:t xml:space="preserve"> </w:t>
      </w:r>
      <w:r>
        <w:t xml:space="preserve">4 (1): 1-2.</w:t>
      </w:r>
      <w:r>
        <w:t xml:space="preserve"> </w:t>
      </w:r>
      <w:hyperlink ns5:id="rId223">
        <w:r>
          <w:rPr>
            <w:rStyle w:val="Hipervnculo"/>
          </w:rPr>
          <w:t xml:space="preserve">https://doi.org/10.1145/3649144</w:t>
        </w:r>
      </w:hyperlink>
      <w:r>
        <w:t xml:space="preserve">.</w:t>
      </w:r>
    </w:p>
    <w:bookmarkEnd w:id="224"/>
    <w:bookmarkStart w:id="226" w:name="ref-bastings2020"/>
    <w:p>
      <w:pPr>
        <w:pStyle w:val="Bibliography"/>
        <w:spacing w:line="360" w:lineRule="auto"/>
        <w:jc w:val="both"/>
      </w:pPr>
      <w:r>
        <w:t xml:space="preserve">Bastings, Jasmijn, y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25">
        <w:r>
          <w:rPr>
            <w:rStyle w:val="Hipervnculo"/>
          </w:rPr>
          <w:t xml:space="preserve">https://doi.org/10.18653/v1/2020.blackboxnlp-1.14</w:t>
        </w:r>
      </w:hyperlink>
      <w:r>
        <w:t xml:space="preserve">.</w:t>
      </w:r>
    </w:p>
    <w:bookmarkEnd w:id="226"/>
    <w:bookmarkStart w:id="228"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w:t>
      </w:r>
      <w:r>
        <w:t xml:space="preserve"> </w:t>
      </w:r>
      <w:r>
        <w:rPr>
          <w:i/>
          <w:iCs/>
        </w:rPr>
        <w:t xml:space="preserve">Frontiers in Big Data</w:t>
      </w:r>
      <w:r>
        <w:t xml:space="preserve"> </w:t>
      </w:r>
      <w:r>
        <w:t xml:space="preserve">4.</w:t>
      </w:r>
      <w:r>
        <w:t xml:space="preserve"> </w:t>
      </w:r>
      <w:hyperlink ns5:id="rId227">
        <w:r>
          <w:rPr>
            <w:rStyle w:val="Hipervnculo"/>
          </w:rPr>
          <w:t xml:space="preserve">https://doi.org/10.3389/fdata.2021.688969</w:t>
        </w:r>
      </w:hyperlink>
      <w:r>
        <w:t xml:space="preserve">.</w:t>
      </w:r>
    </w:p>
    <w:bookmarkEnd w:id="228"/>
    <w:bookmarkStart w:id="230"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w:t>
      </w:r>
      <w:r>
        <w:t xml:space="preserve"> </w:t>
      </w:r>
      <w:r>
        <w:rPr>
          <w:i/>
          <w:iCs/>
        </w:rPr>
        <w:t xml:space="preserve">ACM Computing Surveys</w:t>
      </w:r>
      <w:r>
        <w:t xml:space="preserve"> </w:t>
      </w:r>
      <w:r>
        <w:t xml:space="preserve">57 (2): 1-44.</w:t>
      </w:r>
      <w:r>
        <w:t xml:space="preserve"> </w:t>
      </w:r>
      <w:hyperlink ns5:id="rId229">
        <w:r>
          <w:rPr>
            <w:rStyle w:val="Hipervnculo"/>
          </w:rPr>
          <w:t xml:space="preserve">https://doi.org/10.1145/3670685</w:t>
        </w:r>
      </w:hyperlink>
      <w:r>
        <w:t xml:space="preserve">.</w:t>
      </w:r>
    </w:p>
    <w:bookmarkEnd w:id="230"/>
    <w:bookmarkStart w:id="232" w:name="ref-bhat2024"/>
    <w:p>
      <w:pPr>
        <w:pStyle w:val="Bibliography"/>
        <w:spacing w:line="360" w:lineRule="auto"/>
        <w:jc w:val="both"/>
      </w:pPr>
      <w:r>
        <w:t xml:space="preserve">Bhat, Maalvika, y Duri Long. 2024.</w:t>
      </w:r>
      <w:r>
        <w:t xml:space="preserve"> </w:t>
      </w:r>
      <w:r>
        <w:t xml:space="preserve">«Designing Interactive Explainable AI Tools for Algorithmic Literacy and Transparency»</w:t>
      </w:r>
      <w:r>
        <w:t xml:space="preserve">.</w:t>
      </w:r>
      <w:r>
        <w:t xml:space="preserve"> </w:t>
      </w:r>
      <w:r>
        <w:rPr>
          <w:i/>
          <w:iCs/>
        </w:rPr>
        <w:t xml:space="preserve">Designing Interactive Systems Conference</w:t>
      </w:r>
      <w:r>
        <w:t xml:space="preserve">, 939-57.</w:t>
      </w:r>
      <w:r>
        <w:t xml:space="preserve"> </w:t>
      </w:r>
      <w:hyperlink ns5:id="rId231">
        <w:r>
          <w:rPr>
            <w:rStyle w:val="Hipervnculo"/>
          </w:rPr>
          <w:t xml:space="preserve">https://doi.org/10.1145/3643834.3660722</w:t>
        </w:r>
      </w:hyperlink>
      <w:r>
        <w:t xml:space="preserve">.</w:t>
      </w:r>
    </w:p>
    <w:bookmarkEnd w:id="232"/>
    <w:bookmarkStart w:id="234" w:name="ref-bhattacharya2024"/>
    <w:p>
      <w:pPr>
        <w:pStyle w:val="Bibliography"/>
        <w:spacing w:line="360" w:lineRule="auto"/>
        <w:jc w:val="both"/>
      </w:pPr>
      <w:r>
        <w:t xml:space="preserve">Bhattacharya, A., y K. Verbert. 2024.</w:t>
      </w:r>
      <w:r>
        <w:t xml:space="preserve"> </w:t>
      </w:r>
      <w:r>
        <w:t xml:space="preserve">«How Good Is Your Explanation?: Towards a Standardised Evaluation Approach for Diverse XAI Methods on Multiple Dimensions of Explainability»</w:t>
      </w:r>
      <w:r>
        <w:t xml:space="preserve">.</w:t>
      </w:r>
      <w:r>
        <w:t xml:space="preserve"> </w:t>
      </w:r>
      <w:r>
        <w:rPr>
          <w:i/>
          <w:iCs/>
        </w:rPr>
        <w:t xml:space="preserve">Proceedings of the 32nd ACM Conference on User Modeling, Adaptation and Personalization (UMAP Adjunct ’24)</w:t>
      </w:r>
      <w:r>
        <w:t xml:space="preserve">.</w:t>
      </w:r>
      <w:r>
        <w:t xml:space="preserve"> </w:t>
      </w:r>
      <w:hyperlink ns5:id="rId233">
        <w:r>
          <w:rPr>
            <w:rStyle w:val="Hipervnculo"/>
          </w:rPr>
          <w:t xml:space="preserve">https://doi.org/10.1145/3631700.3664911</w:t>
        </w:r>
      </w:hyperlink>
      <w:r>
        <w:t xml:space="preserve">.</w:t>
      </w:r>
    </w:p>
    <w:bookmarkEnd w:id="234"/>
    <w:bookmarkStart w:id="236" w:name="ref-bobitan2024"/>
    <w:p>
      <w:pPr>
        <w:pStyle w:val="Bibliography"/>
        <w:spacing w:line="360" w:lineRule="auto"/>
        <w:jc w:val="both"/>
      </w:pPr>
      <w:r>
        <w:t xml:space="preserve">Bobitan, Nicolae, Diana Dumitrescu, Adriana Florina Popa, Daniela Nicoleta Sahlian, y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w:t>
      </w:r>
      <w:r>
        <w:t xml:space="preserve"> </w:t>
      </w:r>
      <w:r>
        <w:rPr>
          <w:i/>
          <w:iCs/>
        </w:rPr>
        <w:t xml:space="preserve">Electronics</w:t>
      </w:r>
      <w:r>
        <w:t xml:space="preserve"> </w:t>
      </w:r>
      <w:r>
        <w:t xml:space="preserve">13 (11): 2198.</w:t>
      </w:r>
      <w:r>
        <w:t xml:space="preserve"> </w:t>
      </w:r>
      <w:hyperlink ns5:id="rId235">
        <w:r>
          <w:rPr>
            <w:rStyle w:val="Hipervnculo"/>
          </w:rPr>
          <w:t xml:space="preserve">https://doi.org/10.3390/electronics13112198</w:t>
        </w:r>
      </w:hyperlink>
      <w:r>
        <w:t xml:space="preserve">.</w:t>
      </w:r>
    </w:p>
    <w:bookmarkEnd w:id="236"/>
    <w:bookmarkStart w:id="238" w:name="ref-breiman2001"/>
    <w:p>
      <w:pPr>
        <w:pStyle w:val="Bibliography"/>
        <w:spacing w:line="360" w:lineRule="auto"/>
        <w:jc w:val="both"/>
      </w:pPr>
      <w:r>
        <w:t xml:space="preserve">Breiman, L. 2001.</w:t>
      </w:r>
      <w:r>
        <w:t xml:space="preserve"> </w:t>
      </w:r>
      <w:r>
        <w:t xml:space="preserve">«Random forests»</w:t>
      </w:r>
      <w:r>
        <w:t xml:space="preserve">.</w:t>
      </w:r>
      <w:r>
        <w:t xml:space="preserve"> </w:t>
      </w:r>
      <w:r>
        <w:rPr>
          <w:i/>
          <w:iCs/>
        </w:rPr>
        <w:t xml:space="preserve">Machine Learning</w:t>
      </w:r>
      <w:r>
        <w:t xml:space="preserve"> </w:t>
      </w:r>
      <w:r>
        <w:t xml:space="preserve">45 (1): 5-32.</w:t>
      </w:r>
      <w:r>
        <w:t xml:space="preserve"> </w:t>
      </w:r>
      <w:hyperlink ns5:id="rId237">
        <w:r>
          <w:rPr>
            <w:rStyle w:val="Hipervnculo"/>
          </w:rPr>
          <w:t xml:space="preserve">https://doi.org/10.1023/a:1010933404324</w:t>
        </w:r>
      </w:hyperlink>
      <w:r>
        <w:t xml:space="preserve">.</w:t>
      </w:r>
    </w:p>
    <w:bookmarkEnd w:id="238"/>
    <w:bookmarkStart w:id="240" w:name="ref-brown2024"/>
    <w:p>
      <w:pPr>
        <w:pStyle w:val="Bibliography"/>
        <w:spacing w:line="360" w:lineRule="auto"/>
        <w:jc w:val="both"/>
      </w:pPr>
      <w:r>
        <w:t xml:space="preserve">Brown, Dene, y Glenn Hawe. 2024.</w:t>
      </w:r>
      <w:r>
        <w:t xml:space="preserve"> </w:t>
      </w:r>
      <w:r>
        <w:t xml:space="preserve">«Exploring Trade-offs in Explainable AI»</w:t>
      </w:r>
      <w:r>
        <w:t xml:space="preserve">.</w:t>
      </w:r>
      <w:r>
        <w:t xml:space="preserve"> </w:t>
      </w:r>
      <w:r>
        <w:rPr>
          <w:i/>
          <w:iCs/>
        </w:rPr>
        <w:t xml:space="preserve">ACM SIGAda Ada Letters</w:t>
      </w:r>
      <w:r>
        <w:t xml:space="preserve"> </w:t>
      </w:r>
      <w:r>
        <w:t xml:space="preserve">43 (2): 36-42.</w:t>
      </w:r>
      <w:r>
        <w:t xml:space="preserve"> </w:t>
      </w:r>
      <w:hyperlink ns5:id="rId239">
        <w:r>
          <w:rPr>
            <w:rStyle w:val="Hipervnculo"/>
          </w:rPr>
          <w:t xml:space="preserve">https://doi.org/10.1145/3672359.3672363</w:t>
        </w:r>
      </w:hyperlink>
      <w:r>
        <w:t xml:space="preserve">.</w:t>
      </w:r>
    </w:p>
    <w:bookmarkEnd w:id="240"/>
    <w:bookmarkStart w:id="242" w:name="ref-burger2023"/>
    <w:p>
      <w:pPr>
        <w:pStyle w:val="Bibliography"/>
        <w:spacing w:line="360" w:lineRule="auto"/>
        <w:jc w:val="both"/>
      </w:pPr>
      <w:r>
        <w:t xml:space="preserve">Burger, Christopher, Lingwei Chen, y Thai Le. 2023.</w:t>
      </w:r>
      <w:r>
        <w:t xml:space="preserve"> </w:t>
      </w:r>
      <w:r>
        <w:t xml:space="preserve">«Are Your Explanations Reliable? Investigating the Stability of LIME in Explaining Text Classifiers by Marrying XAI and Adversarial Attack»</w:t>
      </w:r>
      <w:r>
        <w:t xml:space="preserve">.</w:t>
      </w:r>
      <w:r>
        <w:t xml:space="preserve"> </w:t>
      </w:r>
      <w:r>
        <w:rPr>
          <w:i/>
          <w:iCs/>
        </w:rPr>
        <w:t xml:space="preserve">Proceedings of the 2023 Conference on Empirical Methods in Natural Language Processing</w:t>
      </w:r>
      <w:r>
        <w:t xml:space="preserve">, 12931-44.</w:t>
      </w:r>
      <w:r>
        <w:t xml:space="preserve"> </w:t>
      </w:r>
      <w:hyperlink ns5:id="rId241">
        <w:r>
          <w:rPr>
            <w:rStyle w:val="Hipervnculo"/>
          </w:rPr>
          <w:t xml:space="preserve">https://doi.org/10.18653/v1/2023.emnlp-main.792</w:t>
        </w:r>
      </w:hyperlink>
      <w:r>
        <w:t xml:space="preserve">.</w:t>
      </w:r>
    </w:p>
    <w:bookmarkEnd w:id="242"/>
    <w:bookmarkStart w:id="244" w:name="ref-canha2025"/>
    <w:p>
      <w:pPr>
        <w:pStyle w:val="Bibliography"/>
        <w:spacing w:line="360" w:lineRule="auto"/>
        <w:jc w:val="both"/>
      </w:pPr>
      <w:r>
        <w:t xml:space="preserve">Canha, D., S. Kubler, K. Främling, y G. Fagherazzi. 2025.</w:t>
      </w:r>
      <w:r>
        <w:t xml:space="preserve"> </w:t>
      </w:r>
      <w:r>
        <w:t xml:space="preserve">«A Functionally-Grounded Benchmark Framework for XAI Methods: Insights and Foundations from a Systematic Literature Review»</w:t>
      </w:r>
      <w:r>
        <w:t xml:space="preserve">.</w:t>
      </w:r>
      <w:r>
        <w:t xml:space="preserve"> </w:t>
      </w:r>
      <w:r>
        <w:rPr>
          <w:i/>
          <w:iCs/>
        </w:rPr>
        <w:t xml:space="preserve">ACM Computing Surveys</w:t>
      </w:r>
      <w:r>
        <w:t xml:space="preserve"> </w:t>
      </w:r>
      <w:r>
        <w:t xml:space="preserve">57 (12).</w:t>
      </w:r>
      <w:r>
        <w:t xml:space="preserve"> </w:t>
      </w:r>
      <w:hyperlink ns5:id="rId243">
        <w:r>
          <w:rPr>
            <w:rStyle w:val="Hipervnculo"/>
          </w:rPr>
          <w:t xml:space="preserve">https://doi.org/10.1145/3737445</w:t>
        </w:r>
      </w:hyperlink>
      <w:r>
        <w:t xml:space="preserve">.</w:t>
      </w:r>
    </w:p>
    <w:bookmarkEnd w:id="244"/>
    <w:bookmarkStart w:id="246" w:name="ref-carvalho2019"/>
    <w:p>
      <w:pPr>
        <w:pStyle w:val="Bibliography"/>
        <w:spacing w:line="360" w:lineRule="auto"/>
        <w:jc w:val="both"/>
      </w:pPr>
      <w:r>
        <w:t xml:space="preserve">Carvalho, Diogo V., Eduardo M. Pereira, y Jaime S. Cardoso. 2019.</w:t>
      </w:r>
      <w:r>
        <w:t xml:space="preserve"> </w:t>
      </w:r>
      <w:r>
        <w:t xml:space="preserve">«Machine Learning Interpretability: A Survey on Methods and Metrics»</w:t>
      </w:r>
      <w:r>
        <w:t xml:space="preserve">.</w:t>
      </w:r>
      <w:r>
        <w:t xml:space="preserve"> </w:t>
      </w:r>
      <w:r>
        <w:rPr>
          <w:i/>
          <w:iCs/>
        </w:rPr>
        <w:t xml:space="preserve">Electronics</w:t>
      </w:r>
      <w:r>
        <w:t xml:space="preserve"> </w:t>
      </w:r>
      <w:r>
        <w:t xml:space="preserve">8 (8): 832.</w:t>
      </w:r>
      <w:r>
        <w:t xml:space="preserve"> </w:t>
      </w:r>
      <w:hyperlink ns5:id="rId245">
        <w:r>
          <w:rPr>
            <w:rStyle w:val="Hipervnculo"/>
          </w:rPr>
          <w:t xml:space="preserve">https://doi.org/10.3390/electronics8080832</w:t>
        </w:r>
      </w:hyperlink>
      <w:r>
        <w:t xml:space="preserve">.</w:t>
      </w:r>
    </w:p>
    <w:bookmarkEnd w:id="246"/>
    <w:bookmarkStart w:id="248" w:name="ref-choudhari2025"/>
    <w:p>
      <w:pPr>
        <w:pStyle w:val="Bibliography"/>
        <w:spacing w:line="360" w:lineRule="auto"/>
        <w:jc w:val="both"/>
      </w:pPr>
      <w:r>
        <w:t xml:space="preserve">Choudhari, Anaya, Tejal Ambhore, y Ninad Mehendale. 2025.</w:t>
      </w:r>
      <w:r>
        <w:t xml:space="preserve"> </w:t>
      </w:r>
      <w:r>
        <w:rPr>
          <w:i/>
          <w:iCs/>
        </w:rPr>
        <w:t xml:space="preserve">Explainable AI: Bridging the Gap Between Machine Intelligence and Human Understanding</w:t>
      </w:r>
      <w:r>
        <w:t xml:space="preserve">. Elsevier BV.</w:t>
      </w:r>
      <w:r>
        <w:t xml:space="preserve"> </w:t>
      </w:r>
      <w:hyperlink ns5:id="rId247">
        <w:r>
          <w:rPr>
            <w:rStyle w:val="Hipervnculo"/>
          </w:rPr>
          <w:t xml:space="preserve">https://doi.org/10.2139/ssrn.5040613</w:t>
        </w:r>
      </w:hyperlink>
      <w:r>
        <w:t xml:space="preserve">.</w:t>
      </w:r>
    </w:p>
    <w:bookmarkEnd w:id="248"/>
    <w:bookmarkStart w:id="250" w:name="ref-cohen1960"/>
    <w:p>
      <w:pPr>
        <w:pStyle w:val="Bibliography"/>
        <w:spacing w:line="360" w:lineRule="auto"/>
        <w:jc w:val="both"/>
      </w:pPr>
      <w:r>
        <w:t xml:space="preserve">Cohen, J. 1960.</w:t>
      </w:r>
      <w:r>
        <w:t xml:space="preserve"> </w:t>
      </w:r>
      <w:r>
        <w:t xml:space="preserve">«A coefficient of agreement for nominal scales»</w:t>
      </w:r>
      <w:r>
        <w:t xml:space="preserve">.</w:t>
      </w:r>
      <w:r>
        <w:t xml:space="preserve"> </w:t>
      </w:r>
      <w:r>
        <w:rPr>
          <w:i/>
          <w:iCs/>
        </w:rPr>
        <w:t xml:space="preserve">Educational and Psychological Measurement</w:t>
      </w:r>
      <w:r>
        <w:t xml:space="preserve"> </w:t>
      </w:r>
      <w:r>
        <w:t xml:space="preserve">20 (1): 37-46.</w:t>
      </w:r>
      <w:r>
        <w:t xml:space="preserve"> </w:t>
      </w:r>
      <w:hyperlink ns5:id="rId249">
        <w:r>
          <w:rPr>
            <w:rStyle w:val="Hipervnculo"/>
          </w:rPr>
          <w:t xml:space="preserve">https://doi.org/10.1177/001316446002000104</w:t>
        </w:r>
      </w:hyperlink>
      <w:r>
        <w:t xml:space="preserve">.</w:t>
      </w:r>
    </w:p>
    <w:bookmarkEnd w:id="250"/>
    <w:bookmarkStart w:id="252" w:name="ref-colley2023"/>
    <w:p>
      <w:pPr>
        <w:pStyle w:val="Bibliography"/>
        <w:spacing w:line="360" w:lineRule="auto"/>
        <w:jc w:val="both"/>
      </w:pPr>
      <w:r>
        <w:t xml:space="preserve">Colley, Ashley, Matilda Kalving, Jonna Häkkilä, y Kaisa Väänänen. 2023.</w:t>
      </w:r>
      <w:r>
        <w:t xml:space="preserve"> </w:t>
      </w:r>
      <w:r>
        <w:t xml:space="preserve">«Exploring Tangible Explainable AI (TangXAI): A User Study of Two XAI Approaches»</w:t>
      </w:r>
      <w:r>
        <w:t xml:space="preserve">.</w:t>
      </w:r>
      <w:r>
        <w:t xml:space="preserve"> </w:t>
      </w:r>
      <w:r>
        <w:rPr>
          <w:i/>
          <w:iCs/>
        </w:rPr>
        <w:t xml:space="preserve">Proceedings of the 35th Australian Computer-Human Interaction Conference</w:t>
      </w:r>
      <w:r>
        <w:t xml:space="preserve">, 679-83.</w:t>
      </w:r>
      <w:r>
        <w:t xml:space="preserve"> </w:t>
      </w:r>
      <w:hyperlink ns5:id="rId251">
        <w:r>
          <w:rPr>
            <w:rStyle w:val="Hipervnculo"/>
          </w:rPr>
          <w:t xml:space="preserve">https://doi.org/10.1145/3638380.3638426</w:t>
        </w:r>
      </w:hyperlink>
      <w:r>
        <w:t xml:space="preserve">.</w:t>
      </w:r>
    </w:p>
    <w:bookmarkEnd w:id="252"/>
    <w:bookmarkStart w:id="254" w:name="ref-cunha2024"/>
    <w:p>
      <w:pPr>
        <w:pStyle w:val="Bibliography"/>
        <w:spacing w:line="360" w:lineRule="auto"/>
        <w:jc w:val="both"/>
      </w:pPr>
      <w:r>
        <w:t xml:space="preserve">Cunha, Bianca Moreira, y Simone Diniz Junqueira Barbosa. 2024.</w:t>
      </w:r>
      <w:r>
        <w:t xml:space="preserve"> </w:t>
      </w:r>
      <w:r>
        <w:t xml:space="preserve">«Evaluating the Effectiveness of Visual Representations of SHAP Values Toward Explainable Artificial Intelligence»</w:t>
      </w:r>
      <w:r>
        <w:t xml:space="preserve">.</w:t>
      </w:r>
      <w:r>
        <w:t xml:space="preserve"> </w:t>
      </w:r>
      <w:r>
        <w:rPr>
          <w:i/>
          <w:iCs/>
        </w:rPr>
        <w:t xml:space="preserve">Proceedings of the XXIII Brazilian Symposium on Human Factors in Computing Systems</w:t>
      </w:r>
      <w:r>
        <w:t xml:space="preserve">, 1-11.</w:t>
      </w:r>
      <w:r>
        <w:t xml:space="preserve"> </w:t>
      </w:r>
      <w:hyperlink ns5:id="rId253">
        <w:r>
          <w:rPr>
            <w:rStyle w:val="Hipervnculo"/>
          </w:rPr>
          <w:t xml:space="preserve">https://doi.org/10.1145/3702038.3702093</w:t>
        </w:r>
      </w:hyperlink>
      <w:r>
        <w:t xml:space="preserve">.</w:t>
      </w:r>
    </w:p>
    <w:bookmarkEnd w:id="254"/>
    <w:bookmarkStart w:id="256"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w:t>
      </w:r>
      <w:r>
        <w:t xml:space="preserve"> </w:t>
      </w:r>
      <w:r>
        <w:rPr>
          <w:i/>
          <w:iCs/>
        </w:rPr>
        <w:t xml:space="preserve">Journal of Machine Learning Research</w:t>
      </w:r>
      <w:r>
        <w:t xml:space="preserve"> </w:t>
      </w:r>
      <w:r>
        <w:t xml:space="preserve">7: 1-30.</w:t>
      </w:r>
      <w:r>
        <w:t xml:space="preserve"> </w:t>
      </w:r>
      <w:hyperlink ns5:id="rId255">
        <w:r>
          <w:rPr>
            <w:rStyle w:val="Hipervnculo"/>
          </w:rPr>
          <w:t xml:space="preserve">https://www.jmlr.org/papers/v7/demsar06a.html</w:t>
        </w:r>
      </w:hyperlink>
      <w:r>
        <w:t xml:space="preserve">.</w:t>
      </w:r>
    </w:p>
    <w:bookmarkEnd w:id="256"/>
    <w:bookmarkStart w:id="258"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w:t>
      </w:r>
      <w:r>
        <w:t xml:space="preserve"> </w:t>
      </w:r>
      <w:r>
        <w:rPr>
          <w:i/>
          <w:iCs/>
        </w:rPr>
        <w:t xml:space="preserve">arXiv (Cornell University)</w:t>
      </w:r>
      <w:r>
        <w:t xml:space="preserve">, advance online publication.</w:t>
      </w:r>
      <w:r>
        <w:t xml:space="preserve"> </w:t>
      </w:r>
      <w:hyperlink ns5:id="rId257">
        <w:r>
          <w:rPr>
            <w:rStyle w:val="Hipervnculo"/>
          </w:rPr>
          <w:t xml:space="preserve">https://doi.org/10.48550/arxiv.1702.08608</w:t>
        </w:r>
      </w:hyperlink>
      <w:r>
        <w:t xml:space="preserve">.</w:t>
      </w:r>
    </w:p>
    <w:bookmarkEnd w:id="258"/>
    <w:bookmarkStart w:id="260" w:name="ref-dua2019uci"/>
    <w:p>
      <w:pPr>
        <w:pStyle w:val="Bibliography"/>
        <w:spacing w:line="360" w:lineRule="auto"/>
        <w:jc w:val="both"/>
      </w:pPr>
      <w:r>
        <w:t xml:space="preserve">Dua, Dheeru, y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59">
        <w:r>
          <w:rPr>
            <w:rStyle w:val="Hipervnculo"/>
          </w:rPr>
          <w:t xml:space="preserve">http://archive.ics.uci.edu/ml</w:t>
        </w:r>
      </w:hyperlink>
      <w:r>
        <w:t xml:space="preserve">.</w:t>
      </w:r>
    </w:p>
    <w:bookmarkEnd w:id="260"/>
    <w:bookmarkStart w:id="262"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w:t>
      </w:r>
      <w:r>
        <w:t xml:space="preserve"> </w:t>
      </w:r>
      <w:r>
        <w:rPr>
          <w:i/>
          <w:iCs/>
        </w:rPr>
        <w:t xml:space="preserve">ACM Computing Surveys</w:t>
      </w:r>
      <w:r>
        <w:t xml:space="preserve"> </w:t>
      </w:r>
      <w:r>
        <w:t xml:space="preserve">55 (9): 1-33.</w:t>
      </w:r>
      <w:r>
        <w:t xml:space="preserve"> </w:t>
      </w:r>
      <w:hyperlink ns5:id="rId261">
        <w:r>
          <w:rPr>
            <w:rStyle w:val="Hipervnculo"/>
          </w:rPr>
          <w:t xml:space="preserve">https://doi.org/10.1145/3561048</w:t>
        </w:r>
      </w:hyperlink>
      <w:r>
        <w:t xml:space="preserve">.</w:t>
      </w:r>
    </w:p>
    <w:bookmarkEnd w:id="262"/>
    <w:bookmarkStart w:id="264" w:name="ref-ehsan2024"/>
    <w:p>
      <w:pPr>
        <w:pStyle w:val="Bibliography"/>
        <w:spacing w:line="360" w:lineRule="auto"/>
        <w:jc w:val="both"/>
      </w:pPr>
      <w:r>
        <w:t xml:space="preserve">Ehsan, Upol, y Mark Riedl. 2024.</w:t>
      </w:r>
      <w:r>
        <w:t xml:space="preserve"> </w:t>
      </w:r>
      <w:r>
        <w:t xml:space="preserve">«Explainable AI Reloaded: Challenging the XAI Status Quo in the Era of Large Language Models»</w:t>
      </w:r>
      <w:r>
        <w:t xml:space="preserve">.</w:t>
      </w:r>
      <w:r>
        <w:t xml:space="preserve"> </w:t>
      </w:r>
      <w:r>
        <w:rPr>
          <w:i/>
          <w:iCs/>
        </w:rPr>
        <w:t xml:space="preserve">Proceedings of the Halfway to the Future Symposium</w:t>
      </w:r>
      <w:r>
        <w:t xml:space="preserve">, 1-8.</w:t>
      </w:r>
      <w:r>
        <w:t xml:space="preserve"> </w:t>
      </w:r>
      <w:hyperlink ns5:id="rId263">
        <w:r>
          <w:rPr>
            <w:rStyle w:val="Hipervnculo"/>
          </w:rPr>
          <w:t xml:space="preserve">https://doi.org/10.1145/3686169.3686185</w:t>
        </w:r>
      </w:hyperlink>
      <w:r>
        <w:t xml:space="preserve">.</w:t>
      </w:r>
    </w:p>
    <w:bookmarkEnd w:id="264"/>
    <w:bookmarkStart w:id="266"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w:t>
      </w:r>
      <w:r>
        <w:t xml:space="preserve"> </w:t>
      </w:r>
      <w:r>
        <w:rPr>
          <w:i/>
          <w:iCs/>
        </w:rPr>
        <w:t xml:space="preserve">Extended Abstracts of the 2023 CHI Conference on Human Factors in Computing Systems</w:t>
      </w:r>
      <w:r>
        <w:t xml:space="preserve">, 1-7.</w:t>
      </w:r>
      <w:r>
        <w:t xml:space="preserve"> </w:t>
      </w:r>
      <w:hyperlink ns5:id="rId265">
        <w:r>
          <w:rPr>
            <w:rStyle w:val="Hipervnculo"/>
          </w:rPr>
          <w:t xml:space="preserve">https://doi.org/10.1145/3544549.3573832</w:t>
        </w:r>
      </w:hyperlink>
      <w:r>
        <w:t xml:space="preserve">.</w:t>
      </w:r>
    </w:p>
    <w:bookmarkEnd w:id="266"/>
    <w:bookmarkStart w:id="268" w:name="ref-fan2026"/>
    <w:p>
      <w:pPr>
        <w:pStyle w:val="Bibliography"/>
        <w:spacing w:line="360" w:lineRule="auto"/>
        <w:jc w:val="both"/>
      </w:pPr>
      <w:r>
        <w:t xml:space="preserve">Fan, Siyuan, Derui Zhu, y Zhe Yu. 2026.</w:t>
      </w:r>
      <w:r>
        <w:t xml:space="preserve"> </w:t>
      </w:r>
      <w:r>
        <w:rPr>
          <w:i/>
          <w:iCs/>
        </w:rPr>
        <w:t xml:space="preserve">A Systematic Literature Review of Explainability-Based Model Editing</w:t>
      </w:r>
      <w:r>
        <w:t xml:space="preserve">. Elsevier BV.</w:t>
      </w:r>
      <w:r>
        <w:t xml:space="preserve"> </w:t>
      </w:r>
      <w:hyperlink ns5:id="rId267">
        <w:r>
          <w:rPr>
            <w:rStyle w:val="Hipervnculo"/>
          </w:rPr>
          <w:t xml:space="preserve">https://doi.org/10.2139/ssrn.6847479</w:t>
        </w:r>
      </w:hyperlink>
      <w:r>
        <w:t xml:space="preserve">.</w:t>
      </w:r>
    </w:p>
    <w:bookmarkEnd w:id="268"/>
    <w:bookmarkStart w:id="270" w:name="ref-feldkamp2023"/>
    <w:p>
      <w:pPr>
        <w:pStyle w:val="Bibliography"/>
        <w:spacing w:line="360" w:lineRule="auto"/>
        <w:jc w:val="both"/>
      </w:pPr>
      <w:r>
        <w:t xml:space="preserve">Feldkamp, Niclas, y Steffen Strassburger. 2023.</w:t>
      </w:r>
      <w:r>
        <w:t xml:space="preserve"> </w:t>
      </w:r>
      <w:r>
        <w:t xml:space="preserve">«From Explainable AI to Explainable Simulation: Using Machine Learning and XAI to understand System Robustness»</w:t>
      </w:r>
      <w:r>
        <w:t xml:space="preserve">.</w:t>
      </w:r>
      <w:r>
        <w:t xml:space="preserve"> </w:t>
      </w:r>
      <w:r>
        <w:rPr>
          <w:i/>
          <w:iCs/>
        </w:rPr>
        <w:t xml:space="preserve">ACM SIGSIM Conference on Principles of Advanced Discrete Simulation</w:t>
      </w:r>
      <w:r>
        <w:t xml:space="preserve">, 96-106.</w:t>
      </w:r>
      <w:r>
        <w:t xml:space="preserve"> </w:t>
      </w:r>
      <w:hyperlink ns5:id="rId269">
        <w:r>
          <w:rPr>
            <w:rStyle w:val="Hipervnculo"/>
          </w:rPr>
          <w:t xml:space="preserve">https://doi.org/10.1145/3573900.3591114</w:t>
        </w:r>
      </w:hyperlink>
      <w:r>
        <w:t xml:space="preserve">.</w:t>
      </w:r>
    </w:p>
    <w:bookmarkEnd w:id="270"/>
    <w:bookmarkStart w:id="271" w:name="ref-fisher2019"/>
    <w:p>
      <w:pPr>
        <w:pStyle w:val="Bibliography"/>
        <w:spacing w:line="360" w:lineRule="auto"/>
        <w:jc w:val="both"/>
      </w:pPr>
      <w:r>
        <w:t xml:space="preserve">Fisher, Aaron, Cynthia Rudin, y Francesca Dominici. 2019.</w:t>
      </w:r>
      <w:r>
        <w:t xml:space="preserve"> </w:t>
      </w:r>
      <w:r>
        <w:t xml:space="preserve">«All Models are Wrong, but Many are Useful: Learning a Variable’s Importance by Studying an Entire Class of Prediction Models Simultaneously»</w:t>
      </w:r>
      <w:r>
        <w:t xml:space="preserve">.</w:t>
      </w:r>
      <w:r>
        <w:t xml:space="preserve"> </w:t>
      </w:r>
      <w:r>
        <w:rPr>
          <w:i/>
          <w:iCs/>
        </w:rPr>
        <w:t xml:space="preserve">Journal of Machine Learning Research</w:t>
      </w:r>
      <w:r>
        <w:t xml:space="preserve">.</w:t>
      </w:r>
    </w:p>
    <w:bookmarkEnd w:id="271"/>
    <w:bookmarkStart w:id="273"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w:t>
      </w:r>
      <w:r>
        <w:t xml:space="preserve"> </w:t>
      </w:r>
      <w:r>
        <w:rPr>
          <w:i/>
          <w:iCs/>
        </w:rPr>
        <w:t xml:space="preserve">Minds and Machines</w:t>
      </w:r>
      <w:r>
        <w:t xml:space="preserve"> </w:t>
      </w:r>
      <w:r>
        <w:t xml:space="preserve">28 (4): 689-707.</w:t>
      </w:r>
      <w:r>
        <w:t xml:space="preserve"> </w:t>
      </w:r>
      <w:hyperlink ns5:id="rId272">
        <w:r>
          <w:rPr>
            <w:rStyle w:val="Hipervnculo"/>
          </w:rPr>
          <w:t xml:space="preserve">https://doi.org/10.1007/s11023-018-9482-5</w:t>
        </w:r>
      </w:hyperlink>
      <w:r>
        <w:t xml:space="preserve">.</w:t>
      </w:r>
    </w:p>
    <w:bookmarkEnd w:id="273"/>
    <w:bookmarkStart w:id="275" w:name="ref-friedman2008"/>
    <w:p>
      <w:pPr>
        <w:pStyle w:val="Bibliography"/>
        <w:spacing w:line="360" w:lineRule="auto"/>
        <w:jc w:val="both"/>
      </w:pPr>
      <w:r>
        <w:t xml:space="preserve">Friedman, &amp; Popescu, J. H. 2008.</w:t>
      </w:r>
      <w:r>
        <w:t xml:space="preserve"> </w:t>
      </w:r>
      <w:r>
        <w:t xml:space="preserve">«Predictive learning via rule ensembles»</w:t>
      </w:r>
      <w:r>
        <w:t xml:space="preserve">.</w:t>
      </w:r>
      <w:r>
        <w:t xml:space="preserve"> </w:t>
      </w:r>
      <w:r>
        <w:rPr>
          <w:i/>
          <w:iCs/>
        </w:rPr>
        <w:t xml:space="preserve">The Annals of Applied Statistics</w:t>
      </w:r>
      <w:r>
        <w:t xml:space="preserve"> </w:t>
      </w:r>
      <w:r>
        <w:t xml:space="preserve">2 (3).</w:t>
      </w:r>
      <w:r>
        <w:t xml:space="preserve"> </w:t>
      </w:r>
      <w:hyperlink ns5:id="rId274">
        <w:r>
          <w:rPr>
            <w:rStyle w:val="Hipervnculo"/>
          </w:rPr>
          <w:t xml:space="preserve">https://doi.org/10.1214/07-aoas148</w:t>
        </w:r>
      </w:hyperlink>
      <w:r>
        <w:t xml:space="preserve">.</w:t>
      </w:r>
    </w:p>
    <w:bookmarkEnd w:id="275"/>
    <w:bookmarkStart w:id="277"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w:t>
      </w:r>
      <w:r>
        <w:t xml:space="preserve"> </w:t>
      </w:r>
      <w:r>
        <w:rPr>
          <w:i/>
          <w:iCs/>
        </w:rPr>
        <w:t xml:space="preserve">The Annals of Statistics</w:t>
      </w:r>
      <w:r>
        <w:t xml:space="preserve"> </w:t>
      </w:r>
      <w:r>
        <w:t xml:space="preserve">29 (5).</w:t>
      </w:r>
      <w:r>
        <w:t xml:space="preserve"> </w:t>
      </w:r>
      <w:hyperlink ns5:id="rId276">
        <w:r>
          <w:rPr>
            <w:rStyle w:val="Hipervnculo"/>
          </w:rPr>
          <w:t xml:space="preserve">https://doi.org/10.1214/aos/1013203451</w:t>
        </w:r>
      </w:hyperlink>
      <w:r>
        <w:t xml:space="preserve">.</w:t>
      </w:r>
    </w:p>
    <w:bookmarkEnd w:id="277"/>
    <w:bookmarkStart w:id="279"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w:t>
      </w:r>
      <w:r>
        <w:t xml:space="preserve"> </w:t>
      </w:r>
      <w:r>
        <w:rPr>
          <w:i/>
          <w:iCs/>
        </w:rPr>
        <w:t xml:space="preserve">Journal of the American Statistical Association</w:t>
      </w:r>
      <w:r>
        <w:t xml:space="preserve"> </w:t>
      </w:r>
      <w:r>
        <w:t xml:space="preserve">32 (200): 675-701.</w:t>
      </w:r>
      <w:r>
        <w:t xml:space="preserve"> </w:t>
      </w:r>
      <w:hyperlink ns5:id="rId278">
        <w:r>
          <w:rPr>
            <w:rStyle w:val="Hipervnculo"/>
          </w:rPr>
          <w:t xml:space="preserve">https://doi.org/10.1080/01621459.1937.10503522</w:t>
        </w:r>
      </w:hyperlink>
      <w:r>
        <w:t xml:space="preserve">.</w:t>
      </w:r>
    </w:p>
    <w:bookmarkEnd w:id="279"/>
    <w:bookmarkStart w:id="281" w:name="ref-gafur2024"/>
    <w:p>
      <w:pPr>
        <w:pStyle w:val="Bibliography"/>
        <w:spacing w:line="360" w:lineRule="auto"/>
        <w:jc w:val="both"/>
      </w:pPr>
      <w:r>
        <w:t xml:space="preserve">Gafur, Jamil, Steve Goddard, y William Lai. 2024.</w:t>
      </w:r>
      <w:r>
        <w:t xml:space="preserve"> </w:t>
      </w:r>
      <w:r>
        <w:t xml:space="preserve">«Adversarial Robustness and Explainability of Machine Learning Models»</w:t>
      </w:r>
      <w:r>
        <w:t xml:space="preserve">.</w:t>
      </w:r>
      <w:r>
        <w:t xml:space="preserve"> </w:t>
      </w:r>
      <w:r>
        <w:rPr>
          <w:i/>
          <w:iCs/>
        </w:rPr>
        <w:t xml:space="preserve">Practice and Experience in Advanced Research Computing 2024: Human Powered Computing</w:t>
      </w:r>
      <w:r>
        <w:t xml:space="preserve">, 1-7.</w:t>
      </w:r>
      <w:r>
        <w:t xml:space="preserve"> </w:t>
      </w:r>
      <w:hyperlink ns5:id="rId280">
        <w:r>
          <w:rPr>
            <w:rStyle w:val="Hipervnculo"/>
          </w:rPr>
          <w:t xml:space="preserve">https://doi.org/10.1145/3626203.3670522</w:t>
        </w:r>
      </w:hyperlink>
      <w:r>
        <w:t xml:space="preserve">.</w:t>
      </w:r>
    </w:p>
    <w:bookmarkEnd w:id="281"/>
    <w:bookmarkStart w:id="283"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w:t>
      </w:r>
      <w:r>
        <w:t xml:space="preserve"> </w:t>
      </w:r>
      <w:r>
        <w:rPr>
          <w:i/>
          <w:iCs/>
        </w:rPr>
        <w:t xml:space="preserve">2022 IEEE 9th International Conference on Data Science and Advanced Analytics (DSAA), 80–89</w:t>
      </w:r>
      <w:r>
        <w:t xml:space="preserve">, advance online publication.</w:t>
      </w:r>
      <w:r>
        <w:t xml:space="preserve"> </w:t>
      </w:r>
      <w:hyperlink ns5:id="rId282">
        <w:r>
          <w:rPr>
            <w:rStyle w:val="Hipervnculo"/>
          </w:rPr>
          <w:t xml:space="preserve">https://doi.org/10.1109/dsaa.2018.00018</w:t>
        </w:r>
      </w:hyperlink>
      <w:r>
        <w:t xml:space="preserve">.</w:t>
      </w:r>
    </w:p>
    <w:bookmarkEnd w:id="283"/>
    <w:bookmarkStart w:id="285"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w:t>
      </w:r>
      <w:r>
        <w:t xml:space="preserve"> </w:t>
      </w:r>
      <w:r>
        <w:rPr>
          <w:i/>
          <w:iCs/>
        </w:rPr>
        <w:t xml:space="preserve">Journal of Computational and Graphical Statistics</w:t>
      </w:r>
      <w:r>
        <w:t xml:space="preserve"> </w:t>
      </w:r>
      <w:r>
        <w:t xml:space="preserve">24 (1): 44-65.</w:t>
      </w:r>
      <w:r>
        <w:t xml:space="preserve"> </w:t>
      </w:r>
      <w:hyperlink ns5:id="rId284">
        <w:r>
          <w:rPr>
            <w:rStyle w:val="Hipervnculo"/>
          </w:rPr>
          <w:t xml:space="preserve">https://doi.org/10.1080/10618600.2014.907095</w:t>
        </w:r>
      </w:hyperlink>
      <w:r>
        <w:t xml:space="preserve">.</w:t>
      </w:r>
    </w:p>
    <w:bookmarkEnd w:id="285"/>
    <w:bookmarkStart w:id="287" w:name="ref-gomez2024"/>
    <w:p>
      <w:pPr>
        <w:pStyle w:val="Bibliography"/>
        <w:spacing w:line="360" w:lineRule="auto"/>
        <w:jc w:val="both"/>
      </w:pPr>
      <w:r>
        <w:t xml:space="preserve">Gomez, Manuel J., Álvaro Armada Sánchez, Mariano Albaladejo-González, Félix J. García Clemente, y José A. Ruipérez-Valiente. 2024.</w:t>
      </w:r>
      <w:r>
        <w:t xml:space="preserve"> </w:t>
      </w:r>
      <w:r>
        <w:t xml:space="preserve">«Utilizing Explainable AI to Enhance Real-time Student Performance Prediction in Educational Serious Games»</w:t>
      </w:r>
      <w:r>
        <w:t xml:space="preserve">.</w:t>
      </w:r>
      <w:r>
        <w:t xml:space="preserve"> </w:t>
      </w:r>
      <w:r>
        <w:rPr>
          <w:i/>
          <w:iCs/>
        </w:rPr>
        <w:t xml:space="preserve">Proceedings of the 39th ACM/SIGAPP Symposium on Applied Computing</w:t>
      </w:r>
      <w:r>
        <w:t xml:space="preserve">, 93-94.</w:t>
      </w:r>
      <w:r>
        <w:t xml:space="preserve"> </w:t>
      </w:r>
      <w:hyperlink ns5:id="rId286">
        <w:r>
          <w:rPr>
            <w:rStyle w:val="Hipervnculo"/>
          </w:rPr>
          <w:t xml:space="preserve">https://doi.org/10.1145/3605098.3636109</w:t>
        </w:r>
      </w:hyperlink>
      <w:r>
        <w:t xml:space="preserve">.</w:t>
      </w:r>
    </w:p>
    <w:bookmarkEnd w:id="287"/>
    <w:bookmarkStart w:id="289" w:name="ref-guidotti2018"/>
    <w:p>
      <w:pPr>
        <w:pStyle w:val="Bibliography"/>
        <w:spacing w:line="360" w:lineRule="auto"/>
        <w:jc w:val="both"/>
      </w:pPr>
      <w:r>
        <w:t xml:space="preserve">Guidotti, Riccardo, Anna Monreale, Salvatore Ruggieri, Franco Turini, Fosca Giannotti, y Dino Pedreschi. 2018.</w:t>
      </w:r>
      <w:r>
        <w:t xml:space="preserve"> </w:t>
      </w:r>
      <w:r>
        <w:t xml:space="preserve">«A Survey of Methods for Explaining Black Box Models»</w:t>
      </w:r>
      <w:r>
        <w:t xml:space="preserve">.</w:t>
      </w:r>
      <w:r>
        <w:t xml:space="preserve"> </w:t>
      </w:r>
      <w:r>
        <w:rPr>
          <w:i/>
          <w:iCs/>
        </w:rPr>
        <w:t xml:space="preserve">ACM Computing Surveys</w:t>
      </w:r>
      <w:r>
        <w:t xml:space="preserve"> </w:t>
      </w:r>
      <w:r>
        <w:t xml:space="preserve">51 (5): 1-42.</w:t>
      </w:r>
      <w:r>
        <w:t xml:space="preserve"> </w:t>
      </w:r>
      <w:hyperlink ns5:id="rId288">
        <w:r>
          <w:rPr>
            <w:rStyle w:val="Hipervnculo"/>
          </w:rPr>
          <w:t xml:space="preserve">https://doi.org/10.1145/3236009</w:t>
        </w:r>
      </w:hyperlink>
      <w:r>
        <w:t xml:space="preserve">.</w:t>
      </w:r>
    </w:p>
    <w:bookmarkEnd w:id="289"/>
    <w:bookmarkStart w:id="291" w:name="ref-hase2020"/>
    <w:p>
      <w:pPr>
        <w:pStyle w:val="Bibliography"/>
        <w:spacing w:line="360" w:lineRule="auto"/>
        <w:jc w:val="both"/>
      </w:pPr>
      <w:r>
        <w:t xml:space="preserve">Hase, Peter, y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90">
        <w:r>
          <w:rPr>
            <w:rStyle w:val="Hipervnculo"/>
          </w:rPr>
          <w:t xml:space="preserve">https://doi.org/10.18653/v1/2020.acl-main.491</w:t>
        </w:r>
      </w:hyperlink>
      <w:r>
        <w:t xml:space="preserve">.</w:t>
      </w:r>
    </w:p>
    <w:bookmarkEnd w:id="291"/>
    <w:bookmarkStart w:id="293"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w:t>
      </w:r>
      <w:r>
        <w:t xml:space="preserve"> </w:t>
      </w:r>
      <w:r>
        <w:rPr>
          <w:i/>
          <w:iCs/>
        </w:rPr>
        <w:t xml:space="preserve">Cognitive Computation</w:t>
      </w:r>
      <w:r>
        <w:t xml:space="preserve"> </w:t>
      </w:r>
      <w:r>
        <w:t xml:space="preserve">16 (1): 45-74.</w:t>
      </w:r>
      <w:r>
        <w:t xml:space="preserve"> </w:t>
      </w:r>
      <w:hyperlink ns5:id="rId292">
        <w:r>
          <w:rPr>
            <w:rStyle w:val="Hipervnculo"/>
          </w:rPr>
          <w:t xml:space="preserve">https://doi.org/10.1007/s12559-023-10179-8</w:t>
        </w:r>
      </w:hyperlink>
      <w:r>
        <w:t xml:space="preserve">.</w:t>
      </w:r>
    </w:p>
    <w:bookmarkEnd w:id="293"/>
    <w:bookmarkStart w:id="294"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w:t>
      </w:r>
      <w:r>
        <w:t xml:space="preserve"> </w:t>
      </w:r>
      <w:r>
        <w:rPr>
          <w:i/>
          <w:iCs/>
        </w:rPr>
        <w:t xml:space="preserve">Journal of Machine Learning Research</w:t>
      </w:r>
      <w:r>
        <w:t xml:space="preserve"> </w:t>
      </w:r>
      <w:r>
        <w:t xml:space="preserve">24 (34): 1-11.</w:t>
      </w:r>
    </w:p>
    <w:bookmarkEnd w:id="294"/>
    <w:bookmarkStart w:id="295" w:name="ref-hess2023"/>
    <w:p>
      <w:pPr>
        <w:pStyle w:val="Bibliography"/>
        <w:spacing w:line="360" w:lineRule="auto"/>
        <w:jc w:val="both"/>
      </w:pPr>
      <w:r>
        <w:t xml:space="preserve">Hess, Samuel, y Gregory Ditzler. 2023.</w:t>
      </w:r>
      <w:r>
        <w:t xml:space="preserve"> </w:t>
      </w:r>
      <w:r>
        <w:t xml:space="preserve">«ProtoShotXAI: Using Prototypical Few-Shot Architecture for Explainable AI»</w:t>
      </w:r>
      <w:r>
        <w:t xml:space="preserve">.</w:t>
      </w:r>
      <w:r>
        <w:t xml:space="preserve"> </w:t>
      </w:r>
      <w:r>
        <w:rPr>
          <w:i/>
          <w:iCs/>
        </w:rPr>
        <w:t xml:space="preserve">Journal of Machine Learning Research</w:t>
      </w:r>
      <w:r>
        <w:t xml:space="preserve"> </w:t>
      </w:r>
      <w:r>
        <w:t xml:space="preserve">24: 1-49.</w:t>
      </w:r>
    </w:p>
    <w:bookmarkEnd w:id="295"/>
    <w:bookmarkStart w:id="297" w:name="ref-hoffman2023"/>
    <w:p>
      <w:pPr>
        <w:pStyle w:val="Bibliography"/>
        <w:spacing w:line="360" w:lineRule="auto"/>
        <w:jc w:val="both"/>
      </w:pPr>
      <w:r>
        <w:t xml:space="preserve">Hoffman, Robert R., Timothy Miller, Gary Klein, Shane T. Mueller, y William J. Clancey. 2023.</w:t>
      </w:r>
      <w:r>
        <w:t xml:space="preserve"> </w:t>
      </w:r>
      <w:r>
        <w:t xml:space="preserve">«Increasing the Value of XAI for Users: A Psychological Perspective»</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96">
        <w:r>
          <w:rPr>
            <w:rStyle w:val="Hipervnculo"/>
          </w:rPr>
          <w:t xml:space="preserve">https://doi.org/10.1007/s13218-023-00806-9</w:t>
        </w:r>
      </w:hyperlink>
      <w:r>
        <w:t xml:space="preserve">.</w:t>
      </w:r>
    </w:p>
    <w:bookmarkEnd w:id="297"/>
    <w:bookmarkStart w:id="299" w:name="ref-holzinger2022"/>
    <w:p>
      <w:pPr>
        <w:pStyle w:val="Bibliography"/>
        <w:spacing w:line="360" w:lineRule="auto"/>
        <w:jc w:val="both"/>
      </w:pPr>
      <w:r>
        <w:t xml:space="preserve">Holzinger, Andreas, Anna Saranti, Christoph Molnar, Przemyslaw Biecek, y Wojciech Samek. 2022.</w:t>
      </w:r>
      <w:r>
        <w:t xml:space="preserve"> </w:t>
      </w:r>
      <w:r>
        <w:rPr>
          <w:i/>
          <w:iCs/>
        </w:rPr>
        <w:t xml:space="preserve">Explainable AI Methods - A Brief Overview</w:t>
      </w:r>
      <w:r>
        <w:t xml:space="preserve">. Springer International Publishing.</w:t>
      </w:r>
      <w:r>
        <w:t xml:space="preserve"> </w:t>
      </w:r>
      <w:hyperlink ns5:id="rId298">
        <w:r>
          <w:rPr>
            <w:rStyle w:val="Hipervnculo"/>
          </w:rPr>
          <w:t xml:space="preserve">https://doi.org/10.1007/978-3-031-04083-2_2</w:t>
        </w:r>
      </w:hyperlink>
      <w:r>
        <w:t xml:space="preserve">.</w:t>
      </w:r>
    </w:p>
    <w:bookmarkEnd w:id="299"/>
    <w:bookmarkStart w:id="301" w:name="ref-hosseini2025"/>
    <w:p>
      <w:pPr>
        <w:pStyle w:val="Bibliography"/>
        <w:spacing w:line="360" w:lineRule="auto"/>
        <w:jc w:val="both"/>
      </w:pPr>
      <w:r>
        <w:t xml:space="preserve">Hosseini, Soodeh, y Hossein Seilani. 2025.</w:t>
      </w:r>
      <w:r>
        <w:t xml:space="preserve"> </w:t>
      </w:r>
      <w:r>
        <w:t xml:space="preserve">«The role of agentic AI in shaping a smart future: A systematic review»</w:t>
      </w:r>
      <w:r>
        <w:t xml:space="preserve">.</w:t>
      </w:r>
      <w:r>
        <w:t xml:space="preserve"> </w:t>
      </w:r>
      <w:r>
        <w:rPr>
          <w:i/>
          <w:iCs/>
        </w:rPr>
        <w:t xml:space="preserve">Array</w:t>
      </w:r>
      <w:r>
        <w:t xml:space="preserve"> </w:t>
      </w:r>
      <w:r>
        <w:t xml:space="preserve">26: 100399.</w:t>
      </w:r>
      <w:r>
        <w:t xml:space="preserve"> </w:t>
      </w:r>
      <w:hyperlink ns5:id="rId300">
        <w:r>
          <w:rPr>
            <w:rStyle w:val="Hipervnculo"/>
          </w:rPr>
          <w:t xml:space="preserve">https://doi.org/10.1016/j.array.2025.100399</w:t>
        </w:r>
      </w:hyperlink>
      <w:r>
        <w:t xml:space="preserve">.</w:t>
      </w:r>
    </w:p>
    <w:bookmarkEnd w:id="301"/>
    <w:bookmarkStart w:id="303"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w:t>
      </w:r>
      <w:r>
        <w:t xml:space="preserve"> </w:t>
      </w:r>
      <w:r>
        <w:rPr>
          <w:i/>
          <w:iCs/>
        </w:rPr>
        <w:t xml:space="preserve">Science</w:t>
      </w:r>
      <w:r>
        <w:t xml:space="preserve"> </w:t>
      </w:r>
      <w:r>
        <w:t xml:space="preserve">359 (6377): 725-26.</w:t>
      </w:r>
      <w:r>
        <w:t xml:space="preserve"> </w:t>
      </w:r>
      <w:hyperlink ns5:id="rId302">
        <w:r>
          <w:rPr>
            <w:rStyle w:val="Hipervnculo"/>
          </w:rPr>
          <w:t xml:space="preserve">https://doi.org/10.1126/science.359.6377.725</w:t>
        </w:r>
      </w:hyperlink>
      <w:r>
        <w:t xml:space="preserve">.</w:t>
      </w:r>
    </w:p>
    <w:bookmarkEnd w:id="303"/>
    <w:bookmarkStart w:id="305" w:name="ref-iatrellis2023"/>
    <w:p>
      <w:pPr>
        <w:pStyle w:val="Bibliography"/>
        <w:spacing w:line="360" w:lineRule="auto"/>
        <w:jc w:val="both"/>
      </w:pPr>
      <w:r>
        <w:t xml:space="preserve">Iatrellis, Omiros, Nicholas Samaras, Charalampos Dervenis, y Theodor Panagiotakopoulos. 2023.</w:t>
      </w:r>
      <w:r>
        <w:t xml:space="preserve"> </w:t>
      </w:r>
      <w:r>
        <w:t xml:space="preserve">«KONX: A Dynamic Approach for Explainable AI in Higher Education»</w:t>
      </w:r>
      <w:r>
        <w:t xml:space="preserve">.</w:t>
      </w:r>
      <w:r>
        <w:t xml:space="preserve"> </w:t>
      </w:r>
      <w:r>
        <w:rPr>
          <w:i/>
          <w:iCs/>
        </w:rPr>
        <w:t xml:space="preserve">Proceedings of the 7th International Conference on Algorithms, Computing and Systems</w:t>
      </w:r>
      <w:r>
        <w:t xml:space="preserve">, 118-24.</w:t>
      </w:r>
      <w:r>
        <w:t xml:space="preserve"> </w:t>
      </w:r>
      <w:hyperlink ns5:id="rId304">
        <w:r>
          <w:rPr>
            <w:rStyle w:val="Hipervnculo"/>
          </w:rPr>
          <w:t xml:space="preserve">https://doi.org/10.1145/3631908.3631925</w:t>
        </w:r>
      </w:hyperlink>
      <w:r>
        <w:t xml:space="preserve">.</w:t>
      </w:r>
    </w:p>
    <w:bookmarkEnd w:id="305"/>
    <w:bookmarkStart w:id="307" w:name="ref-ji2022"/>
    <w:p>
      <w:pPr>
        <w:pStyle w:val="Bibliography"/>
        <w:spacing w:line="360" w:lineRule="auto"/>
        <w:jc w:val="both"/>
      </w:pPr>
      <w:r>
        <w:t xml:space="preserve">Ji, Lee, Z. 2022.</w:t>
      </w:r>
      <w:r>
        <w:t xml:space="preserve"> </w:t>
      </w:r>
      <w:r>
        <w:t xml:space="preserve">«Survey of Hallucination in Natural Language Generation»</w:t>
      </w:r>
      <w:r>
        <w:t xml:space="preserve">.</w:t>
      </w:r>
      <w:r>
        <w:t xml:space="preserve"> </w:t>
      </w:r>
      <w:r>
        <w:rPr>
          <w:i/>
          <w:iCs/>
        </w:rPr>
        <w:t xml:space="preserve">ACM Computing Surveys</w:t>
      </w:r>
      <w:r>
        <w:t xml:space="preserve"> </w:t>
      </w:r>
      <w:r>
        <w:t xml:space="preserve">55 (12): 1-38.</w:t>
      </w:r>
      <w:r>
        <w:t xml:space="preserve"> </w:t>
      </w:r>
      <w:hyperlink ns5:id="rId306">
        <w:r>
          <w:rPr>
            <w:rStyle w:val="Hipervnculo"/>
          </w:rPr>
          <w:t xml:space="preserve">https://doi.org/10.1145/3571730</w:t>
        </w:r>
      </w:hyperlink>
      <w:r>
        <w:t xml:space="preserve">.</w:t>
      </w:r>
    </w:p>
    <w:bookmarkEnd w:id="307"/>
    <w:bookmarkStart w:id="308" w:name="ref-kadir2023"/>
    <w:p>
      <w:pPr>
        <w:pStyle w:val="Bibliography"/>
        <w:spacing w:line="360" w:lineRule="auto"/>
        <w:jc w:val="both"/>
      </w:pPr>
      <w:r>
        <w:t xml:space="preserve">Kadir, Md Abdul, Amir Mosavi, y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08"/>
    <w:bookmarkStart w:id="310" w:name="ref-kalasampath2025"/>
    <w:p>
      <w:pPr>
        <w:pStyle w:val="Bibliography"/>
        <w:spacing w:line="360" w:lineRule="auto"/>
        <w:jc w:val="both"/>
      </w:pPr>
      <w:r>
        <w:t xml:space="preserve">Kalasampath, Khushi, K. N. Spoorthi, Sreeparvathy Sajeev, Sahil Sarma Kuppa, Kavya Ajay, y Angulakshmi Maruthamuthu. 2025.</w:t>
      </w:r>
      <w:r>
        <w:t xml:space="preserve"> </w:t>
      </w:r>
      <w:r>
        <w:t xml:space="preserve">«A Literature Review on Applications of Explainable Artificial Intelligence (XAI)»</w:t>
      </w:r>
      <w:r>
        <w:t xml:space="preserve">.</w:t>
      </w:r>
      <w:r>
        <w:t xml:space="preserve"> </w:t>
      </w:r>
      <w:r>
        <w:rPr>
          <w:i/>
          <w:iCs/>
        </w:rPr>
        <w:t xml:space="preserve">IEEE Access</w:t>
      </w:r>
      <w:r>
        <w:t xml:space="preserve"> </w:t>
      </w:r>
      <w:r>
        <w:t xml:space="preserve">13: 41111-40.</w:t>
      </w:r>
      <w:r>
        <w:t xml:space="preserve"> </w:t>
      </w:r>
      <w:hyperlink ns5:id="rId309">
        <w:r>
          <w:rPr>
            <w:rStyle w:val="Hipervnculo"/>
          </w:rPr>
          <w:t xml:space="preserve">https://doi.org/10.1109/access.2025.3546681</w:t>
        </w:r>
      </w:hyperlink>
      <w:r>
        <w:t xml:space="preserve">.</w:t>
      </w:r>
    </w:p>
    <w:bookmarkEnd w:id="310"/>
    <w:bookmarkStart w:id="312" w:name="ref-karimi2022"/>
    <w:p>
      <w:pPr>
        <w:pStyle w:val="Bibliography"/>
        <w:spacing w:line="360" w:lineRule="auto"/>
        <w:jc w:val="both"/>
      </w:pPr>
      <w:r>
        <w:t xml:space="preserve">Karimi, Amir-Hossein, Gilles Barthe, Bernhard Schölkopf, y Isabel Valera. 2022.</w:t>
      </w:r>
      <w:r>
        <w:t xml:space="preserve"> </w:t>
      </w:r>
      <w:r>
        <w:t xml:space="preserve">«A Survey of Algorithmic Recourse: Contrastive Explanations and Consequential Recommendations»</w:t>
      </w:r>
      <w:r>
        <w:t xml:space="preserve">.</w:t>
      </w:r>
      <w:r>
        <w:t xml:space="preserve"> </w:t>
      </w:r>
      <w:r>
        <w:rPr>
          <w:i/>
          <w:iCs/>
        </w:rPr>
        <w:t xml:space="preserve">ACM Computing Surveys</w:t>
      </w:r>
      <w:r>
        <w:t xml:space="preserve"> </w:t>
      </w:r>
      <w:r>
        <w:t xml:space="preserve">55 (5): 1-29.</w:t>
      </w:r>
      <w:r>
        <w:t xml:space="preserve"> </w:t>
      </w:r>
      <w:hyperlink ns5:id="rId311">
        <w:r>
          <w:rPr>
            <w:rStyle w:val="Hipervnculo"/>
          </w:rPr>
          <w:t xml:space="preserve">https://doi.org/10.1145/3527848</w:t>
        </w:r>
      </w:hyperlink>
      <w:r>
        <w:t xml:space="preserve">.</w:t>
      </w:r>
    </w:p>
    <w:bookmarkEnd w:id="312"/>
    <w:bookmarkStart w:id="314" w:name="ref-karmakar2024"/>
    <w:p>
      <w:pPr>
        <w:pStyle w:val="Bibliography"/>
        <w:spacing w:line="360" w:lineRule="auto"/>
        <w:jc w:val="both"/>
      </w:pPr>
      <w:r>
        <w:t xml:space="preserve">Karmakar, Pratik, Mikaël Monet, Pierre Senellart, y Stephane Bressan. 2024.</w:t>
      </w:r>
      <w:r>
        <w:t xml:space="preserve"> </w:t>
      </w:r>
      <w:r>
        <w:t xml:space="preserve">«Expected Shapley-Like Scores of Boolean functions: Complexity and Applications to Probabilistic Databases»</w:t>
      </w:r>
      <w:r>
        <w:t xml:space="preserve">.</w:t>
      </w:r>
      <w:r>
        <w:t xml:space="preserve"> </w:t>
      </w:r>
      <w:r>
        <w:rPr>
          <w:i/>
          <w:iCs/>
        </w:rPr>
        <w:t xml:space="preserve">Proceedings of the ACM on Management of Data</w:t>
      </w:r>
      <w:r>
        <w:t xml:space="preserve"> </w:t>
      </w:r>
      <w:r>
        <w:t xml:space="preserve">2 (2): 1-26.</w:t>
      </w:r>
      <w:r>
        <w:t xml:space="preserve"> </w:t>
      </w:r>
      <w:hyperlink ns5:id="rId313">
        <w:r>
          <w:rPr>
            <w:rStyle w:val="Hipervnculo"/>
          </w:rPr>
          <w:t xml:space="preserve">https://doi.org/10.1145/3651593</w:t>
        </w:r>
      </w:hyperlink>
      <w:r>
        <w:t xml:space="preserve">.</w:t>
      </w:r>
    </w:p>
    <w:bookmarkEnd w:id="314"/>
    <w:bookmarkStart w:id="316" w:name="ref-kaur2020"/>
    <w:p>
      <w:pPr>
        <w:pStyle w:val="Bibliography"/>
        <w:spacing w:line="360" w:lineRule="auto"/>
        <w:jc w:val="both"/>
      </w:pPr>
      <w:r>
        <w:t xml:space="preserve">Kaur, Harmanpreet, Harsha Nori, Samuel Jenkins, Rich Caruana, Hanna Wallach, y Jennifer Wortman Vaughan. 2020.</w:t>
      </w:r>
      <w:r>
        <w:t xml:space="preserve"> </w:t>
      </w:r>
      <w:r>
        <w:t xml:space="preserve">«Interpreting Interpretability: Understanding Data Scientists’ Use of Interpretability Tools for Machine Learning»</w:t>
      </w:r>
      <w:r>
        <w:t xml:space="preserve">.</w:t>
      </w:r>
      <w:r>
        <w:t xml:space="preserve"> </w:t>
      </w:r>
      <w:r>
        <w:rPr>
          <w:i/>
          <w:iCs/>
        </w:rPr>
        <w:t xml:space="preserve">Proceedings of the 2020 CHI Conference on Human Factors in Computing Systems</w:t>
      </w:r>
      <w:r>
        <w:t xml:space="preserve">, 1-14.</w:t>
      </w:r>
      <w:r>
        <w:t xml:space="preserve"> </w:t>
      </w:r>
      <w:hyperlink ns5:id="rId315">
        <w:r>
          <w:rPr>
            <w:rStyle w:val="Hipervnculo"/>
          </w:rPr>
          <w:t xml:space="preserve">https://doi.org/10.1145/3313831.3376219</w:t>
        </w:r>
      </w:hyperlink>
      <w:r>
        <w:t xml:space="preserve">.</w:t>
      </w:r>
    </w:p>
    <w:bookmarkEnd w:id="316"/>
    <w:bookmarkStart w:id="317"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w:t>
      </w:r>
      <w:r>
        <w:t xml:space="preserve"> </w:t>
      </w:r>
      <w:r>
        <w:rPr>
          <w:i/>
          <w:iCs/>
        </w:rPr>
        <w:t xml:space="preserve">Proceedings of the 35th International Conference on Machine Learning</w:t>
      </w:r>
      <w:r>
        <w:t xml:space="preserve">.</w:t>
      </w:r>
    </w:p>
    <w:bookmarkEnd w:id="317"/>
    <w:bookmarkStart w:id="319"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w:t>
      </w:r>
      <w:r>
        <w:t xml:space="preserve"> </w:t>
      </w:r>
      <w:r>
        <w:rPr>
          <w:i/>
          <w:iCs/>
        </w:rPr>
        <w:t xml:space="preserve">Extended Abstracts of the CHI Conference on Human Factors in Computing Systems</w:t>
      </w:r>
      <w:r>
        <w:t xml:space="preserve">, 1-6.</w:t>
      </w:r>
      <w:r>
        <w:t xml:space="preserve"> </w:t>
      </w:r>
      <w:hyperlink ns5:id="rId318">
        <w:r>
          <w:rPr>
            <w:rStyle w:val="Hipervnculo"/>
          </w:rPr>
          <w:t xml:space="preserve">https://doi.org/10.1145/3613905.3638184</w:t>
        </w:r>
      </w:hyperlink>
      <w:r>
        <w:t xml:space="preserve">.</w:t>
      </w:r>
    </w:p>
    <w:bookmarkEnd w:id="319"/>
    <w:bookmarkStart w:id="320"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w:t>
      </w:r>
      <w:r>
        <w:t xml:space="preserve"> </w:t>
      </w:r>
      <w:r>
        <w:rPr>
          <w:i/>
          <w:iCs/>
        </w:rPr>
        <w:t xml:space="preserve">Proceedings of the 37th International Conference on Machine Learning</w:t>
      </w:r>
      <w:r>
        <w:t xml:space="preserve">.</w:t>
      </w:r>
    </w:p>
    <w:bookmarkEnd w:id="320"/>
    <w:bookmarkStart w:id="322" w:name="ref-kohavi1996"/>
    <w:p>
      <w:pPr>
        <w:pStyle w:val="Bibliography"/>
        <w:spacing w:line="360" w:lineRule="auto"/>
        <w:jc w:val="both"/>
      </w:pPr>
      <w:r>
        <w:t xml:space="preserve">Kohavi, Ron, y Barry Becker. 1996.</w:t>
      </w:r>
      <w:r>
        <w:t xml:space="preserve"> </w:t>
      </w:r>
      <w:r>
        <w:rPr>
          <w:i/>
          <w:iCs/>
        </w:rPr>
        <w:t xml:space="preserve">Adult Data Set</w:t>
      </w:r>
      <w:r>
        <w:t xml:space="preserve">. UCI Machine Learning Repository.</w:t>
      </w:r>
      <w:r>
        <w:t xml:space="preserve"> </w:t>
      </w:r>
      <w:hyperlink ns5:id="rId321">
        <w:r>
          <w:rPr>
            <w:rStyle w:val="Hipervnculo"/>
          </w:rPr>
          <w:t xml:space="preserve">https://archive.ics.uci.edu/dataset/2/adult</w:t>
        </w:r>
      </w:hyperlink>
      <w:r>
        <w:t xml:space="preserve">.</w:t>
      </w:r>
    </w:p>
    <w:bookmarkEnd w:id="322"/>
    <w:bookmarkStart w:id="324" w:name="ref-koo2016"/>
    <w:p>
      <w:pPr>
        <w:pStyle w:val="Bibliography"/>
        <w:spacing w:line="360" w:lineRule="auto"/>
        <w:jc w:val="both"/>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ns5:id="rId323">
        <w:r>
          <w:rPr>
            <w:rStyle w:val="Hipervnculo"/>
          </w:rPr>
          <w:t xml:space="preserve">https://doi.org/10.1016/j.jcm.2016.02.012</w:t>
        </w:r>
      </w:hyperlink>
      <w:r>
        <w:t xml:space="preserve">.</w:t>
      </w:r>
    </w:p>
    <w:bookmarkEnd w:id="324"/>
    <w:bookmarkStart w:id="325"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4.ª ed. SAGE Publications.</w:t>
      </w:r>
    </w:p>
    <w:bookmarkEnd w:id="325"/>
    <w:bookmarkStart w:id="327" w:name="ref-kumagai2023"/>
    <w:p>
      <w:pPr>
        <w:pStyle w:val="Bibliography"/>
        <w:spacing w:line="360" w:lineRule="auto"/>
        <w:jc w:val="both"/>
      </w:pPr>
      <w:r>
        <w:t xml:space="preserve">Kumagai, Ryo, Shu Takemoto, Yusuke Nozaki, y Masaya Yoshikawa. 2023.</w:t>
      </w:r>
      <w:r>
        <w:t xml:space="preserve"> </w:t>
      </w:r>
      <w:r>
        <w:t xml:space="preserve">«Explainable AI based Adversarial Examples and its Evaluation»</w:t>
      </w:r>
      <w:r>
        <w:t xml:space="preserve">.</w:t>
      </w:r>
      <w:r>
        <w:t xml:space="preserve"> </w:t>
      </w:r>
      <w:r>
        <w:rPr>
          <w:i/>
          <w:iCs/>
        </w:rPr>
        <w:t xml:space="preserve">Proceedings of the 2023 6th International Conference on Electronics, Communications and Control Engineering</w:t>
      </w:r>
      <w:r>
        <w:t xml:space="preserve">, 220-25.</w:t>
      </w:r>
      <w:r>
        <w:t xml:space="preserve"> </w:t>
      </w:r>
      <w:hyperlink ns5:id="rId326">
        <w:r>
          <w:rPr>
            <w:rStyle w:val="Hipervnculo"/>
          </w:rPr>
          <w:t xml:space="preserve">https://doi.org/10.1145/3592307.3592342</w:t>
        </w:r>
      </w:hyperlink>
      <w:r>
        <w:t xml:space="preserve">.</w:t>
      </w:r>
    </w:p>
    <w:bookmarkEnd w:id="327"/>
    <w:bookmarkStart w:id="329"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w:t>
      </w:r>
      <w:r>
        <w:t xml:space="preserve"> </w:t>
      </w:r>
      <w:r>
        <w:rPr>
          <w:i/>
          <w:iCs/>
        </w:rPr>
        <w:t xml:space="preserve">Frontiers in Psychology</w:t>
      </w:r>
      <w:r>
        <w:t xml:space="preserve"> </w:t>
      </w:r>
      <w:r>
        <w:t xml:space="preserve">4: 863.</w:t>
      </w:r>
      <w:r>
        <w:t xml:space="preserve"> </w:t>
      </w:r>
      <w:hyperlink ns5:id="rId328">
        <w:r>
          <w:rPr>
            <w:rStyle w:val="Hipervnculo"/>
          </w:rPr>
          <w:t xml:space="preserve">https://doi.org/10.3389/fpsyg.2013.00863</w:t>
        </w:r>
      </w:hyperlink>
      <w:r>
        <w:t xml:space="preserve">.</w:t>
      </w:r>
    </w:p>
    <w:bookmarkEnd w:id="329"/>
    <w:bookmarkStart w:id="331"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w:t>
      </w:r>
      <w:r>
        <w:t xml:space="preserve"> </w:t>
      </w:r>
      <w:r>
        <w:rPr>
          <w:i/>
          <w:iCs/>
        </w:rPr>
        <w:t xml:space="preserve">Artificial Intelligence</w:t>
      </w:r>
      <w:r>
        <w:t xml:space="preserve"> </w:t>
      </w:r>
      <w:r>
        <w:t xml:space="preserve">296: 103473.</w:t>
      </w:r>
      <w:r>
        <w:t xml:space="preserve"> </w:t>
      </w:r>
      <w:hyperlink ns5:id="rId330">
        <w:r>
          <w:rPr>
            <w:rStyle w:val="Hipervnculo"/>
          </w:rPr>
          <w:t xml:space="preserve">https://doi.org/10.1016/j.artint.2021.103473</w:t>
        </w:r>
      </w:hyperlink>
      <w:r>
        <w:t xml:space="preserve">.</w:t>
      </w:r>
    </w:p>
    <w:bookmarkEnd w:id="331"/>
    <w:bookmarkStart w:id="333" w:name="ref-laugel2019"/>
    <w:p>
      <w:pPr>
        <w:pStyle w:val="Bibliography"/>
        <w:spacing w:line="360" w:lineRule="auto"/>
        <w:jc w:val="both"/>
      </w:pPr>
      <w:r>
        <w:t xml:space="preserve">Laugel, Thibault, Marie-Jeanne Lesot, Christophe Marsala, Xavier Renard, y Marcin Detyniecki. 2019.</w:t>
      </w:r>
      <w:r>
        <w:t xml:space="preserve"> </w:t>
      </w:r>
      <w:r>
        <w:t xml:space="preserve">«The Dangers of Post-hoc Interpretability: Unjustified Counterfactual Explanations»</w:t>
      </w:r>
      <w:r>
        <w:t xml:space="preserve">.</w:t>
      </w:r>
      <w:r>
        <w:t xml:space="preserve"> </w:t>
      </w:r>
      <w:r>
        <w:rPr>
          <w:i/>
          <w:iCs/>
        </w:rPr>
        <w:t xml:space="preserve">Proceedings of the Twenty-Eighth International Joint Conference on Artificial Intelligence</w:t>
      </w:r>
      <w:r>
        <w:t xml:space="preserve">, 2801-7.</w:t>
      </w:r>
      <w:r>
        <w:t xml:space="preserve"> </w:t>
      </w:r>
      <w:hyperlink ns5:id="rId332">
        <w:r>
          <w:rPr>
            <w:rStyle w:val="Hipervnculo"/>
          </w:rPr>
          <w:t xml:space="preserve">https://doi.org/10.24963/ijcai.2019/388</w:t>
        </w:r>
      </w:hyperlink>
      <w:r>
        <w:t xml:space="preserve">.</w:t>
      </w:r>
    </w:p>
    <w:bookmarkEnd w:id="333"/>
    <w:bookmarkStart w:id="334" w:name="ref-li2022"/>
    <w:p>
      <w:pPr>
        <w:pStyle w:val="Bibliography"/>
        <w:spacing w:line="360" w:lineRule="auto"/>
        <w:jc w:val="both"/>
      </w:pPr>
      <w:r>
        <w:t xml:space="preserve">Li, Xuhong, Haoyi Xiong, Xingjian Li, Xuanyu Wu, Zeyu Chen, y Dejing Dou. 2022.</w:t>
      </w:r>
      <w:r>
        <w:t xml:space="preserve"> </w:t>
      </w:r>
      <w:r>
        <w:t xml:space="preserve">«InterpretDL: Explaining Deep Models in PaddlePaddle»</w:t>
      </w:r>
      <w:r>
        <w:t xml:space="preserve">.</w:t>
      </w:r>
      <w:r>
        <w:t xml:space="preserve"> </w:t>
      </w:r>
      <w:r>
        <w:rPr>
          <w:i/>
          <w:iCs/>
        </w:rPr>
        <w:t xml:space="preserve">Journal of Machine Learning Research</w:t>
      </w:r>
      <w:r>
        <w:t xml:space="preserve"> </w:t>
      </w:r>
      <w:r>
        <w:t xml:space="preserve">23: 1-6.</w:t>
      </w:r>
    </w:p>
    <w:bookmarkEnd w:id="334"/>
    <w:bookmarkStart w:id="336"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w:t>
      </w:r>
      <w:r>
        <w:t xml:space="preserve"> </w:t>
      </w:r>
      <w:r>
        <w:rPr>
          <w:i/>
          <w:iCs/>
        </w:rPr>
        <w:t xml:space="preserve">Entropy</w:t>
      </w:r>
      <w:r>
        <w:t xml:space="preserve"> </w:t>
      </w:r>
      <w:r>
        <w:t xml:space="preserve">23 (1): 18.</w:t>
      </w:r>
      <w:r>
        <w:t xml:space="preserve"> </w:t>
      </w:r>
      <w:hyperlink ns5:id="rId335">
        <w:r>
          <w:rPr>
            <w:rStyle w:val="Hipervnculo"/>
          </w:rPr>
          <w:t xml:space="preserve">https://doi.org/10.3390/e23010018</w:t>
        </w:r>
      </w:hyperlink>
      <w:r>
        <w:t xml:space="preserve">.</w:t>
      </w:r>
    </w:p>
    <w:bookmarkEnd w:id="336"/>
    <w:bookmarkStart w:id="338" w:name="ref-lipton2018"/>
    <w:p>
      <w:pPr>
        <w:pStyle w:val="Bibliography"/>
        <w:spacing w:line="360" w:lineRule="auto"/>
        <w:jc w:val="both"/>
      </w:pPr>
      <w:r>
        <w:t xml:space="preserve">Lipton, Z. C. 2018.</w:t>
      </w:r>
      <w:r>
        <w:t xml:space="preserve"> </w:t>
      </w:r>
      <w:r>
        <w:t xml:space="preserve">«The mythos of model interpretability»</w:t>
      </w:r>
      <w:r>
        <w:t xml:space="preserve">.</w:t>
      </w:r>
      <w:r>
        <w:t xml:space="preserve"> </w:t>
      </w:r>
      <w:r>
        <w:rPr>
          <w:i/>
          <w:iCs/>
        </w:rPr>
        <w:t xml:space="preserve">Queue</w:t>
      </w:r>
      <w:r>
        <w:t xml:space="preserve"> </w:t>
      </w:r>
      <w:r>
        <w:t xml:space="preserve">16 (3): 31-57.</w:t>
      </w:r>
      <w:r>
        <w:t xml:space="preserve"> </w:t>
      </w:r>
      <w:hyperlink ns5:id="rId337">
        <w:r>
          <w:rPr>
            <w:rStyle w:val="Hipervnculo"/>
          </w:rPr>
          <w:t xml:space="preserve">https://doi.org/10.1145/3236386.3241340</w:t>
        </w:r>
      </w:hyperlink>
      <w:r>
        <w:t xml:space="preserve">.</w:t>
      </w:r>
    </w:p>
    <w:bookmarkEnd w:id="338"/>
    <w:bookmarkStart w:id="339"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39"/>
    <w:bookmarkStart w:id="340" w:name="ref-long2019"/>
    <w:p>
      <w:pPr>
        <w:pStyle w:val="Bibliography"/>
        <w:spacing w:line="360" w:lineRule="auto"/>
        <w:jc w:val="both"/>
      </w:pPr>
      <w:r>
        <w:t xml:space="preserve">Long, Bowen, Enjie Liu, Renxi Qiu, y Yanqing Duan. 2019.</w:t>
      </w:r>
      <w:r>
        <w:t xml:space="preserve"> </w:t>
      </w:r>
      <w:r>
        <w:rPr>
          <w:i/>
          <w:iCs/>
        </w:rPr>
        <w:t xml:space="preserve">Explainable AI: The Latest Advancements and New Trends</w:t>
      </w:r>
      <w:r>
        <w:t xml:space="preserve">.</w:t>
      </w:r>
    </w:p>
    <w:bookmarkEnd w:id="340"/>
    <w:bookmarkStart w:id="342"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w:t>
      </w:r>
      <w:r>
        <w:t xml:space="preserve"> </w:t>
      </w:r>
      <w:r>
        <w:rPr>
          <w:i/>
          <w:iCs/>
        </w:rPr>
        <w:t xml:space="preserve">Information Fusion</w:t>
      </w:r>
      <w:r>
        <w:t xml:space="preserve"> </w:t>
      </w:r>
      <w:r>
        <w:t xml:space="preserve">106: 102301.</w:t>
      </w:r>
      <w:r>
        <w:t xml:space="preserve"> </w:t>
      </w:r>
      <w:hyperlink ns5:id="rId341">
        <w:r>
          <w:rPr>
            <w:rStyle w:val="Hipervnculo"/>
          </w:rPr>
          <w:t xml:space="preserve">https://doi.org/10.1016/j.inffus.2024.102301</w:t>
        </w:r>
      </w:hyperlink>
      <w:r>
        <w:t xml:space="preserve">.</w:t>
      </w:r>
    </w:p>
    <w:bookmarkEnd w:id="342"/>
    <w:bookmarkStart w:id="344"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w:t>
      </w:r>
      <w:r>
        <w:t xml:space="preserve"> </w:t>
      </w:r>
      <w:r>
        <w:rPr>
          <w:i/>
          <w:iCs/>
        </w:rPr>
        <w:t xml:space="preserve">arXiv (Cornell University)</w:t>
      </w:r>
      <w:r>
        <w:t xml:space="preserve">, advance online publication.</w:t>
      </w:r>
      <w:r>
        <w:t xml:space="preserve"> </w:t>
      </w:r>
      <w:hyperlink ns5:id="rId343">
        <w:r>
          <w:rPr>
            <w:rStyle w:val="Hipervnculo"/>
          </w:rPr>
          <w:t xml:space="preserve">https://doi.org/10.48550/arxiv.1705.07874</w:t>
        </w:r>
      </w:hyperlink>
      <w:r>
        <w:t xml:space="preserve">.</w:t>
      </w:r>
    </w:p>
    <w:bookmarkEnd w:id="344"/>
    <w:bookmarkStart w:id="346"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w:t>
      </w:r>
      <w:r>
        <w:t xml:space="preserve"> </w:t>
      </w:r>
      <w:r>
        <w:rPr>
          <w:i/>
          <w:iCs/>
        </w:rPr>
        <w:t xml:space="preserve">ICIMMI ’23: Proceedings of the 5th International Conference on Information Management &amp; Machine Intelligence Article No.: 85, 1–9</w:t>
      </w:r>
      <w:r>
        <w:t xml:space="preserve">, advance online publication.</w:t>
      </w:r>
      <w:r>
        <w:t xml:space="preserve"> </w:t>
      </w:r>
      <w:hyperlink ns5:id="rId345">
        <w:r>
          <w:rPr>
            <w:rStyle w:val="Hipervnculo"/>
          </w:rPr>
          <w:t xml:space="preserve">https://doi.org/10.1145/3647444.3647912</w:t>
        </w:r>
      </w:hyperlink>
      <w:r>
        <w:t xml:space="preserve">.</w:t>
      </w:r>
    </w:p>
    <w:bookmarkEnd w:id="346"/>
    <w:bookmarkStart w:id="348"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w:t>
      </w:r>
      <w:r>
        <w:t xml:space="preserve"> </w:t>
      </w:r>
      <w:r>
        <w:rPr>
          <w:i/>
          <w:iCs/>
        </w:rPr>
        <w:t xml:space="preserve">Wiley Interdisciplinary Reviews Data Mining and Knowledge Discovery</w:t>
      </w:r>
      <w:r>
        <w:t xml:space="preserve"> </w:t>
      </w:r>
      <w:r>
        <w:t xml:space="preserve">13 (3).</w:t>
      </w:r>
      <w:r>
        <w:t xml:space="preserve"> </w:t>
      </w:r>
      <w:hyperlink ns5:id="rId347">
        <w:r>
          <w:rPr>
            <w:rStyle w:val="Hipervnculo"/>
          </w:rPr>
          <w:t xml:space="preserve">https://doi.org/10.1002/widm.1493</w:t>
        </w:r>
      </w:hyperlink>
      <w:r>
        <w:t xml:space="preserve">.</w:t>
      </w:r>
    </w:p>
    <w:bookmarkEnd w:id="348"/>
    <w:bookmarkStart w:id="350"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349">
        <w:r>
          <w:rPr>
            <w:rStyle w:val="Hipervnculo"/>
          </w:rPr>
          <w:t xml:space="preserve">https://doi.org/10.1007/978-3-031-75387-9_12</w:t>
        </w:r>
      </w:hyperlink>
      <w:r>
        <w:t xml:space="preserve">.</w:t>
      </w:r>
    </w:p>
    <w:bookmarkEnd w:id="350"/>
    <w:bookmarkStart w:id="352"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w:t>
      </w:r>
      <w:r>
        <w:t xml:space="preserve"> </w:t>
      </w:r>
      <w:r>
        <w:rPr>
          <w:i/>
          <w:iCs/>
        </w:rPr>
        <w:t xml:space="preserve">Artificial Intelligence</w:t>
      </w:r>
      <w:r>
        <w:t xml:space="preserve"> </w:t>
      </w:r>
      <w:r>
        <w:t xml:space="preserve">267: 1-38.</w:t>
      </w:r>
      <w:r>
        <w:t xml:space="preserve"> </w:t>
      </w:r>
      <w:hyperlink ns5:id="rId351">
        <w:r>
          <w:rPr>
            <w:rStyle w:val="Hipervnculo"/>
          </w:rPr>
          <w:t xml:space="preserve">https://doi.org/10.1016/j.artint.2018.07.007</w:t>
        </w:r>
      </w:hyperlink>
      <w:r>
        <w:t xml:space="preserve">.</w:t>
      </w:r>
    </w:p>
    <w:bookmarkEnd w:id="352"/>
    <w:bookmarkStart w:id="353" w:name="ref-mitchell2022"/>
    <w:p>
      <w:pPr>
        <w:pStyle w:val="Bibliography"/>
        <w:spacing w:line="360" w:lineRule="auto"/>
        <w:jc w:val="both"/>
      </w:pPr>
      <w:r>
        <w:t xml:space="preserve">Mitchell, Rory, Joshua Cooper, Eibe Frank, y Geoffrey Holmes. 2022.</w:t>
      </w:r>
      <w:r>
        <w:t xml:space="preserve"> </w:t>
      </w:r>
      <w:r>
        <w:t xml:space="preserve">«Sampling Permutations for Shapley Value Estimation»</w:t>
      </w:r>
      <w:r>
        <w:t xml:space="preserve">.</w:t>
      </w:r>
      <w:r>
        <w:t xml:space="preserve"> </w:t>
      </w:r>
      <w:r>
        <w:rPr>
          <w:i/>
          <w:iCs/>
        </w:rPr>
        <w:t xml:space="preserve">Journal of Machine Learning Research</w:t>
      </w:r>
      <w:r>
        <w:t xml:space="preserve"> </w:t>
      </w:r>
      <w:r>
        <w:t xml:space="preserve">23: 1-46.</w:t>
      </w:r>
    </w:p>
    <w:bookmarkEnd w:id="353"/>
    <w:bookmarkStart w:id="355"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w:t>
      </w:r>
      <w:r>
        <w:t xml:space="preserve"> </w:t>
      </w:r>
      <w:r>
        <w:rPr>
          <w:i/>
          <w:iCs/>
        </w:rPr>
        <w:t xml:space="preserve">Proceedings of the 2023 Fifteenth International Conference on Contemporary Computing</w:t>
      </w:r>
      <w:r>
        <w:t xml:space="preserve">, 537-44.</w:t>
      </w:r>
      <w:r>
        <w:t xml:space="preserve"> </w:t>
      </w:r>
      <w:hyperlink ns5:id="rId354">
        <w:r>
          <w:rPr>
            <w:rStyle w:val="Hipervnculo"/>
          </w:rPr>
          <w:t xml:space="preserve">https://doi.org/10.1145/3607947.3608059</w:t>
        </w:r>
      </w:hyperlink>
      <w:r>
        <w:t xml:space="preserve">.</w:t>
      </w:r>
    </w:p>
    <w:bookmarkEnd w:id="355"/>
    <w:bookmarkStart w:id="357" w:name="ref-mittelstadt2019"/>
    <w:p>
      <w:pPr>
        <w:pStyle w:val="Bibliography"/>
        <w:spacing w:line="360" w:lineRule="auto"/>
        <w:jc w:val="both"/>
      </w:pPr>
      <w:r>
        <w:t xml:space="preserve">Mittelstadt, Russell, B. 2019.</w:t>
      </w:r>
      <w:r>
        <w:t xml:space="preserve"> </w:t>
      </w:r>
      <w:r>
        <w:t xml:space="preserve">«Explaining Explanations in AI»</w:t>
      </w:r>
      <w:r>
        <w:t xml:space="preserve">.</w:t>
      </w:r>
      <w:r>
        <w:t xml:space="preserve"> </w:t>
      </w:r>
      <w:r>
        <w:rPr>
          <w:i/>
          <w:iCs/>
        </w:rPr>
        <w:t xml:space="preserve">FAT* ’19: Proceedings of the Conference on Fairness, Accountability, and Transparency, 279–288</w:t>
      </w:r>
      <w:r>
        <w:t xml:space="preserve">, advance online publication.</w:t>
      </w:r>
      <w:r>
        <w:t xml:space="preserve"> </w:t>
      </w:r>
      <w:hyperlink ns5:id="rId356">
        <w:r>
          <w:rPr>
            <w:rStyle w:val="Hipervnculo"/>
          </w:rPr>
          <w:t xml:space="preserve">https://doi.org/10.1145/3287560.3287574</w:t>
        </w:r>
      </w:hyperlink>
      <w:r>
        <w:t xml:space="preserve">.</w:t>
      </w:r>
    </w:p>
    <w:bookmarkEnd w:id="357"/>
    <w:bookmarkStart w:id="359" w:name="ref-mohseni2021"/>
    <w:p>
      <w:pPr>
        <w:pStyle w:val="Bibliography"/>
        <w:spacing w:line="360" w:lineRule="auto"/>
        <w:jc w:val="both"/>
      </w:pPr>
      <w:r>
        <w:t xml:space="preserve">Mohseni, Sina, Niloofar Zarei, y Eric D. Ragan. 2021.</w:t>
      </w:r>
      <w:r>
        <w:t xml:space="preserve"> </w:t>
      </w:r>
      <w:r>
        <w:t xml:space="preserve">«A Multidisciplinary Survey and Framework for Design and Evaluation of Explainable AI Systems»</w:t>
      </w:r>
      <w:r>
        <w:t xml:space="preserve">.</w:t>
      </w:r>
      <w:r>
        <w:t xml:space="preserve"> </w:t>
      </w:r>
      <w:r>
        <w:rPr>
          <w:i/>
          <w:iCs/>
        </w:rPr>
        <w:t xml:space="preserve">ACM Transactions on Interactive Intelligent Systems</w:t>
      </w:r>
      <w:r>
        <w:t xml:space="preserve"> </w:t>
      </w:r>
      <w:r>
        <w:t xml:space="preserve">11 (3-4): 1-45.</w:t>
      </w:r>
      <w:r>
        <w:t xml:space="preserve"> </w:t>
      </w:r>
      <w:hyperlink ns5:id="rId358">
        <w:r>
          <w:rPr>
            <w:rStyle w:val="Hipervnculo"/>
          </w:rPr>
          <w:t xml:space="preserve">https://doi.org/10.1145/3387166</w:t>
        </w:r>
      </w:hyperlink>
      <w:r>
        <w:t xml:space="preserve">.</w:t>
      </w:r>
    </w:p>
    <w:bookmarkEnd w:id="359"/>
    <w:bookmarkStart w:id="361" w:name="ref-molnar2020"/>
    <w:p>
      <w:pPr>
        <w:pStyle w:val="Bibliography"/>
        <w:spacing w:line="360" w:lineRule="auto"/>
        <w:jc w:val="both"/>
      </w:pPr>
      <w:r>
        <w:t xml:space="preserve">Molnar, Christoph, Giuseppe Casalicchio, y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360">
        <w:r>
          <w:rPr>
            <w:rStyle w:val="Hipervnculo"/>
          </w:rPr>
          <w:t xml:space="preserve">https://doi.org/10.1007/978-3-030-65965-3_28</w:t>
        </w:r>
      </w:hyperlink>
      <w:r>
        <w:t xml:space="preserve">.</w:t>
      </w:r>
    </w:p>
    <w:bookmarkEnd w:id="361"/>
    <w:bookmarkStart w:id="363" w:name="ref-morrison2023"/>
    <w:p>
      <w:pPr>
        <w:pStyle w:val="Bibliography"/>
        <w:spacing w:line="360" w:lineRule="auto"/>
        <w:jc w:val="both"/>
      </w:pPr>
      <w:r>
        <w:t xml:space="preserve">Morrison, Katelyn, Mayank Jain, Jessica Hammer, y Adam Perer. 2023.</w:t>
      </w:r>
      <w:r>
        <w:t xml:space="preserve"> </w:t>
      </w:r>
      <w:r>
        <w:t xml:space="preserve">«Eye into AI: Evaluating the Interpretability of Explainable AI Techniques through a Game with a Purpose»</w:t>
      </w:r>
      <w:r>
        <w:t xml:space="preserve">.</w:t>
      </w:r>
      <w:r>
        <w:t xml:space="preserve"> </w:t>
      </w:r>
      <w:r>
        <w:rPr>
          <w:i/>
          <w:iCs/>
        </w:rPr>
        <w:t xml:space="preserve">Proceedings of the ACM on Human-Computer Interaction</w:t>
      </w:r>
      <w:r>
        <w:t xml:space="preserve"> </w:t>
      </w:r>
      <w:r>
        <w:t xml:space="preserve">7 (CSCW2): 1-22.</w:t>
      </w:r>
      <w:r>
        <w:t xml:space="preserve"> </w:t>
      </w:r>
      <w:hyperlink ns5:id="rId362">
        <w:r>
          <w:rPr>
            <w:rStyle w:val="Hipervnculo"/>
          </w:rPr>
          <w:t xml:space="preserve">https://doi.org/10.1145/3610064</w:t>
        </w:r>
      </w:hyperlink>
      <w:r>
        <w:t xml:space="preserve">.</w:t>
      </w:r>
    </w:p>
    <w:bookmarkEnd w:id="363"/>
    <w:bookmarkStart w:id="365"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w:t>
      </w:r>
      <w:r>
        <w:t xml:space="preserve"> </w:t>
      </w:r>
      <w:r>
        <w:rPr>
          <w:i/>
          <w:iCs/>
        </w:rPr>
        <w:t xml:space="preserve">FAT* ’20: Proceedings of the 2020 Conference on Fairness, Accountability, and Transparency</w:t>
      </w:r>
      <w:r>
        <w:t xml:space="preserve">, advance online publication.</w:t>
      </w:r>
      <w:r>
        <w:t xml:space="preserve"> </w:t>
      </w:r>
      <w:hyperlink ns5:id="rId364">
        <w:r>
          <w:rPr>
            <w:rStyle w:val="Hipervnculo"/>
          </w:rPr>
          <w:t xml:space="preserve">https://doi.org/10.1145/3351095.3372850</w:t>
        </w:r>
      </w:hyperlink>
      <w:r>
        <w:t xml:space="preserve">.</w:t>
      </w:r>
    </w:p>
    <w:bookmarkEnd w:id="365"/>
    <w:bookmarkStart w:id="367" w:name="ref-muntasir2024"/>
    <w:p>
      <w:pPr>
        <w:pStyle w:val="Bibliography"/>
        <w:spacing w:line="360" w:lineRule="auto"/>
        <w:jc w:val="both"/>
      </w:pPr>
      <w:r>
        <w:t xml:space="preserve">Muntasir, Fahim, y Jannatun Noor. 2024.</w:t>
      </w:r>
      <w:r>
        <w:t xml:space="preserve"> </w:t>
      </w:r>
      <w:r>
        <w:t xml:space="preserve">«Explainable AI Discloses Gender Bias in Sexism Detection Algorithm»</w:t>
      </w:r>
      <w:r>
        <w:t xml:space="preserve">.</w:t>
      </w:r>
      <w:r>
        <w:t xml:space="preserve"> </w:t>
      </w:r>
      <w:r>
        <w:rPr>
          <w:i/>
          <w:iCs/>
        </w:rPr>
        <w:t xml:space="preserve">Proceedings of the 11th International Conference on Networking, Systems, and Security</w:t>
      </w:r>
      <w:r>
        <w:t xml:space="preserve">, 120-27.</w:t>
      </w:r>
      <w:r>
        <w:t xml:space="preserve"> </w:t>
      </w:r>
      <w:hyperlink ns5:id="rId366">
        <w:r>
          <w:rPr>
            <w:rStyle w:val="Hipervnculo"/>
          </w:rPr>
          <w:t xml:space="preserve">https://doi.org/10.1145/3704522.3704524</w:t>
        </w:r>
      </w:hyperlink>
      <w:r>
        <w:t xml:space="preserve">.</w:t>
      </w:r>
    </w:p>
    <w:bookmarkEnd w:id="367"/>
    <w:bookmarkStart w:id="369"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w:t>
      </w:r>
      <w:r>
        <w:t xml:space="preserve"> </w:t>
      </w:r>
      <w:r>
        <w:rPr>
          <w:i/>
          <w:iCs/>
        </w:rPr>
        <w:t xml:space="preserve">Proceedings of the National Academy of Sciences</w:t>
      </w:r>
      <w:r>
        <w:t xml:space="preserve"> </w:t>
      </w:r>
      <w:r>
        <w:t xml:space="preserve">116 (44): 22071-80.</w:t>
      </w:r>
      <w:r>
        <w:t xml:space="preserve"> </w:t>
      </w:r>
      <w:hyperlink ns5:id="rId368">
        <w:r>
          <w:rPr>
            <w:rStyle w:val="Hipervnculo"/>
          </w:rPr>
          <w:t xml:space="preserve">https://doi.org/10.1073/pnas.1900654116</w:t>
        </w:r>
      </w:hyperlink>
      <w:r>
        <w:t xml:space="preserve">.</w:t>
      </w:r>
    </w:p>
    <w:bookmarkEnd w:id="369"/>
    <w:bookmarkStart w:id="371" w:name="ref-nannini2024"/>
    <w:p>
      <w:pPr>
        <w:pStyle w:val="Bibliography"/>
        <w:spacing w:line="360" w:lineRule="auto"/>
        <w:jc w:val="both"/>
      </w:pPr>
      <w:r>
        <w:t xml:space="preserve">Nannini, Luca, Marta Marchiori Manerba, y Isacco Beretta. 2024.</w:t>
      </w:r>
      <w:r>
        <w:t xml:space="preserve"> </w:t>
      </w:r>
      <w:r>
        <w:t xml:space="preserve">«Mapping the landscape of ethical considerations in explainable AI research»</w:t>
      </w:r>
      <w:r>
        <w:t xml:space="preserve">.</w:t>
      </w:r>
      <w:r>
        <w:t xml:space="preserve"> </w:t>
      </w:r>
      <w:r>
        <w:rPr>
          <w:i/>
          <w:iCs/>
        </w:rPr>
        <w:t xml:space="preserve">Ethics and Information Technology</w:t>
      </w:r>
      <w:r>
        <w:t xml:space="preserve"> </w:t>
      </w:r>
      <w:r>
        <w:t xml:space="preserve">26 (3).</w:t>
      </w:r>
      <w:r>
        <w:t xml:space="preserve"> </w:t>
      </w:r>
      <w:hyperlink ns5:id="rId370">
        <w:r>
          <w:rPr>
            <w:rStyle w:val="Hipervnculo"/>
          </w:rPr>
          <w:t xml:space="preserve">https://doi.org/10.1007/s10676-024-09773-7</w:t>
        </w:r>
      </w:hyperlink>
      <w:r>
        <w:t xml:space="preserve">.</w:t>
      </w:r>
    </w:p>
    <w:bookmarkEnd w:id="371"/>
    <w:bookmarkStart w:id="373"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w:t>
      </w:r>
      <w:r>
        <w:t xml:space="preserve"> </w:t>
      </w:r>
      <w:r>
        <w:rPr>
          <w:i/>
          <w:iCs/>
        </w:rPr>
        <w:t xml:space="preserve">ACM Computing Surveys</w:t>
      </w:r>
      <w:r>
        <w:t xml:space="preserve"> </w:t>
      </w:r>
      <w:r>
        <w:t xml:space="preserve">55 (13s): 1-42.</w:t>
      </w:r>
      <w:r>
        <w:t xml:space="preserve"> </w:t>
      </w:r>
      <w:hyperlink ns5:id="rId372">
        <w:r>
          <w:rPr>
            <w:rStyle w:val="Hipervnculo"/>
          </w:rPr>
          <w:t xml:space="preserve">https://doi.org/10.1145/3583558</w:t>
        </w:r>
      </w:hyperlink>
      <w:r>
        <w:t xml:space="preserve">.</w:t>
      </w:r>
    </w:p>
    <w:bookmarkEnd w:id="373"/>
    <w:bookmarkStart w:id="375" w:name="ref-nemenyi1963"/>
    <w:p>
      <w:pPr>
        <w:pStyle w:val="Bibliography"/>
        <w:spacing w:line="360" w:lineRule="auto"/>
        <w:jc w:val="both"/>
      </w:pPr>
      <w:r>
        <w:t xml:space="preserve">Nemenyi, Peter Bjorn. 1963.</w:t>
      </w:r>
      <w:r>
        <w:t xml:space="preserve"> </w:t>
      </w:r>
      <w:r>
        <w:t xml:space="preserve">«Distribution-free Multiple Comparisons»</w:t>
      </w:r>
      <w:r>
        <w:t xml:space="preserve">. Tesis doctoral, Princeton University.</w:t>
      </w:r>
      <w:r>
        <w:t xml:space="preserve"> </w:t>
      </w:r>
      <w:hyperlink ns5:id="rId374">
        <w:r>
          <w:rPr>
            <w:rStyle w:val="Hipervnculo"/>
          </w:rPr>
          <w:t xml:space="preserve">https://catalog.princeton.edu/catalog/2081365</w:t>
        </w:r>
      </w:hyperlink>
      <w:r>
        <w:t xml:space="preserve">.</w:t>
      </w:r>
    </w:p>
    <w:bookmarkEnd w:id="375"/>
    <w:bookmarkStart w:id="377" w:name="ref-ngueajio2025"/>
    <w:p>
      <w:pPr>
        <w:pStyle w:val="Bibliography"/>
        <w:spacing w:line="360" w:lineRule="auto"/>
        <w:jc w:val="both"/>
      </w:pPr>
      <w:r>
        <w:t xml:space="preserve">Ngueajio, Mikel K., Saurav Aryal, Marcellin Atemkeng, Gloria Washington, y Danda Rawat. 2025.</w:t>
      </w:r>
      <w:r>
        <w:t xml:space="preserve"> </w:t>
      </w:r>
      <w:r>
        <w:t xml:space="preserve">«Decoding Fake News and Hate Speech: A Survey of Explainable AI Techniques»</w:t>
      </w:r>
      <w:r>
        <w:t xml:space="preserve">.</w:t>
      </w:r>
      <w:r>
        <w:t xml:space="preserve"> </w:t>
      </w:r>
      <w:r>
        <w:rPr>
          <w:i/>
          <w:iCs/>
        </w:rPr>
        <w:t xml:space="preserve">ACM Computing Surveys</w:t>
      </w:r>
      <w:r>
        <w:t xml:space="preserve"> </w:t>
      </w:r>
      <w:r>
        <w:t xml:space="preserve">57 (7): 1-37.</w:t>
      </w:r>
      <w:r>
        <w:t xml:space="preserve"> </w:t>
      </w:r>
      <w:hyperlink ns5:id="rId376">
        <w:r>
          <w:rPr>
            <w:rStyle w:val="Hipervnculo"/>
          </w:rPr>
          <w:t xml:space="preserve">https://doi.org/10.1145/3711123</w:t>
        </w:r>
      </w:hyperlink>
      <w:r>
        <w:t xml:space="preserve">.</w:t>
      </w:r>
    </w:p>
    <w:bookmarkEnd w:id="377"/>
    <w:bookmarkStart w:id="378" w:name="ref-nguyen2019"/>
    <w:p>
      <w:pPr>
        <w:pStyle w:val="Bibliography"/>
        <w:spacing w:line="360" w:lineRule="auto"/>
        <w:jc w:val="both"/>
      </w:pPr>
      <w:r>
        <w:t xml:space="preserve">Nguyen, An-phi, y Maria Rodriguez Martinez. 2019.</w:t>
      </w:r>
      <w:r>
        <w:t xml:space="preserve"> </w:t>
      </w:r>
      <w:r>
        <w:rPr>
          <w:i/>
          <w:iCs/>
        </w:rPr>
        <w:t xml:space="preserve">MonoNet: Towards Interpretable Models by Learning Monotonic Features</w:t>
      </w:r>
      <w:r>
        <w:t xml:space="preserve">.</w:t>
      </w:r>
    </w:p>
    <w:bookmarkEnd w:id="378"/>
    <w:bookmarkStart w:id="380" w:name="ref-nimmo2024"/>
    <w:p>
      <w:pPr>
        <w:pStyle w:val="Bibliography"/>
        <w:spacing w:line="360" w:lineRule="auto"/>
        <w:jc w:val="both"/>
      </w:pPr>
      <w:r>
        <w:t xml:space="preserve">Nimmo, Robert, Marios Constantinides, Ke Zhou, Daniele Quercia, y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379">
        <w:r>
          <w:rPr>
            <w:rStyle w:val="Hipervnculo"/>
          </w:rPr>
          <w:t xml:space="preserve">https://doi.org/10.1145/3613904.3642352</w:t>
        </w:r>
      </w:hyperlink>
      <w:r>
        <w:t xml:space="preserve">.</w:t>
      </w:r>
    </w:p>
    <w:bookmarkEnd w:id="380"/>
    <w:bookmarkStart w:id="381" w:name="ref-nizam2023"/>
    <w:p>
      <w:pPr>
        <w:pStyle w:val="Bibliography"/>
        <w:spacing w:line="360" w:lineRule="auto"/>
        <w:jc w:val="both"/>
      </w:pPr>
      <w:r>
        <w:t xml:space="preserve">Nizam, T., y S. Zafar. 2023.</w:t>
      </w:r>
      <w:r>
        <w:t xml:space="preserve"> </w:t>
      </w:r>
      <w:r>
        <w:t xml:space="preserve">«Towards a Standardised Evaluation Approach for Diverse XAI Methods»</w:t>
      </w:r>
      <w:r>
        <w:t xml:space="preserve">.</w:t>
      </w:r>
      <w:r>
        <w:t xml:space="preserve"> </w:t>
      </w:r>
      <w:r>
        <w:rPr>
          <w:i/>
          <w:iCs/>
        </w:rPr>
        <w:t xml:space="preserve">Explainable Artificial Intelligence (XAI): Conception, Visualization and Assessment</w:t>
      </w:r>
      <w:r>
        <w:t xml:space="preserve">.</w:t>
      </w:r>
    </w:p>
    <w:bookmarkEnd w:id="381"/>
    <w:bookmarkStart w:id="383"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w:t>
      </w:r>
      <w:r>
        <w:t xml:space="preserve"> </w:t>
      </w:r>
      <w:r>
        <w:rPr>
          <w:i/>
          <w:iCs/>
        </w:rPr>
        <w:t xml:space="preserve">Nature Communications</w:t>
      </w:r>
      <w:r>
        <w:t xml:space="preserve"> </w:t>
      </w:r>
      <w:r>
        <w:t xml:space="preserve">13 (1).</w:t>
      </w:r>
      <w:r>
        <w:t xml:space="preserve"> </w:t>
      </w:r>
      <w:hyperlink ns5:id="rId382">
        <w:r>
          <w:rPr>
            <w:rStyle w:val="Hipervnculo"/>
          </w:rPr>
          <w:t xml:space="preserve">https://doi.org/10.1038/s41467-022-33417-3</w:t>
        </w:r>
      </w:hyperlink>
      <w:r>
        <w:t xml:space="preserve">.</w:t>
      </w:r>
    </w:p>
    <w:bookmarkEnd w:id="383"/>
    <w:bookmarkStart w:id="384" w:name="ref-olsen2022"/>
    <w:p>
      <w:pPr>
        <w:pStyle w:val="Bibliography"/>
        <w:spacing w:line="360" w:lineRule="auto"/>
        <w:jc w:val="both"/>
      </w:pPr>
      <w:r>
        <w:t xml:space="preserve">Olsen, Lars Henry Berge, Ingrid Kristine Glad, Martin Jullum, y Kjersti Aas. 2022.</w:t>
      </w:r>
      <w:r>
        <w:t xml:space="preserve"> </w:t>
      </w:r>
      <w:r>
        <w:t xml:space="preserve">«Using Shapley Values and Variational Autoencoders to Explain Predictive Models with Dependent Mixed Features»</w:t>
      </w:r>
      <w:r>
        <w:t xml:space="preserve">.</w:t>
      </w:r>
      <w:r>
        <w:t xml:space="preserve"> </w:t>
      </w:r>
      <w:r>
        <w:rPr>
          <w:i/>
          <w:iCs/>
        </w:rPr>
        <w:t xml:space="preserve">Journal of Machine Learning Research</w:t>
      </w:r>
      <w:r>
        <w:t xml:space="preserve"> </w:t>
      </w:r>
      <w:r>
        <w:t xml:space="preserve">23: 1-51.</w:t>
      </w:r>
    </w:p>
    <w:bookmarkEnd w:id="384"/>
    <w:bookmarkStart w:id="386"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w:t>
      </w:r>
      <w:r>
        <w:t xml:space="preserve"> </w:t>
      </w:r>
      <w:r>
        <w:rPr>
          <w:i/>
          <w:iCs/>
        </w:rPr>
        <w:t xml:space="preserve">Neurocomputing</w:t>
      </w:r>
      <w:r>
        <w:t xml:space="preserve"> </w:t>
      </w:r>
      <w:r>
        <w:t xml:space="preserve">602 (128282).</w:t>
      </w:r>
      <w:r>
        <w:t xml:space="preserve"> </w:t>
      </w:r>
      <w:hyperlink ns5:id="rId385">
        <w:r>
          <w:rPr>
            <w:rStyle w:val="Hipervnculo"/>
          </w:rPr>
          <w:t xml:space="preserve">https://doi.org/10.1016/j.neucom.2024.128282</w:t>
        </w:r>
      </w:hyperlink>
      <w:r>
        <w:t xml:space="preserve">.</w:t>
      </w:r>
    </w:p>
    <w:bookmarkEnd w:id="386"/>
    <w:bookmarkStart w:id="388" w:name="ref-peters2024"/>
    <w:p>
      <w:pPr>
        <w:pStyle w:val="Bibliography"/>
        <w:spacing w:line="360" w:lineRule="auto"/>
        <w:jc w:val="both"/>
      </w:pPr>
      <w:r>
        <w:t xml:space="preserve">Peters, Uwe, y Mary Carman. 2024.</w:t>
      </w:r>
      <w:r>
        <w:t xml:space="preserve"> </w:t>
      </w:r>
      <w:r>
        <w:t xml:space="preserve">«Cultural Bias in Explainable AI Research: A Systematic Analysis»</w:t>
      </w:r>
      <w:r>
        <w:t xml:space="preserve">.</w:t>
      </w:r>
      <w:r>
        <w:t xml:space="preserve"> </w:t>
      </w:r>
      <w:r>
        <w:rPr>
          <w:i/>
          <w:iCs/>
        </w:rPr>
        <w:t xml:space="preserve">Journal of Artificial Intelligence Research</w:t>
      </w:r>
      <w:r>
        <w:t xml:space="preserve"> </w:t>
      </w:r>
      <w:r>
        <w:t xml:space="preserve">79: 971-1000.</w:t>
      </w:r>
      <w:r>
        <w:t xml:space="preserve"> </w:t>
      </w:r>
      <w:hyperlink ns5:id="rId387">
        <w:r>
          <w:rPr>
            <w:rStyle w:val="Hipervnculo"/>
          </w:rPr>
          <w:t xml:space="preserve">https://doi.org/10.1613/jair.1.14888</w:t>
        </w:r>
      </w:hyperlink>
      <w:r>
        <w:t xml:space="preserve">.</w:t>
      </w:r>
    </w:p>
    <w:bookmarkEnd w:id="388"/>
    <w:bookmarkStart w:id="390"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w:t>
      </w:r>
      <w:r>
        <w:t xml:space="preserve"> </w:t>
      </w:r>
      <w:r>
        <w:rPr>
          <w:i/>
          <w:iCs/>
        </w:rPr>
        <w:t xml:space="preserve">Companion Publication of the 2024 Conference on Computer-Supported Cooperative Work and Social Computing</w:t>
      </w:r>
      <w:r>
        <w:t xml:space="preserve">, 43-46.</w:t>
      </w:r>
      <w:r>
        <w:t xml:space="preserve"> </w:t>
      </w:r>
      <w:hyperlink ns5:id="rId389">
        <w:r>
          <w:rPr>
            <w:rStyle w:val="Hipervnculo"/>
          </w:rPr>
          <w:t xml:space="preserve">https://doi.org/10.1145/3678884.3682046</w:t>
        </w:r>
      </w:hyperlink>
      <w:r>
        <w:t xml:space="preserve">.</w:t>
      </w:r>
    </w:p>
    <w:bookmarkEnd w:id="390"/>
    <w:bookmarkStart w:id="392" w:name="ref-poyiadzi2020"/>
    <w:p>
      <w:pPr>
        <w:pStyle w:val="Bibliography"/>
        <w:spacing w:line="360" w:lineRule="auto"/>
        <w:jc w:val="both"/>
      </w:pPr>
      <w:r>
        <w:t xml:space="preserve">Poyiadzi, Rafael, Kacper Sokol, Raul Santos-Rodriguez, Tijl De Bie, y Peter Flach. 2020.</w:t>
      </w:r>
      <w:r>
        <w:t xml:space="preserve"> </w:t>
      </w:r>
      <w:r>
        <w:t xml:space="preserve">«FACE: Feasible and Actionable Counterfactual Explanations»</w:t>
      </w:r>
      <w:r>
        <w:t xml:space="preserve">.</w:t>
      </w:r>
      <w:r>
        <w:t xml:space="preserve"> </w:t>
      </w:r>
      <w:r>
        <w:rPr>
          <w:i/>
          <w:iCs/>
        </w:rPr>
        <w:t xml:space="preserve">Proceedings of the AAAI/ACM Conference on AI, Ethics, and Society</w:t>
      </w:r>
      <w:r>
        <w:t xml:space="preserve">, 344-50.</w:t>
      </w:r>
      <w:r>
        <w:t xml:space="preserve"> </w:t>
      </w:r>
      <w:hyperlink ns5:id="rId391">
        <w:r>
          <w:rPr>
            <w:rStyle w:val="Hipervnculo"/>
          </w:rPr>
          <w:t xml:space="preserve">https://doi.org/10.1145/3375627.3375850</w:t>
        </w:r>
      </w:hyperlink>
      <w:r>
        <w:t xml:space="preserve">.</w:t>
      </w:r>
    </w:p>
    <w:bookmarkEnd w:id="392"/>
    <w:bookmarkStart w:id="393" w:name="ref-proszewska2025"/>
    <w:p>
      <w:pPr>
        <w:pStyle w:val="Bibliography"/>
        <w:spacing w:line="360" w:lineRule="auto"/>
        <w:jc w:val="both"/>
      </w:pPr>
      <w:r>
        <w:t xml:space="preserve">Proszewska, Magdalena, Tomasz Danel, y Dawid Rymarczyk. 2025.</w:t>
      </w:r>
      <w:r>
        <w:t xml:space="preserve"> </w:t>
      </w:r>
      <w:r>
        <w:rPr>
          <w:i/>
          <w:iCs/>
        </w:rPr>
        <w:t xml:space="preserve">B-XAIC Dataset: Benchmarking Explainable AI for Graph Neural Networks Using Chemical Data</w:t>
      </w:r>
      <w:r>
        <w:t xml:space="preserve">.</w:t>
      </w:r>
    </w:p>
    <w:bookmarkEnd w:id="393"/>
    <w:bookmarkStart w:id="394" w:name="ref-ramachandram2025"/>
    <w:p>
      <w:pPr>
        <w:pStyle w:val="Bibliography"/>
        <w:spacing w:line="360" w:lineRule="auto"/>
        <w:jc w:val="both"/>
      </w:pPr>
      <w:r>
        <w:t xml:space="preserve">Ramachandram, Dhanesh, Himanshu Joshi, Judy Zhu, Dhari Gandhi, Lucas Hartman, y Ananya Raval. 2025.</w:t>
      </w:r>
      <w:r>
        <w:t xml:space="preserve"> </w:t>
      </w:r>
      <w:r>
        <w:rPr>
          <w:i/>
          <w:iCs/>
        </w:rPr>
        <w:t xml:space="preserve">Transparent AI: The Case for Interpretability and Explainability</w:t>
      </w:r>
      <w:r>
        <w:t xml:space="preserve">. Vector Institute for Artificial Intelligence.</w:t>
      </w:r>
    </w:p>
    <w:bookmarkEnd w:id="394"/>
    <w:bookmarkStart w:id="396" w:name="ref-reif2025"/>
    <w:p>
      <w:pPr>
        <w:pStyle w:val="Bibliography"/>
        <w:spacing w:line="360" w:lineRule="auto"/>
        <w:jc w:val="both"/>
      </w:pPr>
      <w:r>
        <w:t xml:space="preserve">Reif, Jessica A., Richard P. Larrick, y Jack B. Soll. 2025.</w:t>
      </w:r>
      <w:r>
        <w:t xml:space="preserve"> </w:t>
      </w:r>
      <w:r>
        <w:t xml:space="preserve">«Evidence of a social evaluation penalty for using AI»</w:t>
      </w:r>
      <w:r>
        <w:t xml:space="preserve">.</w:t>
      </w:r>
      <w:r>
        <w:t xml:space="preserve"> </w:t>
      </w:r>
      <w:r>
        <w:rPr>
          <w:i/>
          <w:iCs/>
        </w:rPr>
        <w:t xml:space="preserve">Proceedings of the National Academy of Sciences</w:t>
      </w:r>
      <w:r>
        <w:t xml:space="preserve"> </w:t>
      </w:r>
      <w:r>
        <w:t xml:space="preserve">122 (19).</w:t>
      </w:r>
      <w:r>
        <w:t xml:space="preserve"> </w:t>
      </w:r>
      <w:hyperlink ns5:id="rId395">
        <w:r>
          <w:rPr>
            <w:rStyle w:val="Hipervnculo"/>
          </w:rPr>
          <w:t xml:space="preserve">https://doi.org/10.1073/pnas.2426766122</w:t>
        </w:r>
      </w:hyperlink>
      <w:r>
        <w:t xml:space="preserve">.</w:t>
      </w:r>
    </w:p>
    <w:bookmarkEnd w:id="396"/>
    <w:bookmarkStart w:id="39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w:t>
      </w:r>
      <w:r>
        <w:t xml:space="preserve"> </w:t>
      </w:r>
      <w:r>
        <w:rPr>
          <w:i/>
          <w:iCs/>
        </w:rPr>
        <w:t xml:space="preserve">arXiv preprint arXiv:1602.04938</w:t>
      </w:r>
      <w:r>
        <w:t xml:space="preserve">, advance online publication.</w:t>
      </w:r>
      <w:r>
        <w:t xml:space="preserve"> </w:t>
      </w:r>
      <w:hyperlink ns5:id="rId397">
        <w:r>
          <w:rPr>
            <w:rStyle w:val="Hipervnculo"/>
          </w:rPr>
          <w:t xml:space="preserve">https://doi.org/10.1145/2939672.2939778</w:t>
        </w:r>
      </w:hyperlink>
      <w:r>
        <w:t xml:space="preserve">.</w:t>
      </w:r>
    </w:p>
    <w:bookmarkEnd w:id="398"/>
    <w:bookmarkStart w:id="40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w:t>
      </w:r>
      <w:r>
        <w:t xml:space="preserve"> </w:t>
      </w:r>
      <w:r>
        <w:rPr>
          <w:i/>
          <w:iCs/>
        </w:rPr>
        <w:t xml:space="preserve">Proceedings of the AAAI Conference on Artificial Intelligence</w:t>
      </w:r>
      <w:r>
        <w:t xml:space="preserve"> </w:t>
      </w:r>
      <w:r>
        <w:t xml:space="preserve">32 (1).</w:t>
      </w:r>
      <w:r>
        <w:t xml:space="preserve"> </w:t>
      </w:r>
      <w:hyperlink ns5:id="rId399">
        <w:r>
          <w:rPr>
            <w:rStyle w:val="Hipervnculo"/>
          </w:rPr>
          <w:t xml:space="preserve">https://doi.org/10.1609/aaai.v32i1.11491</w:t>
        </w:r>
      </w:hyperlink>
      <w:r>
        <w:t xml:space="preserve">.</w:t>
      </w:r>
    </w:p>
    <w:bookmarkEnd w:id="400"/>
    <w:bookmarkStart w:id="402" w:name="ref-rodriguez2024"/>
    <w:p>
      <w:pPr>
        <w:pStyle w:val="Bibliography"/>
        <w:spacing w:line="360" w:lineRule="auto"/>
        <w:jc w:val="both"/>
      </w:pPr>
      <w:r>
        <w:t xml:space="preserve">Rodriguez, Sebastian, y John Thangarajah. 2024.</w:t>
      </w:r>
      <w:r>
        <w:t xml:space="preserve"> </w:t>
      </w:r>
      <w:r>
        <w:t xml:space="preserve">«Explainable Agents (XAg) by Design»</w:t>
      </w:r>
      <w:r>
        <w:t xml:space="preserve">.</w:t>
      </w:r>
      <w:r>
        <w:t xml:space="preserve"> </w:t>
      </w:r>
      <w:r>
        <w:rPr>
          <w:i/>
          <w:iCs/>
        </w:rPr>
        <w:t xml:space="preserve">International Joint Conference on Autonomous Agents and Multiagent Systems</w:t>
      </w:r>
      <w:r>
        <w:t xml:space="preserve">, 2712-16.</w:t>
      </w:r>
      <w:r>
        <w:t xml:space="preserve"> </w:t>
      </w:r>
      <w:hyperlink ns5:id="rId401">
        <w:r>
          <w:rPr>
            <w:rStyle w:val="Hipervnculo"/>
          </w:rPr>
          <w:t xml:space="preserve">https://doi.org/10.65109/vllw9552</w:t>
        </w:r>
      </w:hyperlink>
      <w:r>
        <w:t xml:space="preserve">.</w:t>
      </w:r>
    </w:p>
    <w:bookmarkEnd w:id="402"/>
    <w:bookmarkStart w:id="404"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w:t>
      </w:r>
      <w:r>
        <w:t xml:space="preserve"> </w:t>
      </w:r>
      <w:r>
        <w:rPr>
          <w:i/>
          <w:iCs/>
        </w:rPr>
        <w:t xml:space="preserve">IEEE Transactions on Pattern Analysis and Machine Intelligence</w:t>
      </w:r>
      <w:r>
        <w:t xml:space="preserve"> </w:t>
      </w:r>
      <w:r>
        <w:t xml:space="preserve">46 (4): 2104-22.</w:t>
      </w:r>
      <w:r>
        <w:t xml:space="preserve"> </w:t>
      </w:r>
      <w:hyperlink ns5:id="rId403">
        <w:r>
          <w:rPr>
            <w:rStyle w:val="Hipervnculo"/>
          </w:rPr>
          <w:t xml:space="preserve">https://doi.org/10.1109/TPAMI.2023.3331846</w:t>
        </w:r>
      </w:hyperlink>
      <w:r>
        <w:t xml:space="preserve">.</w:t>
      </w:r>
    </w:p>
    <w:bookmarkEnd w:id="404"/>
    <w:bookmarkStart w:id="406"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w:t>
      </w:r>
      <w:r>
        <w:t xml:space="preserve"> </w:t>
      </w:r>
      <w:r>
        <w:rPr>
          <w:i/>
          <w:iCs/>
        </w:rPr>
        <w:t xml:space="preserve">Statistics Surveys</w:t>
      </w:r>
      <w:r>
        <w:t xml:space="preserve"> </w:t>
      </w:r>
      <w:r>
        <w:t xml:space="preserve">16 (none).</w:t>
      </w:r>
      <w:r>
        <w:t xml:space="preserve"> </w:t>
      </w:r>
      <w:hyperlink ns5:id="rId405">
        <w:r>
          <w:rPr>
            <w:rStyle w:val="Hipervnculo"/>
          </w:rPr>
          <w:t xml:space="preserve">https://doi.org/10.1214/21-ss133</w:t>
        </w:r>
      </w:hyperlink>
      <w:r>
        <w:t xml:space="preserve">.</w:t>
      </w:r>
    </w:p>
    <w:bookmarkEnd w:id="406"/>
    <w:bookmarkStart w:id="408"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w:t>
      </w:r>
      <w:r>
        <w:t xml:space="preserve"> </w:t>
      </w:r>
      <w:r>
        <w:rPr>
          <w:i/>
          <w:iCs/>
        </w:rPr>
        <w:t xml:space="preserve">Nature Machine Intelligence</w:t>
      </w:r>
      <w:r>
        <w:t xml:space="preserve"> </w:t>
      </w:r>
      <w:r>
        <w:t xml:space="preserve">1 (5): 206-15.</w:t>
      </w:r>
      <w:r>
        <w:t xml:space="preserve"> </w:t>
      </w:r>
      <w:hyperlink ns5:id="rId407">
        <w:r>
          <w:rPr>
            <w:rStyle w:val="Hipervnculo"/>
          </w:rPr>
          <w:t xml:space="preserve">https://doi.org/10.1038/s42256-019-0048-x</w:t>
        </w:r>
      </w:hyperlink>
      <w:r>
        <w:t xml:space="preserve">.</w:t>
      </w:r>
    </w:p>
    <w:bookmarkEnd w:id="408"/>
    <w:bookmarkStart w:id="410"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w:t>
      </w:r>
      <w:r>
        <w:t xml:space="preserve"> </w:t>
      </w:r>
      <w:r>
        <w:rPr>
          <w:i/>
          <w:iCs/>
        </w:rPr>
        <w:t xml:space="preserve">Applied Sciences</w:t>
      </w:r>
      <w:r>
        <w:t xml:space="preserve"> </w:t>
      </w:r>
      <w:r>
        <w:t xml:space="preserve">14 (19): 8884.</w:t>
      </w:r>
      <w:r>
        <w:t xml:space="preserve"> </w:t>
      </w:r>
      <w:hyperlink ns5:id="rId409">
        <w:r>
          <w:rPr>
            <w:rStyle w:val="Hipervnculo"/>
          </w:rPr>
          <w:t xml:space="preserve">https://doi.org/10.3390/app14198884</w:t>
        </w:r>
      </w:hyperlink>
      <w:r>
        <w:t xml:space="preserve">.</w:t>
      </w:r>
    </w:p>
    <w:bookmarkEnd w:id="410"/>
    <w:bookmarkStart w:id="412"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w:t>
      </w:r>
      <w:r>
        <w:t xml:space="preserve"> </w:t>
      </w:r>
      <w:r>
        <w:rPr>
          <w:i/>
          <w:iCs/>
        </w:rPr>
        <w:t xml:space="preserve">Knowledge-Based Systems</w:t>
      </w:r>
      <w:r>
        <w:t xml:space="preserve"> </w:t>
      </w:r>
      <w:r>
        <w:t xml:space="preserve">263: 110273.</w:t>
      </w:r>
      <w:r>
        <w:t xml:space="preserve"> </w:t>
      </w:r>
      <w:hyperlink ns5:id="rId411">
        <w:r>
          <w:rPr>
            <w:rStyle w:val="Hipervnculo"/>
          </w:rPr>
          <w:t xml:space="preserve">https://doi.org/10.1016/j.knosys.2023.110273</w:t>
        </w:r>
      </w:hyperlink>
      <w:r>
        <w:t xml:space="preserve">.</w:t>
      </w:r>
    </w:p>
    <w:bookmarkEnd w:id="412"/>
    <w:bookmarkStart w:id="414"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w:t>
      </w:r>
      <w:r>
        <w:t xml:space="preserve"> </w:t>
      </w:r>
      <w:r>
        <w:rPr>
          <w:i/>
          <w:iCs/>
        </w:rPr>
        <w:t xml:space="preserve">In Lecture notes in computer science</w:t>
      </w:r>
      <w:r>
        <w:t xml:space="preserve">, advance online publication.</w:t>
      </w:r>
      <w:r>
        <w:t xml:space="preserve"> </w:t>
      </w:r>
      <w:hyperlink ns5:id="rId413">
        <w:r>
          <w:rPr>
            <w:rStyle w:val="Hipervnculo"/>
          </w:rPr>
          <w:t xml:space="preserve">https://doi.org/10.1007/978-3-030-28954-6</w:t>
        </w:r>
      </w:hyperlink>
      <w:r>
        <w:t xml:space="preserve">.</w:t>
      </w:r>
    </w:p>
    <w:bookmarkEnd w:id="414"/>
    <w:bookmarkStart w:id="416" w:name="ref-saqib2024"/>
    <w:p>
      <w:pPr>
        <w:pStyle w:val="Bibliography"/>
        <w:spacing w:line="360" w:lineRule="auto"/>
        <w:jc w:val="both"/>
      </w:pPr>
      <w:r>
        <w:t xml:space="preserve">Saqib, Mohd, Samaneh Mahdavifar, Benjamin C. M. Fung, y Philippe Charland. 2024.</w:t>
      </w:r>
      <w:r>
        <w:t xml:space="preserve"> </w:t>
      </w:r>
      <w:r>
        <w:t xml:space="preserve">«A Comprehensive Analysis of Explainable AI for Malware Hunting»</w:t>
      </w:r>
      <w:r>
        <w:t xml:space="preserve">.</w:t>
      </w:r>
      <w:r>
        <w:t xml:space="preserve"> </w:t>
      </w:r>
      <w:r>
        <w:rPr>
          <w:i/>
          <w:iCs/>
        </w:rPr>
        <w:t xml:space="preserve">ACM Computing Surveys</w:t>
      </w:r>
      <w:r>
        <w:t xml:space="preserve"> </w:t>
      </w:r>
      <w:r>
        <w:t xml:space="preserve">56 (12): 1-40.</w:t>
      </w:r>
      <w:r>
        <w:t xml:space="preserve"> </w:t>
      </w:r>
      <w:hyperlink ns5:id="rId415">
        <w:r>
          <w:rPr>
            <w:rStyle w:val="Hipervnculo"/>
          </w:rPr>
          <w:t xml:space="preserve">https://doi.org/10.1145/3677374</w:t>
        </w:r>
      </w:hyperlink>
      <w:r>
        <w:t xml:space="preserve">.</w:t>
      </w:r>
    </w:p>
    <w:bookmarkEnd w:id="416"/>
    <w:bookmarkStart w:id="418"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w:t>
      </w:r>
      <w:r>
        <w:t xml:space="preserve"> </w:t>
      </w:r>
      <w:r>
        <w:rPr>
          <w:i/>
          <w:iCs/>
        </w:rPr>
        <w:t xml:space="preserve">Data Mining and Knowledge Discovery</w:t>
      </w:r>
      <w:r>
        <w:t xml:space="preserve"> </w:t>
      </w:r>
      <w:r>
        <w:t xml:space="preserve">38 (5): 3043-101.</w:t>
      </w:r>
      <w:r>
        <w:t xml:space="preserve"> </w:t>
      </w:r>
      <w:hyperlink ns5:id="rId417">
        <w:r>
          <w:rPr>
            <w:rStyle w:val="Hipervnculo"/>
          </w:rPr>
          <w:t xml:space="preserve">https://doi.org/10.1007/s10618-022-00867-8</w:t>
        </w:r>
      </w:hyperlink>
      <w:r>
        <w:t xml:space="preserve">.</w:t>
      </w:r>
    </w:p>
    <w:bookmarkEnd w:id="418"/>
    <w:bookmarkStart w:id="420"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19">
        <w:r>
          <w:rPr>
            <w:rStyle w:val="Hipervnculo"/>
          </w:rPr>
          <w:t xml:space="preserve">https://www.rand.org/pubs/papers/P0295.html</w:t>
        </w:r>
      </w:hyperlink>
      <w:r>
        <w:t xml:space="preserve">.</w:t>
      </w:r>
    </w:p>
    <w:bookmarkEnd w:id="420"/>
    <w:bookmarkStart w:id="422" w:name="ref-sithakoul2024"/>
    <w:p>
      <w:pPr>
        <w:pStyle w:val="Bibliography"/>
        <w:spacing w:line="360" w:lineRule="auto"/>
        <w:jc w:val="both"/>
      </w:pPr>
      <w:r>
        <w:t xml:space="preserve">Sithakoul, Samuel, Sara Meftah, y Clément Feutry. 2024.</w:t>
      </w:r>
      <w:r>
        <w:t xml:space="preserve"> </w:t>
      </w:r>
      <w:r>
        <w:rPr>
          <w:i/>
          <w:iCs/>
        </w:rPr>
        <w:t xml:space="preserve">BEExAI: Benchmark to Evaluate Explainable AI</w:t>
      </w:r>
      <w:r>
        <w:t xml:space="preserve">. Springer Nature Switzerland.</w:t>
      </w:r>
      <w:r>
        <w:t xml:space="preserve"> </w:t>
      </w:r>
      <w:hyperlink ns5:id="rId421">
        <w:r>
          <w:rPr>
            <w:rStyle w:val="Hipervnculo"/>
          </w:rPr>
          <w:t xml:space="preserve">https://doi.org/10.1007/978-3-031-63787-2_23</w:t>
        </w:r>
      </w:hyperlink>
      <w:r>
        <w:t xml:space="preserve">.</w:t>
      </w:r>
    </w:p>
    <w:bookmarkEnd w:id="422"/>
    <w:bookmarkStart w:id="424" w:name="ref-slack2020"/>
    <w:p>
      <w:pPr>
        <w:pStyle w:val="Bibliography"/>
        <w:spacing w:line="360" w:lineRule="auto"/>
        <w:jc w:val="both"/>
      </w:pPr>
      <w:r>
        <w:t xml:space="preserve">Slack, Dylan, Sophie Hilgard, Emily Jia, Sameer Singh, y Himabindu Lakkaraju. 2020.</w:t>
      </w:r>
      <w:r>
        <w:t xml:space="preserve"> </w:t>
      </w:r>
      <w:r>
        <w:t xml:space="preserve">«Fooling LIME and SHAP: Adversarial Attacks on Post Hoc Explanation Methods»</w:t>
      </w:r>
      <w:r>
        <w:t xml:space="preserve">.</w:t>
      </w:r>
      <w:r>
        <w:t xml:space="preserve"> </w:t>
      </w:r>
      <w:r>
        <w:rPr>
          <w:i/>
          <w:iCs/>
        </w:rPr>
        <w:t xml:space="preserve">Proceedings of the AAAI/ACM Conference on AI, Ethics, and Society</w:t>
      </w:r>
      <w:r>
        <w:t xml:space="preserve">, 180-86.</w:t>
      </w:r>
      <w:r>
        <w:t xml:space="preserve"> </w:t>
      </w:r>
      <w:hyperlink ns5:id="rId423">
        <w:r>
          <w:rPr>
            <w:rStyle w:val="Hipervnculo"/>
          </w:rPr>
          <w:t xml:space="preserve">https://doi.org/10.1145/3375627.3375830</w:t>
        </w:r>
      </w:hyperlink>
      <w:r>
        <w:t xml:space="preserve">.</w:t>
      </w:r>
    </w:p>
    <w:bookmarkEnd w:id="424"/>
    <w:bookmarkStart w:id="426" w:name="ref-sokol2020"/>
    <w:p>
      <w:pPr>
        <w:pStyle w:val="Bibliography"/>
        <w:spacing w:line="360" w:lineRule="auto"/>
        <w:jc w:val="both"/>
      </w:pPr>
      <w:r>
        <w:t xml:space="preserve">Sokol, Kacper, y Peter Flach. 2020.</w:t>
      </w:r>
      <w:r>
        <w:t xml:space="preserve"> </w:t>
      </w:r>
      <w:r>
        <w:t xml:space="preserve">«One Explanation Does Not Fit All: The Promise of Interactive Explanations for Machine Learning Transparency»</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25">
        <w:r>
          <w:rPr>
            <w:rStyle w:val="Hipervnculo"/>
          </w:rPr>
          <w:t xml:space="preserve">https://doi.org/10.1007/s13218-020-00637-y</w:t>
        </w:r>
      </w:hyperlink>
      <w:r>
        <w:t xml:space="preserve">.</w:t>
      </w:r>
    </w:p>
    <w:bookmarkEnd w:id="426"/>
    <w:bookmarkStart w:id="428" w:name="ref-tan2023"/>
    <w:p>
      <w:pPr>
        <w:pStyle w:val="Bibliography"/>
        <w:spacing w:line="360" w:lineRule="auto"/>
        <w:jc w:val="both"/>
      </w:pPr>
      <w:r>
        <w:t xml:space="preserve">Tan, Juntao, y Yongfeng Zhang. 2023.</w:t>
      </w:r>
      <w:r>
        <w:t xml:space="preserve"> </w:t>
      </w:r>
      <w:r>
        <w:t xml:space="preserve">«ExplainableFold: Understanding AlphaFold Prediction with Explainable AI»</w:t>
      </w:r>
      <w:r>
        <w:t xml:space="preserve">.</w:t>
      </w:r>
      <w:r>
        <w:t xml:space="preserve"> </w:t>
      </w:r>
      <w:r>
        <w:rPr>
          <w:i/>
          <w:iCs/>
        </w:rPr>
        <w:t xml:space="preserve">Proceedings of the 29th ACM SIGKDD Conference on Knowledge Discovery and Data Mining</w:t>
      </w:r>
      <w:r>
        <w:t xml:space="preserve">, 2166-76.</w:t>
      </w:r>
      <w:r>
        <w:t xml:space="preserve"> </w:t>
      </w:r>
      <w:hyperlink ns5:id="rId427">
        <w:r>
          <w:rPr>
            <w:rStyle w:val="Hipervnculo"/>
          </w:rPr>
          <w:t xml:space="preserve">https://doi.org/10.1145/3580305.3599337</w:t>
        </w:r>
      </w:hyperlink>
      <w:r>
        <w:t xml:space="preserve">.</w:t>
      </w:r>
    </w:p>
    <w:bookmarkEnd w:id="428"/>
    <w:bookmarkStart w:id="430" w:name="ref-tjoa2020"/>
    <w:p>
      <w:pPr>
        <w:pStyle w:val="Bibliography"/>
        <w:spacing w:line="360" w:lineRule="auto"/>
        <w:jc w:val="both"/>
      </w:pPr>
      <w:r>
        <w:t xml:space="preserve">Tjoa, Erico, y Cuntai Guan. 2021.</w:t>
      </w:r>
      <w:r>
        <w:t xml:space="preserve"> </w:t>
      </w:r>
      <w:r>
        <w:t xml:space="preserve">«A Survey on Explainable Artificial Intelligence (XAI): Toward Medical XAI»</w:t>
      </w:r>
      <w:r>
        <w:t xml:space="preserve">.</w:t>
      </w:r>
      <w:r>
        <w:t xml:space="preserve"> </w:t>
      </w:r>
      <w:r>
        <w:rPr>
          <w:i/>
          <w:iCs/>
        </w:rPr>
        <w:t xml:space="preserve">IEEE Transactions on Neural Networks and Learning Systems</w:t>
      </w:r>
      <w:r>
        <w:t xml:space="preserve"> </w:t>
      </w:r>
      <w:r>
        <w:t xml:space="preserve">32 (11): 4793-813.</w:t>
      </w:r>
      <w:r>
        <w:t xml:space="preserve"> </w:t>
      </w:r>
      <w:hyperlink ns5:id="rId429">
        <w:r>
          <w:rPr>
            <w:rStyle w:val="Hipervnculo"/>
          </w:rPr>
          <w:t xml:space="preserve">https://doi.org/10.1109/TNNLS.2020.3027314</w:t>
        </w:r>
      </w:hyperlink>
      <w:r>
        <w:t xml:space="preserve">.</w:t>
      </w:r>
    </w:p>
    <w:bookmarkEnd w:id="430"/>
    <w:bookmarkStart w:id="432" w:name="ref-tomsett2020"/>
    <w:p>
      <w:pPr>
        <w:pStyle w:val="Bibliography"/>
        <w:spacing w:line="360" w:lineRule="auto"/>
        <w:jc w:val="both"/>
      </w:pPr>
      <w:r>
        <w:t xml:space="preserve">Tomsett, Richard, Dan Harborne, Supriyo Chakraborty, Prudhvi Gurram, y Alun Preece. 2020.</w:t>
      </w:r>
      <w:r>
        <w:t xml:space="preserve"> </w:t>
      </w:r>
      <w:r>
        <w:t xml:space="preserve">«Sanity Checks for Saliency Metrics»</w:t>
      </w:r>
      <w:r>
        <w:t xml:space="preserve">.</w:t>
      </w:r>
      <w:r>
        <w:t xml:space="preserve"> </w:t>
      </w:r>
      <w:r>
        <w:rPr>
          <w:i/>
          <w:iCs/>
        </w:rPr>
        <w:t xml:space="preserve">Proceedings of the AAAI Conference on Artificial Intelligence</w:t>
      </w:r>
      <w:r>
        <w:t xml:space="preserve"> </w:t>
      </w:r>
      <w:r>
        <w:t xml:space="preserve">34 (04): 6021-29.</w:t>
      </w:r>
      <w:r>
        <w:t xml:space="preserve"> </w:t>
      </w:r>
      <w:hyperlink ns5:id="rId431">
        <w:r>
          <w:rPr>
            <w:rStyle w:val="Hipervnculo"/>
          </w:rPr>
          <w:t xml:space="preserve">https://doi.org/10.1609/aaai.v34i04.6064</w:t>
        </w:r>
      </w:hyperlink>
      <w:r>
        <w:t xml:space="preserve">.</w:t>
      </w:r>
    </w:p>
    <w:bookmarkEnd w:id="432"/>
    <w:bookmarkStart w:id="434"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w:t>
      </w:r>
      <w:r>
        <w:t xml:space="preserve"> </w:t>
      </w:r>
      <w:r>
        <w:rPr>
          <w:i/>
          <w:iCs/>
        </w:rPr>
        <w:t xml:space="preserve">In CRC Press eBooks</w:t>
      </w:r>
      <w:r>
        <w:t xml:space="preserve">, advance online publication.</w:t>
      </w:r>
      <w:r>
        <w:t xml:space="preserve"> </w:t>
      </w:r>
      <w:hyperlink ns5:id="rId433">
        <w:r>
          <w:rPr>
            <w:rStyle w:val="Hipervnculo"/>
          </w:rPr>
          <w:t xml:space="preserve">https://doi.org/10.1201/9781003442509</w:t>
        </w:r>
      </w:hyperlink>
      <w:r>
        <w:t xml:space="preserve">.</w:t>
      </w:r>
    </w:p>
    <w:bookmarkEnd w:id="434"/>
    <w:bookmarkStart w:id="435" w:name="ref-tsai2023"/>
    <w:p>
      <w:pPr>
        <w:pStyle w:val="Bibliography"/>
        <w:spacing w:line="360" w:lineRule="auto"/>
        <w:jc w:val="both"/>
      </w:pPr>
      <w:r>
        <w:t xml:space="preserve">Tsai, Che-Ping, Chih-Kuan Yeh, y Pradeep Ravikumar. 2023.</w:t>
      </w:r>
      <w:r>
        <w:t xml:space="preserve"> </w:t>
      </w:r>
      <w:r>
        <w:t xml:space="preserve">«Faith-Shap: The Faithful Shapley Interaction Index»</w:t>
      </w:r>
      <w:r>
        <w:t xml:space="preserve">.</w:t>
      </w:r>
      <w:r>
        <w:t xml:space="preserve"> </w:t>
      </w:r>
      <w:r>
        <w:rPr>
          <w:i/>
          <w:iCs/>
        </w:rPr>
        <w:t xml:space="preserve">Journal of Machine Learning Research</w:t>
      </w:r>
      <w:r>
        <w:t xml:space="preserve"> </w:t>
      </w:r>
      <w:r>
        <w:t xml:space="preserve">24: 1-42.</w:t>
      </w:r>
    </w:p>
    <w:bookmarkEnd w:id="435"/>
    <w:bookmarkStart w:id="437" w:name="ref-tsigos2024"/>
    <w:p>
      <w:pPr>
        <w:pStyle w:val="Bibliography"/>
        <w:spacing w:line="360" w:lineRule="auto"/>
        <w:jc w:val="both"/>
      </w:pPr>
      <w:r>
        <w:t xml:space="preserve">Tsigos, Konstantinos, Evlampios Apostolidis, Spyridon Baxevanakis, Symeon Papadopoulos, y Vasileios Mezaris. 2024.</w:t>
      </w:r>
      <w:r>
        <w:t xml:space="preserve"> </w:t>
      </w:r>
      <w:r>
        <w:t xml:space="preserve">«Towards Quantitative Evaluation of Explainable AI Methods for Deepfake Detection»</w:t>
      </w:r>
      <w:r>
        <w:t xml:space="preserve">.</w:t>
      </w:r>
      <w:r>
        <w:t xml:space="preserve"> </w:t>
      </w:r>
      <w:r>
        <w:rPr>
          <w:i/>
          <w:iCs/>
        </w:rPr>
        <w:t xml:space="preserve">3rd ACM International Workshop on Multimedia AI against Disinformation</w:t>
      </w:r>
      <w:r>
        <w:t xml:space="preserve">, 37-45.</w:t>
      </w:r>
      <w:r>
        <w:t xml:space="preserve"> </w:t>
      </w:r>
      <w:hyperlink ns5:id="rId436">
        <w:r>
          <w:rPr>
            <w:rStyle w:val="Hipervnculo"/>
          </w:rPr>
          <w:t xml:space="preserve">https://doi.org/10.1145/3643491.3660292</w:t>
        </w:r>
      </w:hyperlink>
      <w:r>
        <w:t xml:space="preserve">.</w:t>
      </w:r>
    </w:p>
    <w:bookmarkEnd w:id="437"/>
    <w:bookmarkStart w:id="439" w:name="ref-ullah2024"/>
    <w:p>
      <w:pPr>
        <w:pStyle w:val="Bibliography"/>
        <w:spacing w:line="360" w:lineRule="auto"/>
        <w:jc w:val="both"/>
      </w:pPr>
      <w:r>
        <w:t xml:space="preserve">Ullah, Naeem, Javed Ali Khan, Ivanoe De Falco, y Giovanna Sannino. 2024.</w:t>
      </w:r>
      <w:r>
        <w:t xml:space="preserve"> </w:t>
      </w:r>
      <w:r>
        <w:t xml:space="preserve">«Explainable Artificial Intelligence: Importance, Use Domains, Stages, Output Shapes, and Challenges»</w:t>
      </w:r>
      <w:r>
        <w:t xml:space="preserve">.</w:t>
      </w:r>
      <w:r>
        <w:t xml:space="preserve"> </w:t>
      </w:r>
      <w:r>
        <w:rPr>
          <w:i/>
          <w:iCs/>
        </w:rPr>
        <w:t xml:space="preserve">ACM Computing Surveys</w:t>
      </w:r>
      <w:r>
        <w:t xml:space="preserve"> </w:t>
      </w:r>
      <w:r>
        <w:t xml:space="preserve">57 (4): 1-36.</w:t>
      </w:r>
      <w:r>
        <w:t xml:space="preserve"> </w:t>
      </w:r>
      <w:hyperlink ns5:id="rId438">
        <w:r>
          <w:rPr>
            <w:rStyle w:val="Hipervnculo"/>
          </w:rPr>
          <w:t xml:space="preserve">https://doi.org/10.1145/3705724</w:t>
        </w:r>
      </w:hyperlink>
      <w:r>
        <w:t xml:space="preserve">.</w:t>
      </w:r>
    </w:p>
    <w:bookmarkEnd w:id="439"/>
    <w:bookmarkStart w:id="441"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w:t>
      </w:r>
      <w:r>
        <w:t xml:space="preserve"> </w:t>
      </w:r>
      <w:r>
        <w:rPr>
          <w:i/>
          <w:iCs/>
        </w:rPr>
        <w:t xml:space="preserve">ACM Transactions on Interactive Intelligent Systems</w:t>
      </w:r>
      <w:r>
        <w:t xml:space="preserve"> </w:t>
      </w:r>
      <w:r>
        <w:t xml:space="preserve">13 (4): 1-39.</w:t>
      </w:r>
      <w:r>
        <w:t xml:space="preserve"> </w:t>
      </w:r>
      <w:hyperlink ns5:id="rId440">
        <w:r>
          <w:rPr>
            <w:rStyle w:val="Hipervnculo"/>
          </w:rPr>
          <w:t xml:space="preserve">https://doi.org/10.1145/3599974</w:t>
        </w:r>
      </w:hyperlink>
      <w:r>
        <w:t xml:space="preserve">.</w:t>
      </w:r>
    </w:p>
    <w:bookmarkEnd w:id="441"/>
    <w:bookmarkStart w:id="443" w:name="ref-vandenbroeck2022"/>
    <w:p>
      <w:pPr>
        <w:pStyle w:val="Bibliography"/>
        <w:spacing w:line="360" w:lineRule="auto"/>
        <w:jc w:val="both"/>
      </w:pPr>
      <w:r>
        <w:t xml:space="preserve">Van den Broeck, Guy, Anton Lykov, Maximilian Schleich, y Dan Suciu. 2022.</w:t>
      </w:r>
      <w:r>
        <w:t xml:space="preserve"> </w:t>
      </w:r>
      <w:r>
        <w:t xml:space="preserve">«On the Tractability of SHAP Explanations»</w:t>
      </w:r>
      <w:r>
        <w:t xml:space="preserve">.</w:t>
      </w:r>
      <w:r>
        <w:t xml:space="preserve"> </w:t>
      </w:r>
      <w:r>
        <w:rPr>
          <w:i/>
          <w:iCs/>
        </w:rPr>
        <w:t xml:space="preserve">Journal of Artificial Intelligence Research</w:t>
      </w:r>
      <w:r>
        <w:t xml:space="preserve"> </w:t>
      </w:r>
      <w:r>
        <w:t xml:space="preserve">74: 851-86.</w:t>
      </w:r>
      <w:r>
        <w:t xml:space="preserve"> </w:t>
      </w:r>
      <w:hyperlink ns5:id="rId442">
        <w:r>
          <w:rPr>
            <w:rStyle w:val="Hipervnculo"/>
          </w:rPr>
          <w:t xml:space="preserve">https://doi.org/10.1613/jair.1.13283</w:t>
        </w:r>
      </w:hyperlink>
      <w:r>
        <w:t xml:space="preserve">.</w:t>
      </w:r>
    </w:p>
    <w:bookmarkEnd w:id="443"/>
    <w:bookmarkStart w:id="445" w:name="ref-voigt2017"/>
    <w:p>
      <w:pPr>
        <w:pStyle w:val="Bibliography"/>
        <w:spacing w:line="360" w:lineRule="auto"/>
        <w:jc w:val="both"/>
      </w:pPr>
      <w:r>
        <w:t xml:space="preserve">Voigt, Paul, y Axel von dem Bussche. 2017.</w:t>
      </w:r>
      <w:r>
        <w:t xml:space="preserve"> </w:t>
      </w:r>
      <w:r>
        <w:rPr>
          <w:i/>
          <w:iCs/>
        </w:rPr>
        <w:t xml:space="preserve">The EU General Data Protection Regulation (GDPR): A Practical Guide</w:t>
      </w:r>
      <w:r>
        <w:t xml:space="preserve">. Springer.</w:t>
      </w:r>
      <w:r>
        <w:t xml:space="preserve"> </w:t>
      </w:r>
      <w:hyperlink ns5:id="rId444">
        <w:r>
          <w:rPr>
            <w:rStyle w:val="Hipervnculo"/>
          </w:rPr>
          <w:t xml:space="preserve">https://doi.org/10.1007/978-3-319-57959-7</w:t>
        </w:r>
      </w:hyperlink>
      <w:r>
        <w:t xml:space="preserve">.</w:t>
      </w:r>
    </w:p>
    <w:bookmarkEnd w:id="445"/>
    <w:bookmarkStart w:id="447"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w:t>
      </w:r>
      <w:r>
        <w:t xml:space="preserve"> </w:t>
      </w:r>
      <w:r>
        <w:rPr>
          <w:i/>
          <w:iCs/>
        </w:rPr>
        <w:t xml:space="preserve">SSRN Electronic Journal</w:t>
      </w:r>
      <w:r>
        <w:t xml:space="preserve">, advance online publication.</w:t>
      </w:r>
      <w:r>
        <w:t xml:space="preserve"> </w:t>
      </w:r>
      <w:hyperlink ns5:id="rId446">
        <w:r>
          <w:rPr>
            <w:rStyle w:val="Hipervnculo"/>
          </w:rPr>
          <w:t xml:space="preserve">https://doi.org/10.2139/ssrn.3063289</w:t>
        </w:r>
      </w:hyperlink>
      <w:r>
        <w:t xml:space="preserve">.</w:t>
      </w:r>
    </w:p>
    <w:bookmarkEnd w:id="447"/>
    <w:bookmarkStart w:id="448" w:name="ref-wang2025"/>
    <w:p>
      <w:pPr>
        <w:pStyle w:val="Bibliography"/>
        <w:spacing w:line="360" w:lineRule="auto"/>
        <w:jc w:val="both"/>
      </w:pPr>
      <w:r>
        <w:t xml:space="preserve">Wang, Zhanliang, y Kai Wang. 2025.</w:t>
      </w:r>
      <w:r>
        <w:t xml:space="preserve"> </w:t>
      </w:r>
      <w:r>
        <w:rPr>
          <w:i/>
          <w:iCs/>
        </w:rPr>
        <w:t xml:space="preserve">MultiSHAP: A Shapley-Based Framework for Explaining Cross-Modal Interactions in Multimodal AI Models</w:t>
      </w:r>
      <w:r>
        <w:t xml:space="preserve">.</w:t>
      </w:r>
    </w:p>
    <w:bookmarkEnd w:id="448"/>
    <w:bookmarkStart w:id="450" w:name="ref-wilcoxon1945"/>
    <w:p>
      <w:pPr>
        <w:pStyle w:val="Bibliography"/>
        <w:spacing w:line="360" w:lineRule="auto"/>
        <w:jc w:val="both"/>
      </w:pPr>
      <w:r>
        <w:t xml:space="preserve">Wilcoxon, Frank. 1945.</w:t>
      </w:r>
      <w:r>
        <w:t xml:space="preserve"> </w:t>
      </w:r>
      <w:r>
        <w:t xml:space="preserve">«Individual Comparisons by Ranking Methods»</w:t>
      </w:r>
      <w:r>
        <w:t xml:space="preserve">.</w:t>
      </w:r>
      <w:r>
        <w:t xml:space="preserve"> </w:t>
      </w:r>
      <w:r>
        <w:rPr>
          <w:i/>
          <w:iCs/>
        </w:rPr>
        <w:t xml:space="preserve">Biometrics Bulletin</w:t>
      </w:r>
      <w:r>
        <w:t xml:space="preserve"> </w:t>
      </w:r>
      <w:r>
        <w:t xml:space="preserve">1 (6): 80-83.</w:t>
      </w:r>
      <w:r>
        <w:t xml:space="preserve"> </w:t>
      </w:r>
      <w:hyperlink ns5:id="rId449">
        <w:r>
          <w:rPr>
            <w:rStyle w:val="Hipervnculo"/>
          </w:rPr>
          <w:t xml:space="preserve">https://doi.org/10.2307/3001968</w:t>
        </w:r>
      </w:hyperlink>
      <w:r>
        <w:t xml:space="preserve">.</w:t>
      </w:r>
    </w:p>
    <w:bookmarkEnd w:id="450"/>
    <w:bookmarkStart w:id="452"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w:t>
      </w:r>
      <w:r>
        <w:t xml:space="preserve"> </w:t>
      </w:r>
      <w:r>
        <w:rPr>
          <w:i/>
          <w:iCs/>
        </w:rPr>
        <w:t xml:space="preserve">ICLR 2025 Proceedings</w:t>
      </w:r>
      <w:r>
        <w:t xml:space="preserve">.</w:t>
      </w:r>
      <w:r>
        <w:t xml:space="preserve"> </w:t>
      </w:r>
      <w:hyperlink ns5:id="rId451">
        <w:r>
          <w:rPr>
            <w:rStyle w:val="Hipervnculo"/>
          </w:rPr>
          <w:t xml:space="preserve">https://trustai4s-lab.github.io/ffidelity</w:t>
        </w:r>
      </w:hyperlink>
      <w:r>
        <w:t xml:space="preserve">.</w:t>
      </w:r>
    </w:p>
    <w:bookmarkEnd w:id="452"/>
    <w:bookmarkEnd w:id="453"/>
    <w:bookmarkEnd w:id="454"/>
    <w:bookmarkStart w:id="478" w:name="apéndices"/>
    <w:p>
      <w:pPr>
        <w:pStyle w:val="Ttulo1"/>
        <w:spacing w:line="360" w:lineRule="auto"/>
        <w:jc w:val="both"/>
      </w:pPr>
      <w:r>
        <w:t xml:space="preserve">Apéndices</w:t>
      </w:r>
    </w:p>
    <w:bookmarkStart w:id="456"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jc w:val="center"/>
        <w:tblLayout w:type="fixed"/>
        <w:tblLook w:firstRow="0" w:lastRow="0" w:firstColumn="0" w:lastColumn="0" w:noHBand="0" w:noVBand="0" w:val="0000"/>
      </w:tblPr>
      <w:tblGrid>
        <w:gridCol w:w="7920"/>
      </w:tblGrid>
      <w:tr>
        <w:tc>
          <w:tcPr/>
          <w:bookmarkStart w:id="455" w:name="tbl-appendix-dataset-schema"/>
          <w:p>
            <w:pPr>
              <w:pStyle w:val="ImageCaption"/>
              <w:spacing w:before="200" w:line="360" w:lineRule="auto"/>
              <w:jc w:val="center"/>
            </w:pPr>
            <w:r>
              <w:t xml:space="preserve">Tabla 6.5: Esquema resumido del conjunto Adult y transformaciones de preprocesamiento.</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Grupo</w:t>
                  </w:r>
                </w:p>
              </w:tc>
              <w:tc>
                <w:tcPr/>
                <w:p>
                  <w:pPr>
                    <w:pStyle w:val="Compact"/>
                    <w:jc w:val="both"/>
                    <w:jc w:val="center"/>
                    <w:spacing w:line="360" w:lineRule="auto"/>
                  </w:pPr>
                  <w:r>
                    <w:rPr>
                      <w:bCs/>
                      <w:b/>
                    </w:rPr>
                    <w:t xml:space="preserve">Características</w:t>
                  </w:r>
                </w:p>
              </w:tc>
              <w:tc>
                <w:tcPr/>
                <w:p>
                  <w:pPr>
                    <w:pStyle w:val="Compact"/>
                    <w:jc w:val="both"/>
                    <w:jc w:val="center"/>
                    <w:spacing w:line="360" w:lineRule="auto"/>
                  </w:pPr>
                  <w:r>
                    <w:rPr>
                      <w:bCs/>
                      <w:b/>
                    </w:rP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455"/>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456"/>
    <w:bookmarkStart w:id="458"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jc w:val="center"/>
        <w:tblLayout w:type="fixed"/>
        <w:tblLook w:firstRow="0" w:lastRow="0" w:firstColumn="0" w:lastColumn="0" w:noHBand="0" w:noVBand="0" w:val="0000"/>
      </w:tblPr>
      <w:tblGrid>
        <w:gridCol w:w="7920"/>
      </w:tblGrid>
      <w:tr>
        <w:tc>
          <w:tcPr/>
          <w:bookmarkStart w:id="457" w:name="tbl-appendix-models"/>
          <w:p>
            <w:pPr>
              <w:pStyle w:val="ImageCaption"/>
              <w:spacing w:before="200" w:line="360" w:lineRule="auto"/>
              <w:jc w:val="center"/>
            </w:pPr>
            <w:r>
              <w:t xml:space="preserve">Tabla 6.6: Modelos predictivos, justificación y ubicación de artefactos.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Rol metodológico</w:t>
                  </w:r>
                </w:p>
              </w:tc>
              <w:tc>
                <w:tcPr/>
                <w:p>
                  <w:pPr>
                    <w:pStyle w:val="Compact"/>
                    <w:jc w:val="both"/>
                    <w:jc w:val="center"/>
                    <w:spacing w:line="360" w:lineRule="auto"/>
                  </w:pPr>
                  <w:r>
                    <w:rPr>
                      <w:bCs/>
                      <w:b/>
                    </w:rPr>
                    <w:t xml:space="preserve">Artefacto principal</w:t>
                  </w:r>
                </w:p>
              </w:tc>
              <w:tc>
                <w:tcPr/>
                <w:p>
                  <w:pPr>
                    <w:pStyle w:val="Compact"/>
                    <w:jc w:val="both"/>
                    <w:jc w:val="center"/>
                    <w:spacing w:line="360" w:lineRule="auto"/>
                  </w:pPr>
                  <w:r>
                    <w:rPr>
                      <w:bCs/>
                      <w:b/>
                    </w:rP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457"/>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458"/>
    <w:bookmarkStart w:id="465"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jc w:val="center"/>
        <w:tblLayout w:type="fixed"/>
        <w:tblLook w:firstRow="0" w:lastRow="0" w:firstColumn="0" w:lastColumn="0" w:noHBand="0" w:noVBand="0" w:val="0000"/>
      </w:tblPr>
      <w:tblGrid>
        <w:gridCol w:w="7920"/>
      </w:tblGrid>
      <w:tr>
        <w:tc>
          <w:tcPr/>
          <w:bookmarkStart w:id="459" w:name="tbl-appendix-explainers"/>
          <w:p>
            <w:pPr>
              <w:pStyle w:val="ImageCaption"/>
              <w:spacing w:before="200" w:line="360" w:lineRule="auto"/>
              <w:jc w:val="center"/>
            </w:pPr>
            <w:r>
              <w:t xml:space="preserve">Tabla 6.7: Configuración de explicadores y caveats operativos.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Explicador</w:t>
                  </w:r>
                </w:p>
              </w:tc>
              <w:tc>
                <w:tcPr/>
                <w:p>
                  <w:pPr>
                    <w:pStyle w:val="Compact"/>
                    <w:jc w:val="both"/>
                    <w:jc w:val="center"/>
                    <w:spacing w:line="360" w:lineRule="auto"/>
                  </w:pPr>
                  <w:r>
                    <w:rPr>
                      <w:bCs/>
                      <w:b/>
                    </w:rPr>
                    <w:t xml:space="preserve">Configuración efectiva</w:t>
                  </w:r>
                </w:p>
              </w:tc>
              <w:tc>
                <w:tcPr/>
                <w:p>
                  <w:pPr>
                    <w:pStyle w:val="Compact"/>
                    <w:jc w:val="both"/>
                    <w:jc w:val="center"/>
                    <w:spacing w:line="360" w:lineRule="auto"/>
                  </w:pPr>
                  <w:r>
                    <w:rPr>
                      <w:bCs/>
                      <w:b/>
                    </w:rPr>
                    <w:t xml:space="preserve">Implementación</w:t>
                  </w:r>
                </w:p>
              </w:tc>
              <w:tc>
                <w:tcPr/>
                <w:p>
                  <w:pPr>
                    <w:pStyle w:val="Compact"/>
                    <w:jc w:val="both"/>
                    <w:jc w:val="center"/>
                    <w:spacing w:line="360" w:lineRule="auto"/>
                  </w:pPr>
                  <w:r>
                    <w:rPr>
                      <w:bCs/>
                      <w:b/>
                    </w:rP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459"/>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464"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jc w:val="center"/>
        <w:tblLayout w:type="fixed"/>
        <w:tblLook w:firstRow="0" w:lastRow="0" w:firstColumn="0" w:lastColumn="0" w:noHBand="0" w:noVBand="0" w:val="0000"/>
      </w:tblPr>
      <w:tblGrid>
        <w:gridCol w:w="7920"/>
      </w:tblGrid>
      <w:tr>
        <w:tc>
          <w:tcPr/>
          <w:bookmarkStart w:id="460" w:name="tbl-appendix-lime-sensitivity"/>
          <w:p>
            <w:pPr>
              <w:pStyle w:val="ImageCaption"/>
              <w:spacing w:before="200" w:line="360" w:lineRule="auto"/>
              <w:jc w:val="center"/>
            </w:pPr>
            <w:r>
              <w:t xml:space="preserve">Tabla 6.8: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Style w:val="VerbatimChar"/>
                    </w:rPr>
                    <w:t xml:space="preserve">num_samples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460"/>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Tabla 6.11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jc w:val="center"/>
        <w:tblLayout w:type="fixed"/>
        <w:tblLook w:firstRow="0" w:lastRow="0" w:firstColumn="0" w:lastColumn="0" w:noHBand="0" w:noVBand="0" w:val="0000"/>
      </w:tblPr>
      <w:tblGrid>
        <w:gridCol w:w="7920"/>
      </w:tblGrid>
      <w:tr>
        <w:tc>
          <w:tcPr/>
          <w:bookmarkStart w:id="461" w:name="tbl-appendix-shap-sensitivity"/>
          <w:p>
            <w:pPr>
              <w:pStyle w:val="ImageCaption"/>
              <w:spacing w:before="200" w:line="360" w:lineRule="auto"/>
              <w:jc w:val="center"/>
            </w:pPr>
            <w:r>
              <w:t xml:space="preserve">Tabla 6.9: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Referencia (</w:t>
                  </w:r>
                  <ns1:oMath>
                    <ns1:r>
                      <ns1:t>k</ns1:t>
                    </ns1:r>
                  </ns1:oMath>
                  <w:r>
                    <w:rPr>
                      <w:bCs/>
                      <w:b/>
                    </w:rPr>
                    <w:t xml:space="preserve">)</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461"/>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jc w:val="center"/>
        <w:tblLayout w:type="fixed"/>
        <w:tblLook w:firstRow="0" w:lastRow="0" w:firstColumn="0" w:lastColumn="0" w:noHBand="0" w:noVBand="0" w:val="0000"/>
      </w:tblPr>
      <w:tblGrid>
        <w:gridCol w:w="7920"/>
      </w:tblGrid>
      <w:tr>
        <w:tc>
          <w:tcPr/>
          <w:bookmarkStart w:id="462" w:name="tbl-appendix-anchors-sensitivity"/>
          <w:p>
            <w:pPr>
              <w:pStyle w:val="ImageCaption"/>
              <w:spacing w:before="200" w:line="360" w:lineRule="auto"/>
              <w:jc w:val="center"/>
            </w:pPr>
            <w:r>
              <w:t xml:space="preserve">Tabla 6.10: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Tabla 3.5</w:t>
              </w:r>
            </w:hyperlink>
            <w:r>
              <w:t xml:space="preserve">—, mientras que la fidelidad y el coste corresponden a la</w:t>
            </w:r>
            <w:r>
              <w:t xml:space="preserve"> </w:t>
            </w:r>
            <w:r>
              <w:t xml:space="preserve">condición de sondeo RF, semilla 42.</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rPr>
                      <w:bCs/>
                      <w:b/>
                    </w:rPr>
                    <w:t xml:space="preserve">Cobertura del diseño completo (75 celdas)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462"/>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63" w:name="tbl-appendix-lime-kw-sensitivity"/>
          <w:p>
            <w:pPr>
              <w:pStyle w:val="ImageCaption"/>
              <w:spacing w:before="200" w:line="360" w:lineRule="auto"/>
              <w:jc w:val="center"/>
            </w:pPr>
            <w:r>
              <w:t xml:space="preserve">Tabla 6.11: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Style w:val="VerbatimChar"/>
                    </w:rPr>
                    <w:t xml:space="preserve">kernel_width</w:t>
                  </w:r>
                </w:p>
              </w:tc>
              <w:tc>
                <w:tcPr/>
                <w:p>
                  <w:pPr>
                    <w:pStyle w:val="Compact"/>
                    <w:jc w:val="both"/>
                    <w:jc w:val="center"/>
                    <w:spacing w:line="360" w:lineRule="auto"/>
                  </w:pPr>
                  <w:r>
                    <w:rPr>
                      <w:bCs/>
                      <w:b/>
                    </w:rPr>
                    <w:t xml:space="preserve">Instancias válidas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463"/>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464"/>
    <w:bookmarkEnd w:id="465"/>
    <w:bookmarkStart w:id="473"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66" w:name="tbl-appendix-stat-outputs"/>
          <w:p>
            <w:pPr>
              <w:pStyle w:val="ImageCaption"/>
              <w:spacing w:before="200" w:line="360" w:lineRule="auto"/>
              <w:jc w:val="center"/>
            </w:pPr>
            <w:r>
              <w:t xml:space="preserve">Tabla 6.12: Salidas estadísticas principales y uso en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466"/>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468" w:name="Xe3909ed8b3f47a476ee07b1fbdd59a863fdc536"/>
    <w:p>
      <w:pPr>
        <w:pStyle w:val="Ttulo3"/>
        <w:spacing w:line="360" w:lineRule="auto"/>
        <w:jc w:val="both"/>
      </w:pPr>
      <w:r>
        <w:t xml:space="preserve">D.1 Resultados completos de la prueba de Friedman</w:t>
      </w:r>
    </w:p>
    <w:tbl>
      <w:tblPr>
        <w:tblStyle w:val="Table"/>
        <w:tblW w:type="pct" w:w="5000"/>
        <w:jc w:val="center"/>
        <w:tblLayout w:type="fixed"/>
        <w:tblLook w:firstRow="0" w:lastRow="0" w:firstColumn="0" w:lastColumn="0" w:noHBand="0" w:noVBand="0" w:val="0000"/>
      </w:tblPr>
      <w:tblGrid>
        <w:gridCol w:w="7920"/>
      </w:tblGrid>
      <w:tr>
        <w:tc>
          <w:tcPr/>
          <w:bookmarkStart w:id="467" w:name="tbl-appendix-friedman-full"/>
          <w:p>
            <w:pPr>
              <w:pStyle w:val="ImageCaption"/>
              <w:spacing w:before="200" w:line="360" w:lineRule="auto"/>
              <w:jc w:val="center"/>
            </w:pPr>
            <w:r>
              <w:t xml:space="preserve">Tabla 6.13: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r>
                      <ns1:t>n</ns1:t>
                    </ns1:r>
                  </ns1:oMath>
                  <w:r>
                    <w:rPr>
                      <w:bCs/>
                      <w:b/>
                    </w:rPr>
                    <w:t xml:space="preserve"> </w:t>
                  </w:r>
                  <w:r>
                    <w:rPr>
                      <w:bCs/>
                      <w:b/>
                    </w:rPr>
                    <w:t xml:space="preserve">bloques</w:t>
                  </w:r>
                </w:p>
              </w:tc>
              <w:tc>
                <w:tcPr/>
                <w:p>
                  <w:pPr>
                    <w:pStyle w:val="Compact"/>
                    <w:jc w:val="both"/>
                    <w:jc w:val="center"/>
                    <w:spacing w:line="360" w:lineRule="auto"/>
                  </w:pPr>
                  <ns1:oMath>
                    <ns1:r>
                      <ns1:t>k</ns1:t>
                    </ns1:r>
                  </ns1:oMath>
                  <w:r>
                    <w:rPr>
                      <w:bCs/>
                      <w:b/>
                    </w:rPr>
                    <w:t xml:space="preserve"> </w:t>
                  </w:r>
                  <w:r>
                    <w:rPr>
                      <w:bCs/>
                      <w:b/>
                    </w:rP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rPr>
                      <w:bCs/>
                      <w:b/>
                    </w:rPr>
                    <w:t xml:space="preserve"> </w:t>
                  </w:r>
                  <w:r>
                    <w:rPr>
                      <w:bCs/>
                      <w:b/>
                    </w:rP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rPr>
                      <w:bCs/>
                      <w:b/>
                    </w:rPr>
                    <w:t xml:space="preserve">Kendall</w:t>
                  </w:r>
                  <w:r>
                    <w:rPr>
                      <w:bCs/>
                      <w:b/>
                    </w:rPr>
                    <w:t xml:space="preserve"> </w:t>
                  </w:r>
                  <ns1:oMath>
                    <ns1:r>
                      <ns1:t>W</ns1:t>
                    </ns1:r>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467"/>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Tabla 3.6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468"/>
    <w:bookmarkStart w:id="470"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jc w:val="center"/>
        <w:tblLayout w:type="fixed"/>
        <w:tblLook w:firstRow="0" w:lastRow="0" w:firstColumn="0" w:lastColumn="0" w:noHBand="0" w:noVBand="0" w:val="0000"/>
      </w:tblPr>
      <w:tblGrid>
        <w:gridCol w:w="7920"/>
      </w:tblGrid>
      <w:tr>
        <w:tc>
          <w:tcPr/>
          <w:bookmarkStart w:id="469" w:name="tbl-appendix-nemenyi-full"/>
          <w:p>
            <w:pPr>
              <w:pStyle w:val="ImageCaption"/>
              <w:spacing w:before="200" w:line="360" w:lineRule="auto"/>
              <w:jc w:val="center"/>
            </w:pPr>
            <w:r>
              <w:t xml:space="preserve">Tabla 6.14: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(fidelidad)</w:t>
                  </w:r>
                </w:p>
              </w:tc>
              <w:tc>
                <w:tcPr/>
                <w:p>
                  <w:pPr>
                    <w:pStyle w:val="Compact"/>
                    <w:jc w:val="both"/>
                    <w:jc w:val="center"/>
                    <w:spacing w:line="360" w:lineRule="auto"/>
                  </w:pPr>
                  <w:r>
                    <w:rPr>
                      <w:bCs/>
                      <w:b/>
                    </w:rP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(estabilidad)</w:t>
                  </w:r>
                </w:p>
              </w:tc>
              <w:tc>
                <w:tcPr/>
                <w:p>
                  <w:pPr>
                    <w:pStyle w:val="Compact"/>
                    <w:jc w:val="both"/>
                    <w:jc w:val="center"/>
                    <w:spacing w:line="360" w:lineRule="auto"/>
                  </w:pPr>
                  <w:r>
                    <w:rPr>
                      <w:bCs/>
                      <w:b/>
                    </w:rP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469"/>
          <w:p>
            <w:pPr>
              <w:spacing w:line="360" w:lineRule="auto"/>
              <w:jc w:val="both"/>
            </w:pPr>
          </w:p>
        </w:tc>
      </w:tr>
    </w:tbl>
    <w:bookmarkEnd w:id="470"/>
    <w:bookmarkStart w:id="472"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jc w:val="center"/>
        <w:tblLayout w:type="fixed"/>
        <w:tblLook w:firstRow="0" w:lastRow="0" w:firstColumn="0" w:lastColumn="0" w:noHBand="0" w:noVBand="0" w:val="0000"/>
      </w:tblPr>
      <w:tblGrid>
        <w:gridCol w:w="7920"/>
      </w:tblGrid>
      <w:tr>
        <w:tc>
          <w:tcPr/>
          <w:bookmarkStart w:id="471" w:name="tbl-appendix-wilcoxon-full"/>
          <w:p>
            <w:pPr>
              <w:pStyle w:val="ImageCaption"/>
              <w:spacing w:before="200" w:line="360" w:lineRule="auto"/>
              <w:jc w:val="center"/>
            </w:pPr>
            <w:r>
              <w:t xml:space="preserve">Tabla 6.15: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acc>
                      <ns1:accPr>
                        <ns1:chr ns1:val="‾"/>
                      </ns1:accPr>
                      <ns1:e>
                        <ns1:r>
                          <ns1:t>d</ns1:t>
                        </ns1:r>
                      </ns1:e>
                    </ns1:acc>
                  </ns1:oMath>
                  <w:r>
                    <w:rPr>
                      <w:bCs/>
                      <w:b/>
                    </w:rPr>
                    <w:t xml:space="preserve"> </w:t>
                  </w:r>
                  <w:r>
                    <w:rPr>
                      <w:bCs/>
                      <w:b/>
                    </w:rPr>
                    <w:t xml:space="preserve">(SHAP</w:t>
                  </w:r>
                  <ns1:oMath>
                    <ns1:r>
                      <ns1:rPr>
                        <ns1:sty ns1:val="p"/>
                      </ns1:rPr>
                      <ns1:t>−</ns1:t>
                    </ns1:r>
                  </ns1:oMath>
                  <w:r>
                    <w:rPr>
                      <w:bCs/>
                      <w:b/>
                    </w:rP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rPr>
                      <w:bCs/>
                      <w:b/>
                    </w:rPr>
                    <w:t xml:space="preserve"> </w:t>
                  </w:r>
                  <w:r>
                    <w:rPr>
                      <w:bCs/>
                      <w:b/>
                    </w:rP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471"/>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Tabla 4.6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Tabla 4.6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472"/>
    <w:bookmarkEnd w:id="473"/>
    <w:bookmarkStart w:id="475"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jc w:val="center"/>
        <w:tblLayout w:type="fixed"/>
        <w:tblLook w:firstRow="0" w:lastRow="0" w:firstColumn="0" w:lastColumn="0" w:noHBand="0" w:noVBand="0" w:val="0000"/>
      </w:tblPr>
      <w:tblGrid>
        <w:gridCol w:w="7920"/>
      </w:tblGrid>
      <w:tr>
        <w:tc>
          <w:tcPr/>
          <w:bookmarkStart w:id="474" w:name="tbl-appendix-environment"/>
          <w:p>
            <w:pPr>
              <w:pStyle w:val="ImageCaption"/>
              <w:spacing w:before="200" w:line="360" w:lineRule="auto"/>
              <w:jc w:val="center"/>
            </w:pPr>
            <w:r>
              <w:t xml:space="preserve">Tabla 6.16: Archivos de entorno y reproducción.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474"/>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475"/>
    <w:bookmarkStart w:id="477"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w:t>
      </w:r>
      <w:hyperlink w:anchor="sec-exp4-diseno">
        <w:r>
          <w:rPr>
            <w:rStyle w:val="Hipervnculo"/>
          </w:rPr>
          <w:t xml:space="preserve">3.11.2</w:t>
        </w:r>
      </w:hyperlink>
      <w:r>
        <w:t xml:space="preserve">, Capítulo 3; resultados en</w:t>
      </w:r>
      <w:r>
        <w:t xml:space="preserve"> </w:t>
      </w:r>
      <w:r>
        <w:t xml:space="preserve">§</w:t>
      </w:r>
      <w:hyperlink w:anchor="sec-exp4-fiabilidad">
        <w:r>
          <w:rPr>
            <w:rStyle w:val="Hipervnculo"/>
          </w:rPr>
          <w:t xml:space="preserve">5.8</w:t>
        </w:r>
      </w:hyperlink>
      <w:r>
        <w:t xml:space="preserve">,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5.3</w:t>
        </w:r>
      </w:hyperlink>
      <w:r>
        <w:t xml:space="preserve"> </w:t>
      </w:r>
      <w:r>
        <w:t xml:space="preserve">del</w:t>
      </w:r>
      <w:r>
        <w:t xml:space="preserve"> </w:t>
      </w:r>
      <w:r>
        <w:t xml:space="preserve">Capítulo 5.</w:t>
      </w:r>
    </w:p>
    <w:tbl>
      <w:tblPr>
        <w:tblStyle w:val="Table"/>
        <w:tblW w:type="pct" w:w="5000"/>
        <w:jc w:val="center"/>
        <w:tblLayout w:type="fixed"/>
        <w:tblLook w:firstRow="0" w:lastRow="0" w:firstColumn="0" w:lastColumn="0" w:noHBand="0" w:noVBand="0" w:val="0000"/>
      </w:tblPr>
      <w:tblGrid>
        <w:gridCol w:w="7920"/>
      </w:tblGrid>
      <w:tr>
        <w:tc>
          <w:tcPr/>
          <w:bookmarkStart w:id="476" w:name="tbl-appendix-llm"/>
          <w:p>
            <w:pPr>
              <w:pStyle w:val="ImageCaption"/>
              <w:spacing w:before="200" w:line="360" w:lineRule="auto"/>
              <w:jc w:val="center"/>
            </w:pPr>
            <w:r>
              <w:t xml:space="preserve">Tabla 6.17: Artefactos de EXP4 y trazabilidad a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Artefacto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bl>
          <w:bookmarkEnd w:id="476"/>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w:t>
      </w:r>
      <w:hyperlink w:anchor="sec-exp4-fiabilidad">
        <w:r>
          <w:rPr>
            <w:rStyle w:val="Hipervnculo"/>
          </w:rPr>
          <w:t xml:space="preserve">5.8</w:t>
        </w:r>
      </w:hyperlink>
      <w:r>
        <w:t xml:space="preserve"> </w:t>
      </w:r>
      <w:r>
        <w:t xml:space="preserve">y §</w:t>
      </w:r>
      <w:hyperlink w:anchor="sec-futuro">
        <w:r>
          <w:rPr>
            <w:rStyle w:val="Hipervnculo"/>
          </w:rPr>
          <w:t xml:space="preserve">6.6</w:t>
        </w:r>
      </w:hyperlink>
      <w:r>
        <w:t xml:space="preserve">).</w:t>
      </w:r>
    </w:p>
    <w:bookmarkEnd w:id="477"/>
    <w:bookmarkEnd w:id="478"/>
    <w:sectPr w:rsidR="004A1446" w:rsidSect="0070096E">
      <w:headerReference ns5:id="rId9" w:type="even"/>
      <w:headerReference ns5:id="rId10" w:type="default"/>
      <w:pgSz w:h="15840" w:w="12240"/>
      <w:pgMar w:bottom="1440" w:footer="720" w:gutter="0" w:header="720" w:left="1440" w:right="1440" w:top="1728"/>
      <w:pgNumType w:fmt="decimal"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
    </w:rPr>
  </w:style>
  <w:style w:customStyle="1" w:styleId="Ttulo4Car" w:type="character">
    <w:name w:val="Título 4 Car"/>
    <w:basedOn w:val="Fuentedeprrafopredeter"/>
    <w:link w:val="Ttulo4"/>
    <w:uiPriority w:val="9"/>
    <w:rsid w:val="00AE0CE0"/>
    <w:rPr>
      <w:rFonts w:cstheme="majorBidi" w:eastAsiaTheme="majorEastAsia"/>
      <w:b/>
      <w:iCs/>
      <w:lang w:val="es"/>
    </w:rPr>
  </w:style>
  <w:style w:customStyle="1" w:styleId="Ttulo5Car" w:type="character">
    <w:name w:val="Título 5 Car"/>
    <w:basedOn w:val="Fuentedeprrafopredeter"/>
    <w:link w:val="Ttulo5"/>
    <w:uiPriority w:val="9"/>
    <w:rsid w:val="004323BF"/>
    <w:rPr>
      <w:rFonts w:cstheme="majorBidi" w:eastAsiaTheme="majorEastAsia"/>
      <w:b/>
      <w:i/>
      <w:lang w:val="es"/>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50" Target="media/rId150.png" /><Relationship Type="http://schemas.openxmlformats.org/officeDocument/2006/relationships/image" Id="rId130" Target="media/rId130.png" /><Relationship Type="http://schemas.openxmlformats.org/officeDocument/2006/relationships/image" Id="rId154" Target="media/rId154.png" /><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Agnóstica para la Interpretabilidad de Modelos de Inteligencia Artificial de Caja Negra</dc:title>
  <dc:creator>J. Herrera</dc:creator>
  <dc:language>es</dc:language>
  <cp:keywords/>
  <dcterms:created xsi:type="dcterms:W3CDTF">2026-09-05T01:29:51Z</dcterms:created>
  <dcterms:modified xsi:type="dcterms:W3CDTF">2026-09-05T01:29:51Z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Tabla de contenidos</vt:lpwstr>
  </property>
</Properties>
</file>