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0.388 y la estabilidad 0.052, ambas</w:t>
      </w:r>
      <w:r>
        <w:t xml:space="preserve"> </w:t>
      </w:r>
      <w:r>
        <w:t xml:space="preserve">inferiores a las de SHAP y LIME.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 (rúbrica de 7 dimensiones)</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entregadas al juez LLM</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2026-08-28T20:41:33Z</dcterms:created>
  <dcterms:modified xsi:type="dcterms:W3CDTF">2026-08-28T20:41:33Z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