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628A3" w14:textId="77777777" w:rsidR="004C4795" w:rsidRPr="0025332D" w:rsidRDefault="004C4795" w:rsidP="00B404A0">
      <w:pPr>
        <w:spacing w:before="0" w:beforeAutospacing="0" w:after="0" w:afterAutospacing="0"/>
        <w:jc w:val="center"/>
        <w:rPr>
          <w:rFonts w:cs="Segoe UI"/>
          <w:sz w:val="32"/>
          <w:szCs w:val="32"/>
        </w:rPr>
      </w:pPr>
    </w:p>
    <w:p w14:paraId="7841C682" w14:textId="77777777" w:rsidR="00B404A0" w:rsidRPr="0025332D" w:rsidRDefault="00E32EAD" w:rsidP="00B404A0">
      <w:pPr>
        <w:spacing w:before="0" w:beforeAutospacing="0" w:after="0" w:afterAutospacing="0"/>
        <w:jc w:val="center"/>
        <w:rPr>
          <w:rFonts w:cs="Segoe UI"/>
          <w:sz w:val="32"/>
          <w:szCs w:val="32"/>
        </w:rPr>
      </w:pPr>
      <w:r>
        <w:rPr>
          <w:rFonts w:cs="Segoe UI"/>
          <w:sz w:val="32"/>
          <w:szCs w:val="32"/>
        </w:rPr>
        <w:t>When Does SHAP Outperform LIME? Model- and Configuration-Dependent Results from a Paired Tabular Benchmark</w:t>
      </w:r>
    </w:p>
    <w:p w14:paraId="0E696C81" w14:textId="77777777" w:rsidR="00E22AB2" w:rsidRPr="0025332D" w:rsidRDefault="00E22AB2" w:rsidP="00B404A0">
      <w:pPr>
        <w:spacing w:before="0" w:beforeAutospacing="0" w:after="0" w:afterAutospacing="0"/>
        <w:jc w:val="center"/>
        <w:rPr>
          <w:rFonts w:cs="Segoe UI"/>
          <w:sz w:val="32"/>
          <w:szCs w:val="32"/>
        </w:rPr>
      </w:pPr>
    </w:p>
    <w:p w14:paraId="7D744D54" w14:textId="77777777" w:rsidR="00F27E4D" w:rsidRDefault="00652C58">
      <w:pPr>
        <w:jc w:val="center"/>
      </w:pPr>
      <w:r>
        <w:rPr>
          <w:i/>
          <w:sz w:val="18"/>
        </w:rPr>
        <w:t>Author information is given on the separate title page (masked review).</w:t>
      </w:r>
    </w:p>
    <w:p w14:paraId="71C77FC1" w14:textId="77777777" w:rsidR="00A57931" w:rsidRPr="0025332D" w:rsidRDefault="00A57931" w:rsidP="0025332D">
      <w:pPr>
        <w:spacing w:before="0" w:beforeAutospacing="0" w:after="0" w:afterAutospacing="0"/>
        <w:rPr>
          <w:rFonts w:eastAsia="Times New Roman" w:cs="Segoe UI"/>
          <w:bCs/>
          <w:szCs w:val="18"/>
        </w:rPr>
      </w:pP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2"/>
        <w:gridCol w:w="1028"/>
        <w:gridCol w:w="630"/>
      </w:tblGrid>
      <w:tr w:rsidR="00A57931" w:rsidRPr="0025332D" w14:paraId="531F849E" w14:textId="77777777" w:rsidTr="003D2F11">
        <w:trPr>
          <w:trHeight w:val="20"/>
          <w:jc w:val="right"/>
        </w:trPr>
        <w:tc>
          <w:tcPr>
            <w:tcW w:w="0" w:type="auto"/>
            <w:tcMar>
              <w:left w:w="57" w:type="dxa"/>
              <w:right w:w="57" w:type="dxa"/>
            </w:tcMar>
            <w:vAlign w:val="center"/>
            <w:hideMark/>
          </w:tcPr>
          <w:p w14:paraId="0D7D1337" w14:textId="77777777" w:rsidR="00A57931" w:rsidRPr="0025332D" w:rsidRDefault="00A57931" w:rsidP="003D2F11">
            <w:pPr>
              <w:jc w:val="right"/>
              <w:rPr>
                <w:rFonts w:cs="Segoe UI"/>
                <w:i/>
                <w:sz w:val="16"/>
                <w:szCs w:val="16"/>
              </w:rPr>
            </w:pPr>
            <w:r w:rsidRPr="0025332D">
              <w:rPr>
                <w:rFonts w:cs="Segoe UI"/>
                <w:i/>
                <w:sz w:val="16"/>
                <w:szCs w:val="16"/>
              </w:rPr>
              <w:t>Submitted:</w:t>
            </w:r>
          </w:p>
        </w:tc>
        <w:tc>
          <w:tcPr>
            <w:tcW w:w="0" w:type="auto"/>
            <w:tcMar>
              <w:left w:w="57" w:type="dxa"/>
              <w:right w:w="57" w:type="dxa"/>
            </w:tcMar>
            <w:vAlign w:val="center"/>
            <w:hideMark/>
          </w:tcPr>
          <w:p w14:paraId="1256E173" w14:textId="77777777" w:rsidR="00A57931" w:rsidRPr="0025332D" w:rsidRDefault="00E32EAD" w:rsidP="000027AC">
            <w:pPr>
              <w:rPr>
                <w:rFonts w:cs="Segoe UI"/>
                <w:i/>
                <w:sz w:val="16"/>
                <w:szCs w:val="16"/>
              </w:rPr>
            </w:pPr>
            <w:r>
              <w:rPr>
                <w:rFonts w:cs="Segoe UI"/>
                <w:i/>
                <w:sz w:val="16"/>
                <w:szCs w:val="16"/>
              </w:rPr>
              <w:t>DD</w:t>
            </w:r>
            <w:r w:rsidR="00A57931" w:rsidRPr="0025332D">
              <w:rPr>
                <w:rFonts w:cs="Segoe UI"/>
                <w:i/>
                <w:sz w:val="16"/>
                <w:szCs w:val="16"/>
              </w:rPr>
              <w:t>.</w:t>
            </w:r>
            <w:r>
              <w:rPr>
                <w:rFonts w:cs="Segoe UI"/>
                <w:i/>
                <w:sz w:val="16"/>
                <w:szCs w:val="16"/>
              </w:rPr>
              <w:t>MM</w:t>
            </w:r>
            <w:r w:rsidR="00A57931" w:rsidRPr="0025332D">
              <w:rPr>
                <w:rFonts w:cs="Segoe UI"/>
                <w:i/>
                <w:sz w:val="16"/>
                <w:szCs w:val="16"/>
              </w:rPr>
              <w:t>.</w:t>
            </w:r>
            <w:r>
              <w:rPr>
                <w:rFonts w:cs="Segoe UI"/>
                <w:i/>
                <w:sz w:val="16"/>
                <w:szCs w:val="16"/>
              </w:rPr>
              <w:t>YYYY</w:t>
            </w:r>
          </w:p>
        </w:tc>
        <w:tc>
          <w:tcPr>
            <w:tcW w:w="0" w:type="auto"/>
            <w:vMerge w:val="restart"/>
            <w:tcMar>
              <w:left w:w="0" w:type="dxa"/>
              <w:right w:w="0" w:type="dxa"/>
            </w:tcMar>
            <w:vAlign w:val="center"/>
            <w:hideMark/>
          </w:tcPr>
          <w:p w14:paraId="2A13C2A9" w14:textId="77777777" w:rsidR="00A57931" w:rsidRPr="0025332D" w:rsidRDefault="00A57931" w:rsidP="003D2F11">
            <w:pPr>
              <w:jc w:val="center"/>
              <w:rPr>
                <w:rFonts w:cs="Times New Roman"/>
                <w:i/>
                <w:szCs w:val="18"/>
              </w:rPr>
            </w:pPr>
            <w:r w:rsidRPr="0025332D">
              <w:rPr>
                <w:noProof/>
                <w:lang w:eastAsia="en-GB"/>
              </w:rPr>
              <w:drawing>
                <wp:inline distT="0" distB="0" distL="0" distR="0" wp14:anchorId="4F5A7DF0" wp14:editId="06112F0A">
                  <wp:extent cx="396000" cy="396000"/>
                  <wp:effectExtent l="0" t="0" r="4445" b="4445"/>
                  <wp:docPr id="47" name="Picture 47">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a:hlinkClick r:id="rId8"/>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96000" cy="396000"/>
                          </a:xfrm>
                          <a:prstGeom prst="rect">
                            <a:avLst/>
                          </a:prstGeom>
                          <a:noFill/>
                          <a:ln>
                            <a:noFill/>
                          </a:ln>
                        </pic:spPr>
                      </pic:pic>
                    </a:graphicData>
                  </a:graphic>
                </wp:inline>
              </w:drawing>
            </w:r>
          </w:p>
        </w:tc>
      </w:tr>
      <w:tr w:rsidR="00A57931" w:rsidRPr="0025332D" w14:paraId="68B32E13" w14:textId="77777777" w:rsidTr="003D2F11">
        <w:trPr>
          <w:trHeight w:val="20"/>
          <w:jc w:val="right"/>
        </w:trPr>
        <w:tc>
          <w:tcPr>
            <w:tcW w:w="0" w:type="auto"/>
            <w:tcMar>
              <w:left w:w="57" w:type="dxa"/>
              <w:right w:w="57" w:type="dxa"/>
            </w:tcMar>
            <w:vAlign w:val="center"/>
            <w:hideMark/>
          </w:tcPr>
          <w:p w14:paraId="7B2F7637" w14:textId="77777777" w:rsidR="00A57931" w:rsidRPr="0025332D" w:rsidRDefault="00A57931" w:rsidP="003D2F11">
            <w:pPr>
              <w:jc w:val="right"/>
              <w:rPr>
                <w:rFonts w:cs="Segoe UI"/>
                <w:i/>
                <w:sz w:val="16"/>
                <w:szCs w:val="16"/>
              </w:rPr>
            </w:pPr>
            <w:r w:rsidRPr="0025332D">
              <w:rPr>
                <w:rFonts w:cs="Segoe UI"/>
                <w:i/>
                <w:sz w:val="16"/>
                <w:szCs w:val="16"/>
              </w:rPr>
              <w:t>Accepted:</w:t>
            </w:r>
          </w:p>
        </w:tc>
        <w:tc>
          <w:tcPr>
            <w:tcW w:w="0" w:type="auto"/>
            <w:tcMar>
              <w:left w:w="57" w:type="dxa"/>
              <w:right w:w="57" w:type="dxa"/>
            </w:tcMar>
            <w:vAlign w:val="center"/>
          </w:tcPr>
          <w:p w14:paraId="66D70D7F" w14:textId="77777777" w:rsidR="00A57931" w:rsidRPr="0025332D" w:rsidRDefault="00E32EAD" w:rsidP="000027AC">
            <w:pPr>
              <w:jc w:val="left"/>
              <w:rPr>
                <w:rFonts w:cs="Segoe UI"/>
                <w:i/>
                <w:sz w:val="16"/>
                <w:szCs w:val="16"/>
              </w:rPr>
            </w:pPr>
            <w:r>
              <w:rPr>
                <w:rFonts w:cs="Segoe UI"/>
                <w:i/>
                <w:sz w:val="16"/>
                <w:szCs w:val="16"/>
              </w:rPr>
              <w:t>DD</w:t>
            </w:r>
            <w:r w:rsidRPr="0025332D">
              <w:rPr>
                <w:rFonts w:cs="Segoe UI"/>
                <w:i/>
                <w:sz w:val="16"/>
                <w:szCs w:val="16"/>
              </w:rPr>
              <w:t>.</w:t>
            </w:r>
            <w:r>
              <w:rPr>
                <w:rFonts w:cs="Segoe UI"/>
                <w:i/>
                <w:sz w:val="16"/>
                <w:szCs w:val="16"/>
              </w:rPr>
              <w:t>MM</w:t>
            </w:r>
            <w:r w:rsidRPr="0025332D">
              <w:rPr>
                <w:rFonts w:cs="Segoe UI"/>
                <w:i/>
                <w:sz w:val="16"/>
                <w:szCs w:val="16"/>
              </w:rPr>
              <w:t>.</w:t>
            </w:r>
            <w:r>
              <w:rPr>
                <w:rFonts w:cs="Segoe UI"/>
                <w:i/>
                <w:sz w:val="16"/>
                <w:szCs w:val="16"/>
              </w:rPr>
              <w:t>YYYY</w:t>
            </w:r>
          </w:p>
        </w:tc>
        <w:tc>
          <w:tcPr>
            <w:tcW w:w="0" w:type="auto"/>
            <w:vMerge/>
            <w:tcMar>
              <w:left w:w="0" w:type="dxa"/>
              <w:right w:w="0" w:type="dxa"/>
            </w:tcMar>
            <w:vAlign w:val="center"/>
            <w:hideMark/>
          </w:tcPr>
          <w:p w14:paraId="632DA22B" w14:textId="77777777" w:rsidR="00A57931" w:rsidRPr="0025332D" w:rsidRDefault="00A57931" w:rsidP="003D2F11">
            <w:pPr>
              <w:spacing w:before="0" w:beforeAutospacing="0" w:after="0" w:afterAutospacing="0"/>
              <w:jc w:val="left"/>
              <w:rPr>
                <w:rFonts w:cs="Times New Roman"/>
                <w:i/>
                <w:szCs w:val="18"/>
              </w:rPr>
            </w:pPr>
          </w:p>
        </w:tc>
      </w:tr>
      <w:tr w:rsidR="00A57931" w:rsidRPr="0025332D" w14:paraId="22A91D78" w14:textId="77777777" w:rsidTr="003D2F11">
        <w:trPr>
          <w:trHeight w:val="20"/>
          <w:jc w:val="right"/>
        </w:trPr>
        <w:tc>
          <w:tcPr>
            <w:tcW w:w="0" w:type="auto"/>
            <w:tcMar>
              <w:left w:w="57" w:type="dxa"/>
              <w:right w:w="57" w:type="dxa"/>
            </w:tcMar>
            <w:vAlign w:val="center"/>
            <w:hideMark/>
          </w:tcPr>
          <w:p w14:paraId="3CFB82AB" w14:textId="77777777" w:rsidR="00A57931" w:rsidRPr="0025332D" w:rsidRDefault="00A57931" w:rsidP="003D2F11">
            <w:pPr>
              <w:jc w:val="right"/>
              <w:rPr>
                <w:rFonts w:cs="Segoe UI"/>
                <w:i/>
                <w:sz w:val="16"/>
                <w:szCs w:val="16"/>
              </w:rPr>
            </w:pPr>
            <w:r w:rsidRPr="0025332D">
              <w:rPr>
                <w:rFonts w:cs="Segoe UI"/>
                <w:i/>
                <w:sz w:val="16"/>
                <w:szCs w:val="16"/>
              </w:rPr>
              <w:t>Published:</w:t>
            </w:r>
          </w:p>
        </w:tc>
        <w:tc>
          <w:tcPr>
            <w:tcW w:w="0" w:type="auto"/>
            <w:tcMar>
              <w:left w:w="57" w:type="dxa"/>
              <w:right w:w="57" w:type="dxa"/>
            </w:tcMar>
            <w:vAlign w:val="center"/>
          </w:tcPr>
          <w:p w14:paraId="17D0A5F4" w14:textId="77777777" w:rsidR="00A57931" w:rsidRPr="0025332D" w:rsidRDefault="00E32EAD" w:rsidP="003D2F11">
            <w:pPr>
              <w:jc w:val="left"/>
              <w:rPr>
                <w:rFonts w:cs="Segoe UI"/>
                <w:i/>
                <w:sz w:val="16"/>
                <w:szCs w:val="16"/>
              </w:rPr>
            </w:pPr>
            <w:r>
              <w:rPr>
                <w:rFonts w:cs="Segoe UI"/>
                <w:i/>
                <w:sz w:val="16"/>
                <w:szCs w:val="16"/>
              </w:rPr>
              <w:t>DD</w:t>
            </w:r>
            <w:r w:rsidRPr="0025332D">
              <w:rPr>
                <w:rFonts w:cs="Segoe UI"/>
                <w:i/>
                <w:sz w:val="16"/>
                <w:szCs w:val="16"/>
              </w:rPr>
              <w:t>.</w:t>
            </w:r>
            <w:r>
              <w:rPr>
                <w:rFonts w:cs="Segoe UI"/>
                <w:i/>
                <w:sz w:val="16"/>
                <w:szCs w:val="16"/>
              </w:rPr>
              <w:t>MM</w:t>
            </w:r>
            <w:r w:rsidRPr="0025332D">
              <w:rPr>
                <w:rFonts w:cs="Segoe UI"/>
                <w:i/>
                <w:sz w:val="16"/>
                <w:szCs w:val="16"/>
              </w:rPr>
              <w:t>.</w:t>
            </w:r>
            <w:r>
              <w:rPr>
                <w:rFonts w:cs="Segoe UI"/>
                <w:i/>
                <w:sz w:val="16"/>
                <w:szCs w:val="16"/>
              </w:rPr>
              <w:t>YYYY</w:t>
            </w:r>
          </w:p>
        </w:tc>
        <w:tc>
          <w:tcPr>
            <w:tcW w:w="0" w:type="auto"/>
            <w:vMerge/>
            <w:tcMar>
              <w:left w:w="0" w:type="dxa"/>
              <w:right w:w="0" w:type="dxa"/>
            </w:tcMar>
            <w:vAlign w:val="center"/>
            <w:hideMark/>
          </w:tcPr>
          <w:p w14:paraId="3A7B2E39" w14:textId="77777777" w:rsidR="00A57931" w:rsidRPr="0025332D" w:rsidRDefault="00A57931" w:rsidP="003D2F11">
            <w:pPr>
              <w:spacing w:before="0" w:beforeAutospacing="0" w:after="0" w:afterAutospacing="0"/>
              <w:jc w:val="left"/>
              <w:rPr>
                <w:rFonts w:cs="Times New Roman"/>
                <w:i/>
                <w:szCs w:val="18"/>
              </w:rPr>
            </w:pPr>
          </w:p>
        </w:tc>
      </w:tr>
    </w:tbl>
    <w:p w14:paraId="4CDC597D" w14:textId="77777777" w:rsidR="00A57931" w:rsidRPr="0025332D" w:rsidRDefault="00A57931" w:rsidP="00A57931">
      <w:pPr>
        <w:pBdr>
          <w:top w:val="single" w:sz="4" w:space="1" w:color="auto"/>
        </w:pBdr>
        <w:spacing w:before="0" w:beforeAutospacing="0"/>
        <w:rPr>
          <w:rFonts w:cs="Segoe UI"/>
          <w:sz w:val="18"/>
          <w:szCs w:val="16"/>
          <w:lang w:eastAsia="zh-CN"/>
        </w:rPr>
      </w:pPr>
      <w:r w:rsidRPr="0025332D">
        <w:rPr>
          <w:rFonts w:eastAsia="Times New Roman" w:cs="Segoe UI"/>
          <w:b/>
          <w:bCs/>
          <w:sz w:val="18"/>
          <w:szCs w:val="16"/>
        </w:rPr>
        <w:t>Abstract:</w:t>
      </w:r>
    </w:p>
    <w:p w14:paraId="3C61E288" w14:textId="77777777" w:rsidR="00E023FC" w:rsidRDefault="00E32EAD" w:rsidP="00A57931">
      <w:pPr>
        <w:pBdr>
          <w:bottom w:val="single" w:sz="4" w:space="1" w:color="auto"/>
        </w:pBdr>
        <w:rPr>
          <w:sz w:val="18"/>
          <w:szCs w:val="20"/>
        </w:rPr>
      </w:pPr>
      <w:r>
        <w:rPr>
          <w:sz w:val="18"/>
          <w:szCs w:val="20"/>
        </w:rPr>
        <w:t>LIME and SHAP are the most widely used model-agnostic explainers for tabular models, yet controlled paired comparisons of the two remain scarce. This paper extends an earlier paired test to the full grid of a public benchmark: 75 cells that share model, seed and sample size, over five model families on the UCI Adult census-income dataset, with Holm-corrected paired tests and effect sizes for five endpoints. SHAP leads on stability (</w:t>
      </w:r>
      <w:r>
        <w:rPr>
          <w:i/>
          <w:sz w:val="18"/>
          <w:szCs w:val="20"/>
        </w:rPr>
        <w:t>d</w:t>
      </w:r>
      <w:r>
        <w:rPr>
          <w:i/>
          <w:sz w:val="18"/>
          <w:szCs w:val="20"/>
          <w:vertAlign w:val="subscript"/>
        </w:rPr>
        <w:t>z</w:t>
      </w:r>
      <w:r>
        <w:rPr>
          <w:sz w:val="18"/>
          <w:szCs w:val="20"/>
        </w:rPr>
        <w:t xml:space="preserve"> = 3.00), fidelity (</w:t>
      </w:r>
      <w:r>
        <w:rPr>
          <w:i/>
          <w:sz w:val="18"/>
          <w:szCs w:val="20"/>
        </w:rPr>
        <w:t>d</w:t>
      </w:r>
      <w:r>
        <w:rPr>
          <w:i/>
          <w:sz w:val="18"/>
          <w:szCs w:val="20"/>
          <w:vertAlign w:val="subscript"/>
        </w:rPr>
        <w:t>z</w:t>
      </w:r>
      <w:r>
        <w:rPr>
          <w:sz w:val="18"/>
          <w:szCs w:val="20"/>
        </w:rPr>
        <w:t xml:space="preserve"> = 4.82) and faithfulness gap (</w:t>
      </w:r>
      <w:r>
        <w:rPr>
          <w:i/>
          <w:sz w:val="18"/>
          <w:szCs w:val="20"/>
        </w:rPr>
        <w:t>d</w:t>
      </w:r>
      <w:r>
        <w:rPr>
          <w:i/>
          <w:sz w:val="18"/>
          <w:szCs w:val="20"/>
          <w:vertAlign w:val="subscript"/>
        </w:rPr>
        <w:t>z</w:t>
      </w:r>
      <w:r>
        <w:rPr>
          <w:sz w:val="18"/>
          <w:szCs w:val="20"/>
        </w:rPr>
        <w:t xml:space="preserve"> = 2.63), and LIME gives sparser explanations. Two results depend on conditions that are usually left implicit. First, the latency ordering depends on the model family: SHAP's TreeExplainer was faster than LIME in every XGBoost cell and slower in every random-forest cell, and LIME was faster for non-tree models (median 53.3 ms vs. 694.6 ms). Second, LIME's near-zero stability on Adult is not a fixed property of the method: it is high on two further tabular datasets and, in a single-model probe, rises with the kernel width. The results support choosing the explainer according to the model architecture and the latency budget, and they show that a ranking obtained on one dataset and one configuration does not transfer by default. All artifacts are public.</w:t>
      </w:r>
    </w:p>
    <w:p w14:paraId="123C583F" w14:textId="77777777" w:rsidR="00A57931" w:rsidRPr="0025332D" w:rsidRDefault="00A57931" w:rsidP="00A57931">
      <w:pPr>
        <w:pBdr>
          <w:bottom w:val="single" w:sz="4" w:space="1" w:color="auto"/>
        </w:pBdr>
        <w:rPr>
          <w:rFonts w:cs="Segoe UI"/>
          <w:i/>
          <w:sz w:val="18"/>
          <w:szCs w:val="16"/>
        </w:rPr>
      </w:pPr>
      <w:r w:rsidRPr="0025332D">
        <w:rPr>
          <w:rFonts w:eastAsia="Times New Roman" w:cs="Segoe UI"/>
          <w:b/>
          <w:bCs/>
          <w:i/>
          <w:sz w:val="18"/>
          <w:szCs w:val="16"/>
        </w:rPr>
        <w:t>Keywords</w:t>
      </w:r>
      <w:r w:rsidRPr="0025332D">
        <w:rPr>
          <w:rFonts w:eastAsia="Times New Roman" w:cs="Segoe UI"/>
          <w:bCs/>
          <w:i/>
          <w:sz w:val="18"/>
          <w:szCs w:val="16"/>
        </w:rPr>
        <w:t>:</w:t>
      </w:r>
      <w:r w:rsidRPr="0025332D">
        <w:rPr>
          <w:rFonts w:cs="Segoe UI"/>
          <w:i/>
          <w:sz w:val="18"/>
          <w:szCs w:val="16"/>
        </w:rPr>
        <w:t xml:space="preserve"> </w:t>
      </w:r>
      <w:r>
        <w:rPr>
          <w:rFonts w:cs="Segoe UI"/>
          <w:i/>
          <w:sz w:val="18"/>
          <w:szCs w:val="16"/>
        </w:rPr>
        <w:t>Benchmarking, Explainable artificial intelligence, Explanation evaluation, LIME, SHAP</w:t>
      </w:r>
    </w:p>
    <w:p w14:paraId="30121E63" w14:textId="2557FD95" w:rsidR="006C5290" w:rsidRPr="0025332D" w:rsidRDefault="006C5290" w:rsidP="00E22AB2">
      <w:pPr>
        <w:jc w:val="center"/>
        <w:rPr>
          <w:rFonts w:cs="Segoe UI"/>
          <w:color w:val="7030A0"/>
          <w:sz w:val="16"/>
          <w:szCs w:val="16"/>
        </w:rPr>
      </w:pPr>
      <w:r w:rsidRPr="0025332D">
        <w:rPr>
          <w:rFonts w:cs="Segoe UI"/>
          <w:color w:val="7030A0"/>
          <w:sz w:val="16"/>
          <w:szCs w:val="16"/>
        </w:rPr>
        <w:t xml:space="preserve">© </w:t>
      </w:r>
      <w:r w:rsidR="00E32EAD">
        <w:rPr>
          <w:rFonts w:cs="Segoe UI"/>
          <w:color w:val="7030A0"/>
          <w:sz w:val="16"/>
          <w:szCs w:val="16"/>
        </w:rPr>
        <w:t>YYYY</w:t>
      </w:r>
      <w:r w:rsidRPr="0025332D">
        <w:rPr>
          <w:rFonts w:cs="Segoe UI"/>
          <w:color w:val="7030A0"/>
          <w:sz w:val="16"/>
          <w:szCs w:val="16"/>
        </w:rPr>
        <w:t xml:space="preserve"> Published by peer-reviewed open access scientific journal, C</w:t>
      </w:r>
      <w:r w:rsidR="00E22AB2" w:rsidRPr="0025332D">
        <w:rPr>
          <w:rFonts w:cs="Segoe UI"/>
          <w:color w:val="7030A0"/>
          <w:sz w:val="16"/>
          <w:szCs w:val="16"/>
        </w:rPr>
        <w:t xml:space="preserve">omputers and </w:t>
      </w:r>
      <w:r w:rsidRPr="0025332D">
        <w:rPr>
          <w:rFonts w:cs="Segoe UI"/>
          <w:color w:val="7030A0"/>
          <w:sz w:val="16"/>
          <w:szCs w:val="16"/>
        </w:rPr>
        <w:t>I</w:t>
      </w:r>
      <w:r w:rsidR="00E22AB2" w:rsidRPr="0025332D">
        <w:rPr>
          <w:rFonts w:cs="Segoe UI"/>
          <w:color w:val="7030A0"/>
          <w:sz w:val="16"/>
          <w:szCs w:val="16"/>
        </w:rPr>
        <w:t>nformatics (C&amp;I)</w:t>
      </w:r>
      <w:r w:rsidRPr="0025332D">
        <w:rPr>
          <w:rFonts w:cs="Segoe UI"/>
          <w:color w:val="7030A0"/>
          <w:sz w:val="16"/>
          <w:szCs w:val="16"/>
        </w:rPr>
        <w:t xml:space="preserve"> at DergiPark (</w:t>
      </w:r>
      <w:hyperlink r:id="rId10" w:history="1">
        <w:r w:rsidR="00AB646E" w:rsidRPr="0025332D">
          <w:rPr>
            <w:color w:val="7030A0"/>
            <w:sz w:val="16"/>
            <w:szCs w:val="16"/>
          </w:rPr>
          <w:t>dergipark.org.tr/ci</w:t>
        </w:r>
      </w:hyperlink>
      <w:r w:rsidRPr="0025332D">
        <w:rPr>
          <w:rFonts w:cs="Segoe UI"/>
          <w:color w:val="7030A0"/>
          <w:sz w:val="16"/>
          <w:szCs w:val="16"/>
        </w:rPr>
        <w:t>)</w:t>
      </w:r>
    </w:p>
    <w:tbl>
      <w:tblPr>
        <w:tblStyle w:val="TableGrid"/>
        <w:tblW w:w="5000" w:type="pct"/>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none" w:sz="0" w:space="0" w:color="auto"/>
          <w:insideV w:val="none" w:sz="0" w:space="0" w:color="auto"/>
        </w:tblBorders>
        <w:tblCellMar>
          <w:left w:w="0" w:type="dxa"/>
          <w:right w:w="0" w:type="dxa"/>
        </w:tblCellMar>
        <w:tblLook w:val="04A0" w:firstRow="1" w:lastRow="0" w:firstColumn="1" w:lastColumn="0" w:noHBand="0" w:noVBand="1"/>
      </w:tblPr>
      <w:tblGrid>
        <w:gridCol w:w="1413"/>
        <w:gridCol w:w="7647"/>
      </w:tblGrid>
      <w:tr w:rsidR="00B67C3F" w:rsidRPr="0025332D" w14:paraId="0263E6E5" w14:textId="77777777" w:rsidTr="00E22AB2">
        <w:trPr>
          <w:trHeight w:val="20"/>
          <w:jc w:val="center"/>
        </w:trPr>
        <w:tc>
          <w:tcPr>
            <w:tcW w:w="780" w:type="pct"/>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hideMark/>
          </w:tcPr>
          <w:p w14:paraId="422489F7" w14:textId="77777777" w:rsidR="00B67C3F" w:rsidRPr="0025332D" w:rsidRDefault="00B67C3F" w:rsidP="00E22AB2">
            <w:pPr>
              <w:spacing w:before="0" w:beforeAutospacing="0" w:after="0" w:afterAutospacing="0"/>
              <w:jc w:val="left"/>
              <w:rPr>
                <w:rFonts w:cs="Segoe UI"/>
                <w:b/>
                <w:iCs/>
                <w:sz w:val="16"/>
                <w:szCs w:val="16"/>
              </w:rPr>
            </w:pPr>
            <w:r w:rsidRPr="0025332D">
              <w:rPr>
                <w:rFonts w:cs="Segoe UI"/>
                <w:b/>
                <w:iCs/>
                <w:sz w:val="16"/>
                <w:szCs w:val="16"/>
              </w:rPr>
              <w:t>Cite this paper as:</w:t>
            </w:r>
          </w:p>
        </w:tc>
        <w:tc>
          <w:tcPr>
            <w:tcW w:w="4220" w:type="pct"/>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vAlign w:val="center"/>
            <w:hideMark/>
          </w:tcPr>
          <w:p w14:paraId="0ECDA5F2" w14:textId="77777777" w:rsidR="00B67C3F" w:rsidRPr="0025332D" w:rsidRDefault="00E32EAD" w:rsidP="00E22AB2">
            <w:pPr>
              <w:spacing w:before="0" w:beforeAutospacing="0" w:after="0" w:afterAutospacing="0"/>
              <w:ind w:left="397" w:hanging="397"/>
              <w:rPr>
                <w:rFonts w:cs="Segoe UI"/>
                <w:iCs/>
                <w:sz w:val="16"/>
                <w:szCs w:val="16"/>
              </w:rPr>
            </w:pPr>
            <w:r>
              <w:rPr>
                <w:rFonts w:cs="Segoe UI"/>
                <w:iCs/>
                <w:sz w:val="16"/>
                <w:szCs w:val="16"/>
              </w:rPr>
              <w:t>Surname</w:t>
            </w:r>
            <w:r w:rsidR="00E350DF" w:rsidRPr="0025332D">
              <w:rPr>
                <w:rFonts w:cs="Segoe UI"/>
                <w:iCs/>
                <w:sz w:val="16"/>
                <w:szCs w:val="16"/>
              </w:rPr>
              <w:t xml:space="preserve">, </w:t>
            </w:r>
            <w:r>
              <w:rPr>
                <w:rFonts w:cs="Segoe UI"/>
                <w:iCs/>
                <w:sz w:val="16"/>
                <w:szCs w:val="16"/>
              </w:rPr>
              <w:t>N</w:t>
            </w:r>
            <w:r w:rsidR="00E350DF" w:rsidRPr="0025332D">
              <w:rPr>
                <w:rFonts w:cs="Segoe UI"/>
                <w:iCs/>
                <w:sz w:val="16"/>
                <w:szCs w:val="16"/>
              </w:rPr>
              <w:t xml:space="preserve">., </w:t>
            </w:r>
            <w:r w:rsidR="00E023FC">
              <w:rPr>
                <w:rFonts w:cs="Segoe UI"/>
                <w:iCs/>
                <w:sz w:val="16"/>
                <w:szCs w:val="16"/>
              </w:rPr>
              <w:t xml:space="preserve">&amp; </w:t>
            </w:r>
            <w:r>
              <w:rPr>
                <w:rFonts w:cs="Segoe UI"/>
                <w:iCs/>
                <w:sz w:val="16"/>
                <w:szCs w:val="16"/>
              </w:rPr>
              <w:t>Surname</w:t>
            </w:r>
            <w:r w:rsidR="0038219B" w:rsidRPr="0025332D">
              <w:rPr>
                <w:rFonts w:cs="Segoe UI"/>
                <w:iCs/>
                <w:sz w:val="16"/>
                <w:szCs w:val="16"/>
              </w:rPr>
              <w:t xml:space="preserve">, </w:t>
            </w:r>
            <w:r>
              <w:rPr>
                <w:rFonts w:cs="Segoe UI"/>
                <w:iCs/>
                <w:sz w:val="16"/>
                <w:szCs w:val="16"/>
              </w:rPr>
              <w:t>N</w:t>
            </w:r>
            <w:r w:rsidR="0038219B" w:rsidRPr="0025332D">
              <w:rPr>
                <w:rFonts w:cs="Segoe UI"/>
                <w:iCs/>
                <w:sz w:val="16"/>
                <w:szCs w:val="16"/>
              </w:rPr>
              <w:t>.,</w:t>
            </w:r>
            <w:r w:rsidR="004F2DC2">
              <w:rPr>
                <w:rFonts w:cs="Segoe UI"/>
                <w:iCs/>
                <w:sz w:val="16"/>
                <w:szCs w:val="16"/>
              </w:rPr>
              <w:t xml:space="preserve"> </w:t>
            </w:r>
            <w:r w:rsidRPr="00E32EAD">
              <w:rPr>
                <w:rFonts w:cs="Segoe UI"/>
                <w:iCs/>
                <w:sz w:val="16"/>
                <w:szCs w:val="16"/>
              </w:rPr>
              <w:t>Title of the article</w:t>
            </w:r>
            <w:r w:rsidR="007A458D" w:rsidRPr="0025332D">
              <w:rPr>
                <w:rFonts w:cs="Segoe UI"/>
                <w:iCs/>
                <w:sz w:val="16"/>
                <w:szCs w:val="16"/>
              </w:rPr>
              <w:t xml:space="preserve">, </w:t>
            </w:r>
            <w:r w:rsidR="007A458D" w:rsidRPr="0025332D">
              <w:rPr>
                <w:rFonts w:cs="Segoe UI"/>
                <w:i/>
                <w:sz w:val="16"/>
                <w:szCs w:val="16"/>
              </w:rPr>
              <w:t>Computers and Informatics</w:t>
            </w:r>
            <w:r w:rsidR="007A458D" w:rsidRPr="0025332D">
              <w:rPr>
                <w:rFonts w:cs="Segoe UI"/>
                <w:iCs/>
                <w:sz w:val="16"/>
                <w:szCs w:val="16"/>
              </w:rPr>
              <w:t xml:space="preserve">, </w:t>
            </w:r>
            <w:r>
              <w:rPr>
                <w:rFonts w:cs="Segoe UI"/>
                <w:iCs/>
                <w:sz w:val="16"/>
                <w:szCs w:val="16"/>
              </w:rPr>
              <w:t>YYYY</w:t>
            </w:r>
            <w:r w:rsidR="00DF7F1D" w:rsidRPr="0025332D">
              <w:rPr>
                <w:rFonts w:cs="Segoe UI"/>
                <w:iCs/>
                <w:sz w:val="16"/>
                <w:szCs w:val="16"/>
              </w:rPr>
              <w:t>;</w:t>
            </w:r>
            <w:r w:rsidR="007A458D" w:rsidRPr="0025332D">
              <w:rPr>
                <w:rFonts w:cs="Segoe UI"/>
                <w:iCs/>
                <w:sz w:val="16"/>
                <w:szCs w:val="16"/>
              </w:rPr>
              <w:t xml:space="preserve"> </w:t>
            </w:r>
            <w:r>
              <w:rPr>
                <w:rFonts w:cs="Segoe UI"/>
                <w:iCs/>
                <w:sz w:val="16"/>
                <w:szCs w:val="16"/>
              </w:rPr>
              <w:t>v</w:t>
            </w:r>
            <w:r w:rsidR="007A458D" w:rsidRPr="0025332D">
              <w:rPr>
                <w:rFonts w:cs="Segoe UI"/>
                <w:iCs/>
                <w:sz w:val="16"/>
                <w:szCs w:val="16"/>
              </w:rPr>
              <w:t>(</w:t>
            </w:r>
            <w:r>
              <w:rPr>
                <w:rFonts w:cs="Segoe UI"/>
                <w:iCs/>
                <w:sz w:val="16"/>
                <w:szCs w:val="16"/>
              </w:rPr>
              <w:t>i</w:t>
            </w:r>
            <w:r w:rsidR="007A458D" w:rsidRPr="0025332D">
              <w:rPr>
                <w:rFonts w:cs="Segoe UI"/>
                <w:iCs/>
                <w:sz w:val="16"/>
                <w:szCs w:val="16"/>
              </w:rPr>
              <w:t>)</w:t>
            </w:r>
            <w:r w:rsidR="00DF7F1D" w:rsidRPr="0025332D">
              <w:rPr>
                <w:rFonts w:cs="Segoe UI"/>
                <w:iCs/>
                <w:sz w:val="16"/>
                <w:szCs w:val="16"/>
              </w:rPr>
              <w:t>;</w:t>
            </w:r>
            <w:r w:rsidR="007A458D" w:rsidRPr="0025332D">
              <w:rPr>
                <w:rFonts w:cs="Segoe UI"/>
                <w:iCs/>
                <w:sz w:val="16"/>
                <w:szCs w:val="16"/>
              </w:rPr>
              <w:t xml:space="preserve"> </w:t>
            </w:r>
            <w:r>
              <w:rPr>
                <w:rFonts w:cs="Segoe UI"/>
                <w:iCs/>
                <w:sz w:val="16"/>
                <w:szCs w:val="16"/>
              </w:rPr>
              <w:t>pp</w:t>
            </w:r>
            <w:r w:rsidR="0025332D">
              <w:rPr>
                <w:rFonts w:cs="Segoe UI"/>
                <w:iCs/>
                <w:sz w:val="16"/>
                <w:szCs w:val="16"/>
              </w:rPr>
              <w:t>-</w:t>
            </w:r>
            <w:r>
              <w:rPr>
                <w:rFonts w:cs="Segoe UI"/>
                <w:iCs/>
                <w:sz w:val="16"/>
                <w:szCs w:val="16"/>
              </w:rPr>
              <w:t>pp</w:t>
            </w:r>
            <w:r w:rsidR="00FB719E">
              <w:rPr>
                <w:rFonts w:cs="Segoe UI"/>
                <w:iCs/>
                <w:sz w:val="16"/>
                <w:szCs w:val="16"/>
              </w:rPr>
              <w:t xml:space="preserve">, </w:t>
            </w:r>
            <w:r w:rsidR="00FB719E" w:rsidRPr="00FB719E">
              <w:rPr>
                <w:rFonts w:cs="Segoe UI"/>
                <w:iCs/>
                <w:sz w:val="16"/>
                <w:szCs w:val="16"/>
              </w:rPr>
              <w:t>https://doi.org/10.62189/ci.</w:t>
            </w:r>
            <w:r>
              <w:rPr>
                <w:rFonts w:cs="Segoe UI"/>
                <w:iCs/>
                <w:sz w:val="16"/>
                <w:szCs w:val="16"/>
              </w:rPr>
              <w:t>0000000</w:t>
            </w:r>
          </w:p>
        </w:tc>
      </w:tr>
      <w:tr w:rsidR="0038219B" w:rsidRPr="0025332D" w14:paraId="6824B880" w14:textId="77777777" w:rsidTr="00E22AB2">
        <w:trPr>
          <w:trHeight w:val="20"/>
          <w:jc w:val="center"/>
        </w:trPr>
        <w:tc>
          <w:tcPr>
            <w:tcW w:w="780" w:type="pct"/>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tcPr>
          <w:p w14:paraId="4D9D9896" w14:textId="77777777" w:rsidR="0038219B" w:rsidRPr="0025332D" w:rsidRDefault="0038219B" w:rsidP="00E22AB2">
            <w:pPr>
              <w:spacing w:before="0" w:beforeAutospacing="0" w:after="0" w:afterAutospacing="0"/>
              <w:jc w:val="left"/>
              <w:rPr>
                <w:rFonts w:cs="Segoe UI"/>
                <w:b/>
                <w:iCs/>
                <w:sz w:val="16"/>
                <w:szCs w:val="16"/>
              </w:rPr>
            </w:pPr>
          </w:p>
        </w:tc>
        <w:tc>
          <w:tcPr>
            <w:tcW w:w="4220" w:type="pct"/>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vAlign w:val="center"/>
          </w:tcPr>
          <w:p w14:paraId="31F39194" w14:textId="77777777" w:rsidR="0038219B" w:rsidRPr="0025332D" w:rsidRDefault="0038219B" w:rsidP="00E22AB2">
            <w:pPr>
              <w:spacing w:before="0" w:beforeAutospacing="0" w:after="0" w:afterAutospacing="0"/>
              <w:ind w:left="397" w:hanging="397"/>
              <w:rPr>
                <w:rFonts w:cs="Segoe UI"/>
                <w:iCs/>
                <w:sz w:val="16"/>
                <w:szCs w:val="16"/>
              </w:rPr>
            </w:pPr>
          </w:p>
        </w:tc>
      </w:tr>
    </w:tbl>
    <w:p w14:paraId="63C6E941" w14:textId="77777777" w:rsidR="002C150F" w:rsidRPr="0025332D" w:rsidRDefault="002C150F" w:rsidP="007610CA">
      <w:pPr>
        <w:rPr>
          <w:rFonts w:cs="Segoe UI"/>
          <w:szCs w:val="18"/>
        </w:rPr>
        <w:sectPr w:rsidR="002C150F" w:rsidRPr="0025332D" w:rsidSect="00D37357">
          <w:headerReference w:type="default" r:id="rId11"/>
          <w:footerReference w:type="default" r:id="rId12"/>
          <w:type w:val="continuous"/>
          <w:pgSz w:w="11906" w:h="16838"/>
          <w:pgMar w:top="1418" w:right="1418" w:bottom="1418" w:left="1418" w:header="567" w:footer="567" w:gutter="0"/>
          <w:pgNumType w:start="1"/>
          <w:cols w:space="708"/>
          <w:docGrid w:linePitch="360"/>
        </w:sectPr>
      </w:pPr>
    </w:p>
    <w:p w14:paraId="60EF4BE3" w14:textId="77777777" w:rsidR="00F27E4D" w:rsidRDefault="00652C58">
      <w:pPr>
        <w:pStyle w:val="Heading1"/>
        <w:keepNext/>
      </w:pPr>
      <w:r>
        <w:lastRenderedPageBreak/>
        <w:t>1. INTRODUCTION</w:t>
      </w:r>
    </w:p>
    <w:p w14:paraId="573F252C" w14:textId="77777777" w:rsidR="00F27E4D" w:rsidRDefault="00652C58">
      <w:r>
        <w:t xml:space="preserve">LIME [1] and SHAP [2] are the two </w:t>
      </w:r>
      <w:r>
        <w:t>most widely used model-agnostic post-hoc explainers for tabular models. A practitioner who must choose one of them needs to know how they differ in the properties that matter for the deployment: whether an explanation tracks the model, whether it is stable, how many features it uses and how long it takes. Their theoretical differences are well known, but they do not by themselves settle the choice across model families, sampling regimes and runtime constraints [3, 4].</w:t>
      </w:r>
    </w:p>
    <w:p w14:paraId="2C81DD6E" w14:textId="77777777" w:rsidR="00F27E4D" w:rsidRDefault="00652C58">
      <w:r>
        <w:t xml:space="preserve">The empirical guidance is weaker than the popularity of the two methods suggests. Evaluation of explanations is spread over several metric families, and comparisons between explainers often depend as much on the metric chosen as on the methods themselves [5–7]. Work that uses several metrics shows that fidelity, stability, sparsity and cost carry complementary signals [8, 9]. Controlled comparisons of LIME and SHAP under matched conditions, where the two </w:t>
      </w:r>
      <w:r>
        <w:t>explainers see the same model, the same instances and the same random seed, remain scarce. Without that pairing, a difference between the methods cannot be separated from a difference between the models or the samples they were run on.</w:t>
      </w:r>
    </w:p>
    <w:p w14:paraId="0D1893A4" w14:textId="77777777" w:rsidR="00F27E4D" w:rsidRDefault="00652C58">
      <w:r>
        <w:t xml:space="preserve">This paper reports such a paired comparison. It reuses the execution cohort released with an earlier study [10], which introduced the measurement protocol and compared four explainer families. That study </w:t>
      </w:r>
      <w:r>
        <w:t xml:space="preserve">already contains a first paired test of SHAP against LIME, on the 45 matched cells of three model families (logistic regression, random forest and XGBoost): SHAP was higher on fidelity, stability and faithfulness gap, and LIME was cheaper and sparser. It announced the analysis on the full grid of 75 cells without reporting it, and it reported averages over conditions only. The present paper completes that contrast on the 75 cells of the five </w:t>
      </w:r>
      <w:r>
        <w:t xml:space="preserve">model families, with confidence intervals and effect sizes, and then asks the question that an average over conditions hides: </w:t>
      </w:r>
      <w:r>
        <w:rPr>
          <w:i/>
          <w:iCs/>
        </w:rPr>
        <w:t>when does the answer depend on the model and on the configuration?</w:t>
      </w:r>
    </w:p>
    <w:p w14:paraId="02E4A36B" w14:textId="77777777" w:rsidR="00F27E4D" w:rsidRDefault="00652C58">
      <w:r>
        <w:t>The paper makes three contributions:</w:t>
      </w:r>
    </w:p>
    <w:p w14:paraId="185DF320" w14:textId="77777777" w:rsidR="00F27E4D" w:rsidRDefault="00652C58">
      <w:pPr>
        <w:spacing w:before="40" w:beforeAutospacing="0" w:after="40" w:afterAutospacing="0"/>
        <w:ind w:left="357" w:hanging="357"/>
      </w:pPr>
      <w:r>
        <w:t>1.</w:t>
      </w:r>
      <w:r>
        <w:tab/>
      </w:r>
      <w:r>
        <w:rPr>
          <w:b/>
          <w:bCs/>
        </w:rPr>
        <w:t>Paired inferential evidence on the full grid.</w:t>
      </w:r>
      <w:r>
        <w:t xml:space="preserve"> The SHAP–LIME difference, tested before on a 45-cell subset, is quantified on the 75 matched cells of the UCI Adult census-income dataset, over five model families, with Holm-corrected paired tests, confidence intervals and effect </w:t>
      </w:r>
      <w:r>
        <w:t>sizes for five endpoints (Section 4).</w:t>
      </w:r>
    </w:p>
    <w:p w14:paraId="6744CF64" w14:textId="77777777" w:rsidR="00F27E4D" w:rsidRDefault="00652C58">
      <w:pPr>
        <w:spacing w:before="40" w:beforeAutospacing="0" w:after="40" w:afterAutospacing="0"/>
        <w:ind w:left="357" w:hanging="357"/>
      </w:pPr>
      <w:r>
        <w:t>2.</w:t>
      </w:r>
      <w:r>
        <w:tab/>
      </w:r>
      <w:r>
        <w:rPr>
          <w:b/>
          <w:bCs/>
        </w:rPr>
        <w:t>Two conditional results.</w:t>
      </w:r>
      <w:r>
        <w:t xml:space="preserve"> The latency ordering of the two methods depends on the model family, and reverses between two tree ensembles (Section 4.4). LIME’s near-zero stability on Adult depends on the kernel width and on the feature space, and is high on two further datasets (Sections 4.5 and 4.6).</w:t>
      </w:r>
    </w:p>
    <w:p w14:paraId="55D52C15" w14:textId="77777777" w:rsidR="00F27E4D" w:rsidRDefault="00652C58">
      <w:pPr>
        <w:spacing w:before="40" w:beforeAutospacing="0" w:after="40" w:afterAutospacing="0"/>
        <w:ind w:left="357" w:hanging="357"/>
      </w:pPr>
      <w:r>
        <w:t>3.</w:t>
      </w:r>
      <w:r>
        <w:tab/>
      </w:r>
      <w:r>
        <w:rPr>
          <w:b/>
          <w:bCs/>
        </w:rPr>
        <w:t>A deployment recommendation conditioned on the model architecture</w:t>
      </w:r>
      <w:r>
        <w:t>, with an explicit statement of which claims generalize and which do not (Section 5).</w:t>
      </w:r>
    </w:p>
    <w:p w14:paraId="6E090C06" w14:textId="77777777" w:rsidR="00F27E4D" w:rsidRDefault="00652C58">
      <w:r>
        <w:t>The paper makes ranking claims under a stated protocol. It does not claim that either method is correct for a task, and it does not test whether users decide better with either explainer.</w:t>
      </w:r>
    </w:p>
    <w:p w14:paraId="6C1F3FAF" w14:textId="77777777" w:rsidR="00F27E4D" w:rsidRDefault="00652C58">
      <w:pPr>
        <w:pStyle w:val="Heading1"/>
        <w:keepNext/>
      </w:pPr>
      <w:r>
        <w:t>2. BACKGROUND AND RELATED WORK</w:t>
      </w:r>
    </w:p>
    <w:p w14:paraId="05DB0002" w14:textId="77777777" w:rsidR="00F27E4D" w:rsidRDefault="00652C58">
      <w:pPr>
        <w:pStyle w:val="Heading2"/>
        <w:keepNext/>
      </w:pPr>
      <w:r>
        <w:t>2.1. LIME</w:t>
      </w:r>
    </w:p>
    <w:p w14:paraId="3D9C01B4" w14:textId="77777777" w:rsidR="00F27E4D" w:rsidRDefault="00652C58">
      <w:r>
        <w:t xml:space="preserve">LIME approximates a black-box model </w:t>
      </w:r>
      <m:oMath>
        <m:r>
          <w:rPr>
            <w:rFonts w:ascii="Cambria Math" w:hAnsi="Cambria Math"/>
          </w:rPr>
          <m:t>f</m:t>
        </m:r>
      </m:oMath>
      <w:r>
        <w:t xml:space="preserve"> locally around an instance </w:t>
      </w:r>
      <m:oMath>
        <m:r>
          <w:rPr>
            <w:rFonts w:ascii="Cambria Math" w:hAnsi="Cambria Math"/>
          </w:rPr>
          <m:t>x</m:t>
        </m:r>
      </m:oMath>
      <w:r>
        <w:t xml:space="preserve"> by training an interpretable surrogate </w:t>
      </w:r>
      <m:oMath>
        <m:r>
          <w:rPr>
            <w:rFonts w:ascii="Cambria Math" w:hAnsi="Cambria Math"/>
          </w:rPr>
          <m:t>g</m:t>
        </m:r>
      </m:oMath>
      <w:r>
        <w:t xml:space="preserve"> on perturbed samples weighted by a kernel </w:t>
      </w:r>
      <m:oMath>
        <m:sSub>
          <m:sSubPr>
            <m:ctrlPr>
              <w:rPr>
                <w:rFonts w:ascii="Cambria Math" w:hAnsi="Cambria Math"/>
              </w:rPr>
            </m:ctrlPr>
          </m:sSubPr>
          <m:e>
            <m:r>
              <w:rPr>
                <w:rFonts w:ascii="Cambria Math" w:hAnsi="Cambria Math"/>
              </w:rPr>
              <m:t>π</m:t>
            </m:r>
          </m:e>
          <m:sub>
            <m:r>
              <w:rPr>
                <w:rFonts w:ascii="Cambria Math" w:hAnsi="Cambria Math"/>
              </w:rPr>
              <m:t>x</m:t>
            </m:r>
          </m:sub>
        </m:sSub>
      </m:oMath>
      <w:r>
        <w:t>, as in Eq. (1):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256"/>
        <w:gridCol w:w="814"/>
      </w:tblGrid>
      <w:tr w:rsidR="00E32EAD" w14:paraId="473420AC" w14:textId="77777777" w:rsidTr="009E11E3">
        <w:tc>
          <w:tcPr>
            <w:tcW w:w="8256" w:type="dxa"/>
            <w:vAlign w:val="center"/>
            <w:hideMark/>
          </w:tcPr>
          <w:p w14:paraId="24FA19FA" w14:textId="77777777" w:rsidR="00E32EAD" w:rsidRPr="00E32EAD" w:rsidRDefault="00E32EAD" w:rsidP="009E11E3">
            <w:pPr>
              <w:rPr>
                <w:rFonts w:cs="Segoe UI"/>
                <w:sz w:val="18"/>
                <w:szCs w:val="18"/>
              </w:rPr>
            </w:pPr>
            <m:oMathPara>
              <m:oMathParaPr>
                <m:jc m:val="center"/>
              </m:oMathParaPr>
              <m:oMath>
                <m:r>
                  <w:rPr>
                    <w:rFonts w:ascii="Cambria Math" w:hAnsi="Cambria Math"/>
                  </w:rPr>
                  <m:t>ξ</m:t>
                </m:r>
                <m:r>
                  <m:rPr>
                    <m:sty m:val="p"/>
                  </m:rPr>
                  <w:rPr>
                    <w:rFonts w:ascii="Cambria Math" w:hAnsi="Cambria Math"/>
                  </w:rPr>
                  <m:t>(</m:t>
                </m:r>
                <m:r>
                  <w:rPr>
                    <w:rFonts w:ascii="Cambria Math" w:hAnsi="Cambria Math"/>
                  </w:rPr>
                  <m:t>x</m:t>
                </m:r>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g</m:t>
                    </m:r>
                    <m:r>
                      <m:rPr>
                        <m:sty m:val="p"/>
                      </m:rPr>
                      <w:rPr>
                        <w:rFonts w:ascii="Cambria Math" w:hAnsi="Cambria Math"/>
                      </w:rPr>
                      <m:t>∈</m:t>
                    </m:r>
                    <m:r>
                      <w:rPr>
                        <w:rFonts w:ascii="Cambria Math" w:hAnsi="Cambria Math"/>
                      </w:rPr>
                      <m:t>G</m:t>
                    </m:r>
                  </m:lim>
                </m:limLow>
                <m:r>
                  <m:rPr>
                    <m:scr m:val="script"/>
                    <m:sty m:val="p"/>
                  </m:rPr>
                  <w:rPr>
                    <w:rFonts w:ascii="Cambria Math" w:hAnsi="Cambria Math"/>
                  </w:rPr>
                  <m:t>L(</m:t>
                </m:r>
                <m:r>
                  <w:rPr>
                    <w:rFonts w:ascii="Cambria Math" w:hAnsi="Cambria Math"/>
                  </w:rPr>
                  <m:t>f</m:t>
                </m:r>
                <m:r>
                  <m:rPr>
                    <m:sty m:val="p"/>
                  </m:rPr>
                  <w:rPr>
                    <w:rFonts w:ascii="Cambria Math" w:hAnsi="Cambria Math"/>
                  </w:rPr>
                  <m:t>,</m:t>
                </m:r>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x</m:t>
                    </m:r>
                  </m:sub>
                </m:sSub>
                <m:r>
                  <m:rPr>
                    <m:sty m:val="p"/>
                  </m:rPr>
                  <w:rPr>
                    <w:rFonts w:ascii="Cambria Math" w:hAnsi="Cambria Math"/>
                  </w:rPr>
                  <m:t>)+Ω(</m:t>
                </m:r>
                <m:r>
                  <w:rPr>
                    <w:rFonts w:ascii="Cambria Math" w:hAnsi="Cambria Math"/>
                  </w:rPr>
                  <m:t>g</m:t>
                </m:r>
                <m:r>
                  <m:rPr>
                    <m:sty m:val="p"/>
                  </m:rPr>
                  <w:rPr>
                    <w:rFonts w:ascii="Cambria Math" w:hAnsi="Cambria Math"/>
                  </w:rPr>
                  <m:t>),</m:t>
                </m:r>
              </m:oMath>
            </m:oMathPara>
          </w:p>
        </w:tc>
        <w:tc>
          <w:tcPr>
            <w:tcW w:w="814" w:type="dxa"/>
            <w:vAlign w:val="center"/>
            <w:hideMark/>
          </w:tcPr>
          <w:p w14:paraId="29C35F84" w14:textId="77777777" w:rsidR="00E32EAD" w:rsidRDefault="00E32EAD" w:rsidP="009E11E3">
            <w:pPr>
              <w:jc w:val="right"/>
              <w:rPr>
                <w:rFonts w:cs="Segoe UI"/>
                <w:sz w:val="18"/>
                <w:szCs w:val="18"/>
              </w:rPr>
            </w:pPr>
            <w:r>
              <w:rPr>
                <w:rFonts w:cs="Segoe UI"/>
                <w:i/>
                <w:iCs/>
                <w:sz w:val="18"/>
                <w:szCs w:val="18"/>
              </w:rPr>
              <w:t>(1)</w:t>
            </w:r>
          </w:p>
        </w:tc>
      </w:tr>
    </w:tbl>
    <w:p w14:paraId="35D63888" w14:textId="77777777" w:rsidR="00F27E4D" w:rsidRDefault="00652C58">
      <w:r>
        <w:lastRenderedPageBreak/>
        <w:t xml:space="preserve">where </w:t>
      </w:r>
      <m:oMath>
        <m:r>
          <w:rPr>
            <w:rFonts w:ascii="Cambria Math" w:hAnsi="Cambria Math"/>
          </w:rPr>
          <m:t>ξ</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is the explanation returned for </w:t>
      </w:r>
      <m:oMath>
        <m:r>
          <w:rPr>
            <w:rFonts w:ascii="Cambria Math" w:hAnsi="Cambria Math"/>
          </w:rPr>
          <m:t>x</m:t>
        </m:r>
      </m:oMath>
      <w:r>
        <w:t xml:space="preserve">, </w:t>
      </w:r>
      <m:oMath>
        <m:r>
          <w:rPr>
            <w:rFonts w:ascii="Cambria Math" w:hAnsi="Cambria Math"/>
          </w:rPr>
          <m:t>G</m:t>
        </m:r>
      </m:oMath>
      <w:r>
        <w:t xml:space="preserve"> </w:t>
      </w:r>
      <w:r>
        <w:t xml:space="preserve">is the class of interpretable surrogates (sparse linear models here), </w:t>
      </w:r>
      <m:oMath>
        <m:r>
          <m:rPr>
            <m:scr m:val="script"/>
            <m:sty m:val="p"/>
          </m:rPr>
          <w:rPr>
            <w:rFonts w:ascii="Cambria Math" w:hAnsi="Cambria Math"/>
          </w:rPr>
          <m:t>L</m:t>
        </m:r>
      </m:oMath>
      <w:r>
        <w:t xml:space="preserve"> measures how poorly </w:t>
      </w:r>
      <m:oMath>
        <m:r>
          <w:rPr>
            <w:rFonts w:ascii="Cambria Math" w:hAnsi="Cambria Math"/>
          </w:rPr>
          <m:t>g</m:t>
        </m:r>
      </m:oMath>
      <w:r>
        <w:t xml:space="preserve"> reproduces </w:t>
      </w:r>
      <m:oMath>
        <m:r>
          <w:rPr>
            <w:rFonts w:ascii="Cambria Math" w:hAnsi="Cambria Math"/>
          </w:rPr>
          <m:t>f</m:t>
        </m:r>
      </m:oMath>
      <w:r>
        <w:t xml:space="preserve"> on perturbed samples, each sample weighted by its proximity </w:t>
      </w:r>
      <m:oMath>
        <m:sSub>
          <m:sSubPr>
            <m:ctrlPr>
              <w:rPr>
                <w:rFonts w:ascii="Cambria Math" w:hAnsi="Cambria Math"/>
              </w:rPr>
            </m:ctrlPr>
          </m:sSubPr>
          <m:e>
            <m:r>
              <w:rPr>
                <w:rFonts w:ascii="Cambria Math" w:hAnsi="Cambria Math"/>
              </w:rPr>
              <m:t>π</m:t>
            </m:r>
          </m:e>
          <m:sub>
            <m:r>
              <w:rPr>
                <w:rFonts w:ascii="Cambria Math" w:hAnsi="Cambria Math"/>
              </w:rPr>
              <m:t>x</m:t>
            </m:r>
          </m:sub>
        </m:sSub>
      </m:oMath>
      <w:r>
        <w:t xml:space="preserve"> to </w:t>
      </w:r>
      <m:oMath>
        <m:r>
          <w:rPr>
            <w:rFonts w:ascii="Cambria Math" w:hAnsi="Cambria Math"/>
          </w:rPr>
          <m:t>x</m:t>
        </m:r>
      </m:oMath>
      <w:r>
        <w:t xml:space="preserve">, and </w:t>
      </w:r>
      <m:oMath>
        <m:r>
          <m:rPr>
            <m:sty m:val="p"/>
          </m:rPr>
          <w:rPr>
            <w:rFonts w:ascii="Cambria Math" w:hAnsi="Cambria Math"/>
          </w:rPr>
          <m:t>Ω(</m:t>
        </m:r>
        <m:r>
          <w:rPr>
            <w:rFonts w:ascii="Cambria Math" w:hAnsi="Cambria Math"/>
          </w:rPr>
          <m:t>g</m:t>
        </m:r>
        <m:r>
          <m:rPr>
            <m:sty m:val="p"/>
          </m:rPr>
          <w:rPr>
            <w:rFonts w:ascii="Cambria Math" w:hAnsi="Cambria Math"/>
          </w:rPr>
          <m:t>)</m:t>
        </m:r>
      </m:oMath>
      <w:r>
        <w:t xml:space="preserve"> penalizes surrogate complexity [1]. LIME’s behavior is shaped by the hyperparameters that build the neighborhood: the kernel width, the number of perturbed samples and the feature budget. These controls yield compact explanations and low latency, but they introduce stochastic </w:t>
      </w:r>
      <w:r>
        <w:t>variation, because local neighborhoods are sampled rather than exhaustively enumerated.</w:t>
      </w:r>
    </w:p>
    <w:p w14:paraId="76438F45" w14:textId="77777777" w:rsidR="00F27E4D" w:rsidRDefault="00652C58">
      <w:pPr>
        <w:pStyle w:val="Heading2"/>
        <w:keepNext/>
      </w:pPr>
      <w:r>
        <w:t>2.2. SHAP</w:t>
      </w:r>
    </w:p>
    <w:p w14:paraId="18DC506A" w14:textId="77777777" w:rsidR="00F27E4D" w:rsidRDefault="00652C58">
      <w:r>
        <w:t xml:space="preserve">SHAP explains a prediction through additive feature attributions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0</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ϕ</m:t>
                </m:r>
              </m:e>
              <m:sub>
                <m:r>
                  <w:rPr>
                    <w:rFonts w:ascii="Cambria Math" w:hAnsi="Cambria Math"/>
                  </w:rPr>
                  <m:t>i</m:t>
                </m:r>
              </m:sub>
            </m:sSub>
          </m:e>
        </m:nary>
      </m:oMath>
      <w:r>
        <w:t xml:space="preserve">, where </w:t>
      </w:r>
      <m:oMath>
        <m:sSub>
          <m:sSubPr>
            <m:ctrlPr>
              <w:rPr>
                <w:rFonts w:ascii="Cambria Math" w:hAnsi="Cambria Math"/>
              </w:rPr>
            </m:ctrlPr>
          </m:sSubPr>
          <m:e>
            <m:r>
              <w:rPr>
                <w:rFonts w:ascii="Cambria Math" w:hAnsi="Cambria Math"/>
              </w:rPr>
              <m:t>ϕ</m:t>
            </m:r>
          </m:e>
          <m:sub>
            <m:r>
              <w:rPr>
                <w:rFonts w:ascii="Cambria Math" w:hAnsi="Cambria Math"/>
              </w:rPr>
              <m:t>0</m:t>
            </m:r>
          </m:sub>
        </m:sSub>
      </m:oMath>
      <w:r>
        <w:t xml:space="preserve"> is the model’s expected output over a background sample, </w:t>
      </w:r>
      <m:oMath>
        <m:r>
          <w:rPr>
            <w:rFonts w:ascii="Cambria Math" w:hAnsi="Cambria Math"/>
          </w:rPr>
          <m:t>M</m:t>
        </m:r>
      </m:oMath>
      <w:r>
        <w:t xml:space="preserve"> is the number of features and </w:t>
      </w:r>
      <m:oMath>
        <m:sSub>
          <m:sSubPr>
            <m:ctrlPr>
              <w:rPr>
                <w:rFonts w:ascii="Cambria Math" w:hAnsi="Cambria Math"/>
              </w:rPr>
            </m:ctrlPr>
          </m:sSubPr>
          <m:e>
            <m:r>
              <w:rPr>
                <w:rFonts w:ascii="Cambria Math" w:hAnsi="Cambria Math"/>
              </w:rPr>
              <m:t>ϕ</m:t>
            </m:r>
          </m:e>
          <m:sub>
            <m:r>
              <w:rPr>
                <w:rFonts w:ascii="Cambria Math" w:hAnsi="Cambria Math"/>
              </w:rPr>
              <m:t>i</m:t>
            </m:r>
          </m:sub>
        </m:sSub>
      </m:oMath>
      <w:r>
        <w:t xml:space="preserve"> is the Shapley-value contribution of feature </w:t>
      </w:r>
      <m:oMath>
        <m:r>
          <w:rPr>
            <w:rFonts w:ascii="Cambria Math" w:hAnsi="Cambria Math"/>
          </w:rPr>
          <m:t>i</m:t>
        </m:r>
      </m:oMath>
      <w:r>
        <w:t xml:space="preserve">. SHAP values are the unique additive attributions that satisfy local accuracy, missingness and consistency [2]. KernelSHAP estimates them with </w:t>
      </w:r>
      <w:r>
        <w:t>a weighted regression over feature coalitions and applies to any model; tree-specific implementations exploit the model structure for speed. Relative to local-surrogate methods, SHAP is typically denser and, outside tree models, computationally heavier, because many coalition evaluations are required.</w:t>
      </w:r>
    </w:p>
    <w:p w14:paraId="5705C035" w14:textId="77777777" w:rsidR="00F27E4D" w:rsidRDefault="00652C58">
      <w:pPr>
        <w:pStyle w:val="Heading2"/>
        <w:keepNext/>
      </w:pPr>
      <w:r>
        <w:t>2.3. Evaluating and Comparing Explainers</w:t>
      </w:r>
    </w:p>
    <w:p w14:paraId="12AB98F5" w14:textId="77777777" w:rsidR="00F27E4D" w:rsidRDefault="00652C58">
      <w:r>
        <w:t xml:space="preserve">Quantitative evaluation of explanations relies mostly on proxy metrics that need no human judgment: fidelity or faithfulness under feature removal [11–13], </w:t>
      </w:r>
      <w:r>
        <w:t xml:space="preserve">robustness of the explanation to small changes of the input [14], and structural properties such as sparsity. Toolkits and benchmarks standardize these measurements [15, 16], and systematic reviews document how unevenly they are applied [5, 6]. Several results warn against reading a proxy score as correctness: attribution methods can pass perturbation tests and fail sanity checks [17], removal-based scores depend on the removal scheme [18], and LIME and SHAP can both be </w:t>
      </w:r>
      <w:r>
        <w:t>manipulated [19]. Shapley-value attributions have known limitations as importance measures when features are dependent [20].</w:t>
      </w:r>
    </w:p>
    <w:p w14:paraId="5C17B177" w14:textId="77777777" w:rsidR="00F27E4D" w:rsidRDefault="00652C58">
      <w:r>
        <w:t xml:space="preserve">For a fair comparison of LIME and SHAP, confounders unrelated to the explainer must be controlled. This motivates the protocol of Section 3: an identical transformed feature space, shared model artifacts, a fixed class target, and cells matched on </w:t>
      </w:r>
      <m:oMath>
        <m:r>
          <m:rPr>
            <m:sty m:val="p"/>
          </m:rPr>
          <w:rPr>
            <w:rFonts w:ascii="Cambria Math" w:hAnsi="Cambria Math"/>
          </w:rPr>
          <m:t>(model,seed,</m:t>
        </m:r>
        <m:r>
          <w:rPr>
            <w:rFonts w:ascii="Cambria Math" w:hAnsi="Cambria Math"/>
          </w:rPr>
          <m:t>N</m:t>
        </m:r>
        <m:r>
          <m:rPr>
            <m:sty m:val="p"/>
          </m:rPr>
          <w:rPr>
            <w:rFonts w:ascii="Cambria Math" w:hAnsi="Cambria Math"/>
          </w:rPr>
          <m:t>)</m:t>
        </m:r>
      </m:oMath>
      <w:r>
        <w:t xml:space="preserve">. Under these controls the expected trade-offs become testable: LIME should favor sparsity and speed, and SHAP </w:t>
      </w:r>
      <w:r>
        <w:t>should favor stability and faithfulness.</w:t>
      </w:r>
    </w:p>
    <w:p w14:paraId="1400007E" w14:textId="77777777" w:rsidR="00F27E4D" w:rsidRDefault="00652C58">
      <w:pPr>
        <w:pStyle w:val="Heading1"/>
        <w:keepNext/>
      </w:pPr>
      <w:r>
        <w:t>3. MATERIALS AND METHODS</w:t>
      </w:r>
    </w:p>
    <w:p w14:paraId="5F1FA894" w14:textId="77777777" w:rsidR="00F27E4D" w:rsidRDefault="00652C58">
      <w:pPr>
        <w:pStyle w:val="Heading2"/>
        <w:keepNext/>
      </w:pPr>
      <w:r>
        <w:t>3.1. Cohort and Research Questions</w:t>
      </w:r>
    </w:p>
    <w:p w14:paraId="5C93288E" w14:textId="77777777" w:rsidR="00F27E4D" w:rsidRDefault="00652C58">
      <w:r>
        <w:t xml:space="preserve">The runs analysed here come from the execution cohort released by Herrera-Vásquez and Herrero-Uceda [10], under the protocol and reproducibility contract defined there. The analysis is not the same: that study reports an omnibus comparison across four explainer families at the block level and a paired SHAP–LIME test restricted to 45 cells of three model families. The present analysis covers the 75 matched </w:t>
      </w:r>
      <w:r>
        <w:t>cells of the five families at the run level, with directional hypotheses, Holm-corrected paired tests, confidence intervals and per-endpoint effect sizes, and it examines how the differences vary with the model family, the dataset and the LIME configuration. Reusing the cohort is deliberate: a fresh execution would add environment variation to a comparison whose purpose is to isolate the explainer.</w:t>
      </w:r>
    </w:p>
    <w:p w14:paraId="1487B3EB" w14:textId="77777777" w:rsidR="00F27E4D" w:rsidRDefault="00652C58">
      <w:r>
        <w:t xml:space="preserve">Four directional questions are addressed, each with its hypothesis, where </w:t>
      </w:r>
      <m:oMath>
        <m:r>
          <w:rPr>
            <w:rFonts w:ascii="Cambria Math" w:hAnsi="Cambria Math"/>
          </w:rPr>
          <m:t>S</m:t>
        </m:r>
      </m:oMath>
      <w:r>
        <w:t xml:space="preserve"> is stability, </w:t>
      </w:r>
      <m:oMath>
        <m:r>
          <w:rPr>
            <w:rFonts w:ascii="Cambria Math" w:hAnsi="Cambria Math"/>
          </w:rPr>
          <m:t>P</m:t>
        </m:r>
      </m:oMath>
      <w:r>
        <w:t xml:space="preserve"> sparsity, </w:t>
      </w:r>
      <m:oMath>
        <m:r>
          <w:rPr>
            <w:rFonts w:ascii="Cambria Math" w:hAnsi="Cambria Math"/>
          </w:rPr>
          <m:t>C</m:t>
        </m:r>
      </m:oMath>
      <w:r>
        <w:t xml:space="preserve"> </w:t>
      </w:r>
      <w:r>
        <w:t xml:space="preserve">cost and </w:t>
      </w:r>
      <m:oMath>
        <m:r>
          <w:rPr>
            <w:rFonts w:ascii="Cambria Math" w:hAnsi="Cambria Math"/>
          </w:rPr>
          <m:t>F</m:t>
        </m:r>
      </m:oMath>
      <w:r>
        <w:t xml:space="preserve"> fidelity:</w:t>
      </w:r>
    </w:p>
    <w:p w14:paraId="350DFA2A" w14:textId="77777777" w:rsidR="00F27E4D" w:rsidRDefault="00652C58">
      <w:pPr>
        <w:spacing w:before="40" w:beforeAutospacing="0" w:after="40" w:afterAutospacing="0"/>
        <w:ind w:left="357" w:hanging="357"/>
      </w:pPr>
      <w:r>
        <w:t>•</w:t>
      </w:r>
      <w:r>
        <w:tab/>
      </w:r>
      <w:r>
        <w:rPr>
          <w:b/>
          <w:bCs/>
        </w:rPr>
        <w:t>RQ1 (robustness).</w:t>
      </w:r>
      <w:r>
        <w:t xml:space="preserve"> Is SHAP more stable than LIME under input perturbation? </w:t>
      </w:r>
      <m:oMath>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SHAP</m:t>
            </m:r>
          </m:sub>
        </m:sSub>
        <m:r>
          <m:rPr>
            <m:sty m:val="p"/>
          </m:rPr>
          <w:rPr>
            <w:rFonts w:ascii="Cambria Math" w:hAnsi="Cambria Math"/>
          </w:rPr>
          <m:t>&gt;</m:t>
        </m:r>
        <m:sSub>
          <m:sSubPr>
            <m:ctrlPr>
              <w:rPr>
                <w:rFonts w:ascii="Cambria Math" w:hAnsi="Cambria Math"/>
              </w:rPr>
            </m:ctrlPr>
          </m:sSubPr>
          <m:e>
            <m:r>
              <w:rPr>
                <w:rFonts w:ascii="Cambria Math" w:hAnsi="Cambria Math"/>
              </w:rPr>
              <m:t>S</m:t>
            </m:r>
          </m:e>
          <m:sub>
            <m:r>
              <m:rPr>
                <m:sty m:val="p"/>
              </m:rPr>
              <w:rPr>
                <w:rFonts w:ascii="Cambria Math" w:hAnsi="Cambria Math"/>
              </w:rPr>
              <m:t>LIME</m:t>
            </m:r>
          </m:sub>
        </m:sSub>
      </m:oMath>
      <w:r>
        <w:t>.</w:t>
      </w:r>
    </w:p>
    <w:p w14:paraId="7442F525" w14:textId="77777777" w:rsidR="00F27E4D" w:rsidRDefault="00652C58">
      <w:pPr>
        <w:spacing w:before="40" w:beforeAutospacing="0" w:after="40" w:afterAutospacing="0"/>
        <w:ind w:left="357" w:hanging="357"/>
      </w:pPr>
      <w:r>
        <w:lastRenderedPageBreak/>
        <w:t>•</w:t>
      </w:r>
      <w:r>
        <w:tab/>
      </w:r>
      <w:r>
        <w:rPr>
          <w:b/>
          <w:bCs/>
        </w:rPr>
        <w:t>RQ2 (parsimony).</w:t>
      </w:r>
      <w:r>
        <w:t xml:space="preserve"> Is LIME sparser than SHAP? </w:t>
      </w:r>
      <m:oMath>
        <m:sSub>
          <m:sSubPr>
            <m:ctrlPr>
              <w:rPr>
                <w:rFonts w:ascii="Cambria Math" w:hAnsi="Cambria Math"/>
              </w:rPr>
            </m:ctrlPr>
          </m:sSubPr>
          <m:e>
            <m:r>
              <w:rPr>
                <w:rFonts w:ascii="Cambria Math" w:hAnsi="Cambria Math"/>
              </w:rPr>
              <m:t>H</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LIME</m:t>
            </m:r>
          </m:sub>
        </m:sSub>
        <m:r>
          <m:rPr>
            <m:sty m:val="p"/>
          </m:rPr>
          <w:rPr>
            <w:rFonts w:ascii="Cambria Math" w:hAnsi="Cambria Math"/>
          </w:rPr>
          <m:t>&lt;</m:t>
        </m:r>
        <m:sSub>
          <m:sSubPr>
            <m:ctrlPr>
              <w:rPr>
                <w:rFonts w:ascii="Cambria Math" w:hAnsi="Cambria Math"/>
              </w:rPr>
            </m:ctrlPr>
          </m:sSubPr>
          <m:e>
            <m:r>
              <w:rPr>
                <w:rFonts w:ascii="Cambria Math" w:hAnsi="Cambria Math"/>
              </w:rPr>
              <m:t>P</m:t>
            </m:r>
          </m:e>
          <m:sub>
            <m:r>
              <m:rPr>
                <m:sty m:val="p"/>
              </m:rPr>
              <w:rPr>
                <w:rFonts w:ascii="Cambria Math" w:hAnsi="Cambria Math"/>
              </w:rPr>
              <m:t>SHAP</m:t>
            </m:r>
          </m:sub>
        </m:sSub>
      </m:oMath>
      <w:r>
        <w:t xml:space="preserve">, where </w:t>
      </w:r>
      <m:oMath>
        <m:r>
          <w:rPr>
            <w:rFonts w:ascii="Cambria Math" w:hAnsi="Cambria Math"/>
          </w:rPr>
          <m:t>P</m:t>
        </m:r>
      </m:oMath>
      <w:r>
        <w:t xml:space="preserve"> is the active-feature ratio (lower is sparser).</w:t>
      </w:r>
    </w:p>
    <w:p w14:paraId="47C38F1E" w14:textId="77777777" w:rsidR="00F27E4D" w:rsidRDefault="00652C58">
      <w:pPr>
        <w:spacing w:before="40" w:beforeAutospacing="0" w:after="40" w:afterAutospacing="0"/>
        <w:ind w:left="357" w:hanging="357"/>
      </w:pPr>
      <w:r>
        <w:t>•</w:t>
      </w:r>
      <w:r>
        <w:tab/>
      </w:r>
      <w:r>
        <w:rPr>
          <w:b/>
          <w:bCs/>
        </w:rPr>
        <w:t>RQ3 (efficiency).</w:t>
      </w:r>
      <w:r>
        <w:t xml:space="preserve"> Is LIME computationally cheaper than SHAP? </w:t>
      </w:r>
      <m:oMath>
        <m:sSub>
          <m:sSubPr>
            <m:ctrlPr>
              <w:rPr>
                <w:rFonts w:ascii="Cambria Math" w:hAnsi="Cambria Math"/>
              </w:rPr>
            </m:ctrlPr>
          </m:sSubPr>
          <m:e>
            <m:r>
              <w:rPr>
                <w:rFonts w:ascii="Cambria Math" w:hAnsi="Cambria Math"/>
              </w:rPr>
              <m:t>H</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LIME</m:t>
            </m:r>
          </m:sub>
        </m:sSub>
        <m:r>
          <m:rPr>
            <m:sty m:val="p"/>
          </m:rPr>
          <w:rPr>
            <w:rFonts w:ascii="Cambria Math" w:hAnsi="Cambria Math"/>
          </w:rPr>
          <m:t>&lt;</m:t>
        </m:r>
        <m:sSub>
          <m:sSubPr>
            <m:ctrlPr>
              <w:rPr>
                <w:rFonts w:ascii="Cambria Math" w:hAnsi="Cambria Math"/>
              </w:rPr>
            </m:ctrlPr>
          </m:sSubPr>
          <m:e>
            <m:r>
              <w:rPr>
                <w:rFonts w:ascii="Cambria Math" w:hAnsi="Cambria Math"/>
              </w:rPr>
              <m:t>C</m:t>
            </m:r>
          </m:e>
          <m:sub>
            <m:r>
              <m:rPr>
                <m:sty m:val="p"/>
              </m:rPr>
              <w:rPr>
                <w:rFonts w:ascii="Cambria Math" w:hAnsi="Cambria Math"/>
              </w:rPr>
              <m:t>SHAP</m:t>
            </m:r>
          </m:sub>
        </m:sSub>
      </m:oMath>
      <w:r>
        <w:t>.</w:t>
      </w:r>
    </w:p>
    <w:p w14:paraId="34564359" w14:textId="77777777" w:rsidR="00F27E4D" w:rsidRDefault="00652C58">
      <w:pPr>
        <w:spacing w:before="40" w:beforeAutospacing="0" w:after="40" w:afterAutospacing="0"/>
        <w:ind w:left="357" w:hanging="357"/>
      </w:pPr>
      <w:r>
        <w:t>•</w:t>
      </w:r>
      <w:r>
        <w:tab/>
      </w:r>
      <w:r>
        <w:rPr>
          <w:b/>
          <w:bCs/>
        </w:rPr>
        <w:t>RQ4 (faithfulness).</w:t>
      </w:r>
      <w:r>
        <w:t xml:space="preserve"> Does SHAP give stronger fidelity and faithfulness signals than LIME? </w:t>
      </w:r>
      <m:oMath>
        <m:sSub>
          <m:sSubPr>
            <m:ctrlPr>
              <w:rPr>
                <w:rFonts w:ascii="Cambria Math" w:hAnsi="Cambria Math"/>
              </w:rPr>
            </m:ctrlPr>
          </m:sSubPr>
          <m:e>
            <m:r>
              <w:rPr>
                <w:rFonts w:ascii="Cambria Math" w:hAnsi="Cambria Math"/>
              </w:rPr>
              <m:t>H</m:t>
            </m:r>
          </m:e>
          <m:sub>
            <m: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SHAP</m:t>
            </m:r>
          </m:sub>
        </m:sSub>
        <m:r>
          <m:rPr>
            <m:sty m:val="p"/>
          </m:rPr>
          <w:rPr>
            <w:rFonts w:ascii="Cambria Math" w:hAnsi="Cambria Math"/>
          </w:rPr>
          <m:t>&gt;</m:t>
        </m:r>
        <m:sSub>
          <m:sSubPr>
            <m:ctrlPr>
              <w:rPr>
                <w:rFonts w:ascii="Cambria Math" w:hAnsi="Cambria Math"/>
              </w:rPr>
            </m:ctrlPr>
          </m:sSubPr>
          <m:e>
            <m:r>
              <w:rPr>
                <w:rFonts w:ascii="Cambria Math" w:hAnsi="Cambria Math"/>
              </w:rPr>
              <m:t>F</m:t>
            </m:r>
          </m:e>
          <m:sub>
            <m:r>
              <m:rPr>
                <m:sty m:val="p"/>
              </m:rPr>
              <w:rPr>
                <w:rFonts w:ascii="Cambria Math" w:hAnsi="Cambria Math"/>
              </w:rPr>
              <m:t>LIME</m:t>
            </m:r>
          </m:sub>
        </m:sSub>
      </m:oMath>
      <w:r>
        <w:t>.</w:t>
      </w:r>
    </w:p>
    <w:p w14:paraId="6C6271D0" w14:textId="77777777" w:rsidR="00F27E4D" w:rsidRDefault="00652C58">
      <w:pPr>
        <w:pStyle w:val="Heading2"/>
        <w:keepNext/>
      </w:pPr>
      <w:r>
        <w:t>3.2. Experimental Design and Analysis Units</w:t>
      </w:r>
    </w:p>
    <w:p w14:paraId="17B53984" w14:textId="77777777" w:rsidR="00F27E4D" w:rsidRDefault="00652C58">
      <w:r>
        <w:t xml:space="preserve">The benchmark has four factors: model family </w:t>
      </w:r>
      <m:oMath>
        <m:r>
          <w:rPr>
            <w:rFonts w:ascii="Cambria Math" w:hAnsi="Cambria Math"/>
          </w:rPr>
          <m:t>g</m:t>
        </m:r>
        <m:r>
          <m:rPr>
            <m:sty m:val="p"/>
          </m:rPr>
          <w:rPr>
            <w:rFonts w:ascii="Cambria Math" w:hAnsi="Cambria Math"/>
          </w:rPr>
          <m:t>∈{logreg,rf,xgb,svm,mlp}</m:t>
        </m:r>
      </m:oMath>
      <w:r>
        <w:t xml:space="preserve">; explainer </w:t>
      </w:r>
      <m:oMath>
        <m:r>
          <w:rPr>
            <w:rFonts w:ascii="Cambria Math" w:hAnsi="Cambria Math"/>
          </w:rPr>
          <m:t>k</m:t>
        </m:r>
        <m:r>
          <m:rPr>
            <m:sty m:val="p"/>
          </m:rPr>
          <w:rPr>
            <w:rFonts w:ascii="Cambria Math" w:hAnsi="Cambria Math"/>
          </w:rPr>
          <m:t>∈{LIME,SHAP}</m:t>
        </m:r>
      </m:oMath>
      <w:r>
        <w:t xml:space="preserve">; seed </w:t>
      </w:r>
      <m:oMath>
        <m:r>
          <w:rPr>
            <w:rFonts w:ascii="Cambria Math" w:hAnsi="Cambria Math"/>
          </w:rPr>
          <m:t>s</m:t>
        </m:r>
        <m:r>
          <m:rPr>
            <m:sty m:val="p"/>
          </m:rPr>
          <w:rPr>
            <w:rFonts w:ascii="Cambria Math" w:hAnsi="Cambria Math"/>
          </w:rPr>
          <m:t>∈{</m:t>
        </m:r>
        <m:r>
          <w:rPr>
            <w:rFonts w:ascii="Cambria Math" w:hAnsi="Cambria Math"/>
          </w:rPr>
          <m:t>42</m:t>
        </m:r>
        <m:r>
          <m:rPr>
            <m:sty m:val="p"/>
          </m:rPr>
          <w:rPr>
            <w:rFonts w:ascii="Cambria Math" w:hAnsi="Cambria Math"/>
          </w:rPr>
          <m:t>,</m:t>
        </m:r>
        <m:r>
          <w:rPr>
            <w:rFonts w:ascii="Cambria Math" w:hAnsi="Cambria Math"/>
          </w:rPr>
          <m:t>123</m:t>
        </m:r>
        <m:r>
          <m:rPr>
            <m:sty m:val="p"/>
          </m:rPr>
          <w:rPr>
            <w:rFonts w:ascii="Cambria Math" w:hAnsi="Cambria Math"/>
          </w:rPr>
          <m:t>,</m:t>
        </m:r>
        <m:r>
          <w:rPr>
            <w:rFonts w:ascii="Cambria Math" w:hAnsi="Cambria Math"/>
          </w:rPr>
          <m:t>456</m:t>
        </m:r>
        <m:r>
          <m:rPr>
            <m:sty m:val="p"/>
          </m:rPr>
          <w:rPr>
            <w:rFonts w:ascii="Cambria Math" w:hAnsi="Cambria Math"/>
          </w:rPr>
          <m:t>,</m:t>
        </m:r>
        <m:r>
          <w:rPr>
            <w:rFonts w:ascii="Cambria Math" w:hAnsi="Cambria Math"/>
          </w:rPr>
          <m:t>789</m:t>
        </m:r>
        <m:r>
          <m:rPr>
            <m:sty m:val="p"/>
          </m:rPr>
          <w:rPr>
            <w:rFonts w:ascii="Cambria Math" w:hAnsi="Cambria Math"/>
          </w:rPr>
          <m:t>,</m:t>
        </m:r>
        <m:r>
          <w:rPr>
            <w:rFonts w:ascii="Cambria Math" w:hAnsi="Cambria Math"/>
          </w:rPr>
          <m:t>999</m:t>
        </m:r>
        <m:r>
          <m:rPr>
            <m:sty m:val="p"/>
          </m:rPr>
          <w:rPr>
            <w:rFonts w:ascii="Cambria Math" w:hAnsi="Cambria Math"/>
          </w:rPr>
          <m:t>}</m:t>
        </m:r>
      </m:oMath>
      <w:r>
        <w:t xml:space="preserve">; and sampling intensity </w:t>
      </w:r>
      <m:oMath>
        <m:r>
          <w:rPr>
            <w:rFonts w:ascii="Cambria Math" w:hAnsi="Cambria Math"/>
          </w:rPr>
          <m:t>N</m:t>
        </m:r>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200</m:t>
        </m:r>
        <m:r>
          <m:rPr>
            <m:sty m:val="p"/>
          </m:rPr>
          <w:rPr>
            <w:rFonts w:ascii="Cambria Math" w:hAnsi="Cambria Math"/>
          </w:rPr>
          <m:t>}</m:t>
        </m:r>
      </m:oMath>
      <w:r>
        <w:t xml:space="preserve"> instances per stratum of the confusion matrix (TP, TN, FP, FN). This yields </w:t>
      </w:r>
      <m:oMath>
        <m:r>
          <w:rPr>
            <w:rFonts w:ascii="Cambria Math" w:hAnsi="Cambria Math"/>
          </w:rPr>
          <m:t>5</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150</m:t>
        </m:r>
      </m:oMath>
      <w:r>
        <w:t xml:space="preserve"> planned runs, all of which are artifact-qualified (75 LIME, 75 SHAP), forming 75 matched SHAP–LIME cells on identical </w:t>
      </w:r>
      <m:oMath>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coordinates.</w:t>
      </w:r>
    </w:p>
    <w:p w14:paraId="1E6C47A9" w14:textId="77777777" w:rsidR="00F27E4D" w:rsidRDefault="00652C58">
      <w:r>
        <w:t xml:space="preserve">To avoid pseudoreplication, the analysis is hierarchical: metric values are </w:t>
      </w:r>
      <w:r>
        <w:t xml:space="preserve">computed per instance, averaged per run, and the paired SHAP–LIME run means on shared </w:t>
      </w:r>
      <m:oMath>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cells are the inferential unit.</w:t>
      </w:r>
    </w:p>
    <w:p w14:paraId="3B05D58B" w14:textId="77777777" w:rsidR="00F27E4D" w:rsidRDefault="00652C58">
      <w:pPr>
        <w:pStyle w:val="Heading2"/>
        <w:keepNext/>
      </w:pPr>
      <w:r>
        <w:t>3.3. Data, Models and Explainer Protocol</w:t>
      </w:r>
    </w:p>
    <w:p w14:paraId="69DE0358" w14:textId="77777777" w:rsidR="00F27E4D" w:rsidRDefault="00652C58">
      <w:r>
        <w:t xml:space="preserve">All experiments of the main cohort use the UCI Adult dataset [21, 22] with a stratified split and deterministic seeds. The preprocessing pipeline is fitted on the training partition only, with numeric scaling and one-hot encoding of categorical features, which gives 103 transformed features. A fixed set of </w:t>
      </w:r>
      <w:r>
        <w:t>pre-trained models is shared across all explainer runs to isolate the explainer effect: random forest [23], gradient-boosted trees [24], logistic regression, a support vector machine (SVM) and a multilayer perceptron (MLP). Evaluation instances are sampled by confusion-matrix stratum. Realized instance counts range from 27 to 800 (median 400).</w:t>
      </w:r>
    </w:p>
    <w:p w14:paraId="05333C9C" w14:textId="77777777" w:rsidR="00F27E4D" w:rsidRDefault="00652C58">
      <w:r>
        <w:t>Both explainers consume the same transformed feature space and target the probability of the positive class:</w:t>
      </w:r>
    </w:p>
    <w:p w14:paraId="19A8E6E5" w14:textId="77777777" w:rsidR="00F27E4D" w:rsidRDefault="00652C58">
      <w:pPr>
        <w:spacing w:before="40" w:beforeAutospacing="0" w:after="40" w:afterAutospacing="0"/>
        <w:ind w:left="357" w:hanging="357"/>
      </w:pPr>
      <w:r>
        <w:t>•</w:t>
      </w:r>
      <w:r>
        <w:tab/>
      </w:r>
      <w:r>
        <w:rPr>
          <w:b/>
          <w:bCs/>
        </w:rPr>
        <w:t>SHAP:</w:t>
      </w:r>
      <w:r>
        <w:t xml:space="preserve"> </w:t>
      </w:r>
      <w:r>
        <w:rPr>
          <w:rFonts w:ascii="Consolas" w:hAnsi="Consolas"/>
          <w:sz w:val="18"/>
        </w:rPr>
        <w:t>TreeExplainer</w:t>
      </w:r>
      <w:r>
        <w:t xml:space="preserve"> for tree models and </w:t>
      </w:r>
      <w:r>
        <w:rPr>
          <w:rFonts w:ascii="Consolas" w:hAnsi="Consolas"/>
          <w:sz w:val="18"/>
        </w:rPr>
        <w:t>KernelExplainer</w:t>
      </w:r>
      <w:r>
        <w:t xml:space="preserve"> for the other models, with a background sample of </w:t>
      </w:r>
      <m:oMath>
        <m:r>
          <w:rPr>
            <w:rFonts w:ascii="Cambria Math" w:hAnsi="Cambria Math"/>
          </w:rPr>
          <m:t>n</m:t>
        </m:r>
        <m:r>
          <m:rPr>
            <m:sty m:val="p"/>
          </m:rPr>
          <w:rPr>
            <w:rFonts w:ascii="Cambria Math" w:hAnsi="Cambria Math"/>
          </w:rPr>
          <m:t>=</m:t>
        </m:r>
        <m:r>
          <w:rPr>
            <w:rFonts w:ascii="Cambria Math" w:hAnsi="Cambria Math"/>
          </w:rPr>
          <m:t>50</m:t>
        </m:r>
      </m:oMath>
      <w:r>
        <w:t>.</w:t>
      </w:r>
    </w:p>
    <w:p w14:paraId="7FAE97D5" w14:textId="77777777" w:rsidR="00F27E4D" w:rsidRDefault="00652C58">
      <w:pPr>
        <w:spacing w:before="40" w:beforeAutospacing="0" w:after="40" w:afterAutospacing="0"/>
        <w:ind w:left="357" w:hanging="357"/>
      </w:pPr>
      <w:r>
        <w:t>•</w:t>
      </w:r>
      <w:r>
        <w:tab/>
      </w:r>
      <w:r>
        <w:rPr>
          <w:b/>
          <w:bCs/>
        </w:rPr>
        <w:t>LIME:</w:t>
      </w:r>
      <w:r>
        <w:t xml:space="preserve"> tabular local surrogate with a feature budget of </w:t>
      </w:r>
      <w:r>
        <w:rPr>
          <w:rFonts w:ascii="Consolas" w:hAnsi="Consolas"/>
          <w:sz w:val="18"/>
        </w:rPr>
        <w:t>num_features=10</w:t>
      </w:r>
      <w:r>
        <w:t xml:space="preserve">, an effective </w:t>
      </w:r>
      <w:r>
        <w:rPr>
          <w:rFonts w:ascii="Consolas" w:hAnsi="Consolas"/>
          <w:sz w:val="18"/>
        </w:rPr>
        <w:t>num_samples=1000</w:t>
      </w:r>
      <w:r>
        <w:t xml:space="preserve"> and </w:t>
      </w:r>
      <w:r>
        <w:rPr>
          <w:rFonts w:ascii="Consolas" w:hAnsi="Consolas"/>
          <w:sz w:val="18"/>
        </w:rPr>
        <w:t>kernel_width=3.0</w:t>
      </w:r>
      <w:r>
        <w:t>.</w:t>
      </w:r>
    </w:p>
    <w:p w14:paraId="6803D2DE" w14:textId="77777777" w:rsidR="00F27E4D" w:rsidRDefault="00652C58">
      <w:r>
        <w:t>These are fixed reference settings, not the library defaults. The sensitivity of the results to the LIME kernel width is examined in Section 4.6.</w:t>
      </w:r>
    </w:p>
    <w:p w14:paraId="75BD7EAA" w14:textId="77777777" w:rsidR="00F27E4D" w:rsidRDefault="00652C58">
      <w:pPr>
        <w:pStyle w:val="Heading2"/>
        <w:keepNext/>
      </w:pPr>
      <w:r>
        <w:t>3.4. Metrics</w:t>
      </w:r>
    </w:p>
    <w:p w14:paraId="01B12ECE" w14:textId="77777777" w:rsidR="00F27E4D" w:rsidRDefault="00652C58">
      <w:r>
        <w:t xml:space="preserve">The metrics follow the protocol of the earlier study [10]. Throughout,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is the model’s predicted probability of the positive class, </w:t>
      </w:r>
      <m:oMath>
        <m:r>
          <w:rPr>
            <w:rFonts w:ascii="Cambria Math" w:hAnsi="Cambria Math"/>
          </w:rPr>
          <m:t>e</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M</m:t>
            </m:r>
          </m:sup>
        </m:sSup>
      </m:oMath>
      <w:r>
        <w:t xml:space="preserve"> is </w:t>
      </w:r>
      <w:r>
        <w:t xml:space="preserve">the attribution vector an explainer returns for instance </w:t>
      </w:r>
      <m:oMath>
        <m:r>
          <w:rPr>
            <w:rFonts w:ascii="Cambria Math" w:hAnsi="Cambria Math"/>
          </w:rPr>
          <m:t>x</m:t>
        </m:r>
      </m:oMath>
      <w:r>
        <w:t xml:space="preserve"> with </w:t>
      </w:r>
      <m:oMath>
        <m:r>
          <w:rPr>
            <w:rFonts w:ascii="Cambria Math" w:hAnsi="Cambria Math"/>
          </w:rPr>
          <m:t>M</m:t>
        </m:r>
      </m:oMath>
      <w:r>
        <w:t xml:space="preserve"> features, and “masking” feature </w:t>
      </w:r>
      <m:oMath>
        <m:r>
          <w:rPr>
            <w:rFonts w:ascii="Cambria Math" w:hAnsi="Cambria Math"/>
          </w:rPr>
          <m:t>j</m:t>
        </m:r>
      </m:oMath>
      <w:r>
        <w:t xml:space="preserve"> replaces its value with the training-set mean </w:t>
      </w:r>
      <m:oMath>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j</m:t>
            </m:r>
          </m:sub>
        </m:sSub>
      </m:oMath>
      <w:r>
        <w:t>.</w:t>
      </w:r>
    </w:p>
    <w:p w14:paraId="055D4FCF" w14:textId="77777777" w:rsidR="00F27E4D" w:rsidRDefault="00652C58">
      <w:pPr>
        <w:spacing w:before="40" w:beforeAutospacing="0" w:after="40" w:afterAutospacing="0"/>
        <w:ind w:left="357" w:hanging="357"/>
      </w:pPr>
      <w:r>
        <w:t>1.</w:t>
      </w:r>
      <w:r>
        <w:tab/>
      </w:r>
      <w:r>
        <w:rPr>
          <w:b/>
          <w:bCs/>
        </w:rPr>
        <w:t>Stability</w:t>
      </w:r>
      <w:r>
        <w:t xml:space="preserve"> </w:t>
      </w:r>
      <m:oMath>
        <m:r>
          <w:rPr>
            <w:rFonts w:ascii="Cambria Math" w:hAnsi="Cambria Math"/>
          </w:rPr>
          <m:t>S</m:t>
        </m:r>
      </m:oMath>
      <w:r>
        <w:t xml:space="preserve">: robustness of the explanation to small input noise [14]. The explainer is run on </w:t>
      </w:r>
      <m:oMath>
        <m:r>
          <w:rPr>
            <w:rFonts w:ascii="Cambria Math" w:hAnsi="Cambria Math"/>
          </w:rPr>
          <m:t>T</m:t>
        </m:r>
        <m:r>
          <m:rPr>
            <m:sty m:val="p"/>
          </m:rPr>
          <w:rPr>
            <w:rFonts w:ascii="Cambria Math" w:hAnsi="Cambria Math"/>
          </w:rPr>
          <m:t>=</m:t>
        </m:r>
        <m:r>
          <w:rPr>
            <w:rFonts w:ascii="Cambria Math" w:hAnsi="Cambria Math"/>
          </w:rPr>
          <m:t>15</m:t>
        </m:r>
      </m:oMath>
      <w:r>
        <w:t xml:space="preserve"> perturbed copies </w:t>
      </w:r>
      <m:oMath>
        <m:sSup>
          <m:sSupPr>
            <m:ctrlPr>
              <w:rPr>
                <w:rFonts w:ascii="Cambria Math" w:hAnsi="Cambria Math"/>
              </w:rPr>
            </m:ctrlPr>
          </m:sSupPr>
          <m:e>
            <m:r>
              <w:rPr>
                <w:rFonts w:ascii="Cambria Math" w:hAnsi="Cambria Math"/>
              </w:rPr>
              <m:t>x</m:t>
            </m:r>
          </m:e>
          <m:sup>
            <m:r>
              <m:rPr>
                <m:sty m:val="p"/>
              </m:rPr>
              <w:rPr>
                <w:rFonts w:ascii="Cambria Math" w:hAnsi="Cambria Math"/>
              </w:rPr>
              <m:t>(</m:t>
            </m:r>
            <m:r>
              <w:rPr>
                <w:rFonts w:ascii="Cambria Math" w:hAnsi="Cambria Math"/>
              </w:rPr>
              <m:t>a</m:t>
            </m:r>
            <m:r>
              <m:rPr>
                <m:sty m:val="p"/>
              </m:rP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ε</m:t>
            </m:r>
          </m:e>
          <m:sup>
            <m:r>
              <m:rPr>
                <m:sty m:val="p"/>
              </m:rPr>
              <w:rPr>
                <w:rFonts w:ascii="Cambria Math" w:hAnsi="Cambria Math"/>
              </w:rPr>
              <m:t>(</m:t>
            </m:r>
            <m:r>
              <w:rPr>
                <w:rFonts w:ascii="Cambria Math" w:hAnsi="Cambria Math"/>
              </w:rPr>
              <m:t>a</m:t>
            </m:r>
            <m:r>
              <m:rPr>
                <m:sty m:val="p"/>
              </m:rPr>
              <w:rPr>
                <w:rFonts w:ascii="Cambria Math" w:hAnsi="Cambria Math"/>
              </w:rPr>
              <m:t>)</m:t>
            </m:r>
          </m:sup>
        </m:sSup>
      </m:oMath>
      <w:r>
        <w:t xml:space="preserve">, with </w:t>
      </w:r>
      <m:oMath>
        <m:sSup>
          <m:sSupPr>
            <m:ctrlPr>
              <w:rPr>
                <w:rFonts w:ascii="Cambria Math" w:hAnsi="Cambria Math"/>
              </w:rPr>
            </m:ctrlPr>
          </m:sSupPr>
          <m:e>
            <m:r>
              <w:rPr>
                <w:rFonts w:ascii="Cambria Math" w:hAnsi="Cambria Math"/>
              </w:rPr>
              <m:t>ε</m:t>
            </m:r>
          </m:e>
          <m:sup>
            <m:r>
              <m:rPr>
                <m:sty m:val="p"/>
              </m:rPr>
              <w:rPr>
                <w:rFonts w:ascii="Cambria Math" w:hAnsi="Cambria Math"/>
              </w:rPr>
              <m:t>(</m:t>
            </m:r>
            <m:r>
              <w:rPr>
                <w:rFonts w:ascii="Cambria Math" w:hAnsi="Cambria Math"/>
              </w:rPr>
              <m:t>a</m:t>
            </m:r>
            <m:r>
              <m:rPr>
                <m:sty m:val="p"/>
              </m:rPr>
              <w:rPr>
                <w:rFonts w:ascii="Cambria Math" w:hAnsi="Cambria Math"/>
              </w:rPr>
              <m:t>)</m:t>
            </m:r>
          </m:sup>
        </m:sSup>
        <m:r>
          <m:rPr>
            <m:sty m:val="p"/>
          </m:rPr>
          <w:rPr>
            <w:rFonts w:ascii="Cambria Math" w:hAnsi="Cambria Math"/>
          </w:rPr>
          <m:t>∼</m:t>
        </m:r>
        <m:r>
          <m:rPr>
            <m:scr m:val="script"/>
            <m:sty m:val="p"/>
          </m:rPr>
          <w:rPr>
            <w:rFonts w:ascii="Cambria Math" w:hAnsi="Cambria Math"/>
          </w:rPr>
          <m:t>N</m:t>
        </m:r>
        <m:r>
          <m:rPr>
            <m:sty m:val="p"/>
          </m:rPr>
          <w:rPr>
            <w:rFonts w:ascii="Cambria Math" w:hAnsi="Cambria Math"/>
          </w:rPr>
          <m:t>(</m:t>
        </m:r>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I</m:t>
        </m:r>
        <m:r>
          <m:rPr>
            <m:sty m:val="p"/>
          </m:rPr>
          <w:rPr>
            <w:rFonts w:ascii="Cambria Math" w:hAnsi="Cambria Math"/>
          </w:rPr>
          <m:t>)</m:t>
        </m:r>
      </m:oMath>
      <w:r>
        <w:t xml:space="preserve"> and </w:t>
      </w:r>
      <m:oMath>
        <m:r>
          <w:rPr>
            <w:rFonts w:ascii="Cambria Math" w:hAnsi="Cambria Math"/>
          </w:rPr>
          <m:t>σ</m:t>
        </m:r>
        <m:r>
          <m:rPr>
            <m:sty m:val="p"/>
          </m:rPr>
          <w:rPr>
            <w:rFonts w:ascii="Cambria Math" w:hAnsi="Cambria Math"/>
          </w:rPr>
          <m:t>=</m:t>
        </m:r>
        <m:r>
          <w:rPr>
            <w:rFonts w:ascii="Cambria Math" w:hAnsi="Cambria Math"/>
          </w:rPr>
          <m:t>0.1</m:t>
        </m:r>
      </m:oMath>
      <w:r>
        <w:t xml:space="preserve">, and </w:t>
      </w:r>
      <m:oMath>
        <m:r>
          <w:rPr>
            <w:rFonts w:ascii="Cambria Math" w:hAnsi="Cambria Math"/>
          </w:rPr>
          <m:t>S</m:t>
        </m:r>
      </m:oMath>
      <w:r>
        <w:t xml:space="preserve"> is the mean cosine similarity over all </w:t>
      </w:r>
      <m:oMath>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 xml:space="preserve"> pairs of the resulting attribution vectors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a</m:t>
            </m:r>
            <m:r>
              <m:rPr>
                <m:sty m:val="p"/>
              </m:rPr>
              <w:rPr>
                <w:rFonts w:ascii="Cambria Math" w:hAnsi="Cambria Math"/>
              </w:rPr>
              <m:t>)</m:t>
            </m:r>
          </m:sup>
        </m:sSup>
        <m:r>
          <m:rPr>
            <m:sty m:val="p"/>
          </m:rPr>
          <w:rPr>
            <w:rFonts w:ascii="Cambria Math" w:hAnsi="Cambria Math"/>
          </w:rPr>
          <m:t>=</m:t>
        </m:r>
        <m:r>
          <w:rPr>
            <w:rFonts w:ascii="Cambria Math" w:hAnsi="Cambria Math"/>
          </w:rPr>
          <m:t>e</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r>
              <w:rPr>
                <w:rFonts w:ascii="Cambria Math" w:hAnsi="Cambria Math"/>
              </w:rPr>
              <m:t>a</m:t>
            </m:r>
            <m:r>
              <m:rPr>
                <m:sty m:val="p"/>
              </m:rPr>
              <w:rPr>
                <w:rFonts w:ascii="Cambria Math" w:hAnsi="Cambria Math"/>
              </w:rPr>
              <m:t>)</m:t>
            </m:r>
          </m:sup>
        </m:sSup>
        <m:r>
          <m:rPr>
            <m:sty m:val="p"/>
          </m:rPr>
          <w:rPr>
            <w:rFonts w:ascii="Cambria Math" w:hAnsi="Cambria Math"/>
          </w:rPr>
          <m:t>)</m:t>
        </m:r>
      </m:oMath>
      <w:r>
        <w:t>, Eq. (2):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256"/>
        <w:gridCol w:w="814"/>
      </w:tblGrid>
      <w:tr w:rsidR="00E32EAD" w14:paraId="78AF95B9" w14:textId="77777777" w:rsidTr="009E11E3">
        <w:tc>
          <w:tcPr>
            <w:tcW w:w="8256" w:type="dxa"/>
            <w:vAlign w:val="center"/>
            <w:hideMark/>
          </w:tcPr>
          <w:p w14:paraId="67CB69CD" w14:textId="77777777" w:rsidR="00E32EAD" w:rsidRPr="00E32EAD" w:rsidRDefault="00E32EAD" w:rsidP="009E11E3">
            <w:pPr>
              <w:rPr>
                <w:rFonts w:cs="Segoe UI"/>
                <w:sz w:val="18"/>
                <w:szCs w:val="18"/>
              </w:rPr>
            </w:pPr>
            <m:oMathPara>
              <m:oMathParaPr>
                <m:jc m:val="center"/>
              </m:oMathParaPr>
              <m:oMath>
                <m:r>
                  <w:rPr>
                    <w:rFonts w:ascii="Cambria Math" w:hAnsi="Cambria Math"/>
                  </w:rPr>
                  <m:t>S</m:t>
                </m:r>
                <m:r>
                  <m:rPr>
                    <m:sty m:val="p"/>
                  </m:rP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den>
                </m:f>
                <m:nary>
                  <m:naryPr>
                    <m:chr m:val="∑"/>
                    <m:limLoc m:val="undOvr"/>
                    <m:supHide m:val="1"/>
                    <m:ctrlPr>
                      <w:rPr>
                        <w:rFonts w:ascii="Cambria Math" w:hAnsi="Cambria Math"/>
                      </w:rPr>
                    </m:ctrlPr>
                  </m:naryPr>
                  <m:sub>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&lt;</m:t>
                    </m:r>
                    <m:r>
                      <w:rPr>
                        <w:rFonts w:ascii="Cambria Math" w:hAnsi="Cambria Math"/>
                      </w:rPr>
                      <m:t>b</m:t>
                    </m:r>
                    <m:r>
                      <m:rPr>
                        <m:sty m:val="p"/>
                      </m:rPr>
                      <w:rPr>
                        <w:rFonts w:ascii="Cambria Math" w:hAnsi="Cambria Math"/>
                      </w:rPr>
                      <m:t>≤</m:t>
                    </m:r>
                    <m:r>
                      <w:rPr>
                        <w:rFonts w:ascii="Cambria Math" w:hAnsi="Cambria Math"/>
                      </w:rPr>
                      <m:t>T</m:t>
                    </m:r>
                  </m:sub>
                  <m:sup>
                    <m:r>
                      <w:rPr>
                        <w:rFonts w:ascii="Cambria Math" w:hAnsi="Cambria Math"/>
                      </w:rPr>
                      <m:t>​</m:t>
                    </m:r>
                  </m:sup>
                  <m:e>
                    <m:r>
                      <m:rPr>
                        <m:sty m:val="p"/>
                      </m:rPr>
                      <w:rPr>
                        <w:rFonts w:ascii="Cambria Math" w:hAnsi="Cambria Math"/>
                      </w:rPr>
                      <m:t>cos</m:t>
                    </m:r>
                  </m:e>
                </m:nary>
                <m: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a</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b</m:t>
                        </m:r>
                        <m:r>
                          <m:rPr>
                            <m:sty m:val="p"/>
                          </m:rPr>
                          <w:rPr>
                            <w:rFonts w:ascii="Cambria Math" w:hAnsi="Cambria Math"/>
                          </w:rPr>
                          <m:t>)</m:t>
                        </m:r>
                      </m:sup>
                    </m:sSup>
                  </m:e>
                </m:d>
                <m:r>
                  <m:rPr>
                    <m:sty m:val="p"/>
                  </m:rPr>
                  <w:rPr>
                    <w:rFonts w:ascii="Cambria Math" w:hAnsi="Cambria Math"/>
                  </w:rPr>
                  <m:t>.</m:t>
                </m:r>
              </m:oMath>
            </m:oMathPara>
          </w:p>
        </w:tc>
        <w:tc>
          <w:tcPr>
            <w:tcW w:w="814" w:type="dxa"/>
            <w:vAlign w:val="center"/>
            <w:hideMark/>
          </w:tcPr>
          <w:p w14:paraId="01A6D7C0" w14:textId="77777777" w:rsidR="00E32EAD" w:rsidRDefault="00E32EAD" w:rsidP="009E11E3">
            <w:pPr>
              <w:jc w:val="right"/>
              <w:rPr>
                <w:rFonts w:cs="Segoe UI"/>
                <w:sz w:val="18"/>
                <w:szCs w:val="18"/>
              </w:rPr>
            </w:pPr>
            <w:r>
              <w:rPr>
                <w:rFonts w:cs="Segoe UI"/>
                <w:i/>
                <w:iCs/>
                <w:sz w:val="18"/>
                <w:szCs w:val="18"/>
              </w:rPr>
              <w:t>(2)</w:t>
            </w:r>
          </w:p>
        </w:tc>
      </w:tr>
    </w:tbl>
    <w:p w14:paraId="030FC429" w14:textId="77777777" w:rsidR="00F27E4D" w:rsidRDefault="00652C58">
      <w:pPr>
        <w:spacing w:before="40" w:beforeAutospacing="0" w:after="40" w:afterAutospacing="0"/>
        <w:ind w:left="357" w:hanging="357"/>
      </w:pPr>
      <w:r>
        <w:t>•</w:t>
      </w:r>
      <w:r>
        <w:tab/>
      </w:r>
      <m:oMath>
        <m:r>
          <w:rPr>
            <w:rFonts w:ascii="Cambria Math" w:hAnsi="Cambria Math"/>
          </w:rPr>
          <m:t>S</m:t>
        </m:r>
      </m:oMath>
      <w:r>
        <w:t xml:space="preserve"> </w:t>
      </w:r>
      <w:r>
        <w:t xml:space="preserve">is </w:t>
      </w:r>
      <m:oMath>
        <m:r>
          <w:rPr>
            <w:rFonts w:ascii="Cambria Math" w:hAnsi="Cambria Math"/>
          </w:rPr>
          <m:t>1</m:t>
        </m:r>
      </m:oMath>
      <w:r>
        <w:t xml:space="preserve"> when every perturbation yields an attribution vector with the same direction, and near </w:t>
      </w:r>
      <m:oMath>
        <m:r>
          <w:rPr>
            <w:rFonts w:ascii="Cambria Math" w:hAnsi="Cambria Math"/>
          </w:rPr>
          <m:t>0</m:t>
        </m:r>
      </m:oMath>
      <w:r>
        <w:t xml:space="preserve"> when directions are unrelated.</w:t>
      </w:r>
    </w:p>
    <w:p w14:paraId="0EE511C5" w14:textId="77777777" w:rsidR="00F27E4D" w:rsidRDefault="00652C58">
      <w:pPr>
        <w:spacing w:before="40" w:beforeAutospacing="0" w:after="40" w:afterAutospacing="0"/>
        <w:ind w:left="357" w:hanging="357"/>
      </w:pPr>
      <w:r>
        <w:lastRenderedPageBreak/>
        <w:t>2.</w:t>
      </w:r>
      <w:r>
        <w:tab/>
      </w:r>
      <w:r>
        <w:rPr>
          <w:b/>
          <w:bCs/>
        </w:rPr>
        <w:t>Sparsity</w:t>
      </w:r>
      <w:r>
        <w:t xml:space="preserve"> </w:t>
      </w:r>
      <m:oMath>
        <m:r>
          <w:rPr>
            <w:rFonts w:ascii="Cambria Math" w:hAnsi="Cambria Math"/>
          </w:rPr>
          <m:t>P</m:t>
        </m:r>
      </m:oMath>
      <w:r>
        <w:t xml:space="preserve">: active-feature ratio, the share of the </w:t>
      </w:r>
      <m:oMath>
        <m:r>
          <w:rPr>
            <w:rFonts w:ascii="Cambria Math" w:hAnsi="Cambria Math"/>
          </w:rPr>
          <m:t>M</m:t>
        </m:r>
      </m:oMath>
      <w:r>
        <w:t xml:space="preserve"> features whose absolute attribution exceeds the threshold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A lower active ratio means a sparser explanation.</w:t>
      </w:r>
    </w:p>
    <w:p w14:paraId="04E760E1" w14:textId="77777777" w:rsidR="00F27E4D" w:rsidRDefault="00652C58">
      <w:pPr>
        <w:spacing w:before="40" w:beforeAutospacing="0" w:after="40" w:afterAutospacing="0"/>
        <w:ind w:left="357" w:hanging="357"/>
      </w:pPr>
      <w:r>
        <w:t>3.</w:t>
      </w:r>
      <w:r>
        <w:tab/>
      </w:r>
      <w:r>
        <w:rPr>
          <w:b/>
          <w:bCs/>
        </w:rPr>
        <w:t>Fidelity</w:t>
      </w:r>
      <w:r>
        <w:t xml:space="preserve"> </w:t>
      </w:r>
      <m:oMath>
        <m:r>
          <w:rPr>
            <w:rFonts w:ascii="Cambria Math" w:hAnsi="Cambria Math"/>
          </w:rPr>
          <m:t>F</m:t>
        </m:r>
      </m:oMath>
      <w:r>
        <w:t xml:space="preserve">: a single-feature variant of the faithfulness correlation of Bhatt et al. [11]. Each feature </w:t>
      </w:r>
      <m:oMath>
        <m:r>
          <w:rPr>
            <w:rFonts w:ascii="Cambria Math" w:hAnsi="Cambria Math"/>
          </w:rPr>
          <m:t>j</m:t>
        </m:r>
      </m:oMath>
      <w:r>
        <w:t xml:space="preserve"> is masked on its own, giving the masked instance </w:t>
      </w:r>
      <m:oMath>
        <m:sSup>
          <m:sSupPr>
            <m:ctrlPr>
              <w:rPr>
                <w:rFonts w:ascii="Cambria Math" w:hAnsi="Cambria Math"/>
              </w:rPr>
            </m:ctrlPr>
          </m:sSupPr>
          <m:e>
            <m:acc>
              <m:accPr>
                <m:chr m:val="̃"/>
                <m:ctrlPr>
                  <w:rPr>
                    <w:rFonts w:ascii="Cambria Math" w:hAnsi="Cambria Math"/>
                  </w:rPr>
                </m:ctrlPr>
              </m:accPr>
              <m:e>
                <m:r>
                  <w:rPr>
                    <w:rFonts w:ascii="Cambria Math" w:hAnsi="Cambria Math"/>
                  </w:rPr>
                  <m:t>x</m:t>
                </m:r>
              </m:e>
            </m:acc>
          </m:e>
          <m:sup>
            <m:r>
              <m:rPr>
                <m:sty m:val="p"/>
              </m:rPr>
              <w:rPr>
                <w:rFonts w:ascii="Cambria Math" w:hAnsi="Cambria Math"/>
              </w:rPr>
              <m:t>(</m:t>
            </m:r>
            <m:r>
              <w:rPr>
                <w:rFonts w:ascii="Cambria Math" w:hAnsi="Cambria Math"/>
              </w:rPr>
              <m:t>j</m:t>
            </m:r>
            <m:r>
              <m:rPr>
                <m:sty m:val="p"/>
              </m:rPr>
              <w:rPr>
                <w:rFonts w:ascii="Cambria Math" w:hAnsi="Cambria Math"/>
              </w:rPr>
              <m:t>)</m:t>
            </m:r>
          </m:sup>
        </m:sSup>
      </m:oMath>
      <w:r>
        <w:t xml:space="preserve">, and </w:t>
      </w:r>
      <m:oMath>
        <m:r>
          <w:rPr>
            <w:rFonts w:ascii="Cambria Math" w:hAnsi="Cambria Math"/>
          </w:rPr>
          <m:t>F</m:t>
        </m:r>
      </m:oMath>
      <w:r>
        <w:t xml:space="preserve"> is given by Eq. (3):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256"/>
        <w:gridCol w:w="814"/>
      </w:tblGrid>
      <w:tr w:rsidR="00E32EAD" w14:paraId="305B3042" w14:textId="77777777" w:rsidTr="009E11E3">
        <w:tc>
          <w:tcPr>
            <w:tcW w:w="8256" w:type="dxa"/>
            <w:vAlign w:val="center"/>
            <w:hideMark/>
          </w:tcPr>
          <w:p w14:paraId="3B7C4598" w14:textId="77777777" w:rsidR="00E32EAD" w:rsidRPr="00E32EAD" w:rsidRDefault="00E32EAD" w:rsidP="009E11E3">
            <w:pPr>
              <w:rPr>
                <w:rFonts w:cs="Segoe UI"/>
                <w:sz w:val="18"/>
                <w:szCs w:val="18"/>
              </w:rPr>
            </w:pPr>
            <m:oMathPara>
              <m:oMathParaPr>
                <m:jc m:val="center"/>
              </m:oMathParaPr>
              <m:oMath>
                <m:r>
                  <w:rPr>
                    <w:rFonts w:ascii="Cambria Math" w:hAnsi="Cambria Math"/>
                  </w:rPr>
                  <m:t>F</m:t>
                </m:r>
                <m:r>
                  <m:rPr>
                    <m:sty m:val="p"/>
                  </m:rPr>
                  <w:rPr>
                    <w:rFonts w:ascii="Cambria Math" w:hAnsi="Cambria Math"/>
                  </w:rPr>
                  <m:t>=</m:t>
                </m:r>
                <m:r>
                  <w:rPr>
                    <w:rFonts w:ascii="Cambria Math" w:hAnsi="Cambria Math"/>
                  </w:rPr>
                  <m:t>ρ​</m:t>
                </m:r>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r>
                      <w:rPr>
                        <w:rFonts w:ascii="Cambria Math" w:hAnsi="Cambria Math"/>
                      </w:rPr>
                      <m:t>x</m:t>
                    </m:r>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e>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M</m:t>
                        </m:r>
                      </m:sup>
                    </m:sSub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x</m:t>
                            </m:r>
                          </m:e>
                        </m:acc>
                      </m:e>
                      <m:sup>
                        <m:r>
                          <m:rPr>
                            <m:sty m:val="p"/>
                          </m:rPr>
                          <w:rPr>
                            <w:rFonts w:ascii="Cambria Math" w:hAnsi="Cambria Math"/>
                          </w:rPr>
                          <m:t>(</m:t>
                        </m:r>
                        <m:r>
                          <w:rPr>
                            <w:rFonts w:ascii="Cambria Math" w:hAnsi="Cambria Math"/>
                          </w:rPr>
                          <m:t>j</m:t>
                        </m:r>
                        <m:r>
                          <m:rPr>
                            <m:sty m:val="p"/>
                          </m:rPr>
                          <w:rPr>
                            <w:rFonts w:ascii="Cambria Math" w:hAnsi="Cambria Math"/>
                          </w:rPr>
                          <m:t>)</m:t>
                        </m:r>
                      </m:sup>
                    </m:s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e>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M</m:t>
                        </m:r>
                      </m:sup>
                    </m:sSubSup>
                  </m:e>
                </m:d>
                <m:r>
                  <m:rPr>
                    <m:sty m:val="p"/>
                  </m:rPr>
                  <w:rPr>
                    <w:rFonts w:ascii="Cambria Math" w:hAnsi="Cambria Math"/>
                  </w:rPr>
                  <m:t>,</m:t>
                </m:r>
              </m:oMath>
            </m:oMathPara>
          </w:p>
        </w:tc>
        <w:tc>
          <w:tcPr>
            <w:tcW w:w="814" w:type="dxa"/>
            <w:vAlign w:val="center"/>
            <w:hideMark/>
          </w:tcPr>
          <w:p w14:paraId="2986B85A" w14:textId="77777777" w:rsidR="00E32EAD" w:rsidRDefault="00E32EAD" w:rsidP="009E11E3">
            <w:pPr>
              <w:jc w:val="right"/>
              <w:rPr>
                <w:rFonts w:cs="Segoe UI"/>
                <w:sz w:val="18"/>
                <w:szCs w:val="18"/>
              </w:rPr>
            </w:pPr>
            <w:r>
              <w:rPr>
                <w:rFonts w:cs="Segoe UI"/>
                <w:i/>
                <w:iCs/>
                <w:sz w:val="18"/>
                <w:szCs w:val="18"/>
              </w:rPr>
              <w:t>(3)</w:t>
            </w:r>
          </w:p>
        </w:tc>
      </w:tr>
    </w:tbl>
    <w:p w14:paraId="35572C78" w14:textId="77777777" w:rsidR="00F27E4D" w:rsidRDefault="00652C58">
      <w:pPr>
        <w:spacing w:before="40" w:beforeAutospacing="0" w:after="40" w:afterAutospacing="0"/>
        <w:ind w:left="357" w:hanging="357"/>
      </w:pPr>
      <w:r>
        <w:t>•</w:t>
      </w:r>
      <w:r>
        <w:tab/>
        <w:t xml:space="preserve">where </w:t>
      </w:r>
      <m:oMath>
        <m:r>
          <w:rPr>
            <w:rFonts w:ascii="Cambria Math" w:hAnsi="Cambria Math"/>
          </w:rPr>
          <m:t>ρ</m:t>
        </m:r>
      </m:oMath>
      <w:r>
        <w:t xml:space="preserve"> is the Pearson correlation across the </w:t>
      </w:r>
      <m:oMath>
        <m:r>
          <w:rPr>
            <w:rFonts w:ascii="Cambria Math" w:hAnsi="Cambria Math"/>
          </w:rPr>
          <m:t>M</m:t>
        </m:r>
      </m:oMath>
      <w:r>
        <w:t xml:space="preserve"> features. </w:t>
      </w:r>
      <m:oMath>
        <m:r>
          <w:rPr>
            <w:rFonts w:ascii="Cambria Math" w:hAnsi="Cambria Math"/>
          </w:rPr>
          <m:t>F</m:t>
        </m:r>
      </m:oMath>
      <w:r>
        <w:t xml:space="preserve"> is high when the features an explanation ranks as important are those whose removal moves the prediction most.</w:t>
      </w:r>
    </w:p>
    <w:p w14:paraId="6C51BEEC" w14:textId="77777777" w:rsidR="00F27E4D" w:rsidRDefault="00652C58">
      <w:pPr>
        <w:spacing w:before="40" w:beforeAutospacing="0" w:after="40" w:afterAutospacing="0"/>
        <w:ind w:left="357" w:hanging="357"/>
      </w:pPr>
      <w:r>
        <w:t>4.</w:t>
      </w:r>
      <w:r>
        <w:tab/>
      </w:r>
      <w:r>
        <w:rPr>
          <w:b/>
          <w:bCs/>
        </w:rPr>
        <w:t>Faithfulness gap</w:t>
      </w:r>
      <w:r>
        <w:t xml:space="preserve"> </w:t>
      </w:r>
      <m:oMath>
        <m:sSub>
          <m:sSubPr>
            <m:ctrlPr>
              <w:rPr>
                <w:rFonts w:ascii="Cambria Math" w:hAnsi="Cambria Math"/>
              </w:rPr>
            </m:ctrlPr>
          </m:sSubPr>
          <m:e>
            <m:r>
              <m:rPr>
                <m:sty m:val="p"/>
              </m:rPr>
              <w:rPr>
                <w:rFonts w:ascii="Cambria Math" w:hAnsi="Cambria Math"/>
              </w:rPr>
              <m:t>Δ</m:t>
            </m:r>
          </m:e>
          <m:sub>
            <m:r>
              <w:rPr>
                <w:rFonts w:ascii="Cambria Math" w:hAnsi="Cambria Math"/>
              </w:rPr>
              <m:t>k</m:t>
            </m:r>
          </m:sub>
        </m:sSub>
      </m:oMath>
      <w:r>
        <w:t xml:space="preserve">: a deletion test in the spirit of [12, 13]. The </w:t>
      </w:r>
      <m:oMath>
        <m:r>
          <w:rPr>
            <w:rFonts w:ascii="Cambria Math" w:hAnsi="Cambria Math"/>
          </w:rPr>
          <m:t>k</m:t>
        </m:r>
        <m:r>
          <m:rPr>
            <m:sty m:val="p"/>
          </m:rPr>
          <w:rPr>
            <w:rFonts w:ascii="Cambria Math" w:hAnsi="Cambria Math"/>
          </w:rPr>
          <m:t>=</m:t>
        </m:r>
        <m:r>
          <w:rPr>
            <w:rFonts w:ascii="Cambria Math" w:hAnsi="Cambria Math"/>
          </w:rPr>
          <m:t>5</m:t>
        </m:r>
      </m:oMath>
      <w:r>
        <w:t xml:space="preserve"> features with the largest </w:t>
      </w:r>
      <m:oMath>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r>
          <w:rPr>
            <w:rFonts w:ascii="Cambria Math" w:hAnsi="Cambria Math"/>
          </w:rPr>
          <m:t>x</m:t>
        </m:r>
        <m:r>
          <m:rPr>
            <m:sty m:val="p"/>
          </m:rPr>
          <w:rPr>
            <w:rFonts w:ascii="Cambria Math" w:hAnsi="Cambria Math"/>
          </w:rPr>
          <m:t>)|</m:t>
        </m:r>
      </m:oMath>
      <w:r>
        <w:t xml:space="preserve"> are masked together, giving </w:t>
      </w:r>
      <m:oMath>
        <m:sSup>
          <m:sSupPr>
            <m:ctrlPr>
              <w:rPr>
                <w:rFonts w:ascii="Cambria Math" w:hAnsi="Cambria Math"/>
              </w:rPr>
            </m:ctrlPr>
          </m:sSupPr>
          <m:e>
            <m:acc>
              <m:accPr>
                <m:chr m:val="̃"/>
                <m:ctrlPr>
                  <w:rPr>
                    <w:rFonts w:ascii="Cambria Math" w:hAnsi="Cambria Math"/>
                  </w:rPr>
                </m:ctrlPr>
              </m:accPr>
              <m:e>
                <m:r>
                  <w:rPr>
                    <w:rFonts w:ascii="Cambria Math" w:hAnsi="Cambria Math"/>
                  </w:rPr>
                  <m:t>x</m:t>
                </m:r>
              </m:e>
            </m:acc>
          </m:e>
          <m:sup>
            <m:r>
              <m:rPr>
                <m:sty m:val="p"/>
              </m:rPr>
              <w:rPr>
                <w:rFonts w:ascii="Cambria Math" w:hAnsi="Cambria Math"/>
              </w:rPr>
              <m:t>(top</m:t>
            </m:r>
            <m:r>
              <m:rPr>
                <m:nor/>
              </m:rPr>
              <m:t>-</m:t>
            </m:r>
            <m:r>
              <w:rPr>
                <w:rFonts w:ascii="Cambria Math" w:hAnsi="Cambria Math"/>
              </w:rPr>
              <m:t>k</m:t>
            </m:r>
            <m:r>
              <m:rPr>
                <m:sty m:val="p"/>
              </m:rPr>
              <w:rPr>
                <w:rFonts w:ascii="Cambria Math" w:hAnsi="Cambria Math"/>
              </w:rPr>
              <m:t>)</m:t>
            </m:r>
          </m:sup>
        </m:sSup>
      </m:oMath>
      <w:r>
        <w:t xml:space="preserve">, and </w:t>
      </w:r>
      <m:oMath>
        <m:sSub>
          <m:sSubPr>
            <m:ctrlPr>
              <w:rPr>
                <w:rFonts w:ascii="Cambria Math" w:hAnsi="Cambria Math"/>
              </w:rPr>
            </m:ctrlPr>
          </m:sSubPr>
          <m:e>
            <m:r>
              <m:rPr>
                <m:sty m:val="p"/>
              </m:rPr>
              <w:rPr>
                <w:rFonts w:ascii="Cambria Math" w:hAnsi="Cambria Math"/>
              </w:rPr>
              <m:t>Δ</m:t>
            </m:r>
          </m:e>
          <m:sub>
            <m:r>
              <w:rPr>
                <w:rFonts w:ascii="Cambria Math" w:hAnsi="Cambria Math"/>
              </w:rPr>
              <m:t>k</m:t>
            </m:r>
          </m:sub>
        </m:sSub>
      </m:oMath>
      <w:r>
        <w:t xml:space="preserve"> is given by Eq. (4):</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256"/>
        <w:gridCol w:w="814"/>
      </w:tblGrid>
      <w:tr w:rsidR="00E32EAD" w14:paraId="0343888F" w14:textId="77777777" w:rsidTr="009E11E3">
        <w:tc>
          <w:tcPr>
            <w:tcW w:w="8256" w:type="dxa"/>
            <w:vAlign w:val="center"/>
            <w:hideMark/>
          </w:tcPr>
          <w:p w14:paraId="171660F1" w14:textId="77777777" w:rsidR="00E32EAD" w:rsidRPr="00E32EAD" w:rsidRDefault="00652C58" w:rsidP="009E11E3">
            <w:pPr>
              <w:rPr>
                <w:rFonts w:cs="Segoe UI"/>
                <w:sz w:val="18"/>
                <w:szCs w:val="18"/>
              </w:rPr>
            </w:pPr>
            <m:oMathPara>
              <m:oMathParaPr>
                <m:jc m:val="center"/>
              </m:oMathParaPr>
              <m:oMath>
                <m:sSub>
                  <m:sSubPr>
                    <m:ctrlPr>
                      <w:rPr>
                        <w:rFonts w:ascii="Cambria Math" w:hAnsi="Cambria Math"/>
                      </w:rPr>
                    </m:ctrlPr>
                  </m:sSubPr>
                  <m:e>
                    <m:r>
                      <m:rPr>
                        <m:sty m:val="p"/>
                      </m:rPr>
                      <w:rPr>
                        <w:rFonts w:ascii="Cambria Math" w:hAnsi="Cambria Math"/>
                      </w:rPr>
                      <m:t>Δ</m:t>
                    </m:r>
                  </m:e>
                  <m:sub>
                    <m:r>
                      <w:rPr>
                        <w:rFonts w:ascii="Cambria Math" w:hAnsi="Cambria Math"/>
                      </w:rPr>
                      <m:t>k</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d>
                      <m:dPr>
                        <m:ctrlPr>
                          <w:rPr>
                            <w:rFonts w:ascii="Cambria Math" w:hAnsi="Cambria Math"/>
                          </w:rPr>
                        </m:ctrlPr>
                      </m:dPr>
                      <m:e>
                        <m:sSup>
                          <m:sSupPr>
                            <m:ctrlPr>
                              <w:rPr>
                                <w:rFonts w:ascii="Cambria Math" w:hAnsi="Cambria Math"/>
                              </w:rPr>
                            </m:ctrlPr>
                          </m:sSupPr>
                          <m:e>
                            <m:acc>
                              <m:accPr>
                                <m:chr m:val="̃"/>
                                <m:ctrlPr>
                                  <w:rPr>
                                    <w:rFonts w:ascii="Cambria Math" w:hAnsi="Cambria Math"/>
                                  </w:rPr>
                                </m:ctrlPr>
                              </m:accPr>
                              <m:e>
                                <m:r>
                                  <w:rPr>
                                    <w:rFonts w:ascii="Cambria Math" w:hAnsi="Cambria Math"/>
                                  </w:rPr>
                                  <m:t>x</m:t>
                                </m:r>
                              </m:e>
                            </m:acc>
                          </m:e>
                          <m:sup>
                            <m:r>
                              <m:rPr>
                                <m:sty m:val="p"/>
                              </m:rPr>
                              <w:rPr>
                                <w:rFonts w:ascii="Cambria Math" w:hAnsi="Cambria Math"/>
                              </w:rPr>
                              <m:t>(top</m:t>
                            </m:r>
                            <m:r>
                              <m:rPr>
                                <m:nor/>
                              </m:rPr>
                              <m:t>-</m:t>
                            </m:r>
                            <m:r>
                              <w:rPr>
                                <w:rFonts w:ascii="Cambria Math" w:hAnsi="Cambria Math"/>
                              </w:rPr>
                              <m:t>k</m:t>
                            </m:r>
                            <m:r>
                              <m:rPr>
                                <m:sty m:val="p"/>
                              </m:rPr>
                              <w:rPr>
                                <w:rFonts w:ascii="Cambria Math" w:hAnsi="Cambria Math"/>
                              </w:rPr>
                              <m:t>)</m:t>
                            </m:r>
                          </m:sup>
                        </m:sSup>
                      </m:e>
                    </m:d>
                  </m:e>
                </m:d>
                <m:r>
                  <m:rPr>
                    <m:sty m:val="p"/>
                  </m:rPr>
                  <w:rPr>
                    <w:rFonts w:ascii="Cambria Math" w:hAnsi="Cambria Math"/>
                  </w:rPr>
                  <m:t>.</m:t>
                </m:r>
              </m:oMath>
            </m:oMathPara>
          </w:p>
        </w:tc>
        <w:tc>
          <w:tcPr>
            <w:tcW w:w="814" w:type="dxa"/>
            <w:vAlign w:val="center"/>
            <w:hideMark/>
          </w:tcPr>
          <w:p w14:paraId="5091C51B" w14:textId="77777777" w:rsidR="00E32EAD" w:rsidRDefault="00E32EAD" w:rsidP="009E11E3">
            <w:pPr>
              <w:jc w:val="right"/>
              <w:rPr>
                <w:rFonts w:cs="Segoe UI"/>
                <w:sz w:val="18"/>
                <w:szCs w:val="18"/>
              </w:rPr>
            </w:pPr>
            <w:r>
              <w:rPr>
                <w:rFonts w:cs="Segoe UI"/>
                <w:i/>
                <w:iCs/>
                <w:sz w:val="18"/>
                <w:szCs w:val="18"/>
              </w:rPr>
              <w:t>(4)</w:t>
            </w:r>
          </w:p>
        </w:tc>
      </w:tr>
    </w:tbl>
    <w:p w14:paraId="50DA9111" w14:textId="77777777" w:rsidR="00F27E4D" w:rsidRDefault="00652C58">
      <w:pPr>
        <w:spacing w:before="40" w:beforeAutospacing="0" w:after="40" w:afterAutospacing="0"/>
        <w:ind w:left="357" w:hanging="357"/>
      </w:pPr>
      <w:r>
        <w:t>•</w:t>
      </w:r>
      <w:r>
        <w:tab/>
        <w:t xml:space="preserve">A larger </w:t>
      </w:r>
      <m:oMath>
        <m:sSub>
          <m:sSubPr>
            <m:ctrlPr>
              <w:rPr>
                <w:rFonts w:ascii="Cambria Math" w:hAnsi="Cambria Math"/>
              </w:rPr>
            </m:ctrlPr>
          </m:sSubPr>
          <m:e>
            <m:r>
              <m:rPr>
                <m:sty m:val="p"/>
              </m:rPr>
              <w:rPr>
                <w:rFonts w:ascii="Cambria Math" w:hAnsi="Cambria Math"/>
              </w:rPr>
              <m:t>Δ</m:t>
            </m:r>
          </m:e>
          <m:sub>
            <m:r>
              <w:rPr>
                <w:rFonts w:ascii="Cambria Math" w:hAnsi="Cambria Math"/>
              </w:rPr>
              <m:t>k</m:t>
            </m:r>
          </m:sub>
        </m:sSub>
      </m:oMath>
      <w:r>
        <w:t xml:space="preserve"> means the features the explanation names first carry </w:t>
      </w:r>
      <w:r>
        <w:t>more of the prediction.</w:t>
      </w:r>
    </w:p>
    <w:p w14:paraId="6BFC1F14" w14:textId="77777777" w:rsidR="00F27E4D" w:rsidRDefault="00652C58">
      <w:pPr>
        <w:spacing w:before="40" w:beforeAutospacing="0" w:after="40" w:afterAutospacing="0"/>
        <w:ind w:left="357" w:hanging="357"/>
      </w:pPr>
      <w:r>
        <w:t>5.</w:t>
      </w:r>
      <w:r>
        <w:tab/>
      </w:r>
      <w:r>
        <w:rPr>
          <w:b/>
          <w:bCs/>
        </w:rPr>
        <w:t>Cost</w:t>
      </w:r>
      <w:r>
        <w:t xml:space="preserve"> </w:t>
      </w:r>
      <m:oMath>
        <m:r>
          <w:rPr>
            <w:rFonts w:ascii="Cambria Math" w:hAnsi="Cambria Math"/>
          </w:rPr>
          <m:t>C</m:t>
        </m:r>
      </m:oMath>
      <w:r>
        <w:t>: per-instance wall-clock explanation time (ms).</w:t>
      </w:r>
    </w:p>
    <w:p w14:paraId="4241344F" w14:textId="77777777" w:rsidR="00F27E4D" w:rsidRDefault="00652C58">
      <w:r>
        <w:t xml:space="preserve">LIME’s active-feature count is bounded by </w:t>
      </w:r>
      <w:r>
        <w:rPr>
          <w:rFonts w:ascii="Consolas" w:hAnsi="Consolas"/>
          <w:sz w:val="18"/>
        </w:rPr>
        <w:t>num_features=10</w:t>
      </w:r>
      <w:r>
        <w:t xml:space="preserve">, which is a hard ceiling on the number of non-zero attributions. LIME’s sparsity is therefore a consequence of a hyperparameter, not an emergent property of the method. The active-feature ratio measures whether LIME, </w:t>
      </w:r>
      <w:r>
        <w:rPr>
          <w:i/>
          <w:iCs/>
        </w:rPr>
        <w:t>as configured</w:t>
      </w:r>
      <w:r>
        <w:t>, returns fewer significant features than SHAP; it does not test whether LIME is intrinsically sparser.</w:t>
      </w:r>
    </w:p>
    <w:p w14:paraId="5A807FDB" w14:textId="77777777" w:rsidR="00F27E4D" w:rsidRDefault="00652C58">
      <w:pPr>
        <w:pStyle w:val="Heading2"/>
        <w:keepNext/>
      </w:pPr>
      <w:r>
        <w:t>3.5. Inferential Protocol</w:t>
      </w:r>
    </w:p>
    <w:p w14:paraId="0EB5E780" w14:textId="77777777" w:rsidR="00F27E4D" w:rsidRDefault="00652C58">
      <w:r>
        <w:t xml:space="preserve">The statistical plan follows established practice for comparing learning methods [25]: a two-sided paired Wilcoxon signed-rank test on the matched cells for each metric [26]; the paired effect size </w:t>
      </w:r>
      <m:oMath>
        <m:sSub>
          <m:sSubPr>
            <m:ctrlPr>
              <w:rPr>
                <w:rFonts w:ascii="Cambria Math" w:hAnsi="Cambria Math"/>
              </w:rPr>
            </m:ctrlPr>
          </m:sSubPr>
          <m:e>
            <m:r>
              <w:rPr>
                <w:rFonts w:ascii="Cambria Math" w:hAnsi="Cambria Math"/>
              </w:rPr>
              <m:t>d</m:t>
            </m:r>
          </m:e>
          <m:sub>
            <m:r>
              <w:rPr>
                <w:rFonts w:ascii="Cambria Math" w:hAnsi="Cambria Math"/>
              </w:rPr>
              <m:t>z</m:t>
            </m:r>
          </m:sub>
        </m:sSub>
      </m:oMath>
      <w:r>
        <w:t xml:space="preserve"> for magnitude [27]; and Holm–Bonferroni control of multiplicity over the five primary metrics [28]. All inferential claims are restricted to artifact-qualified runs: parseable, non-empty results with explicit matched pairing.</w:t>
      </w:r>
    </w:p>
    <w:p w14:paraId="737EE566" w14:textId="77777777" w:rsidR="00F27E4D" w:rsidRDefault="00652C58">
      <w:pPr>
        <w:pStyle w:val="Heading2"/>
        <w:keepNext/>
      </w:pPr>
      <w:r>
        <w:t>3.6. Reproducibility and Computing Infrastructure</w:t>
      </w:r>
    </w:p>
    <w:p w14:paraId="66337A54" w14:textId="77777777" w:rsidR="00F27E4D" w:rsidRDefault="00652C58">
      <w:r>
        <w:t xml:space="preserve">The protocol is configuration-driven (YAML files with seeded execution). Each run writes a </w:t>
      </w:r>
      <w:r>
        <w:rPr>
          <w:rFonts w:ascii="Consolas" w:hAnsi="Consolas"/>
          <w:sz w:val="18"/>
        </w:rPr>
        <w:t>results.json</w:t>
      </w:r>
      <w:r>
        <w:t xml:space="preserve"> artifact; malformed or empty runs are excluded explicitly and nothing is imputed. All experiments ran on CPU. The reference software environment is Python 3.11 with scikit-learn 1.7.1, XGBoost 3.1.2, SHAP 0.50.0, LIME 0.2.0.1, NumPy 2.2.6, pandas 2.3.3 and SciPy 1.16.3, pinned in the repository. Runs were executed on several commodity workstations under macOS, Windows and Linux, distributed by a </w:t>
      </w:r>
      <w:r>
        <w:t>work queue. Each run artifact records its configuration, seed, timestamps and duration; processor and memory specifications were not recorded. The consequence for the cost endpoint is discussed in Section 5.3.</w:t>
      </w:r>
    </w:p>
    <w:p w14:paraId="5FE8E784" w14:textId="77777777" w:rsidR="00F27E4D" w:rsidRDefault="00652C58">
      <w:pPr>
        <w:pStyle w:val="Heading1"/>
        <w:keepNext/>
      </w:pPr>
      <w:r>
        <w:t>4. RESULTS</w:t>
      </w:r>
    </w:p>
    <w:p w14:paraId="0506AE97" w14:textId="77777777" w:rsidR="00F27E4D" w:rsidRDefault="00652C58">
      <w:r>
        <w:t xml:space="preserve">The analysis covers 150 runs (75 LIME, 75 SHAP) forming 75 paired cells with identical </w:t>
      </w:r>
      <m:oMath>
        <m:r>
          <m:rPr>
            <m:sty m:val="p"/>
          </m:rPr>
          <w:rPr>
            <w:rFonts w:ascii="Cambria Math" w:hAnsi="Cambria Math"/>
          </w:rPr>
          <m:t>(model,seed,</m:t>
        </m:r>
        <m:r>
          <w:rPr>
            <w:rFonts w:ascii="Cambria Math" w:hAnsi="Cambria Math"/>
          </w:rPr>
          <m:t>N</m:t>
        </m:r>
        <m:r>
          <m:rPr>
            <m:sty m:val="p"/>
          </m:rPr>
          <w:rPr>
            <w:rFonts w:ascii="Cambria Math" w:hAnsi="Cambria Math"/>
          </w:rPr>
          <m:t>)</m:t>
        </m:r>
      </m:oMath>
      <w:r>
        <w:t>. Matched coverage spans the five model families (</w:t>
      </w:r>
      <m:oMath>
        <m:r>
          <m:rPr>
            <m:sty m:val="p"/>
          </m:rPr>
          <w:rPr>
            <w:rFonts w:ascii="Cambria Math" w:hAnsi="Cambria Math"/>
          </w:rPr>
          <m:t>xgb=</m:t>
        </m:r>
        <m:r>
          <w:rPr>
            <w:rFonts w:ascii="Cambria Math" w:hAnsi="Cambria Math"/>
          </w:rPr>
          <m:t>15</m:t>
        </m:r>
      </m:oMath>
      <w:r>
        <w:t xml:space="preserve">, </w:t>
      </w:r>
      <m:oMath>
        <m:r>
          <m:rPr>
            <m:sty m:val="p"/>
          </m:rPr>
          <w:rPr>
            <w:rFonts w:ascii="Cambria Math" w:hAnsi="Cambria Math"/>
          </w:rPr>
          <m:t>logreg=</m:t>
        </m:r>
        <m:r>
          <w:rPr>
            <w:rFonts w:ascii="Cambria Math" w:hAnsi="Cambria Math"/>
          </w:rPr>
          <m:t>15</m:t>
        </m:r>
      </m:oMath>
      <w:r>
        <w:t xml:space="preserve">, </w:t>
      </w:r>
      <m:oMath>
        <m:r>
          <m:rPr>
            <m:sty m:val="p"/>
          </m:rPr>
          <w:rPr>
            <w:rFonts w:ascii="Cambria Math" w:hAnsi="Cambria Math"/>
          </w:rPr>
          <m:t>rf=</m:t>
        </m:r>
        <m:r>
          <w:rPr>
            <w:rFonts w:ascii="Cambria Math" w:hAnsi="Cambria Math"/>
          </w:rPr>
          <m:t>15</m:t>
        </m:r>
      </m:oMath>
      <w:r>
        <w:t xml:space="preserve">, </w:t>
      </w:r>
      <m:oMath>
        <m:r>
          <m:rPr>
            <m:sty m:val="p"/>
          </m:rPr>
          <w:rPr>
            <w:rFonts w:ascii="Cambria Math" w:hAnsi="Cambria Math"/>
          </w:rPr>
          <m:t>mlp=</m:t>
        </m:r>
        <m:r>
          <w:rPr>
            <w:rFonts w:ascii="Cambria Math" w:hAnsi="Cambria Math"/>
          </w:rPr>
          <m:t>15</m:t>
        </m:r>
      </m:oMath>
      <w:r>
        <w:t xml:space="preserve">, </w:t>
      </w:r>
      <m:oMath>
        <m:r>
          <m:rPr>
            <m:sty m:val="p"/>
          </m:rPr>
          <w:rPr>
            <w:rFonts w:ascii="Cambria Math" w:hAnsi="Cambria Math"/>
          </w:rPr>
          <m:t>svm=</m:t>
        </m:r>
        <m:r>
          <w:rPr>
            <w:rFonts w:ascii="Cambria Math" w:hAnsi="Cambria Math"/>
          </w:rPr>
          <m:t>15</m:t>
        </m:r>
      </m:oMath>
      <w:r>
        <w:t>) and the three sampling intensities.</w:t>
      </w:r>
    </w:p>
    <w:p w14:paraId="6C647F17" w14:textId="77777777" w:rsidR="00F27E4D" w:rsidRDefault="00652C58">
      <w:pPr>
        <w:pStyle w:val="Heading2"/>
        <w:keepNext/>
      </w:pPr>
      <w:r>
        <w:t>4.1. Context: Earlier Results on This Cohort</w:t>
      </w:r>
    </w:p>
    <w:p w14:paraId="666C83F3" w14:textId="77777777" w:rsidR="00F27E4D" w:rsidRDefault="00652C58">
      <w:r>
        <w:t xml:space="preserve">The omnibus comparison over this cohort—SHAP, LIME, Anchors [29] and DiCE [30], tested over </w:t>
      </w:r>
      <m:oMath>
        <m:r>
          <w:rPr>
            <w:rFonts w:ascii="Cambria Math" w:hAnsi="Cambria Math"/>
          </w:rPr>
          <m:t>n</m:t>
        </m:r>
        <m:r>
          <m:rPr>
            <m:sty m:val="p"/>
          </m:rPr>
          <w:rPr>
            <w:rFonts w:ascii="Cambria Math" w:hAnsi="Cambria Math"/>
          </w:rPr>
          <m:t>=</m:t>
        </m:r>
        <m:r>
          <w:rPr>
            <w:rFonts w:ascii="Cambria Math" w:hAnsi="Cambria Math"/>
          </w:rPr>
          <m:t>15</m:t>
        </m:r>
      </m:oMath>
      <w:r>
        <w:t xml:space="preserve"> blocks per method—is reported in the earlier study [10] and is not reproduced here. It establishes that the four methods are not exchangeable on fidelity or stability, that SHAP leads both endpoints, and that the SHAP–LIME fidelity separation falls marginally below the Nemenyi critical difference. Block aggregation was necessary there because Anchors and DiCE are not complete </w:t>
      </w:r>
      <w:r>
        <w:t xml:space="preserve">across the grid (57/75 </w:t>
      </w:r>
      <w:r>
        <w:lastRenderedPageBreak/>
        <w:t xml:space="preserve">and 68/75 artifact-qualified runs, respectively, against 75/75 for SHAP and LIME). The same study reports a paired Wilcoxon test of SHAP against LIME on 45 matched cells (logistic regression, random forest and XGBoost), significant on the five metrics in the directions found below. The analysis that follows extends that test to the 75 cells of the five model families. The 45 cells are a subset of the 75, so the two </w:t>
      </w:r>
      <w:r>
        <w:t>analyses are not independent. The earlier material is context, not evidence, for any claim made in this paper.</w:t>
      </w:r>
    </w:p>
    <w:p w14:paraId="6C0EDF03" w14:textId="77777777" w:rsidR="00F27E4D" w:rsidRDefault="00652C58">
      <w:pPr>
        <w:pStyle w:val="Heading2"/>
        <w:keepNext/>
      </w:pPr>
      <w:r>
        <w:t>4.2. Primary Paired Inference</w:t>
      </w:r>
    </w:p>
    <w:p w14:paraId="118E58D9" w14:textId="77777777" w:rsidR="00F27E4D" w:rsidRDefault="00652C58">
      <w:r>
        <w:t>Table 1 summarizes the paired run-level outcomes on the 75 matched cells. The five primary endpoints are significant under Holm-adjusted testing.</w:t>
      </w:r>
    </w:p>
    <w:p w14:paraId="1CF33FE5" w14:textId="77777777" w:rsidR="00F27E4D" w:rsidRDefault="00652C58">
      <w:pPr>
        <w:pStyle w:val="Subtitle"/>
        <w:keepNext/>
        <w:jc w:val="both"/>
      </w:pPr>
      <w:r>
        <w:t>Table 1. Matched SHAP-versus-LIME paired results (</w:t>
      </w:r>
      <m:oMath>
        <m:r>
          <w:rPr>
            <w:rFonts w:ascii="Cambria Math" w:hAnsi="Cambria Math"/>
            <w:szCs w:val="18"/>
          </w:rPr>
          <m:t>n</m:t>
        </m:r>
        <m:r>
          <w:rPr>
            <w:rFonts w:ascii="Cambria Math" w:hAnsi="Cambria Math"/>
            <w:szCs w:val="18"/>
          </w:rPr>
          <m:t>=</m:t>
        </m:r>
        <m:r>
          <w:rPr>
            <w:rFonts w:ascii="Cambria Math" w:hAnsi="Cambria Math"/>
            <w:szCs w:val="18"/>
          </w:rPr>
          <m:t>75</m:t>
        </m:r>
      </m:oMath>
      <w:r>
        <w:t xml:space="preserve"> cells). For all metrics, </w:t>
      </w:r>
      <m:oMath>
        <m:r>
          <w:rPr>
            <w:rFonts w:ascii="Cambria Math" w:hAnsi="Cambria Math"/>
            <w:szCs w:val="18"/>
          </w:rPr>
          <m:t>Δ=</m:t>
        </m:r>
      </m:oMath>
      <w:r>
        <w:t xml:space="preserve"> SHAP </w:t>
      </w:r>
      <m:oMath>
        <m:r>
          <w:rPr>
            <w:rFonts w:ascii="Cambria Math" w:hAnsi="Cambria Math"/>
            <w:szCs w:val="18"/>
          </w:rPr>
          <m:t>-</m:t>
        </m:r>
      </m:oMath>
      <w:r>
        <w:t xml:space="preserve"> LIME, with a </w:t>
      </w:r>
      <m:oMath>
        <m:r>
          <w:rPr>
            <w:rFonts w:ascii="Cambria Math" w:hAnsi="Cambria Math"/>
            <w:szCs w:val="18"/>
          </w:rPr>
          <m:t>95</m:t>
        </m:r>
        <m:r>
          <w:rPr>
            <w:rFonts w:ascii="Cambria Math" w:hAnsi="Cambria Math"/>
            <w:szCs w:val="18"/>
          </w:rPr>
          <m:t>%</m:t>
        </m:r>
      </m:oMath>
      <w:r>
        <w:t xml:space="preserve"> confidence interval on the mean paired difference. Sparsity is measured as active-feature ratio, so a positive </w:t>
      </w:r>
      <m:oMath>
        <m:r>
          <w:rPr>
            <w:rFonts w:ascii="Cambria Math" w:hAnsi="Cambria Math"/>
            <w:szCs w:val="18"/>
          </w:rPr>
          <m:t>Δ</m:t>
        </m:r>
      </m:oMath>
      <w:r>
        <w:t xml:space="preserve"> </w:t>
      </w:r>
      <w:r>
        <w:t>means SHAP produces denser explanations. Per-method mean levels for this cohort are reported in [10] and are not restated here</w:t>
      </w:r>
    </w:p>
    <w:tbl>
      <w:tblPr>
        <w:tblStyle w:val="TableGrid5"/>
        <w:tblW w:w="6352" w:type="dxa"/>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04"/>
        <w:gridCol w:w="879"/>
        <w:gridCol w:w="1881"/>
        <w:gridCol w:w="1132"/>
        <w:gridCol w:w="556"/>
      </w:tblGrid>
      <w:tr w:rsidR="00F27E4D" w14:paraId="24BA1017" w14:textId="77777777">
        <w:trPr>
          <w:jc w:val="center"/>
        </w:trPr>
        <w:tc>
          <w:tcPr>
            <w:tcW w:w="0" w:type="auto"/>
            <w:tcBorders>
              <w:top w:val="single" w:sz="4" w:space="0" w:color="auto"/>
              <w:bottom w:val="single" w:sz="4" w:space="0" w:color="auto"/>
            </w:tcBorders>
          </w:tcPr>
          <w:p w14:paraId="3AE6FD79" w14:textId="77777777" w:rsidR="00F27E4D" w:rsidRDefault="00652C58">
            <w:pPr>
              <w:pStyle w:val="Subtitle"/>
              <w:keepNext/>
              <w:spacing w:before="20" w:after="20"/>
              <w:jc w:val="left"/>
              <w:rPr>
                <w:i w:val="0"/>
              </w:rPr>
            </w:pPr>
            <w:r>
              <w:rPr>
                <w:i w:val="0"/>
              </w:rPr>
              <w:t>Metric</w:t>
            </w:r>
          </w:p>
        </w:tc>
        <w:tc>
          <w:tcPr>
            <w:tcW w:w="0" w:type="auto"/>
            <w:tcBorders>
              <w:top w:val="single" w:sz="4" w:space="0" w:color="auto"/>
              <w:bottom w:val="single" w:sz="4" w:space="0" w:color="auto"/>
            </w:tcBorders>
          </w:tcPr>
          <w:p w14:paraId="4A96D729" w14:textId="77777777" w:rsidR="00F27E4D" w:rsidRDefault="00652C58">
            <w:pPr>
              <w:pStyle w:val="Subtitle"/>
              <w:keepNext/>
              <w:spacing w:before="20" w:after="20"/>
              <w:jc w:val="left"/>
              <w:rPr>
                <w:i w:val="0"/>
              </w:rPr>
            </w:pPr>
            <m:oMath>
              <m:r>
                <w:rPr>
                  <w:rFonts w:ascii="Cambria Math" w:hAnsi="Cambria Math"/>
                  <w:szCs w:val="18"/>
                </w:rPr>
                <m:t>Δ</m:t>
              </m:r>
            </m:oMath>
            <w:r>
              <w:rPr>
                <w:i w:val="0"/>
              </w:rPr>
              <w:t>​</w:t>
            </w:r>
          </w:p>
        </w:tc>
        <w:tc>
          <w:tcPr>
            <w:tcW w:w="0" w:type="auto"/>
            <w:tcBorders>
              <w:top w:val="single" w:sz="4" w:space="0" w:color="auto"/>
              <w:bottom w:val="single" w:sz="4" w:space="0" w:color="auto"/>
            </w:tcBorders>
          </w:tcPr>
          <w:p w14:paraId="17C90F52" w14:textId="77777777" w:rsidR="00F27E4D" w:rsidRDefault="00652C58">
            <w:pPr>
              <w:pStyle w:val="Subtitle"/>
              <w:keepNext/>
              <w:spacing w:before="20" w:after="20"/>
              <w:jc w:val="left"/>
              <w:rPr>
                <w:i w:val="0"/>
              </w:rPr>
            </w:pPr>
            <m:oMath>
              <m:r>
                <w:rPr>
                  <w:rFonts w:ascii="Cambria Math" w:hAnsi="Cambria Math"/>
                  <w:szCs w:val="18"/>
                </w:rPr>
                <m:t>95</m:t>
              </m:r>
              <m:r>
                <w:rPr>
                  <w:rFonts w:ascii="Cambria Math" w:hAnsi="Cambria Math"/>
                  <w:szCs w:val="18"/>
                </w:rPr>
                <m:t>%</m:t>
              </m:r>
            </m:oMath>
            <w:r>
              <w:rPr>
                <w:i w:val="0"/>
              </w:rPr>
              <w:t xml:space="preserve"> </w:t>
            </w:r>
            <w:r>
              <w:rPr>
                <w:i w:val="0"/>
              </w:rPr>
              <w:t>CI</w:t>
            </w:r>
          </w:p>
        </w:tc>
        <w:tc>
          <w:tcPr>
            <w:tcW w:w="0" w:type="auto"/>
            <w:tcBorders>
              <w:top w:val="single" w:sz="4" w:space="0" w:color="auto"/>
              <w:bottom w:val="single" w:sz="4" w:space="0" w:color="auto"/>
            </w:tcBorders>
          </w:tcPr>
          <w:p w14:paraId="175D84F3" w14:textId="77777777" w:rsidR="00F27E4D" w:rsidRDefault="00652C58">
            <w:pPr>
              <w:pStyle w:val="Subtitle"/>
              <w:keepNext/>
              <w:spacing w:before="20" w:after="20"/>
              <w:jc w:val="left"/>
              <w:rPr>
                <w:i w:val="0"/>
              </w:rPr>
            </w:pPr>
            <m:oMath>
              <m:sSub>
                <m:sSubPr>
                  <m:ctrlPr>
                    <w:rPr>
                      <w:rFonts w:ascii="Cambria Math" w:hAnsi="Cambria Math"/>
                    </w:rPr>
                  </m:ctrlPr>
                </m:sSubPr>
                <m:e>
                  <m:r>
                    <w:rPr>
                      <w:rFonts w:ascii="Cambria Math" w:hAnsi="Cambria Math"/>
                      <w:szCs w:val="18"/>
                    </w:rPr>
                    <m:t>p</m:t>
                  </m:r>
                </m:e>
                <m:sub>
                  <m:r>
                    <w:rPr>
                      <w:rFonts w:ascii="Cambria Math" w:hAnsi="Cambria Math"/>
                      <w:szCs w:val="18"/>
                    </w:rPr>
                    <m:t>Holm</m:t>
                  </m:r>
                </m:sub>
              </m:sSub>
            </m:oMath>
            <w:r>
              <w:rPr>
                <w:i w:val="0"/>
              </w:rPr>
              <w:t>​</w:t>
            </w:r>
          </w:p>
        </w:tc>
        <w:tc>
          <w:tcPr>
            <w:tcW w:w="0" w:type="auto"/>
            <w:tcBorders>
              <w:top w:val="single" w:sz="4" w:space="0" w:color="auto"/>
              <w:bottom w:val="single" w:sz="4" w:space="0" w:color="auto"/>
            </w:tcBorders>
          </w:tcPr>
          <w:p w14:paraId="79C20EAE" w14:textId="77777777" w:rsidR="00F27E4D" w:rsidRDefault="00652C58">
            <w:pPr>
              <w:pStyle w:val="Subtitle"/>
              <w:keepNext/>
              <w:spacing w:before="20" w:after="20"/>
              <w:jc w:val="left"/>
              <w:rPr>
                <w:i w:val="0"/>
              </w:rPr>
            </w:pPr>
            <m:oMath>
              <m:sSub>
                <m:sSubPr>
                  <m:ctrlPr>
                    <w:rPr>
                      <w:rFonts w:ascii="Cambria Math" w:hAnsi="Cambria Math"/>
                    </w:rPr>
                  </m:ctrlPr>
                </m:sSubPr>
                <m:e>
                  <m:r>
                    <w:rPr>
                      <w:rFonts w:ascii="Cambria Math" w:hAnsi="Cambria Math"/>
                      <w:szCs w:val="18"/>
                    </w:rPr>
                    <m:t>d</m:t>
                  </m:r>
                </m:e>
                <m:sub>
                  <m:r>
                    <w:rPr>
                      <w:rFonts w:ascii="Cambria Math" w:hAnsi="Cambria Math"/>
                      <w:szCs w:val="18"/>
                    </w:rPr>
                    <m:t>z</m:t>
                  </m:r>
                </m:sub>
              </m:sSub>
            </m:oMath>
            <w:r>
              <w:rPr>
                <w:i w:val="0"/>
              </w:rPr>
              <w:t>​</w:t>
            </w:r>
          </w:p>
        </w:tc>
      </w:tr>
      <w:tr w:rsidR="00F27E4D" w14:paraId="35002C30" w14:textId="77777777">
        <w:trPr>
          <w:jc w:val="center"/>
        </w:trPr>
        <w:tc>
          <w:tcPr>
            <w:tcW w:w="0" w:type="auto"/>
          </w:tcPr>
          <w:p w14:paraId="110804F8" w14:textId="77777777" w:rsidR="00F27E4D" w:rsidRDefault="00652C58">
            <w:pPr>
              <w:pStyle w:val="Subtitle"/>
              <w:keepNext/>
              <w:spacing w:before="20" w:after="20"/>
              <w:jc w:val="left"/>
              <w:rPr>
                <w:i w:val="0"/>
              </w:rPr>
            </w:pPr>
            <w:r>
              <w:rPr>
                <w:i w:val="0"/>
              </w:rPr>
              <w:t>Stability</w:t>
            </w:r>
          </w:p>
        </w:tc>
        <w:tc>
          <w:tcPr>
            <w:tcW w:w="0" w:type="auto"/>
          </w:tcPr>
          <w:p w14:paraId="7BB363EC" w14:textId="77777777" w:rsidR="00F27E4D" w:rsidRDefault="00652C58">
            <w:pPr>
              <w:pStyle w:val="Subtitle"/>
              <w:keepNext/>
              <w:spacing w:before="20" w:after="20"/>
              <w:jc w:val="left"/>
              <w:rPr>
                <w:i w:val="0"/>
              </w:rPr>
            </w:pPr>
            <w:r>
              <w:rPr>
                <w:i w:val="0"/>
              </w:rPr>
              <w:t>+0.718</w:t>
            </w:r>
          </w:p>
        </w:tc>
        <w:tc>
          <w:tcPr>
            <w:tcW w:w="0" w:type="auto"/>
          </w:tcPr>
          <w:p w14:paraId="2C0D6007" w14:textId="77777777" w:rsidR="00F27E4D" w:rsidRDefault="00652C58">
            <w:pPr>
              <w:pStyle w:val="Subtitle"/>
              <w:keepNext/>
              <w:spacing w:before="20" w:after="20"/>
              <w:jc w:val="left"/>
              <w:rPr>
                <w:i w:val="0"/>
              </w:rPr>
            </w:pPr>
            <m:oMath>
              <m:r>
                <w:rPr>
                  <w:rFonts w:ascii="Cambria Math" w:hAnsi="Cambria Math"/>
                  <w:szCs w:val="18"/>
                </w:rPr>
                <m:t>[+</m:t>
              </m:r>
              <m:r>
                <w:rPr>
                  <w:rFonts w:ascii="Cambria Math" w:hAnsi="Cambria Math"/>
                  <w:szCs w:val="18"/>
                </w:rPr>
                <m:t>0.663</m:t>
              </m:r>
              <m:r>
                <w:rPr>
                  <w:rFonts w:ascii="Cambria Math" w:hAnsi="Cambria Math"/>
                  <w:szCs w:val="18"/>
                </w:rPr>
                <m:t>,+</m:t>
              </m:r>
              <m:r>
                <w:rPr>
                  <w:rFonts w:ascii="Cambria Math" w:hAnsi="Cambria Math"/>
                  <w:szCs w:val="18"/>
                </w:rPr>
                <m:t>0.773</m:t>
              </m:r>
              <m:r>
                <w:rPr>
                  <w:rFonts w:ascii="Cambria Math" w:hAnsi="Cambria Math"/>
                  <w:szCs w:val="18"/>
                </w:rPr>
                <m:t>]</m:t>
              </m:r>
            </m:oMath>
            <w:r>
              <w:rPr>
                <w:i w:val="0"/>
              </w:rPr>
              <w:t>​</w:t>
            </w:r>
          </w:p>
        </w:tc>
        <w:tc>
          <w:tcPr>
            <w:tcW w:w="0" w:type="auto"/>
          </w:tcPr>
          <w:p w14:paraId="1829B9CC" w14:textId="77777777" w:rsidR="00F27E4D" w:rsidRDefault="00652C58">
            <w:pPr>
              <w:pStyle w:val="Subtitle"/>
              <w:keepNext/>
              <w:spacing w:before="20" w:after="20"/>
              <w:jc w:val="left"/>
              <w:rPr>
                <w:i w:val="0"/>
              </w:rPr>
            </w:pPr>
            <m:oMath>
              <m:r>
                <w:rPr>
                  <w:rFonts w:ascii="Cambria Math" w:hAnsi="Cambria Math"/>
                  <w:szCs w:val="18"/>
                </w:rPr>
                <m:t>2.6</m:t>
              </m:r>
              <m:r>
                <w:rPr>
                  <w:rFonts w:ascii="Cambria Math" w:hAnsi="Cambria Math"/>
                  <w:szCs w:val="18"/>
                </w:rPr>
                <m:t>×</m:t>
              </m:r>
              <m:sSup>
                <m:sSupPr>
                  <m:ctrlPr>
                    <w:rPr>
                      <w:rFonts w:ascii="Cambria Math" w:hAnsi="Cambria Math"/>
                    </w:rPr>
                  </m:ctrlPr>
                </m:sSupPr>
                <m:e>
                  <m:r>
                    <w:rPr>
                      <w:rFonts w:ascii="Cambria Math" w:hAnsi="Cambria Math"/>
                      <w:szCs w:val="18"/>
                    </w:rPr>
                    <m:t>10</m:t>
                  </m:r>
                </m:e>
                <m:sup>
                  <m:r>
                    <w:rPr>
                      <w:rFonts w:ascii="Cambria Math" w:hAnsi="Cambria Math"/>
                      <w:szCs w:val="18"/>
                    </w:rPr>
                    <m:t>-</m:t>
                  </m:r>
                  <m:r>
                    <w:rPr>
                      <w:rFonts w:ascii="Cambria Math" w:hAnsi="Cambria Math"/>
                      <w:szCs w:val="18"/>
                    </w:rPr>
                    <m:t>13</m:t>
                  </m:r>
                </m:sup>
              </m:sSup>
            </m:oMath>
            <w:r>
              <w:rPr>
                <w:i w:val="0"/>
              </w:rPr>
              <w:t>​</w:t>
            </w:r>
          </w:p>
        </w:tc>
        <w:tc>
          <w:tcPr>
            <w:tcW w:w="0" w:type="auto"/>
          </w:tcPr>
          <w:p w14:paraId="13C98501" w14:textId="77777777" w:rsidR="00F27E4D" w:rsidRDefault="00652C58">
            <w:pPr>
              <w:pStyle w:val="Subtitle"/>
              <w:keepNext/>
              <w:spacing w:before="20" w:after="20"/>
              <w:jc w:val="left"/>
              <w:rPr>
                <w:i w:val="0"/>
              </w:rPr>
            </w:pPr>
            <w:r>
              <w:rPr>
                <w:i w:val="0"/>
              </w:rPr>
              <w:t>3.00</w:t>
            </w:r>
          </w:p>
        </w:tc>
      </w:tr>
      <w:tr w:rsidR="00F27E4D" w14:paraId="155B3DCE" w14:textId="77777777">
        <w:trPr>
          <w:jc w:val="center"/>
        </w:trPr>
        <w:tc>
          <w:tcPr>
            <w:tcW w:w="0" w:type="auto"/>
          </w:tcPr>
          <w:p w14:paraId="62AC0973" w14:textId="77777777" w:rsidR="00F27E4D" w:rsidRDefault="00652C58">
            <w:pPr>
              <w:pStyle w:val="Subtitle"/>
              <w:keepNext/>
              <w:spacing w:before="20" w:after="20"/>
              <w:jc w:val="left"/>
              <w:rPr>
                <w:i w:val="0"/>
              </w:rPr>
            </w:pPr>
            <w:r>
              <w:rPr>
                <w:i w:val="0"/>
              </w:rPr>
              <w:t>Sparsity (active ratio)</w:t>
            </w:r>
          </w:p>
        </w:tc>
        <w:tc>
          <w:tcPr>
            <w:tcW w:w="0" w:type="auto"/>
          </w:tcPr>
          <w:p w14:paraId="7CF35CB6" w14:textId="77777777" w:rsidR="00F27E4D" w:rsidRDefault="00652C58">
            <w:pPr>
              <w:pStyle w:val="Subtitle"/>
              <w:keepNext/>
              <w:spacing w:before="20" w:after="20"/>
              <w:jc w:val="left"/>
              <w:rPr>
                <w:i w:val="0"/>
              </w:rPr>
            </w:pPr>
            <w:r>
              <w:rPr>
                <w:i w:val="0"/>
              </w:rPr>
              <w:t>+0.142</w:t>
            </w:r>
          </w:p>
        </w:tc>
        <w:tc>
          <w:tcPr>
            <w:tcW w:w="0" w:type="auto"/>
          </w:tcPr>
          <w:p w14:paraId="1F38AD74" w14:textId="77777777" w:rsidR="00F27E4D" w:rsidRDefault="00652C58">
            <w:pPr>
              <w:pStyle w:val="Subtitle"/>
              <w:keepNext/>
              <w:spacing w:before="20" w:after="20"/>
              <w:jc w:val="left"/>
              <w:rPr>
                <w:i w:val="0"/>
              </w:rPr>
            </w:pPr>
            <m:oMath>
              <m:r>
                <w:rPr>
                  <w:rFonts w:ascii="Cambria Math" w:hAnsi="Cambria Math"/>
                  <w:szCs w:val="18"/>
                </w:rPr>
                <m:t>[+</m:t>
              </m:r>
              <m:r>
                <w:rPr>
                  <w:rFonts w:ascii="Cambria Math" w:hAnsi="Cambria Math"/>
                  <w:szCs w:val="18"/>
                </w:rPr>
                <m:t>0.103</m:t>
              </m:r>
              <m:r>
                <w:rPr>
                  <w:rFonts w:ascii="Cambria Math" w:hAnsi="Cambria Math"/>
                  <w:szCs w:val="18"/>
                </w:rPr>
                <m:t>,+</m:t>
              </m:r>
              <m:r>
                <w:rPr>
                  <w:rFonts w:ascii="Cambria Math" w:hAnsi="Cambria Math"/>
                  <w:szCs w:val="18"/>
                </w:rPr>
                <m:t>0.181</m:t>
              </m:r>
              <m:r>
                <w:rPr>
                  <w:rFonts w:ascii="Cambria Math" w:hAnsi="Cambria Math"/>
                  <w:szCs w:val="18"/>
                </w:rPr>
                <m:t>]</m:t>
              </m:r>
            </m:oMath>
            <w:r>
              <w:rPr>
                <w:i w:val="0"/>
              </w:rPr>
              <w:t>​</w:t>
            </w:r>
          </w:p>
        </w:tc>
        <w:tc>
          <w:tcPr>
            <w:tcW w:w="0" w:type="auto"/>
          </w:tcPr>
          <w:p w14:paraId="5C62EE04" w14:textId="77777777" w:rsidR="00F27E4D" w:rsidRDefault="00652C58">
            <w:pPr>
              <w:pStyle w:val="Subtitle"/>
              <w:keepNext/>
              <w:spacing w:before="20" w:after="20"/>
              <w:jc w:val="left"/>
              <w:rPr>
                <w:i w:val="0"/>
              </w:rPr>
            </w:pPr>
            <m:oMath>
              <m:r>
                <w:rPr>
                  <w:rFonts w:ascii="Cambria Math" w:hAnsi="Cambria Math"/>
                  <w:szCs w:val="18"/>
                </w:rPr>
                <m:t>2.6</m:t>
              </m:r>
              <m:r>
                <w:rPr>
                  <w:rFonts w:ascii="Cambria Math" w:hAnsi="Cambria Math"/>
                  <w:szCs w:val="18"/>
                </w:rPr>
                <m:t>×</m:t>
              </m:r>
              <m:sSup>
                <m:sSupPr>
                  <m:ctrlPr>
                    <w:rPr>
                      <w:rFonts w:ascii="Cambria Math" w:hAnsi="Cambria Math"/>
                    </w:rPr>
                  </m:ctrlPr>
                </m:sSupPr>
                <m:e>
                  <m:r>
                    <w:rPr>
                      <w:rFonts w:ascii="Cambria Math" w:hAnsi="Cambria Math"/>
                      <w:szCs w:val="18"/>
                    </w:rPr>
                    <m:t>10</m:t>
                  </m:r>
                </m:e>
                <m:sup>
                  <m:r>
                    <w:rPr>
                      <w:rFonts w:ascii="Cambria Math" w:hAnsi="Cambria Math"/>
                      <w:szCs w:val="18"/>
                    </w:rPr>
                    <m:t>-</m:t>
                  </m:r>
                  <m:r>
                    <w:rPr>
                      <w:rFonts w:ascii="Cambria Math" w:hAnsi="Cambria Math"/>
                      <w:szCs w:val="18"/>
                    </w:rPr>
                    <m:t>13</m:t>
                  </m:r>
                </m:sup>
              </m:sSup>
            </m:oMath>
            <w:r>
              <w:rPr>
                <w:i w:val="0"/>
              </w:rPr>
              <w:t>​</w:t>
            </w:r>
          </w:p>
        </w:tc>
        <w:tc>
          <w:tcPr>
            <w:tcW w:w="0" w:type="auto"/>
          </w:tcPr>
          <w:p w14:paraId="5A51F61B" w14:textId="77777777" w:rsidR="00F27E4D" w:rsidRDefault="00652C58">
            <w:pPr>
              <w:pStyle w:val="Subtitle"/>
              <w:keepNext/>
              <w:spacing w:before="20" w:after="20"/>
              <w:jc w:val="left"/>
              <w:rPr>
                <w:i w:val="0"/>
              </w:rPr>
            </w:pPr>
            <w:r>
              <w:rPr>
                <w:i w:val="0"/>
              </w:rPr>
              <w:t>0.84</w:t>
            </w:r>
          </w:p>
        </w:tc>
      </w:tr>
      <w:tr w:rsidR="00F27E4D" w14:paraId="559EF768" w14:textId="77777777">
        <w:trPr>
          <w:jc w:val="center"/>
        </w:trPr>
        <w:tc>
          <w:tcPr>
            <w:tcW w:w="0" w:type="auto"/>
          </w:tcPr>
          <w:p w14:paraId="685ED310" w14:textId="77777777" w:rsidR="00F27E4D" w:rsidRDefault="00652C58">
            <w:pPr>
              <w:pStyle w:val="Subtitle"/>
              <w:keepNext/>
              <w:spacing w:before="20" w:after="20"/>
              <w:jc w:val="left"/>
              <w:rPr>
                <w:i w:val="0"/>
              </w:rPr>
            </w:pPr>
            <w:r>
              <w:rPr>
                <w:i w:val="0"/>
              </w:rPr>
              <w:t>Fidelity</w:t>
            </w:r>
          </w:p>
        </w:tc>
        <w:tc>
          <w:tcPr>
            <w:tcW w:w="0" w:type="auto"/>
          </w:tcPr>
          <w:p w14:paraId="18D3F4BE" w14:textId="77777777" w:rsidR="00F27E4D" w:rsidRDefault="00652C58">
            <w:pPr>
              <w:pStyle w:val="Subtitle"/>
              <w:keepNext/>
              <w:spacing w:before="20" w:after="20"/>
              <w:jc w:val="left"/>
              <w:rPr>
                <w:i w:val="0"/>
              </w:rPr>
            </w:pPr>
            <w:r>
              <w:rPr>
                <w:i w:val="0"/>
              </w:rPr>
              <w:t>+0.248</w:t>
            </w:r>
          </w:p>
        </w:tc>
        <w:tc>
          <w:tcPr>
            <w:tcW w:w="0" w:type="auto"/>
          </w:tcPr>
          <w:p w14:paraId="1660CE08" w14:textId="77777777" w:rsidR="00F27E4D" w:rsidRDefault="00652C58">
            <w:pPr>
              <w:pStyle w:val="Subtitle"/>
              <w:keepNext/>
              <w:spacing w:before="20" w:after="20"/>
              <w:jc w:val="left"/>
              <w:rPr>
                <w:i w:val="0"/>
              </w:rPr>
            </w:pPr>
            <m:oMath>
              <m:r>
                <w:rPr>
                  <w:rFonts w:ascii="Cambria Math" w:hAnsi="Cambria Math"/>
                  <w:szCs w:val="18"/>
                </w:rPr>
                <m:t>[+</m:t>
              </m:r>
              <m:r>
                <w:rPr>
                  <w:rFonts w:ascii="Cambria Math" w:hAnsi="Cambria Math"/>
                  <w:szCs w:val="18"/>
                </w:rPr>
                <m:t>0.236</m:t>
              </m:r>
              <m:r>
                <w:rPr>
                  <w:rFonts w:ascii="Cambria Math" w:hAnsi="Cambria Math"/>
                  <w:szCs w:val="18"/>
                </w:rPr>
                <m:t>,+</m:t>
              </m:r>
              <m:r>
                <w:rPr>
                  <w:rFonts w:ascii="Cambria Math" w:hAnsi="Cambria Math"/>
                  <w:szCs w:val="18"/>
                </w:rPr>
                <m:t>0.260</m:t>
              </m:r>
              <m:r>
                <w:rPr>
                  <w:rFonts w:ascii="Cambria Math" w:hAnsi="Cambria Math"/>
                  <w:szCs w:val="18"/>
                </w:rPr>
                <m:t>]</m:t>
              </m:r>
            </m:oMath>
            <w:r>
              <w:rPr>
                <w:i w:val="0"/>
              </w:rPr>
              <w:t>​</w:t>
            </w:r>
          </w:p>
        </w:tc>
        <w:tc>
          <w:tcPr>
            <w:tcW w:w="0" w:type="auto"/>
          </w:tcPr>
          <w:p w14:paraId="1ACCB471" w14:textId="77777777" w:rsidR="00F27E4D" w:rsidRDefault="00652C58">
            <w:pPr>
              <w:pStyle w:val="Subtitle"/>
              <w:keepNext/>
              <w:spacing w:before="20" w:after="20"/>
              <w:jc w:val="left"/>
              <w:rPr>
                <w:i w:val="0"/>
              </w:rPr>
            </w:pPr>
            <m:oMath>
              <m:r>
                <w:rPr>
                  <w:rFonts w:ascii="Cambria Math" w:hAnsi="Cambria Math"/>
                  <w:szCs w:val="18"/>
                </w:rPr>
                <m:t>2.6</m:t>
              </m:r>
              <m:r>
                <w:rPr>
                  <w:rFonts w:ascii="Cambria Math" w:hAnsi="Cambria Math"/>
                  <w:szCs w:val="18"/>
                </w:rPr>
                <m:t>×</m:t>
              </m:r>
              <m:sSup>
                <m:sSupPr>
                  <m:ctrlPr>
                    <w:rPr>
                      <w:rFonts w:ascii="Cambria Math" w:hAnsi="Cambria Math"/>
                    </w:rPr>
                  </m:ctrlPr>
                </m:sSupPr>
                <m:e>
                  <m:r>
                    <w:rPr>
                      <w:rFonts w:ascii="Cambria Math" w:hAnsi="Cambria Math"/>
                      <w:szCs w:val="18"/>
                    </w:rPr>
                    <m:t>10</m:t>
                  </m:r>
                </m:e>
                <m:sup>
                  <m:r>
                    <w:rPr>
                      <w:rFonts w:ascii="Cambria Math" w:hAnsi="Cambria Math"/>
                      <w:szCs w:val="18"/>
                    </w:rPr>
                    <m:t>-</m:t>
                  </m:r>
                  <m:r>
                    <w:rPr>
                      <w:rFonts w:ascii="Cambria Math" w:hAnsi="Cambria Math"/>
                      <w:szCs w:val="18"/>
                    </w:rPr>
                    <m:t>13</m:t>
                  </m:r>
                </m:sup>
              </m:sSup>
            </m:oMath>
            <w:r>
              <w:rPr>
                <w:i w:val="0"/>
              </w:rPr>
              <w:t>​</w:t>
            </w:r>
          </w:p>
        </w:tc>
        <w:tc>
          <w:tcPr>
            <w:tcW w:w="0" w:type="auto"/>
          </w:tcPr>
          <w:p w14:paraId="3A331AFC" w14:textId="77777777" w:rsidR="00F27E4D" w:rsidRDefault="00652C58">
            <w:pPr>
              <w:pStyle w:val="Subtitle"/>
              <w:keepNext/>
              <w:spacing w:before="20" w:after="20"/>
              <w:jc w:val="left"/>
              <w:rPr>
                <w:i w:val="0"/>
              </w:rPr>
            </w:pPr>
            <w:r>
              <w:rPr>
                <w:i w:val="0"/>
              </w:rPr>
              <w:t>4.82</w:t>
            </w:r>
          </w:p>
        </w:tc>
      </w:tr>
      <w:tr w:rsidR="00F27E4D" w14:paraId="4D5DA75C" w14:textId="77777777">
        <w:trPr>
          <w:jc w:val="center"/>
        </w:trPr>
        <w:tc>
          <w:tcPr>
            <w:tcW w:w="0" w:type="auto"/>
          </w:tcPr>
          <w:p w14:paraId="4E864405" w14:textId="77777777" w:rsidR="00F27E4D" w:rsidRDefault="00652C58">
            <w:pPr>
              <w:pStyle w:val="Subtitle"/>
              <w:keepNext/>
              <w:spacing w:before="20" w:after="20"/>
              <w:jc w:val="left"/>
              <w:rPr>
                <w:i w:val="0"/>
              </w:rPr>
            </w:pPr>
            <w:r>
              <w:rPr>
                <w:i w:val="0"/>
              </w:rPr>
              <w:t>Faithfulness Gap</w:t>
            </w:r>
          </w:p>
        </w:tc>
        <w:tc>
          <w:tcPr>
            <w:tcW w:w="0" w:type="auto"/>
          </w:tcPr>
          <w:p w14:paraId="0FEC5B98" w14:textId="77777777" w:rsidR="00F27E4D" w:rsidRDefault="00652C58">
            <w:pPr>
              <w:pStyle w:val="Subtitle"/>
              <w:keepNext/>
              <w:spacing w:before="20" w:after="20"/>
              <w:jc w:val="left"/>
              <w:rPr>
                <w:i w:val="0"/>
              </w:rPr>
            </w:pPr>
            <w:r>
              <w:rPr>
                <w:i w:val="0"/>
              </w:rPr>
              <w:t>+0.045</w:t>
            </w:r>
          </w:p>
        </w:tc>
        <w:tc>
          <w:tcPr>
            <w:tcW w:w="0" w:type="auto"/>
          </w:tcPr>
          <w:p w14:paraId="79829FA5" w14:textId="77777777" w:rsidR="00F27E4D" w:rsidRDefault="00652C58">
            <w:pPr>
              <w:pStyle w:val="Subtitle"/>
              <w:keepNext/>
              <w:spacing w:before="20" w:after="20"/>
              <w:jc w:val="left"/>
              <w:rPr>
                <w:i w:val="0"/>
              </w:rPr>
            </w:pPr>
            <m:oMath>
              <m:r>
                <w:rPr>
                  <w:rFonts w:ascii="Cambria Math" w:hAnsi="Cambria Math"/>
                  <w:szCs w:val="18"/>
                </w:rPr>
                <m:t>[+</m:t>
              </m:r>
              <m:r>
                <w:rPr>
                  <w:rFonts w:ascii="Cambria Math" w:hAnsi="Cambria Math"/>
                  <w:szCs w:val="18"/>
                </w:rPr>
                <m:t>0.041</m:t>
              </m:r>
              <m:r>
                <w:rPr>
                  <w:rFonts w:ascii="Cambria Math" w:hAnsi="Cambria Math"/>
                  <w:szCs w:val="18"/>
                </w:rPr>
                <m:t>,+</m:t>
              </m:r>
              <m:r>
                <w:rPr>
                  <w:rFonts w:ascii="Cambria Math" w:hAnsi="Cambria Math"/>
                  <w:szCs w:val="18"/>
                </w:rPr>
                <m:t>0.049</m:t>
              </m:r>
              <m:r>
                <w:rPr>
                  <w:rFonts w:ascii="Cambria Math" w:hAnsi="Cambria Math"/>
                  <w:szCs w:val="18"/>
                </w:rPr>
                <m:t>]</m:t>
              </m:r>
            </m:oMath>
            <w:r>
              <w:rPr>
                <w:i w:val="0"/>
              </w:rPr>
              <w:t>​</w:t>
            </w:r>
          </w:p>
        </w:tc>
        <w:tc>
          <w:tcPr>
            <w:tcW w:w="0" w:type="auto"/>
          </w:tcPr>
          <w:p w14:paraId="23337D72" w14:textId="77777777" w:rsidR="00F27E4D" w:rsidRDefault="00652C58">
            <w:pPr>
              <w:pStyle w:val="Subtitle"/>
              <w:keepNext/>
              <w:spacing w:before="20" w:after="20"/>
              <w:jc w:val="left"/>
              <w:rPr>
                <w:i w:val="0"/>
              </w:rPr>
            </w:pPr>
            <m:oMath>
              <m:r>
                <w:rPr>
                  <w:rFonts w:ascii="Cambria Math" w:hAnsi="Cambria Math"/>
                  <w:szCs w:val="18"/>
                </w:rPr>
                <m:t>2.6</m:t>
              </m:r>
              <m:r>
                <w:rPr>
                  <w:rFonts w:ascii="Cambria Math" w:hAnsi="Cambria Math"/>
                  <w:szCs w:val="18"/>
                </w:rPr>
                <m:t>×</m:t>
              </m:r>
              <m:sSup>
                <m:sSupPr>
                  <m:ctrlPr>
                    <w:rPr>
                      <w:rFonts w:ascii="Cambria Math" w:hAnsi="Cambria Math"/>
                    </w:rPr>
                  </m:ctrlPr>
                </m:sSupPr>
                <m:e>
                  <m:r>
                    <w:rPr>
                      <w:rFonts w:ascii="Cambria Math" w:hAnsi="Cambria Math"/>
                      <w:szCs w:val="18"/>
                    </w:rPr>
                    <m:t>10</m:t>
                  </m:r>
                </m:e>
                <m:sup>
                  <m:r>
                    <w:rPr>
                      <w:rFonts w:ascii="Cambria Math" w:hAnsi="Cambria Math"/>
                      <w:szCs w:val="18"/>
                    </w:rPr>
                    <m:t>-</m:t>
                  </m:r>
                  <m:r>
                    <w:rPr>
                      <w:rFonts w:ascii="Cambria Math" w:hAnsi="Cambria Math"/>
                      <w:szCs w:val="18"/>
                    </w:rPr>
                    <m:t>13</m:t>
                  </m:r>
                </m:sup>
              </m:sSup>
            </m:oMath>
            <w:r>
              <w:rPr>
                <w:i w:val="0"/>
              </w:rPr>
              <w:t>​</w:t>
            </w:r>
          </w:p>
        </w:tc>
        <w:tc>
          <w:tcPr>
            <w:tcW w:w="0" w:type="auto"/>
          </w:tcPr>
          <w:p w14:paraId="096045AD" w14:textId="77777777" w:rsidR="00F27E4D" w:rsidRDefault="00652C58">
            <w:pPr>
              <w:pStyle w:val="Subtitle"/>
              <w:keepNext/>
              <w:spacing w:before="20" w:after="20"/>
              <w:jc w:val="left"/>
              <w:rPr>
                <w:i w:val="0"/>
              </w:rPr>
            </w:pPr>
            <w:r>
              <w:rPr>
                <w:i w:val="0"/>
              </w:rPr>
              <w:t>2.63</w:t>
            </w:r>
          </w:p>
        </w:tc>
      </w:tr>
      <w:tr w:rsidR="00F27E4D" w14:paraId="2C63F4CF" w14:textId="77777777">
        <w:trPr>
          <w:jc w:val="center"/>
        </w:trPr>
        <w:tc>
          <w:tcPr>
            <w:tcW w:w="0" w:type="auto"/>
            <w:tcBorders>
              <w:bottom w:val="single" w:sz="4" w:space="0" w:color="auto"/>
            </w:tcBorders>
          </w:tcPr>
          <w:p w14:paraId="1CEA4007" w14:textId="77777777" w:rsidR="00F27E4D" w:rsidRDefault="00652C58">
            <w:pPr>
              <w:pStyle w:val="Subtitle"/>
              <w:spacing w:before="20" w:after="20"/>
              <w:jc w:val="left"/>
              <w:rPr>
                <w:i w:val="0"/>
              </w:rPr>
            </w:pPr>
            <w:r>
              <w:rPr>
                <w:i w:val="0"/>
              </w:rPr>
              <w:t>Cost (ms)</w:t>
            </w:r>
          </w:p>
        </w:tc>
        <w:tc>
          <w:tcPr>
            <w:tcW w:w="0" w:type="auto"/>
            <w:tcBorders>
              <w:bottom w:val="single" w:sz="4" w:space="0" w:color="auto"/>
            </w:tcBorders>
          </w:tcPr>
          <w:p w14:paraId="61A70A95" w14:textId="77777777" w:rsidR="00F27E4D" w:rsidRDefault="00652C58">
            <w:pPr>
              <w:pStyle w:val="Subtitle"/>
              <w:spacing w:before="20" w:after="20"/>
              <w:jc w:val="left"/>
              <w:rPr>
                <w:i w:val="0"/>
              </w:rPr>
            </w:pPr>
            <w:r>
              <w:rPr>
                <w:i w:val="0"/>
              </w:rPr>
              <w:t>+8047.6</w:t>
            </w:r>
          </w:p>
        </w:tc>
        <w:tc>
          <w:tcPr>
            <w:tcW w:w="0" w:type="auto"/>
            <w:tcBorders>
              <w:bottom w:val="single" w:sz="4" w:space="0" w:color="auto"/>
            </w:tcBorders>
          </w:tcPr>
          <w:p w14:paraId="604DDF40" w14:textId="77777777" w:rsidR="00F27E4D" w:rsidRDefault="00652C58">
            <w:pPr>
              <w:pStyle w:val="Subtitle"/>
              <w:spacing w:before="20" w:after="20"/>
              <w:jc w:val="left"/>
              <w:rPr>
                <w:i w:val="0"/>
              </w:rPr>
            </w:pPr>
            <m:oMath>
              <m:r>
                <w:rPr>
                  <w:rFonts w:ascii="Cambria Math" w:hAnsi="Cambria Math"/>
                  <w:szCs w:val="18"/>
                </w:rPr>
                <m:t>[+</m:t>
              </m:r>
              <m:r>
                <w:rPr>
                  <w:rFonts w:ascii="Cambria Math" w:hAnsi="Cambria Math"/>
                  <w:szCs w:val="18"/>
                </w:rPr>
                <m:t>3939.2</m:t>
              </m:r>
              <m:r>
                <w:rPr>
                  <w:rFonts w:ascii="Cambria Math" w:hAnsi="Cambria Math"/>
                  <w:szCs w:val="18"/>
                </w:rPr>
                <m:t>,+</m:t>
              </m:r>
              <m:r>
                <w:rPr>
                  <w:rFonts w:ascii="Cambria Math" w:hAnsi="Cambria Math"/>
                  <w:szCs w:val="18"/>
                </w:rPr>
                <m:t>12155.9</m:t>
              </m:r>
              <m:r>
                <w:rPr>
                  <w:rFonts w:ascii="Cambria Math" w:hAnsi="Cambria Math"/>
                  <w:szCs w:val="18"/>
                </w:rPr>
                <m:t>]</m:t>
              </m:r>
            </m:oMath>
            <w:r>
              <w:rPr>
                <w:i w:val="0"/>
              </w:rPr>
              <w:t>​</w:t>
            </w:r>
          </w:p>
        </w:tc>
        <w:tc>
          <w:tcPr>
            <w:tcW w:w="0" w:type="auto"/>
            <w:tcBorders>
              <w:bottom w:val="single" w:sz="4" w:space="0" w:color="auto"/>
            </w:tcBorders>
          </w:tcPr>
          <w:p w14:paraId="267A9463" w14:textId="77777777" w:rsidR="00F27E4D" w:rsidRDefault="00652C58">
            <w:pPr>
              <w:pStyle w:val="Subtitle"/>
              <w:spacing w:before="20" w:after="20"/>
              <w:jc w:val="left"/>
              <w:rPr>
                <w:i w:val="0"/>
              </w:rPr>
            </w:pPr>
            <m:oMath>
              <m:r>
                <w:rPr>
                  <w:rFonts w:ascii="Cambria Math" w:hAnsi="Cambria Math"/>
                  <w:szCs w:val="18"/>
                </w:rPr>
                <m:t>1.2</m:t>
              </m:r>
              <m:r>
                <w:rPr>
                  <w:rFonts w:ascii="Cambria Math" w:hAnsi="Cambria Math"/>
                  <w:szCs w:val="18"/>
                </w:rPr>
                <m:t>×</m:t>
              </m:r>
              <m:sSup>
                <m:sSupPr>
                  <m:ctrlPr>
                    <w:rPr>
                      <w:rFonts w:ascii="Cambria Math" w:hAnsi="Cambria Math"/>
                    </w:rPr>
                  </m:ctrlPr>
                </m:sSupPr>
                <m:e>
                  <m:r>
                    <w:rPr>
                      <w:rFonts w:ascii="Cambria Math" w:hAnsi="Cambria Math"/>
                      <w:szCs w:val="18"/>
                    </w:rPr>
                    <m:t>10</m:t>
                  </m:r>
                </m:e>
                <m:sup>
                  <m:r>
                    <w:rPr>
                      <w:rFonts w:ascii="Cambria Math" w:hAnsi="Cambria Math"/>
                      <w:szCs w:val="18"/>
                    </w:rPr>
                    <m:t>-</m:t>
                  </m:r>
                  <m:r>
                    <w:rPr>
                      <w:rFonts w:ascii="Cambria Math" w:hAnsi="Cambria Math"/>
                      <w:szCs w:val="18"/>
                    </w:rPr>
                    <m:t>10</m:t>
                  </m:r>
                </m:sup>
              </m:sSup>
            </m:oMath>
            <w:r>
              <w:rPr>
                <w:i w:val="0"/>
              </w:rPr>
              <w:t>​</w:t>
            </w:r>
          </w:p>
        </w:tc>
        <w:tc>
          <w:tcPr>
            <w:tcW w:w="0" w:type="auto"/>
            <w:tcBorders>
              <w:bottom w:val="single" w:sz="4" w:space="0" w:color="auto"/>
            </w:tcBorders>
          </w:tcPr>
          <w:p w14:paraId="479B504A" w14:textId="77777777" w:rsidR="00F27E4D" w:rsidRDefault="00652C58">
            <w:pPr>
              <w:pStyle w:val="Subtitle"/>
              <w:spacing w:before="20" w:after="20"/>
              <w:jc w:val="left"/>
              <w:rPr>
                <w:i w:val="0"/>
              </w:rPr>
            </w:pPr>
            <w:r>
              <w:rPr>
                <w:i w:val="0"/>
              </w:rPr>
              <w:t>0.45</w:t>
            </w:r>
          </w:p>
        </w:tc>
      </w:tr>
    </w:tbl>
    <w:p w14:paraId="11B37F72" w14:textId="77777777" w:rsidR="00F27E4D" w:rsidRDefault="00652C58">
      <w:r>
        <w:t xml:space="preserve">The stability effect is the largest separation in the study. The median paired stability difference is </w:t>
      </w:r>
      <m:oMath>
        <m:r>
          <m:rPr>
            <m:sty m:val="p"/>
          </m:rPr>
          <w:rPr>
            <w:rFonts w:ascii="Cambria Math" w:hAnsi="Cambria Math"/>
          </w:rPr>
          <m:t>+</m:t>
        </m:r>
        <m:r>
          <w:rPr>
            <w:rFonts w:ascii="Cambria Math" w:hAnsi="Cambria Math"/>
          </w:rPr>
          <m:t>0.866</m:t>
        </m:r>
      </m:oMath>
      <w:r>
        <w:t xml:space="preserve"> in favor of SHAP, and the direction is the same in all 75 matched cells. Under the reference configuration, LIME’s attribution vectors change direction under small input noise, whereas SHAP’s are comparatively invariant.</w:t>
      </w:r>
    </w:p>
    <w:p w14:paraId="2E2CEE84" w14:textId="77777777" w:rsidR="00F27E4D" w:rsidRDefault="00652C58">
      <w:r>
        <w:t xml:space="preserve">For sparsity the sign is also the same in all 75 matched cells. The metric is the active-feature ratio, so SHAP’s larger value means denser </w:t>
      </w:r>
      <w:r>
        <w:t>explanations: LIME is systematically sparser, within the limit stated in Section 3.4.</w:t>
      </w:r>
    </w:p>
    <w:p w14:paraId="0CC6F6FA" w14:textId="77777777" w:rsidR="00F27E4D" w:rsidRDefault="00652C58">
      <w:r>
        <w:t xml:space="preserve">Fidelity favors SHAP in all 75 matched cells, with a mean paired difference of </w:t>
      </w:r>
      <m:oMath>
        <m:r>
          <m:rPr>
            <m:sty m:val="p"/>
          </m:rPr>
          <w:rPr>
            <w:rFonts w:ascii="Cambria Math" w:hAnsi="Cambria Math"/>
          </w:rPr>
          <m:t>+</m:t>
        </m:r>
        <m:r>
          <w:rPr>
            <w:rFonts w:ascii="Cambria Math" w:hAnsi="Cambria Math"/>
          </w:rPr>
          <m:t>0.248</m:t>
        </m:r>
      </m:oMath>
      <w:r>
        <w:t xml:space="preserve"> and a very large effect size (</w:t>
      </w:r>
      <m:oMath>
        <m:sSub>
          <m:sSubPr>
            <m:ctrlPr>
              <w:rPr>
                <w:rFonts w:ascii="Cambria Math" w:hAnsi="Cambria Math"/>
              </w:rPr>
            </m:ctrlPr>
          </m:sSubPr>
          <m:e>
            <m:r>
              <w:rPr>
                <w:rFonts w:ascii="Cambria Math" w:hAnsi="Cambria Math"/>
              </w:rPr>
              <m:t>d</m:t>
            </m:r>
          </m:e>
          <m:sub>
            <m:r>
              <w:rPr>
                <w:rFonts w:ascii="Cambria Math" w:hAnsi="Cambria Math"/>
              </w:rPr>
              <m:t>z</m:t>
            </m:r>
          </m:sub>
        </m:sSub>
        <m:r>
          <m:rPr>
            <m:sty m:val="p"/>
          </m:rPr>
          <w:rPr>
            <w:rFonts w:ascii="Cambria Math" w:hAnsi="Cambria Math"/>
          </w:rPr>
          <m:t>=</m:t>
        </m:r>
        <m:r>
          <w:rPr>
            <w:rFonts w:ascii="Cambria Math" w:hAnsi="Cambria Math"/>
          </w:rPr>
          <m:t>4.82</m:t>
        </m:r>
      </m:oMath>
      <w:r>
        <w:t xml:space="preserve">). The faithfulness gap favors SHAP in 74 of 75 matched cells, with a mean paired difference of </w:t>
      </w:r>
      <m:oMath>
        <m:r>
          <m:rPr>
            <m:sty m:val="p"/>
          </m:rPr>
          <w:rPr>
            <w:rFonts w:ascii="Cambria Math" w:hAnsi="Cambria Math"/>
          </w:rPr>
          <m:t>+</m:t>
        </m:r>
        <m:r>
          <w:rPr>
            <w:rFonts w:ascii="Cambria Math" w:hAnsi="Cambria Math"/>
          </w:rPr>
          <m:t>0.045</m:t>
        </m:r>
      </m:oMath>
      <w:r>
        <w:t xml:space="preserve"> and a large effect size (</w:t>
      </w:r>
      <m:oMath>
        <m:sSub>
          <m:sSubPr>
            <m:ctrlPr>
              <w:rPr>
                <w:rFonts w:ascii="Cambria Math" w:hAnsi="Cambria Math"/>
              </w:rPr>
            </m:ctrlPr>
          </m:sSubPr>
          <m:e>
            <m:r>
              <w:rPr>
                <w:rFonts w:ascii="Cambria Math" w:hAnsi="Cambria Math"/>
              </w:rPr>
              <m:t>d</m:t>
            </m:r>
          </m:e>
          <m:sub>
            <m:r>
              <w:rPr>
                <w:rFonts w:ascii="Cambria Math" w:hAnsi="Cambria Math"/>
              </w:rPr>
              <m:t>z</m:t>
            </m:r>
          </m:sub>
        </m:sSub>
        <m:r>
          <m:rPr>
            <m:sty m:val="p"/>
          </m:rPr>
          <w:rPr>
            <w:rFonts w:ascii="Cambria Math" w:hAnsi="Cambria Math"/>
          </w:rPr>
          <m:t>=</m:t>
        </m:r>
        <m:r>
          <w:rPr>
            <w:rFonts w:ascii="Cambria Math" w:hAnsi="Cambria Math"/>
          </w:rPr>
          <m:t>2.63</m:t>
        </m:r>
      </m:oMath>
      <w:r>
        <w:t>). Figure 1 shows the paired mean differences for the four quality-oriented endpoints.</w:t>
      </w:r>
    </w:p>
    <w:p w14:paraId="47FD9110" w14:textId="77777777" w:rsidR="00F27E4D" w:rsidRDefault="00652C58">
      <w:pPr>
        <w:pStyle w:val="Subtitle"/>
        <w:keepNext/>
      </w:pPr>
      <w:r>
        <w:rPr>
          <w:noProof/>
        </w:rPr>
        <w:drawing>
          <wp:inline distT="0" distB="0" distL="0" distR="0" wp14:anchorId="2EB91EC5" wp14:editId="0EDE4A94">
            <wp:extent cx="4608000" cy="1936696"/>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figures/fig_b1_quality_endpoints.png"/>
                    <pic:cNvPicPr>
                      <a:picLocks noChangeAspect="1" noChangeArrowheads="1"/>
                    </pic:cNvPicPr>
                  </pic:nvPicPr>
                  <pic:blipFill>
                    <a:blip r:embed="rId13"/>
                    <a:stretch>
                      <a:fillRect/>
                    </a:stretch>
                  </pic:blipFill>
                  <pic:spPr bwMode="auto">
                    <a:xfrm>
                      <a:off x="0" y="0"/>
                      <a:ext cx="4608000" cy="1936696"/>
                    </a:xfrm>
                    <a:prstGeom prst="rect">
                      <a:avLst/>
                    </a:prstGeom>
                    <a:noFill/>
                    <a:ln w="9525">
                      <a:noFill/>
                      <a:headEnd/>
                      <a:tailEnd/>
                    </a:ln>
                  </pic:spPr>
                </pic:pic>
              </a:graphicData>
            </a:graphic>
          </wp:inline>
        </w:drawing>
      </w:r>
    </w:p>
    <w:p w14:paraId="65B2EE26" w14:textId="77777777" w:rsidR="00F27E4D" w:rsidRDefault="00652C58">
      <w:pPr>
        <w:pStyle w:val="Subtitle"/>
      </w:pPr>
      <w:r>
        <w:t xml:space="preserve">Figure 1. Mean paired difference (SHAP </w:t>
      </w:r>
      <m:oMath>
        <m:r>
          <w:rPr>
            <w:rFonts w:ascii="Cambria Math" w:hAnsi="Cambria Math"/>
            <w:szCs w:val="18"/>
          </w:rPr>
          <m:t>-</m:t>
        </m:r>
      </m:oMath>
      <w:r>
        <w:t xml:space="preserve"> LIME) with its 95% confidence </w:t>
      </w:r>
      <w:r>
        <w:t>interval for the quality-oriented primary endpoints (</w:t>
      </w:r>
      <m:oMath>
        <m:r>
          <w:rPr>
            <w:rFonts w:ascii="Cambria Math" w:hAnsi="Cambria Math"/>
            <w:szCs w:val="18"/>
          </w:rPr>
          <m:t>n</m:t>
        </m:r>
        <m:r>
          <w:rPr>
            <w:rFonts w:ascii="Cambria Math" w:hAnsi="Cambria Math"/>
            <w:szCs w:val="18"/>
          </w:rPr>
          <m:t>=</m:t>
        </m:r>
        <m:r>
          <w:rPr>
            <w:rFonts w:ascii="Cambria Math" w:hAnsi="Cambria Math"/>
            <w:szCs w:val="18"/>
          </w:rPr>
          <m:t>75</m:t>
        </m:r>
      </m:oMath>
      <w:r>
        <w:t xml:space="preserve"> matched cells), as in Table 1. For the active ratio, a positive difference means SHAP is denser, that is, LIME is sparser</w:t>
      </w:r>
    </w:p>
    <w:p w14:paraId="1C6711C1" w14:textId="77777777" w:rsidR="00F27E4D" w:rsidRDefault="00652C58">
      <w:pPr>
        <w:pStyle w:val="Heading2"/>
        <w:keepNext/>
      </w:pPr>
      <w:r>
        <w:lastRenderedPageBreak/>
        <w:t>4.3. Reproducibility across Seeds</w:t>
      </w:r>
    </w:p>
    <w:p w14:paraId="3920ECCF" w14:textId="77777777" w:rsidR="00F27E4D" w:rsidRDefault="00652C58">
      <w:r>
        <w:t xml:space="preserve">To characterize how much the readings vary with the seed, the coefficient of variation (CV = SD/mean) was computed across the five seeds of the random-forest stratum at </w:t>
      </w:r>
      <m:oMath>
        <m:r>
          <w:rPr>
            <w:rFonts w:ascii="Cambria Math" w:hAnsi="Cambria Math"/>
          </w:rPr>
          <m:t>N</m:t>
        </m:r>
        <m:r>
          <m:rPr>
            <m:sty m:val="p"/>
          </m:rPr>
          <w:rPr>
            <w:rFonts w:ascii="Cambria Math" w:hAnsi="Cambria Math"/>
          </w:rPr>
          <m:t>=</m:t>
        </m:r>
        <m:r>
          <w:rPr>
            <w:rFonts w:ascii="Cambria Math" w:hAnsi="Cambria Math"/>
          </w:rPr>
          <m:t>100</m:t>
        </m:r>
      </m:oMath>
      <w:r>
        <w:t xml:space="preserve"> (Table 2); the medians over all fifteen </w:t>
      </w:r>
      <m:oMath>
        <m:r>
          <m:rPr>
            <m:sty m:val="p"/>
          </m:rPr>
          <w:rPr>
            <w:rFonts w:ascii="Cambria Math" w:hAnsi="Cambria Math"/>
          </w:rPr>
          <m:t>(</m:t>
        </m:r>
        <m:r>
          <w:rPr>
            <w:rFonts w:ascii="Cambria Math" w:hAnsi="Cambria Math"/>
          </w:rPr>
          <m:t>N</m:t>
        </m:r>
        <m:r>
          <m:rPr>
            <m:sty m:val="p"/>
          </m:rPr>
          <w:rPr>
            <w:rFonts w:ascii="Cambria Math" w:hAnsi="Cambria Math"/>
          </w:rPr>
          <m:t>,model)</m:t>
        </m:r>
      </m:oMath>
      <w:r>
        <w:t xml:space="preserve"> strata are similar (</w:t>
      </w:r>
      <m:oMath>
        <m:r>
          <w:rPr>
            <w:rFonts w:ascii="Cambria Math" w:hAnsi="Cambria Math"/>
          </w:rPr>
          <m:t>0.9</m:t>
        </m:r>
      </m:oMath>
      <w:r>
        <w:t xml:space="preserve">, </w:t>
      </w:r>
      <m:oMath>
        <m:r>
          <w:rPr>
            <w:rFonts w:ascii="Cambria Math" w:hAnsi="Cambria Math"/>
          </w:rPr>
          <m:t>1.4</m:t>
        </m:r>
      </m:oMath>
      <w:r>
        <w:t xml:space="preserve">, </w:t>
      </w:r>
      <m:oMath>
        <m:r>
          <w:rPr>
            <w:rFonts w:ascii="Cambria Math" w:hAnsi="Cambria Math"/>
          </w:rPr>
          <m:t>2.3</m:t>
        </m:r>
      </m:oMath>
      <w:r>
        <w:t xml:space="preserve"> and </w:t>
      </w:r>
      <m:oMath>
        <m:r>
          <w:rPr>
            <w:rFonts w:ascii="Cambria Math" w:hAnsi="Cambria Math"/>
          </w:rPr>
          <m:t>88.2</m:t>
        </m:r>
        <m:r>
          <m:rPr>
            <m:sty m:val="p"/>
          </m:rPr>
          <w:rPr>
            <w:rFonts w:ascii="Cambria Math" w:hAnsi="Cambria Math"/>
          </w:rPr>
          <m:t>%</m:t>
        </m:r>
      </m:oMath>
      <w:r>
        <w:t xml:space="preserve"> </w:t>
      </w:r>
      <w:r>
        <w:t>in the table’s row order). SHAP yields highly reproducible fidelity and stability readings (</w:t>
      </w:r>
      <m:oMath>
        <m:r>
          <m:rPr>
            <m:sty m:val="p"/>
          </m:rPr>
          <w:rPr>
            <w:rFonts w:ascii="Cambria Math" w:hAnsi="Cambria Math"/>
          </w:rPr>
          <m:t>CV&lt;</m:t>
        </m:r>
        <m:r>
          <w:rPr>
            <w:rFonts w:ascii="Cambria Math" w:hAnsi="Cambria Math"/>
          </w:rPr>
          <m:t>1</m:t>
        </m:r>
        <m:r>
          <m:rPr>
            <m:sty m:val="p"/>
          </m:rPr>
          <w:rPr>
            <w:rFonts w:ascii="Cambria Math" w:hAnsi="Cambria Math"/>
          </w:rPr>
          <m:t>%</m:t>
        </m:r>
      </m:oMath>
      <w:r>
        <w:t>). LIME fidelity is acceptable (</w:t>
      </w:r>
      <m:oMath>
        <m:r>
          <m:rPr>
            <m:sty m:val="p"/>
          </m:rPr>
          <w:rPr>
            <w:rFonts w:ascii="Cambria Math" w:hAnsi="Cambria Math"/>
          </w:rPr>
          <m:t>CV=</m:t>
        </m:r>
        <m:r>
          <w:rPr>
            <w:rFonts w:ascii="Cambria Math" w:hAnsi="Cambria Math"/>
          </w:rPr>
          <m:t>2.6</m:t>
        </m:r>
        <m:r>
          <m:rPr>
            <m:sty m:val="p"/>
          </m:rPr>
          <w:rPr>
            <w:rFonts w:ascii="Cambria Math" w:hAnsi="Cambria Math"/>
          </w:rPr>
          <m:t>%</m:t>
        </m:r>
      </m:oMath>
      <w:r>
        <w:t xml:space="preserve">), whereas LIME stability has </w:t>
      </w:r>
      <m:oMath>
        <m:r>
          <m:rPr>
            <m:sty m:val="p"/>
          </m:rPr>
          <w:rPr>
            <w:rFonts w:ascii="Cambria Math" w:hAnsi="Cambria Math"/>
          </w:rPr>
          <m:t>CV=</m:t>
        </m:r>
        <m:r>
          <w:rPr>
            <w:rFonts w:ascii="Cambria Math" w:hAnsi="Cambria Math"/>
          </w:rPr>
          <m:t>86.2</m:t>
        </m:r>
        <m:r>
          <m:rPr>
            <m:sty m:val="p"/>
          </m:rPr>
          <w:rPr>
            <w:rFonts w:ascii="Cambria Math" w:hAnsi="Cambria Math"/>
          </w:rPr>
          <m:t>%</m:t>
        </m:r>
      </m:oMath>
      <w:r>
        <w:t xml:space="preserve">. That figure mostly reflects the denominator: when the mean cosine similarity is near zero, any nonzero variation produces an extreme relative deviation. In absolute terms the spread is small (seed SD </w:t>
      </w:r>
      <m:oMath>
        <m:r>
          <w:rPr>
            <w:rFonts w:ascii="Cambria Math" w:hAnsi="Cambria Math"/>
          </w:rPr>
          <m:t>0.015</m:t>
        </m:r>
      </m:oMath>
      <w:r>
        <w:t>): the informative result is the level itself, which is near zero under the reference configuration.</w:t>
      </w:r>
    </w:p>
    <w:p w14:paraId="3F2996EB" w14:textId="77777777" w:rsidR="00F27E4D" w:rsidRDefault="00652C58">
      <w:pPr>
        <w:pStyle w:val="Subtitle"/>
        <w:keepNext/>
        <w:jc w:val="both"/>
      </w:pPr>
      <w:r>
        <w:t xml:space="preserve">Table 2. </w:t>
      </w:r>
      <w:r>
        <w:t xml:space="preserve">Coefficient of variation (CV = SD/mean) across the five seeds of the random-forest, </w:t>
      </w:r>
      <m:oMath>
        <m:r>
          <w:rPr>
            <w:rFonts w:ascii="Cambria Math" w:hAnsi="Cambria Math"/>
            <w:szCs w:val="18"/>
          </w:rPr>
          <m:t>N</m:t>
        </m:r>
        <m:r>
          <w:rPr>
            <w:rFonts w:ascii="Cambria Math" w:hAnsi="Cambria Math"/>
            <w:szCs w:val="18"/>
          </w:rPr>
          <m:t>=</m:t>
        </m:r>
        <m:r>
          <w:rPr>
            <w:rFonts w:ascii="Cambria Math" w:hAnsi="Cambria Math"/>
            <w:szCs w:val="18"/>
          </w:rPr>
          <m:t>100</m:t>
        </m:r>
      </m:oMath>
      <w:r>
        <w:t xml:space="preserve"> stratum for the two primary quality endpoints. The CV is uninformative for LIME stability, whose mean is near zero</w:t>
      </w:r>
    </w:p>
    <w:tbl>
      <w:tblPr>
        <w:tblStyle w:val="TableGrid5"/>
        <w:tblW w:w="6352" w:type="dxa"/>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86"/>
        <w:gridCol w:w="1119"/>
        <w:gridCol w:w="2747"/>
      </w:tblGrid>
      <w:tr w:rsidR="00F27E4D" w14:paraId="585EA291" w14:textId="77777777">
        <w:trPr>
          <w:jc w:val="center"/>
        </w:trPr>
        <w:tc>
          <w:tcPr>
            <w:tcW w:w="0" w:type="auto"/>
            <w:tcBorders>
              <w:top w:val="single" w:sz="4" w:space="0" w:color="auto"/>
              <w:bottom w:val="single" w:sz="4" w:space="0" w:color="auto"/>
            </w:tcBorders>
          </w:tcPr>
          <w:p w14:paraId="398F876B" w14:textId="77777777" w:rsidR="00F27E4D" w:rsidRDefault="00652C58">
            <w:pPr>
              <w:pStyle w:val="Subtitle"/>
              <w:keepNext/>
              <w:spacing w:before="20" w:after="20"/>
              <w:jc w:val="left"/>
              <w:rPr>
                <w:i w:val="0"/>
              </w:rPr>
            </w:pPr>
            <w:r>
              <w:rPr>
                <w:i w:val="0"/>
              </w:rPr>
              <w:t>Method – Metric</w:t>
            </w:r>
          </w:p>
        </w:tc>
        <w:tc>
          <w:tcPr>
            <w:tcW w:w="0" w:type="auto"/>
            <w:tcBorders>
              <w:top w:val="single" w:sz="4" w:space="0" w:color="auto"/>
              <w:bottom w:val="single" w:sz="4" w:space="0" w:color="auto"/>
            </w:tcBorders>
          </w:tcPr>
          <w:p w14:paraId="524AE9BD" w14:textId="77777777" w:rsidR="00F27E4D" w:rsidRDefault="00652C58">
            <w:pPr>
              <w:pStyle w:val="Subtitle"/>
              <w:keepNext/>
              <w:spacing w:before="20" w:after="20"/>
              <w:jc w:val="left"/>
              <w:rPr>
                <w:i w:val="0"/>
              </w:rPr>
            </w:pPr>
            <w:r>
              <w:rPr>
                <w:i w:val="0"/>
              </w:rPr>
              <w:t>CV</w:t>
            </w:r>
          </w:p>
        </w:tc>
        <w:tc>
          <w:tcPr>
            <w:tcW w:w="0" w:type="auto"/>
            <w:tcBorders>
              <w:top w:val="single" w:sz="4" w:space="0" w:color="auto"/>
              <w:bottom w:val="single" w:sz="4" w:space="0" w:color="auto"/>
            </w:tcBorders>
          </w:tcPr>
          <w:p w14:paraId="1EF5D7A5" w14:textId="77777777" w:rsidR="00F27E4D" w:rsidRDefault="00652C58">
            <w:pPr>
              <w:pStyle w:val="Subtitle"/>
              <w:keepNext/>
              <w:spacing w:before="20" w:after="20"/>
              <w:jc w:val="left"/>
              <w:rPr>
                <w:i w:val="0"/>
              </w:rPr>
            </w:pPr>
            <w:r>
              <w:rPr>
                <w:i w:val="0"/>
              </w:rPr>
              <w:t>Reproducible?</w:t>
            </w:r>
          </w:p>
        </w:tc>
      </w:tr>
      <w:tr w:rsidR="00F27E4D" w14:paraId="228A56D6" w14:textId="77777777">
        <w:trPr>
          <w:jc w:val="center"/>
        </w:trPr>
        <w:tc>
          <w:tcPr>
            <w:tcW w:w="0" w:type="auto"/>
          </w:tcPr>
          <w:p w14:paraId="418F7569" w14:textId="77777777" w:rsidR="00F27E4D" w:rsidRDefault="00652C58">
            <w:pPr>
              <w:pStyle w:val="Subtitle"/>
              <w:keepNext/>
              <w:spacing w:before="20" w:after="20"/>
              <w:jc w:val="left"/>
              <w:rPr>
                <w:i w:val="0"/>
              </w:rPr>
            </w:pPr>
            <w:r>
              <w:rPr>
                <w:i w:val="0"/>
              </w:rPr>
              <w:t>SHAP – Fidelity</w:t>
            </w:r>
          </w:p>
        </w:tc>
        <w:tc>
          <w:tcPr>
            <w:tcW w:w="0" w:type="auto"/>
          </w:tcPr>
          <w:p w14:paraId="379803BA" w14:textId="77777777" w:rsidR="00F27E4D" w:rsidRDefault="00652C58">
            <w:pPr>
              <w:pStyle w:val="Subtitle"/>
              <w:keepNext/>
              <w:spacing w:before="20" w:after="20"/>
              <w:jc w:val="left"/>
              <w:rPr>
                <w:i w:val="0"/>
              </w:rPr>
            </w:pPr>
            <w:r>
              <w:rPr>
                <w:i w:val="0"/>
              </w:rPr>
              <w:t>0.8%</w:t>
            </w:r>
          </w:p>
        </w:tc>
        <w:tc>
          <w:tcPr>
            <w:tcW w:w="0" w:type="auto"/>
          </w:tcPr>
          <w:p w14:paraId="5DD3D474" w14:textId="77777777" w:rsidR="00F27E4D" w:rsidRDefault="00652C58">
            <w:pPr>
              <w:pStyle w:val="Subtitle"/>
              <w:keepNext/>
              <w:spacing w:before="20" w:after="20"/>
              <w:jc w:val="left"/>
              <w:rPr>
                <w:i w:val="0"/>
              </w:rPr>
            </w:pPr>
            <w:r>
              <w:rPr>
                <w:i w:val="0"/>
              </w:rPr>
              <w:t>Yes</w:t>
            </w:r>
          </w:p>
        </w:tc>
      </w:tr>
      <w:tr w:rsidR="00F27E4D" w14:paraId="5D711F28" w14:textId="77777777">
        <w:trPr>
          <w:jc w:val="center"/>
        </w:trPr>
        <w:tc>
          <w:tcPr>
            <w:tcW w:w="0" w:type="auto"/>
          </w:tcPr>
          <w:p w14:paraId="30320A6A" w14:textId="77777777" w:rsidR="00F27E4D" w:rsidRDefault="00652C58">
            <w:pPr>
              <w:pStyle w:val="Subtitle"/>
              <w:keepNext/>
              <w:spacing w:before="20" w:after="20"/>
              <w:jc w:val="left"/>
              <w:rPr>
                <w:i w:val="0"/>
              </w:rPr>
            </w:pPr>
            <w:r>
              <w:rPr>
                <w:i w:val="0"/>
              </w:rPr>
              <w:t>SHAP – Stability</w:t>
            </w:r>
          </w:p>
        </w:tc>
        <w:tc>
          <w:tcPr>
            <w:tcW w:w="0" w:type="auto"/>
          </w:tcPr>
          <w:p w14:paraId="0AC6409B" w14:textId="77777777" w:rsidR="00F27E4D" w:rsidRDefault="00652C58">
            <w:pPr>
              <w:pStyle w:val="Subtitle"/>
              <w:keepNext/>
              <w:spacing w:before="20" w:after="20"/>
              <w:jc w:val="left"/>
              <w:rPr>
                <w:i w:val="0"/>
              </w:rPr>
            </w:pPr>
            <w:r>
              <w:rPr>
                <w:i w:val="0"/>
              </w:rPr>
              <w:t>0.7%</w:t>
            </w:r>
          </w:p>
        </w:tc>
        <w:tc>
          <w:tcPr>
            <w:tcW w:w="0" w:type="auto"/>
          </w:tcPr>
          <w:p w14:paraId="72A92158" w14:textId="77777777" w:rsidR="00F27E4D" w:rsidRDefault="00652C58">
            <w:pPr>
              <w:pStyle w:val="Subtitle"/>
              <w:keepNext/>
              <w:spacing w:before="20" w:after="20"/>
              <w:jc w:val="left"/>
              <w:rPr>
                <w:i w:val="0"/>
              </w:rPr>
            </w:pPr>
            <w:r>
              <w:rPr>
                <w:i w:val="0"/>
              </w:rPr>
              <w:t>Yes</w:t>
            </w:r>
          </w:p>
        </w:tc>
      </w:tr>
      <w:tr w:rsidR="00F27E4D" w14:paraId="76E9919D" w14:textId="77777777">
        <w:trPr>
          <w:jc w:val="center"/>
        </w:trPr>
        <w:tc>
          <w:tcPr>
            <w:tcW w:w="0" w:type="auto"/>
          </w:tcPr>
          <w:p w14:paraId="57C53AD7" w14:textId="77777777" w:rsidR="00F27E4D" w:rsidRDefault="00652C58">
            <w:pPr>
              <w:pStyle w:val="Subtitle"/>
              <w:keepNext/>
              <w:spacing w:before="20" w:after="20"/>
              <w:jc w:val="left"/>
              <w:rPr>
                <w:i w:val="0"/>
              </w:rPr>
            </w:pPr>
            <w:r>
              <w:rPr>
                <w:i w:val="0"/>
              </w:rPr>
              <w:t>LIME – Fidelity</w:t>
            </w:r>
          </w:p>
        </w:tc>
        <w:tc>
          <w:tcPr>
            <w:tcW w:w="0" w:type="auto"/>
          </w:tcPr>
          <w:p w14:paraId="446F26DE" w14:textId="77777777" w:rsidR="00F27E4D" w:rsidRDefault="00652C58">
            <w:pPr>
              <w:pStyle w:val="Subtitle"/>
              <w:keepNext/>
              <w:spacing w:before="20" w:after="20"/>
              <w:jc w:val="left"/>
              <w:rPr>
                <w:i w:val="0"/>
              </w:rPr>
            </w:pPr>
            <w:r>
              <w:rPr>
                <w:i w:val="0"/>
              </w:rPr>
              <w:t>2.6%</w:t>
            </w:r>
          </w:p>
        </w:tc>
        <w:tc>
          <w:tcPr>
            <w:tcW w:w="0" w:type="auto"/>
          </w:tcPr>
          <w:p w14:paraId="7732E78A" w14:textId="77777777" w:rsidR="00F27E4D" w:rsidRDefault="00652C58">
            <w:pPr>
              <w:pStyle w:val="Subtitle"/>
              <w:keepNext/>
              <w:spacing w:before="20" w:after="20"/>
              <w:jc w:val="left"/>
              <w:rPr>
                <w:i w:val="0"/>
              </w:rPr>
            </w:pPr>
            <w:r>
              <w:rPr>
                <w:i w:val="0"/>
              </w:rPr>
              <w:t>Yes</w:t>
            </w:r>
          </w:p>
        </w:tc>
      </w:tr>
      <w:tr w:rsidR="00F27E4D" w14:paraId="5B0EBAAA" w14:textId="77777777">
        <w:trPr>
          <w:jc w:val="center"/>
        </w:trPr>
        <w:tc>
          <w:tcPr>
            <w:tcW w:w="0" w:type="auto"/>
            <w:tcBorders>
              <w:bottom w:val="single" w:sz="4" w:space="0" w:color="auto"/>
            </w:tcBorders>
          </w:tcPr>
          <w:p w14:paraId="7984373B" w14:textId="77777777" w:rsidR="00F27E4D" w:rsidRDefault="00652C58">
            <w:pPr>
              <w:pStyle w:val="Subtitle"/>
              <w:spacing w:before="20" w:after="20"/>
              <w:jc w:val="left"/>
              <w:rPr>
                <w:i w:val="0"/>
              </w:rPr>
            </w:pPr>
            <w:r>
              <w:rPr>
                <w:i w:val="0"/>
              </w:rPr>
              <w:t>LIME – Stability</w:t>
            </w:r>
          </w:p>
        </w:tc>
        <w:tc>
          <w:tcPr>
            <w:tcW w:w="0" w:type="auto"/>
            <w:tcBorders>
              <w:bottom w:val="single" w:sz="4" w:space="0" w:color="auto"/>
            </w:tcBorders>
          </w:tcPr>
          <w:p w14:paraId="6047D4BB" w14:textId="77777777" w:rsidR="00F27E4D" w:rsidRDefault="00652C58">
            <w:pPr>
              <w:pStyle w:val="Subtitle"/>
              <w:spacing w:before="20" w:after="20"/>
              <w:jc w:val="left"/>
              <w:rPr>
                <w:i w:val="0"/>
              </w:rPr>
            </w:pPr>
            <w:r>
              <w:rPr>
                <w:i w:val="0"/>
              </w:rPr>
              <w:t>86.2%</w:t>
            </w:r>
          </w:p>
        </w:tc>
        <w:tc>
          <w:tcPr>
            <w:tcW w:w="0" w:type="auto"/>
            <w:tcBorders>
              <w:bottom w:val="single" w:sz="4" w:space="0" w:color="auto"/>
            </w:tcBorders>
          </w:tcPr>
          <w:p w14:paraId="3EB90557" w14:textId="77777777" w:rsidR="00F27E4D" w:rsidRDefault="00652C58">
            <w:pPr>
              <w:pStyle w:val="Subtitle"/>
              <w:spacing w:before="20" w:after="20"/>
              <w:jc w:val="left"/>
              <w:rPr>
                <w:i w:val="0"/>
              </w:rPr>
            </w:pPr>
            <w:r>
              <w:rPr>
                <w:i w:val="0"/>
              </w:rPr>
              <w:t>CV not meaningful</w:t>
            </w:r>
          </w:p>
        </w:tc>
      </w:tr>
    </w:tbl>
    <w:p w14:paraId="5F1BE05A" w14:textId="77777777" w:rsidR="00F27E4D" w:rsidRDefault="00652C58">
      <w:pPr>
        <w:pStyle w:val="Heading2"/>
        <w:keepNext/>
      </w:pPr>
      <w:r>
        <w:t>4.4. Runtime: the Ordering Depends on the Model Family</w:t>
      </w:r>
    </w:p>
    <w:p w14:paraId="4B7AB94E" w14:textId="77777777" w:rsidR="00F27E4D" w:rsidRDefault="00652C58">
      <w:r>
        <w:t xml:space="preserve">The cost difference is significant but strongly heterogeneous. SHAP is </w:t>
      </w:r>
      <w:r>
        <w:t xml:space="preserve">slower in 59 of 75 matched cells. The matched-cell median cost is 684.1 ms for SHAP against 65.7 ms for LIME, and the median per-cell SHAP/LIME cost ratio is approximately </w:t>
      </w:r>
      <m:oMath>
        <m:r>
          <w:rPr>
            <w:rFonts w:ascii="Cambria Math" w:hAnsi="Cambria Math"/>
          </w:rPr>
          <m:t>5.3</m:t>
        </m:r>
        <m:r>
          <m:rPr>
            <m:sty m:val="p"/>
          </m:rPr>
          <w:rPr>
            <w:rFonts w:ascii="Cambria Math" w:hAnsi="Cambria Math"/>
          </w:rPr>
          <m:t>×</m:t>
        </m:r>
      </m:oMath>
      <w:r>
        <w:t xml:space="preserve">. The SHAP distribution is heavy-tailed, so its mean lies far above its median (the per-method means are reported in [10]): the 90th and 95th percentile latencies are approximately 51,456 ms and 67,066 ms, respectively, compared with 12,825 ms and 13,192 ms for LIME. This tail is concentrated in KernelSHAP </w:t>
      </w:r>
      <w:r>
        <w:t>contexts, especially the SVM.</w:t>
      </w:r>
    </w:p>
    <w:p w14:paraId="3E23D2A8" w14:textId="77777777" w:rsidR="00F27E4D" w:rsidRDefault="00652C58">
      <w:r>
        <w:t xml:space="preserve">The quality ordering (stability, sparsity direction, fidelity, faithfulness gap) is the same in every model family. The cost ordering is not. SHAP is faster in all 15 XGBoost matched cells and in one SVM cell, whereas the logistic regression, random forest and MLP cells are uniformly SHAP-slower (Figure 2, Table 3). The two tree ensembles behave in opposite ways. For XGBoost, </w:t>
      </w:r>
      <w:r>
        <w:rPr>
          <w:rFonts w:ascii="Consolas" w:hAnsi="Consolas"/>
          <w:sz w:val="18"/>
        </w:rPr>
        <w:t>TreeExplainer</w:t>
      </w:r>
      <w:r>
        <w:t xml:space="preserve"> was faster than LIME in </w:t>
      </w:r>
      <w:r>
        <w:t xml:space="preserve">all 15 matched cells (median 18.1 ms vs. 61.8 ms). For random forests it was slower in all 15 cells (median 1,262.4 ms vs. 335.6 ms). A candidate explanation, not tested here, is that the cost of </w:t>
      </w:r>
      <w:r>
        <w:rPr>
          <w:rFonts w:ascii="Consolas" w:hAnsi="Consolas"/>
          <w:sz w:val="18"/>
        </w:rPr>
        <w:t>TreeExplainer</w:t>
      </w:r>
      <w:r>
        <w:t xml:space="preserve"> grows with the number and depth of the trees. For the non-tree models, where SHAP runs in kernel mode, LIME has the lower median runtime (53.3 ms vs. 694.6 ms). “LIME is faster” is therefore a majority statement in this cohort, not a property of the two methods, and “SHAP is fast on tree models” </w:t>
      </w:r>
      <w:r>
        <w:t>does not hold for tree models in general.</w:t>
      </w:r>
    </w:p>
    <w:p w14:paraId="7F555164" w14:textId="77777777" w:rsidR="00F27E4D" w:rsidRDefault="00652C58">
      <w:pPr>
        <w:pStyle w:val="Subtitle"/>
        <w:keepNext/>
        <w:jc w:val="both"/>
      </w:pPr>
      <w:r>
        <w:t xml:space="preserve">Table 3. Median per-instance cost by model group on the matched cells, and the number of cells in which SHAP was the faster method. SHAP uses </w:t>
      </w:r>
      <w:r>
        <w:rPr>
          <w:rFonts w:ascii="Consolas" w:hAnsi="Consolas"/>
        </w:rPr>
        <w:t>TreeExplainer</w:t>
      </w:r>
      <w:r>
        <w:t xml:space="preserve"> for the two tree ensembles and </w:t>
      </w:r>
      <w:r>
        <w:rPr>
          <w:rFonts w:ascii="Consolas" w:hAnsi="Consolas"/>
        </w:rPr>
        <w:t>KernelExplainer</w:t>
      </w:r>
      <w:r>
        <w:t xml:space="preserve"> for the non-tree models</w:t>
      </w:r>
    </w:p>
    <w:tbl>
      <w:tblPr>
        <w:tblStyle w:val="TableGrid5"/>
        <w:tblW w:w="6352" w:type="dxa"/>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96"/>
        <w:gridCol w:w="586"/>
        <w:gridCol w:w="1408"/>
        <w:gridCol w:w="1370"/>
        <w:gridCol w:w="992"/>
      </w:tblGrid>
      <w:tr w:rsidR="00F27E4D" w14:paraId="0C5CAED9" w14:textId="77777777">
        <w:trPr>
          <w:jc w:val="center"/>
        </w:trPr>
        <w:tc>
          <w:tcPr>
            <w:tcW w:w="0" w:type="auto"/>
            <w:tcBorders>
              <w:top w:val="single" w:sz="4" w:space="0" w:color="auto"/>
              <w:bottom w:val="single" w:sz="4" w:space="0" w:color="auto"/>
            </w:tcBorders>
          </w:tcPr>
          <w:p w14:paraId="07206BC8" w14:textId="77777777" w:rsidR="00F27E4D" w:rsidRDefault="00652C58">
            <w:pPr>
              <w:pStyle w:val="Subtitle"/>
              <w:keepNext/>
              <w:spacing w:before="20" w:after="20"/>
              <w:jc w:val="left"/>
              <w:rPr>
                <w:i w:val="0"/>
              </w:rPr>
            </w:pPr>
            <w:r>
              <w:rPr>
                <w:i w:val="0"/>
              </w:rPr>
              <w:t>Model group</w:t>
            </w:r>
          </w:p>
        </w:tc>
        <w:tc>
          <w:tcPr>
            <w:tcW w:w="0" w:type="auto"/>
            <w:tcBorders>
              <w:top w:val="single" w:sz="4" w:space="0" w:color="auto"/>
              <w:bottom w:val="single" w:sz="4" w:space="0" w:color="auto"/>
            </w:tcBorders>
          </w:tcPr>
          <w:p w14:paraId="01D39447" w14:textId="77777777" w:rsidR="00F27E4D" w:rsidRDefault="00652C58">
            <w:pPr>
              <w:pStyle w:val="Subtitle"/>
              <w:keepNext/>
              <w:spacing w:before="20" w:after="20"/>
              <w:jc w:val="left"/>
              <w:rPr>
                <w:i w:val="0"/>
              </w:rPr>
            </w:pPr>
            <w:r>
              <w:rPr>
                <w:i w:val="0"/>
              </w:rPr>
              <w:t>Cells</w:t>
            </w:r>
          </w:p>
        </w:tc>
        <w:tc>
          <w:tcPr>
            <w:tcW w:w="0" w:type="auto"/>
            <w:tcBorders>
              <w:top w:val="single" w:sz="4" w:space="0" w:color="auto"/>
              <w:bottom w:val="single" w:sz="4" w:space="0" w:color="auto"/>
            </w:tcBorders>
          </w:tcPr>
          <w:p w14:paraId="2CEC193F" w14:textId="77777777" w:rsidR="00F27E4D" w:rsidRDefault="00652C58">
            <w:pPr>
              <w:pStyle w:val="Subtitle"/>
              <w:keepNext/>
              <w:spacing w:before="20" w:after="20"/>
              <w:jc w:val="left"/>
              <w:rPr>
                <w:i w:val="0"/>
              </w:rPr>
            </w:pPr>
            <w:r>
              <w:rPr>
                <w:i w:val="0"/>
              </w:rPr>
              <w:t>SHAP median (ms)</w:t>
            </w:r>
          </w:p>
        </w:tc>
        <w:tc>
          <w:tcPr>
            <w:tcW w:w="0" w:type="auto"/>
            <w:tcBorders>
              <w:top w:val="single" w:sz="4" w:space="0" w:color="auto"/>
              <w:bottom w:val="single" w:sz="4" w:space="0" w:color="auto"/>
            </w:tcBorders>
          </w:tcPr>
          <w:p w14:paraId="78915B3B" w14:textId="77777777" w:rsidR="00F27E4D" w:rsidRDefault="00652C58">
            <w:pPr>
              <w:pStyle w:val="Subtitle"/>
              <w:keepNext/>
              <w:spacing w:before="20" w:after="20"/>
              <w:jc w:val="left"/>
              <w:rPr>
                <w:i w:val="0"/>
              </w:rPr>
            </w:pPr>
            <w:r>
              <w:rPr>
                <w:i w:val="0"/>
              </w:rPr>
              <w:t>LIME median (ms)</w:t>
            </w:r>
          </w:p>
        </w:tc>
        <w:tc>
          <w:tcPr>
            <w:tcW w:w="0" w:type="auto"/>
            <w:tcBorders>
              <w:top w:val="single" w:sz="4" w:space="0" w:color="auto"/>
              <w:bottom w:val="single" w:sz="4" w:space="0" w:color="auto"/>
            </w:tcBorders>
          </w:tcPr>
          <w:p w14:paraId="7B65D300" w14:textId="77777777" w:rsidR="00F27E4D" w:rsidRDefault="00652C58">
            <w:pPr>
              <w:pStyle w:val="Subtitle"/>
              <w:keepNext/>
              <w:spacing w:before="20" w:after="20"/>
              <w:jc w:val="left"/>
              <w:rPr>
                <w:i w:val="0"/>
              </w:rPr>
            </w:pPr>
            <w:r>
              <w:rPr>
                <w:i w:val="0"/>
              </w:rPr>
              <w:t>SHAP faster</w:t>
            </w:r>
          </w:p>
        </w:tc>
      </w:tr>
      <w:tr w:rsidR="00F27E4D" w14:paraId="496E2EBA" w14:textId="77777777">
        <w:trPr>
          <w:jc w:val="center"/>
        </w:trPr>
        <w:tc>
          <w:tcPr>
            <w:tcW w:w="0" w:type="auto"/>
          </w:tcPr>
          <w:p w14:paraId="5AAC7A72" w14:textId="77777777" w:rsidR="00F27E4D" w:rsidRDefault="00652C58">
            <w:pPr>
              <w:pStyle w:val="Subtitle"/>
              <w:keepNext/>
              <w:spacing w:before="20" w:after="20"/>
              <w:jc w:val="left"/>
              <w:rPr>
                <w:i w:val="0"/>
              </w:rPr>
            </w:pPr>
            <w:r>
              <w:rPr>
                <w:i w:val="0"/>
              </w:rPr>
              <w:t>XGBoost</w:t>
            </w:r>
          </w:p>
        </w:tc>
        <w:tc>
          <w:tcPr>
            <w:tcW w:w="0" w:type="auto"/>
          </w:tcPr>
          <w:p w14:paraId="25E2496C" w14:textId="77777777" w:rsidR="00F27E4D" w:rsidRDefault="00652C58">
            <w:pPr>
              <w:pStyle w:val="Subtitle"/>
              <w:keepNext/>
              <w:spacing w:before="20" w:after="20"/>
              <w:jc w:val="left"/>
              <w:rPr>
                <w:i w:val="0"/>
              </w:rPr>
            </w:pPr>
            <w:r>
              <w:rPr>
                <w:i w:val="0"/>
              </w:rPr>
              <w:t>15</w:t>
            </w:r>
          </w:p>
        </w:tc>
        <w:tc>
          <w:tcPr>
            <w:tcW w:w="0" w:type="auto"/>
          </w:tcPr>
          <w:p w14:paraId="75277E30" w14:textId="77777777" w:rsidR="00F27E4D" w:rsidRDefault="00652C58">
            <w:pPr>
              <w:pStyle w:val="Subtitle"/>
              <w:keepNext/>
              <w:spacing w:before="20" w:after="20"/>
              <w:jc w:val="left"/>
              <w:rPr>
                <w:i w:val="0"/>
              </w:rPr>
            </w:pPr>
            <w:r>
              <w:rPr>
                <w:i w:val="0"/>
              </w:rPr>
              <w:t>18.1</w:t>
            </w:r>
          </w:p>
        </w:tc>
        <w:tc>
          <w:tcPr>
            <w:tcW w:w="0" w:type="auto"/>
          </w:tcPr>
          <w:p w14:paraId="0720DBFF" w14:textId="77777777" w:rsidR="00F27E4D" w:rsidRDefault="00652C58">
            <w:pPr>
              <w:pStyle w:val="Subtitle"/>
              <w:keepNext/>
              <w:spacing w:before="20" w:after="20"/>
              <w:jc w:val="left"/>
              <w:rPr>
                <w:i w:val="0"/>
              </w:rPr>
            </w:pPr>
            <w:r>
              <w:rPr>
                <w:i w:val="0"/>
              </w:rPr>
              <w:t>61.8</w:t>
            </w:r>
          </w:p>
        </w:tc>
        <w:tc>
          <w:tcPr>
            <w:tcW w:w="0" w:type="auto"/>
          </w:tcPr>
          <w:p w14:paraId="12A47020" w14:textId="77777777" w:rsidR="00F27E4D" w:rsidRDefault="00652C58">
            <w:pPr>
              <w:pStyle w:val="Subtitle"/>
              <w:keepNext/>
              <w:spacing w:before="20" w:after="20"/>
              <w:jc w:val="left"/>
              <w:rPr>
                <w:i w:val="0"/>
              </w:rPr>
            </w:pPr>
            <w:r>
              <w:rPr>
                <w:i w:val="0"/>
              </w:rPr>
              <w:t>15 of 15</w:t>
            </w:r>
          </w:p>
        </w:tc>
      </w:tr>
      <w:tr w:rsidR="00F27E4D" w14:paraId="26F50104" w14:textId="77777777">
        <w:trPr>
          <w:jc w:val="center"/>
        </w:trPr>
        <w:tc>
          <w:tcPr>
            <w:tcW w:w="0" w:type="auto"/>
          </w:tcPr>
          <w:p w14:paraId="23036AC4" w14:textId="77777777" w:rsidR="00F27E4D" w:rsidRDefault="00652C58">
            <w:pPr>
              <w:pStyle w:val="Subtitle"/>
              <w:keepNext/>
              <w:spacing w:before="20" w:after="20"/>
              <w:jc w:val="left"/>
              <w:rPr>
                <w:i w:val="0"/>
              </w:rPr>
            </w:pPr>
            <w:r>
              <w:rPr>
                <w:i w:val="0"/>
              </w:rPr>
              <w:t>Random forest</w:t>
            </w:r>
          </w:p>
        </w:tc>
        <w:tc>
          <w:tcPr>
            <w:tcW w:w="0" w:type="auto"/>
          </w:tcPr>
          <w:p w14:paraId="5523A8D5" w14:textId="77777777" w:rsidR="00F27E4D" w:rsidRDefault="00652C58">
            <w:pPr>
              <w:pStyle w:val="Subtitle"/>
              <w:keepNext/>
              <w:spacing w:before="20" w:after="20"/>
              <w:jc w:val="left"/>
              <w:rPr>
                <w:i w:val="0"/>
              </w:rPr>
            </w:pPr>
            <w:r>
              <w:rPr>
                <w:i w:val="0"/>
              </w:rPr>
              <w:t>15</w:t>
            </w:r>
          </w:p>
        </w:tc>
        <w:tc>
          <w:tcPr>
            <w:tcW w:w="0" w:type="auto"/>
          </w:tcPr>
          <w:p w14:paraId="5410E618" w14:textId="77777777" w:rsidR="00F27E4D" w:rsidRDefault="00652C58">
            <w:pPr>
              <w:pStyle w:val="Subtitle"/>
              <w:keepNext/>
              <w:spacing w:before="20" w:after="20"/>
              <w:jc w:val="left"/>
              <w:rPr>
                <w:i w:val="0"/>
              </w:rPr>
            </w:pPr>
            <w:r>
              <w:rPr>
                <w:i w:val="0"/>
              </w:rPr>
              <w:t>1,262.4</w:t>
            </w:r>
          </w:p>
        </w:tc>
        <w:tc>
          <w:tcPr>
            <w:tcW w:w="0" w:type="auto"/>
          </w:tcPr>
          <w:p w14:paraId="27580415" w14:textId="77777777" w:rsidR="00F27E4D" w:rsidRDefault="00652C58">
            <w:pPr>
              <w:pStyle w:val="Subtitle"/>
              <w:keepNext/>
              <w:spacing w:before="20" w:after="20"/>
              <w:jc w:val="left"/>
              <w:rPr>
                <w:i w:val="0"/>
              </w:rPr>
            </w:pPr>
            <w:r>
              <w:rPr>
                <w:i w:val="0"/>
              </w:rPr>
              <w:t>335.6</w:t>
            </w:r>
          </w:p>
        </w:tc>
        <w:tc>
          <w:tcPr>
            <w:tcW w:w="0" w:type="auto"/>
          </w:tcPr>
          <w:p w14:paraId="76A1598A" w14:textId="77777777" w:rsidR="00F27E4D" w:rsidRDefault="00652C58">
            <w:pPr>
              <w:pStyle w:val="Subtitle"/>
              <w:keepNext/>
              <w:spacing w:before="20" w:after="20"/>
              <w:jc w:val="left"/>
              <w:rPr>
                <w:i w:val="0"/>
              </w:rPr>
            </w:pPr>
            <w:r>
              <w:rPr>
                <w:i w:val="0"/>
              </w:rPr>
              <w:t>0 of 15</w:t>
            </w:r>
          </w:p>
        </w:tc>
      </w:tr>
      <w:tr w:rsidR="00F27E4D" w14:paraId="68A0F6DB" w14:textId="77777777">
        <w:trPr>
          <w:jc w:val="center"/>
        </w:trPr>
        <w:tc>
          <w:tcPr>
            <w:tcW w:w="0" w:type="auto"/>
            <w:tcBorders>
              <w:bottom w:val="single" w:sz="4" w:space="0" w:color="auto"/>
            </w:tcBorders>
          </w:tcPr>
          <w:p w14:paraId="2034AFED" w14:textId="77777777" w:rsidR="00F27E4D" w:rsidRDefault="00652C58">
            <w:pPr>
              <w:pStyle w:val="Subtitle"/>
              <w:spacing w:before="20" w:after="20"/>
              <w:jc w:val="left"/>
              <w:rPr>
                <w:i w:val="0"/>
              </w:rPr>
            </w:pPr>
            <w:r>
              <w:rPr>
                <w:i w:val="0"/>
              </w:rPr>
              <w:t>Non-tree (logreg, SVM, MLP)</w:t>
            </w:r>
          </w:p>
        </w:tc>
        <w:tc>
          <w:tcPr>
            <w:tcW w:w="0" w:type="auto"/>
            <w:tcBorders>
              <w:bottom w:val="single" w:sz="4" w:space="0" w:color="auto"/>
            </w:tcBorders>
          </w:tcPr>
          <w:p w14:paraId="204DD6CA" w14:textId="77777777" w:rsidR="00F27E4D" w:rsidRDefault="00652C58">
            <w:pPr>
              <w:pStyle w:val="Subtitle"/>
              <w:spacing w:before="20" w:after="20"/>
              <w:jc w:val="left"/>
              <w:rPr>
                <w:i w:val="0"/>
              </w:rPr>
            </w:pPr>
            <w:r>
              <w:rPr>
                <w:i w:val="0"/>
              </w:rPr>
              <w:t>45</w:t>
            </w:r>
          </w:p>
        </w:tc>
        <w:tc>
          <w:tcPr>
            <w:tcW w:w="0" w:type="auto"/>
            <w:tcBorders>
              <w:bottom w:val="single" w:sz="4" w:space="0" w:color="auto"/>
            </w:tcBorders>
          </w:tcPr>
          <w:p w14:paraId="6535C5FE" w14:textId="77777777" w:rsidR="00F27E4D" w:rsidRDefault="00652C58">
            <w:pPr>
              <w:pStyle w:val="Subtitle"/>
              <w:spacing w:before="20" w:after="20"/>
              <w:jc w:val="left"/>
              <w:rPr>
                <w:i w:val="0"/>
              </w:rPr>
            </w:pPr>
            <w:r>
              <w:rPr>
                <w:i w:val="0"/>
              </w:rPr>
              <w:t>694.6</w:t>
            </w:r>
          </w:p>
        </w:tc>
        <w:tc>
          <w:tcPr>
            <w:tcW w:w="0" w:type="auto"/>
            <w:tcBorders>
              <w:bottom w:val="single" w:sz="4" w:space="0" w:color="auto"/>
            </w:tcBorders>
          </w:tcPr>
          <w:p w14:paraId="5AF98D78" w14:textId="77777777" w:rsidR="00F27E4D" w:rsidRDefault="00652C58">
            <w:pPr>
              <w:pStyle w:val="Subtitle"/>
              <w:spacing w:before="20" w:after="20"/>
              <w:jc w:val="left"/>
              <w:rPr>
                <w:i w:val="0"/>
              </w:rPr>
            </w:pPr>
            <w:r>
              <w:rPr>
                <w:i w:val="0"/>
              </w:rPr>
              <w:t>53.3</w:t>
            </w:r>
          </w:p>
        </w:tc>
        <w:tc>
          <w:tcPr>
            <w:tcW w:w="0" w:type="auto"/>
            <w:tcBorders>
              <w:bottom w:val="single" w:sz="4" w:space="0" w:color="auto"/>
            </w:tcBorders>
          </w:tcPr>
          <w:p w14:paraId="32B51986" w14:textId="77777777" w:rsidR="00F27E4D" w:rsidRDefault="00652C58">
            <w:pPr>
              <w:pStyle w:val="Subtitle"/>
              <w:spacing w:before="20" w:after="20"/>
              <w:jc w:val="left"/>
              <w:rPr>
                <w:i w:val="0"/>
              </w:rPr>
            </w:pPr>
            <w:r>
              <w:rPr>
                <w:i w:val="0"/>
              </w:rPr>
              <w:t>1 of 45</w:t>
            </w:r>
          </w:p>
        </w:tc>
      </w:tr>
    </w:tbl>
    <w:p w14:paraId="022B0CD9" w14:textId="77777777" w:rsidR="00F27E4D" w:rsidRDefault="00652C58">
      <w:pPr>
        <w:pStyle w:val="Subtitle"/>
        <w:keepNext/>
      </w:pPr>
      <w:r>
        <w:rPr>
          <w:noProof/>
        </w:rPr>
        <w:lastRenderedPageBreak/>
        <w:drawing>
          <wp:inline distT="0" distB="0" distL="0" distR="0" wp14:anchorId="00DFCF89" wp14:editId="25295DFD">
            <wp:extent cx="4896000" cy="1879273"/>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figures/fig_b2_runtime_heterogeneity.png"/>
                    <pic:cNvPicPr>
                      <a:picLocks noChangeAspect="1" noChangeArrowheads="1"/>
                    </pic:cNvPicPr>
                  </pic:nvPicPr>
                  <pic:blipFill>
                    <a:blip r:embed="rId14"/>
                    <a:stretch>
                      <a:fillRect/>
                    </a:stretch>
                  </pic:blipFill>
                  <pic:spPr bwMode="auto">
                    <a:xfrm>
                      <a:off x="0" y="0"/>
                      <a:ext cx="4896000" cy="1879273"/>
                    </a:xfrm>
                    <a:prstGeom prst="rect">
                      <a:avLst/>
                    </a:prstGeom>
                    <a:noFill/>
                    <a:ln w="9525">
                      <a:noFill/>
                      <a:headEnd/>
                      <a:tailEnd/>
                    </a:ln>
                  </pic:spPr>
                </pic:pic>
              </a:graphicData>
            </a:graphic>
          </wp:inline>
        </w:drawing>
      </w:r>
    </w:p>
    <w:p w14:paraId="489899C7" w14:textId="77777777" w:rsidR="00F27E4D" w:rsidRDefault="00652C58">
      <w:pPr>
        <w:pStyle w:val="Subtitle"/>
      </w:pPr>
      <w:r>
        <w:t xml:space="preserve">Figure 2. </w:t>
      </w:r>
      <w:r>
        <w:t>Runtime behavior under matched-cell pairing (</w:t>
      </w:r>
      <m:oMath>
        <m:r>
          <w:rPr>
            <w:rFonts w:ascii="Cambria Math" w:hAnsi="Cambria Math"/>
            <w:szCs w:val="18"/>
          </w:rPr>
          <m:t>n</m:t>
        </m:r>
        <m:r>
          <w:rPr>
            <w:rFonts w:ascii="Cambria Math" w:hAnsi="Cambria Math"/>
            <w:szCs w:val="18"/>
          </w:rPr>
          <m:t>=</m:t>
        </m:r>
        <m:r>
          <w:rPr>
            <w:rFonts w:ascii="Cambria Math" w:hAnsi="Cambria Math"/>
            <w:szCs w:val="18"/>
          </w:rPr>
          <m:t>75</m:t>
        </m:r>
      </m:oMath>
      <w:r>
        <w:t>). (A) Overall cost distribution by method (log scale). (B) Model-level median cost (log scale), showing the XGBoost exception where SHAP is faster while other families are SHAP-slower</w:t>
      </w:r>
    </w:p>
    <w:p w14:paraId="215042EF" w14:textId="77777777" w:rsidR="00F27E4D" w:rsidRDefault="00652C58">
      <w:pPr>
        <w:pStyle w:val="Heading2"/>
        <w:keepNext/>
      </w:pPr>
      <w:r>
        <w:t>4.5. Cross-Dataset Extension</w:t>
      </w:r>
    </w:p>
    <w:p w14:paraId="1F249AED" w14:textId="77777777" w:rsidR="00F27E4D" w:rsidRDefault="00652C58">
      <w:r>
        <w:t>To probe external validity within tabular classification, a cross-dataset study (EXP3) compared SHAP, LIME and Anchors [29] on two further binary classification datasets: Breast Cancer Wisconsin [31, 32] (</w:t>
      </w:r>
      <m:oMath>
        <m:r>
          <w:rPr>
            <w:rFonts w:ascii="Cambria Math" w:hAnsi="Cambria Math"/>
          </w:rPr>
          <m:t>n</m:t>
        </m:r>
        <m:r>
          <m:rPr>
            <m:sty m:val="p"/>
          </m:rPr>
          <w:rPr>
            <w:rFonts w:ascii="Cambria Math" w:hAnsi="Cambria Math"/>
          </w:rPr>
          <m:t>=</m:t>
        </m:r>
        <m:r>
          <w:rPr>
            <w:rFonts w:ascii="Cambria Math" w:hAnsi="Cambria Math"/>
          </w:rPr>
          <m:t>569</m:t>
        </m:r>
      </m:oMath>
      <w:r>
        <w:t xml:space="preserve">, 30 continuous </w:t>
      </w:r>
      <w:r>
        <w:t>features) and German Credit [31, 33] (</w:t>
      </w:r>
      <m:oMath>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000</m:t>
        </m:r>
      </m:oMath>
      <w:r>
        <w:t>, 20 mixed features). Both used random forest and XGBoost models across three random seeds each, yielding 12 paired dataset–model–seed comparisons per method pair.</w:t>
      </w:r>
    </w:p>
    <w:p w14:paraId="5A58303E" w14:textId="77777777" w:rsidR="00F27E4D" w:rsidRDefault="00652C58">
      <w:r>
        <w:rPr>
          <w:b/>
          <w:bCs/>
        </w:rPr>
        <w:t>Fidelity ordering (SHAP vs. Anchors).</w:t>
      </w:r>
      <w:r>
        <w:t xml:space="preserve"> SHAP exceeds Anchors in fidelity in all 12 paired combinations (Table 4), with mean gaps ranging from </w:t>
      </w:r>
      <m:oMath>
        <m:r>
          <m:rPr>
            <m:sty m:val="p"/>
          </m:rPr>
          <w:rPr>
            <w:rFonts w:ascii="Cambria Math" w:hAnsi="Cambria Math"/>
          </w:rPr>
          <m:t>+</m:t>
        </m:r>
        <m:r>
          <w:rPr>
            <w:rFonts w:ascii="Cambria Math" w:hAnsi="Cambria Math"/>
          </w:rPr>
          <m:t>0.26</m:t>
        </m:r>
      </m:oMath>
      <w:r>
        <w:t xml:space="preserve"> (German Credit, XGB) to </w:t>
      </w:r>
      <m:oMath>
        <m:r>
          <m:rPr>
            <m:sty m:val="p"/>
          </m:rPr>
          <w:rPr>
            <w:rFonts w:ascii="Cambria Math" w:hAnsi="Cambria Math"/>
          </w:rPr>
          <m:t>+</m:t>
        </m:r>
        <m:r>
          <w:rPr>
            <w:rFonts w:ascii="Cambria Math" w:hAnsi="Cambria Math"/>
          </w:rPr>
          <m:t>0.51</m:t>
        </m:r>
      </m:oMath>
      <w:r>
        <w:t xml:space="preserve"> (Breast Cancer, RF).</w:t>
      </w:r>
    </w:p>
    <w:p w14:paraId="043F9291" w14:textId="77777777" w:rsidR="00F27E4D" w:rsidRDefault="00652C58">
      <w:pPr>
        <w:pStyle w:val="Subtitle"/>
        <w:keepNext/>
        <w:jc w:val="both"/>
      </w:pPr>
      <w:r>
        <w:t>Table 4. Cross-dataset extension: mean Anchors fidelity (3-seed average) and the paired SHAP</w:t>
      </w:r>
      <m:oMath>
        <m:r>
          <w:rPr>
            <w:rFonts w:ascii="Cambria Math" w:hAnsi="Cambria Math"/>
            <w:szCs w:val="18"/>
          </w:rPr>
          <m:t>-</m:t>
        </m:r>
      </m:oMath>
      <w:r>
        <w:t>Anchors fidelity gap. The gap is positive in all 12 paired combinations. SHAP fidelity levels for this cohort are reported in [10]; the Anchors levels and the gaps are contributed here</w:t>
      </w:r>
    </w:p>
    <w:tbl>
      <w:tblPr>
        <w:tblStyle w:val="TableGrid5"/>
        <w:tblW w:w="6352" w:type="dxa"/>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52"/>
        <w:gridCol w:w="927"/>
        <w:gridCol w:w="1102"/>
        <w:gridCol w:w="2571"/>
      </w:tblGrid>
      <w:tr w:rsidR="00F27E4D" w14:paraId="27CC556D" w14:textId="77777777">
        <w:trPr>
          <w:jc w:val="center"/>
        </w:trPr>
        <w:tc>
          <w:tcPr>
            <w:tcW w:w="0" w:type="auto"/>
            <w:tcBorders>
              <w:top w:val="single" w:sz="4" w:space="0" w:color="auto"/>
              <w:bottom w:val="single" w:sz="4" w:space="0" w:color="auto"/>
            </w:tcBorders>
          </w:tcPr>
          <w:p w14:paraId="15E68890" w14:textId="77777777" w:rsidR="00F27E4D" w:rsidRDefault="00652C58">
            <w:pPr>
              <w:pStyle w:val="Subtitle"/>
              <w:keepNext/>
              <w:spacing w:before="20" w:after="20"/>
              <w:jc w:val="left"/>
              <w:rPr>
                <w:i w:val="0"/>
              </w:rPr>
            </w:pPr>
            <w:r>
              <w:rPr>
                <w:i w:val="0"/>
              </w:rPr>
              <w:t>Dataset</w:t>
            </w:r>
          </w:p>
        </w:tc>
        <w:tc>
          <w:tcPr>
            <w:tcW w:w="0" w:type="auto"/>
            <w:tcBorders>
              <w:top w:val="single" w:sz="4" w:space="0" w:color="auto"/>
              <w:bottom w:val="single" w:sz="4" w:space="0" w:color="auto"/>
            </w:tcBorders>
          </w:tcPr>
          <w:p w14:paraId="4811C584" w14:textId="77777777" w:rsidR="00F27E4D" w:rsidRDefault="00652C58">
            <w:pPr>
              <w:pStyle w:val="Subtitle"/>
              <w:keepNext/>
              <w:spacing w:before="20" w:after="20"/>
              <w:jc w:val="left"/>
              <w:rPr>
                <w:i w:val="0"/>
              </w:rPr>
            </w:pPr>
            <w:r>
              <w:rPr>
                <w:i w:val="0"/>
              </w:rPr>
              <w:t>Model</w:t>
            </w:r>
          </w:p>
        </w:tc>
        <w:tc>
          <w:tcPr>
            <w:tcW w:w="0" w:type="auto"/>
            <w:tcBorders>
              <w:top w:val="single" w:sz="4" w:space="0" w:color="auto"/>
              <w:bottom w:val="single" w:sz="4" w:space="0" w:color="auto"/>
            </w:tcBorders>
          </w:tcPr>
          <w:p w14:paraId="6CD3448C" w14:textId="77777777" w:rsidR="00F27E4D" w:rsidRDefault="00652C58">
            <w:pPr>
              <w:pStyle w:val="Subtitle"/>
              <w:keepNext/>
              <w:spacing w:before="20" w:after="20"/>
              <w:jc w:val="left"/>
              <w:rPr>
                <w:i w:val="0"/>
              </w:rPr>
            </w:pPr>
            <w:r>
              <w:rPr>
                <w:i w:val="0"/>
              </w:rPr>
              <w:t>Anchors</w:t>
            </w:r>
          </w:p>
        </w:tc>
        <w:tc>
          <w:tcPr>
            <w:tcW w:w="0" w:type="auto"/>
            <w:tcBorders>
              <w:top w:val="single" w:sz="4" w:space="0" w:color="auto"/>
              <w:bottom w:val="single" w:sz="4" w:space="0" w:color="auto"/>
            </w:tcBorders>
          </w:tcPr>
          <w:p w14:paraId="7FF9A8C4" w14:textId="77777777" w:rsidR="00F27E4D" w:rsidRDefault="00652C58">
            <w:pPr>
              <w:pStyle w:val="Subtitle"/>
              <w:keepNext/>
              <w:spacing w:before="20" w:after="20"/>
              <w:jc w:val="left"/>
              <w:rPr>
                <w:i w:val="0"/>
              </w:rPr>
            </w:pPr>
            <w:r>
              <w:rPr>
                <w:i w:val="0"/>
              </w:rPr>
              <w:t>Gap (SHAP</w:t>
            </w:r>
            <w:r>
              <w:rPr>
                <w:i w:val="0"/>
              </w:rPr>
              <w:t xml:space="preserve"> </w:t>
            </w:r>
            <m:oMath>
              <m:r>
                <w:rPr>
                  <w:rFonts w:ascii="Cambria Math" w:hAnsi="Cambria Math"/>
                  <w:szCs w:val="18"/>
                </w:rPr>
                <m:t>-</m:t>
              </m:r>
            </m:oMath>
            <w:r>
              <w:rPr>
                <w:i w:val="0"/>
              </w:rPr>
              <w:t xml:space="preserve"> </w:t>
            </w:r>
            <w:r>
              <w:rPr>
                <w:i w:val="0"/>
              </w:rPr>
              <w:t>Anchors)</w:t>
            </w:r>
          </w:p>
        </w:tc>
      </w:tr>
      <w:tr w:rsidR="00F27E4D" w14:paraId="28FA2E1C" w14:textId="77777777">
        <w:trPr>
          <w:jc w:val="center"/>
        </w:trPr>
        <w:tc>
          <w:tcPr>
            <w:tcW w:w="0" w:type="auto"/>
          </w:tcPr>
          <w:p w14:paraId="64F5F190" w14:textId="77777777" w:rsidR="00F27E4D" w:rsidRDefault="00652C58">
            <w:pPr>
              <w:pStyle w:val="Subtitle"/>
              <w:keepNext/>
              <w:spacing w:before="20" w:after="20"/>
              <w:jc w:val="left"/>
              <w:rPr>
                <w:i w:val="0"/>
              </w:rPr>
            </w:pPr>
            <w:r>
              <w:rPr>
                <w:i w:val="0"/>
              </w:rPr>
              <w:t>Breast Cancer</w:t>
            </w:r>
          </w:p>
        </w:tc>
        <w:tc>
          <w:tcPr>
            <w:tcW w:w="0" w:type="auto"/>
          </w:tcPr>
          <w:p w14:paraId="4A411FA4" w14:textId="77777777" w:rsidR="00F27E4D" w:rsidRDefault="00652C58">
            <w:pPr>
              <w:pStyle w:val="Subtitle"/>
              <w:keepNext/>
              <w:spacing w:before="20" w:after="20"/>
              <w:jc w:val="left"/>
              <w:rPr>
                <w:i w:val="0"/>
              </w:rPr>
            </w:pPr>
            <w:r>
              <w:rPr>
                <w:i w:val="0"/>
              </w:rPr>
              <w:t>RF</w:t>
            </w:r>
          </w:p>
        </w:tc>
        <w:tc>
          <w:tcPr>
            <w:tcW w:w="0" w:type="auto"/>
          </w:tcPr>
          <w:p w14:paraId="3F67B9DC" w14:textId="77777777" w:rsidR="00F27E4D" w:rsidRDefault="00652C58">
            <w:pPr>
              <w:pStyle w:val="Subtitle"/>
              <w:keepNext/>
              <w:spacing w:before="20" w:after="20"/>
              <w:jc w:val="left"/>
              <w:rPr>
                <w:i w:val="0"/>
              </w:rPr>
            </w:pPr>
            <w:r>
              <w:rPr>
                <w:i w:val="0"/>
              </w:rPr>
              <w:t>0.265</w:t>
            </w:r>
          </w:p>
        </w:tc>
        <w:tc>
          <w:tcPr>
            <w:tcW w:w="0" w:type="auto"/>
          </w:tcPr>
          <w:p w14:paraId="0951FA40" w14:textId="77777777" w:rsidR="00F27E4D" w:rsidRDefault="00652C58">
            <w:pPr>
              <w:pStyle w:val="Subtitle"/>
              <w:keepNext/>
              <w:spacing w:before="20" w:after="20"/>
              <w:jc w:val="left"/>
              <w:rPr>
                <w:i w:val="0"/>
              </w:rPr>
            </w:pPr>
            <m:oMath>
              <m:r>
                <w:rPr>
                  <w:rFonts w:ascii="Cambria Math" w:hAnsi="Cambria Math"/>
                  <w:szCs w:val="18"/>
                </w:rPr>
                <m:t>+</m:t>
              </m:r>
              <m:r>
                <w:rPr>
                  <w:rFonts w:ascii="Cambria Math" w:hAnsi="Cambria Math"/>
                  <w:szCs w:val="18"/>
                </w:rPr>
                <m:t>0.514</m:t>
              </m:r>
            </m:oMath>
            <w:r>
              <w:rPr>
                <w:i w:val="0"/>
              </w:rPr>
              <w:t>​</w:t>
            </w:r>
          </w:p>
        </w:tc>
      </w:tr>
      <w:tr w:rsidR="00F27E4D" w14:paraId="5719C791" w14:textId="77777777">
        <w:trPr>
          <w:jc w:val="center"/>
        </w:trPr>
        <w:tc>
          <w:tcPr>
            <w:tcW w:w="0" w:type="auto"/>
          </w:tcPr>
          <w:p w14:paraId="20C7BF3E" w14:textId="77777777" w:rsidR="00F27E4D" w:rsidRDefault="00652C58">
            <w:pPr>
              <w:pStyle w:val="Subtitle"/>
              <w:keepNext/>
              <w:spacing w:before="20" w:after="20"/>
              <w:jc w:val="left"/>
              <w:rPr>
                <w:i w:val="0"/>
              </w:rPr>
            </w:pPr>
            <w:r>
              <w:rPr>
                <w:i w:val="0"/>
              </w:rPr>
              <w:t>Breast Cancer</w:t>
            </w:r>
          </w:p>
        </w:tc>
        <w:tc>
          <w:tcPr>
            <w:tcW w:w="0" w:type="auto"/>
          </w:tcPr>
          <w:p w14:paraId="2A00638C" w14:textId="77777777" w:rsidR="00F27E4D" w:rsidRDefault="00652C58">
            <w:pPr>
              <w:pStyle w:val="Subtitle"/>
              <w:keepNext/>
              <w:spacing w:before="20" w:after="20"/>
              <w:jc w:val="left"/>
              <w:rPr>
                <w:i w:val="0"/>
              </w:rPr>
            </w:pPr>
            <w:r>
              <w:rPr>
                <w:i w:val="0"/>
              </w:rPr>
              <w:t>XGB</w:t>
            </w:r>
          </w:p>
        </w:tc>
        <w:tc>
          <w:tcPr>
            <w:tcW w:w="0" w:type="auto"/>
          </w:tcPr>
          <w:p w14:paraId="6BF7CA46" w14:textId="77777777" w:rsidR="00F27E4D" w:rsidRDefault="00652C58">
            <w:pPr>
              <w:pStyle w:val="Subtitle"/>
              <w:keepNext/>
              <w:spacing w:before="20" w:after="20"/>
              <w:jc w:val="left"/>
              <w:rPr>
                <w:i w:val="0"/>
              </w:rPr>
            </w:pPr>
            <w:r>
              <w:rPr>
                <w:i w:val="0"/>
              </w:rPr>
              <w:t>0.208</w:t>
            </w:r>
          </w:p>
        </w:tc>
        <w:tc>
          <w:tcPr>
            <w:tcW w:w="0" w:type="auto"/>
          </w:tcPr>
          <w:p w14:paraId="1C17C629" w14:textId="77777777" w:rsidR="00F27E4D" w:rsidRDefault="00652C58">
            <w:pPr>
              <w:pStyle w:val="Subtitle"/>
              <w:keepNext/>
              <w:spacing w:before="20" w:after="20"/>
              <w:jc w:val="left"/>
              <w:rPr>
                <w:i w:val="0"/>
              </w:rPr>
            </w:pPr>
            <m:oMath>
              <m:r>
                <w:rPr>
                  <w:rFonts w:ascii="Cambria Math" w:hAnsi="Cambria Math"/>
                  <w:szCs w:val="18"/>
                </w:rPr>
                <m:t>+</m:t>
              </m:r>
              <m:r>
                <w:rPr>
                  <w:rFonts w:ascii="Cambria Math" w:hAnsi="Cambria Math"/>
                  <w:szCs w:val="18"/>
                </w:rPr>
                <m:t>0.409</m:t>
              </m:r>
            </m:oMath>
            <w:r>
              <w:rPr>
                <w:i w:val="0"/>
              </w:rPr>
              <w:t>​</w:t>
            </w:r>
          </w:p>
        </w:tc>
      </w:tr>
      <w:tr w:rsidR="00F27E4D" w14:paraId="67DC98EB" w14:textId="77777777">
        <w:trPr>
          <w:jc w:val="center"/>
        </w:trPr>
        <w:tc>
          <w:tcPr>
            <w:tcW w:w="0" w:type="auto"/>
          </w:tcPr>
          <w:p w14:paraId="1309FA1E" w14:textId="77777777" w:rsidR="00F27E4D" w:rsidRDefault="00652C58">
            <w:pPr>
              <w:pStyle w:val="Subtitle"/>
              <w:keepNext/>
              <w:spacing w:before="20" w:after="20"/>
              <w:jc w:val="left"/>
              <w:rPr>
                <w:i w:val="0"/>
              </w:rPr>
            </w:pPr>
            <w:r>
              <w:rPr>
                <w:i w:val="0"/>
              </w:rPr>
              <w:t>German Credit</w:t>
            </w:r>
          </w:p>
        </w:tc>
        <w:tc>
          <w:tcPr>
            <w:tcW w:w="0" w:type="auto"/>
          </w:tcPr>
          <w:p w14:paraId="00CD0EB8" w14:textId="77777777" w:rsidR="00F27E4D" w:rsidRDefault="00652C58">
            <w:pPr>
              <w:pStyle w:val="Subtitle"/>
              <w:keepNext/>
              <w:spacing w:before="20" w:after="20"/>
              <w:jc w:val="left"/>
              <w:rPr>
                <w:i w:val="0"/>
              </w:rPr>
            </w:pPr>
            <w:r>
              <w:rPr>
                <w:i w:val="0"/>
              </w:rPr>
              <w:t>RF</w:t>
            </w:r>
          </w:p>
        </w:tc>
        <w:tc>
          <w:tcPr>
            <w:tcW w:w="0" w:type="auto"/>
          </w:tcPr>
          <w:p w14:paraId="55BA56B3" w14:textId="77777777" w:rsidR="00F27E4D" w:rsidRDefault="00652C58">
            <w:pPr>
              <w:pStyle w:val="Subtitle"/>
              <w:keepNext/>
              <w:spacing w:before="20" w:after="20"/>
              <w:jc w:val="left"/>
              <w:rPr>
                <w:i w:val="0"/>
              </w:rPr>
            </w:pPr>
            <w:r>
              <w:rPr>
                <w:i w:val="0"/>
              </w:rPr>
              <w:t>0.351</w:t>
            </w:r>
          </w:p>
        </w:tc>
        <w:tc>
          <w:tcPr>
            <w:tcW w:w="0" w:type="auto"/>
          </w:tcPr>
          <w:p w14:paraId="689CF129" w14:textId="77777777" w:rsidR="00F27E4D" w:rsidRDefault="00652C58">
            <w:pPr>
              <w:pStyle w:val="Subtitle"/>
              <w:keepNext/>
              <w:spacing w:before="20" w:after="20"/>
              <w:jc w:val="left"/>
              <w:rPr>
                <w:i w:val="0"/>
              </w:rPr>
            </w:pPr>
            <m:oMath>
              <m:r>
                <w:rPr>
                  <w:rFonts w:ascii="Cambria Math" w:hAnsi="Cambria Math"/>
                  <w:szCs w:val="18"/>
                </w:rPr>
                <m:t>+</m:t>
              </m:r>
              <m:r>
                <w:rPr>
                  <w:rFonts w:ascii="Cambria Math" w:hAnsi="Cambria Math"/>
                  <w:szCs w:val="18"/>
                </w:rPr>
                <m:t>0.363</m:t>
              </m:r>
            </m:oMath>
            <w:r>
              <w:rPr>
                <w:i w:val="0"/>
              </w:rPr>
              <w:t>​</w:t>
            </w:r>
          </w:p>
        </w:tc>
      </w:tr>
      <w:tr w:rsidR="00F27E4D" w14:paraId="773D61A8" w14:textId="77777777">
        <w:trPr>
          <w:jc w:val="center"/>
        </w:trPr>
        <w:tc>
          <w:tcPr>
            <w:tcW w:w="0" w:type="auto"/>
            <w:tcBorders>
              <w:bottom w:val="single" w:sz="4" w:space="0" w:color="auto"/>
            </w:tcBorders>
          </w:tcPr>
          <w:p w14:paraId="14E36636" w14:textId="77777777" w:rsidR="00F27E4D" w:rsidRDefault="00652C58">
            <w:pPr>
              <w:pStyle w:val="Subtitle"/>
              <w:spacing w:before="20" w:after="20"/>
              <w:jc w:val="left"/>
              <w:rPr>
                <w:i w:val="0"/>
              </w:rPr>
            </w:pPr>
            <w:r>
              <w:rPr>
                <w:i w:val="0"/>
              </w:rPr>
              <w:t>German Credit</w:t>
            </w:r>
          </w:p>
        </w:tc>
        <w:tc>
          <w:tcPr>
            <w:tcW w:w="0" w:type="auto"/>
            <w:tcBorders>
              <w:bottom w:val="single" w:sz="4" w:space="0" w:color="auto"/>
            </w:tcBorders>
          </w:tcPr>
          <w:p w14:paraId="72D4DC3D" w14:textId="77777777" w:rsidR="00F27E4D" w:rsidRDefault="00652C58">
            <w:pPr>
              <w:pStyle w:val="Subtitle"/>
              <w:spacing w:before="20" w:after="20"/>
              <w:jc w:val="left"/>
              <w:rPr>
                <w:i w:val="0"/>
              </w:rPr>
            </w:pPr>
            <w:r>
              <w:rPr>
                <w:i w:val="0"/>
              </w:rPr>
              <w:t>XGB</w:t>
            </w:r>
          </w:p>
        </w:tc>
        <w:tc>
          <w:tcPr>
            <w:tcW w:w="0" w:type="auto"/>
            <w:tcBorders>
              <w:bottom w:val="single" w:sz="4" w:space="0" w:color="auto"/>
            </w:tcBorders>
          </w:tcPr>
          <w:p w14:paraId="6B11F9F5" w14:textId="77777777" w:rsidR="00F27E4D" w:rsidRDefault="00652C58">
            <w:pPr>
              <w:pStyle w:val="Subtitle"/>
              <w:spacing w:before="20" w:after="20"/>
              <w:jc w:val="left"/>
              <w:rPr>
                <w:i w:val="0"/>
              </w:rPr>
            </w:pPr>
            <w:r>
              <w:rPr>
                <w:i w:val="0"/>
              </w:rPr>
              <w:t>0.451</w:t>
            </w:r>
          </w:p>
        </w:tc>
        <w:tc>
          <w:tcPr>
            <w:tcW w:w="0" w:type="auto"/>
            <w:tcBorders>
              <w:bottom w:val="single" w:sz="4" w:space="0" w:color="auto"/>
            </w:tcBorders>
          </w:tcPr>
          <w:p w14:paraId="2BAF1821" w14:textId="77777777" w:rsidR="00F27E4D" w:rsidRDefault="00652C58">
            <w:pPr>
              <w:pStyle w:val="Subtitle"/>
              <w:spacing w:before="20" w:after="20"/>
              <w:jc w:val="left"/>
              <w:rPr>
                <w:i w:val="0"/>
              </w:rPr>
            </w:pPr>
            <m:oMath>
              <m:r>
                <w:rPr>
                  <w:rFonts w:ascii="Cambria Math" w:hAnsi="Cambria Math"/>
                  <w:szCs w:val="18"/>
                </w:rPr>
                <m:t>+</m:t>
              </m:r>
              <m:r>
                <w:rPr>
                  <w:rFonts w:ascii="Cambria Math" w:hAnsi="Cambria Math"/>
                  <w:szCs w:val="18"/>
                </w:rPr>
                <m:t>0.260</m:t>
              </m:r>
            </m:oMath>
            <w:r>
              <w:rPr>
                <w:i w:val="0"/>
              </w:rPr>
              <w:t>​</w:t>
            </w:r>
          </w:p>
        </w:tc>
      </w:tr>
    </w:tbl>
    <w:p w14:paraId="08D868AA" w14:textId="77777777" w:rsidR="00F27E4D" w:rsidRDefault="00652C58">
      <w:r>
        <w:rPr>
          <w:b/>
          <w:bCs/>
        </w:rPr>
        <w:t>LIME on the further datasets.</w:t>
      </w:r>
      <w:r>
        <w:t xml:space="preserve"> Table 5 reports LIME fidelity and stability on the same datasets, with the paired SHAP</w:t>
      </w:r>
      <m:oMath>
        <m:r>
          <m:rPr>
            <m:sty m:val="p"/>
          </m:rPr>
          <w:rPr>
            <w:rFonts w:ascii="Cambria Math" w:hAnsi="Cambria Math"/>
          </w:rPr>
          <m:t>-</m:t>
        </m:r>
      </m:oMath>
      <w:r>
        <w:t xml:space="preserve">LIME fidelity gap. Two findings follow. First, SHAP </w:t>
      </w:r>
      <m:oMath>
        <m:r>
          <m:rPr>
            <m:sty m:val="p"/>
          </m:rPr>
          <w:rPr>
            <w:rFonts w:ascii="Cambria Math" w:hAnsi="Cambria Math"/>
          </w:rPr>
          <m:t>&gt;</m:t>
        </m:r>
      </m:oMath>
      <w:r>
        <w:t xml:space="preserve"> LIME fidelity holds on German Credit (mean gaps </w:t>
      </w:r>
      <m:oMath>
        <m:r>
          <m:rPr>
            <m:sty m:val="p"/>
          </m:rPr>
          <w:rPr>
            <w:rFonts w:ascii="Cambria Math" w:hAnsi="Cambria Math"/>
          </w:rPr>
          <m:t>+</m:t>
        </m:r>
        <m:r>
          <w:rPr>
            <w:rFonts w:ascii="Cambria Math" w:hAnsi="Cambria Math"/>
          </w:rPr>
          <m:t>0.23</m:t>
        </m:r>
      </m:oMath>
      <w:r>
        <w:t xml:space="preserve"> for RF and </w:t>
      </w:r>
      <m:oMath>
        <m:r>
          <m:rPr>
            <m:sty m:val="p"/>
          </m:rPr>
          <w:rPr>
            <w:rFonts w:ascii="Cambria Math" w:hAnsi="Cambria Math"/>
          </w:rPr>
          <m:t>+</m:t>
        </m:r>
        <m:r>
          <w:rPr>
            <w:rFonts w:ascii="Cambria Math" w:hAnsi="Cambria Math"/>
          </w:rPr>
          <m:t>0.24</m:t>
        </m:r>
      </m:oMath>
      <w:r>
        <w:t xml:space="preserve"> for XGB, positive for every seed), in the direction found on Adult. On Breast Cancer the fidelity gap narrows substantially: SHAP leads LIME by only </w:t>
      </w:r>
      <m:oMath>
        <m:r>
          <m:rPr>
            <m:sty m:val="p"/>
          </m:rPr>
          <w:rPr>
            <w:rFonts w:ascii="Cambria Math" w:hAnsi="Cambria Math"/>
          </w:rPr>
          <m:t>+</m:t>
        </m:r>
        <m:r>
          <w:rPr>
            <w:rFonts w:ascii="Cambria Math" w:hAnsi="Cambria Math"/>
          </w:rPr>
          <m:t>0.07</m:t>
        </m:r>
      </m:oMath>
      <w:r>
        <w:t xml:space="preserve"> (RF) and </w:t>
      </w:r>
      <m:oMath>
        <m:r>
          <m:rPr>
            <m:sty m:val="p"/>
          </m:rPr>
          <w:rPr>
            <w:rFonts w:ascii="Cambria Math" w:hAnsi="Cambria Math"/>
          </w:rPr>
          <m:t>+</m:t>
        </m:r>
        <m:r>
          <w:rPr>
            <w:rFonts w:ascii="Cambria Math" w:hAnsi="Cambria Math"/>
          </w:rPr>
          <m:t>0.07</m:t>
        </m:r>
      </m:oMath>
      <w:r>
        <w:t xml:space="preserve"> (XGB), compared to </w:t>
      </w:r>
      <m:oMath>
        <m:r>
          <m:rPr>
            <m:sty m:val="p"/>
          </m:rPr>
          <w:rPr>
            <w:rFonts w:ascii="Cambria Math" w:hAnsi="Cambria Math"/>
          </w:rPr>
          <m:t>+</m:t>
        </m:r>
        <m:r>
          <w:rPr>
            <w:rFonts w:ascii="Cambria Math" w:hAnsi="Cambria Math"/>
          </w:rPr>
          <m:t>0.27</m:t>
        </m:r>
      </m:oMath>
      <w:r>
        <w:t xml:space="preserve"> (RF) and </w:t>
      </w:r>
      <m:oMath>
        <m:r>
          <m:rPr>
            <m:sty m:val="p"/>
          </m:rPr>
          <w:rPr>
            <w:rFonts w:ascii="Cambria Math" w:hAnsi="Cambria Math"/>
          </w:rPr>
          <m:t>+</m:t>
        </m:r>
        <m:r>
          <w:rPr>
            <w:rFonts w:ascii="Cambria Math" w:hAnsi="Cambria Math"/>
          </w:rPr>
          <m:t>0.21</m:t>
        </m:r>
      </m:oMath>
      <w:r>
        <w:t xml:space="preserve"> (XGB) in the corresponding model strata on Adult. Second, LIME </w:t>
      </w:r>
      <w:r>
        <w:rPr>
          <w:i/>
          <w:iCs/>
        </w:rPr>
        <w:t>stability</w:t>
      </w:r>
      <w:r>
        <w:t xml:space="preserve"> on these datasets (</w:t>
      </w:r>
      <m:oMath>
        <m:r>
          <w:rPr>
            <w:rFonts w:ascii="Cambria Math" w:hAnsi="Cambria Math"/>
          </w:rPr>
          <m:t>0.75</m:t>
        </m:r>
      </m:oMath>
      <w:r>
        <w:t>–</w:t>
      </w:r>
      <m:oMath>
        <m:r>
          <w:rPr>
            <w:rFonts w:ascii="Cambria Math" w:hAnsi="Cambria Math"/>
          </w:rPr>
          <m:t>0.93</m:t>
        </m:r>
      </m:oMath>
      <w:r>
        <w:t xml:space="preserve">) is an order of </w:t>
      </w:r>
      <w:r>
        <w:t>magnitude higher than on Adult, where it is near zero, at the same reference kernel width. The near-zero stability observed on Adult is therefore not a fixed property of LIME.</w:t>
      </w:r>
    </w:p>
    <w:p w14:paraId="7133F455" w14:textId="77777777" w:rsidR="00F27E4D" w:rsidRDefault="00652C58">
      <w:pPr>
        <w:pStyle w:val="Subtitle"/>
        <w:keepNext/>
        <w:jc w:val="both"/>
      </w:pPr>
      <w:r>
        <w:t>Table 5. Cross-dataset extension: mean fidelity and stability (3-seed average) for LIME, and the paired SHAP</w:t>
      </w:r>
      <m:oMath>
        <m:r>
          <w:rPr>
            <w:rFonts w:ascii="Cambria Math" w:hAnsi="Cambria Math"/>
            <w:szCs w:val="18"/>
          </w:rPr>
          <m:t>-</m:t>
        </m:r>
      </m:oMath>
      <w:r>
        <w:t xml:space="preserve">LIME fidelity gap. Stability is the mean pairwise cosine similarity under </w:t>
      </w:r>
      <m:oMath>
        <m:r>
          <w:rPr>
            <w:rFonts w:ascii="Cambria Math" w:hAnsi="Cambria Math"/>
            <w:szCs w:val="18"/>
          </w:rPr>
          <m:t>T</m:t>
        </m:r>
        <m:r>
          <w:rPr>
            <w:rFonts w:ascii="Cambria Math" w:hAnsi="Cambria Math"/>
            <w:szCs w:val="18"/>
          </w:rPr>
          <m:t>=</m:t>
        </m:r>
        <m:r>
          <w:rPr>
            <w:rFonts w:ascii="Cambria Math" w:hAnsi="Cambria Math"/>
            <w:szCs w:val="18"/>
          </w:rPr>
          <m:t>15</m:t>
        </m:r>
      </m:oMath>
      <w:r>
        <w:t xml:space="preserve"> Gaussian perturbations (</w:t>
      </w:r>
      <m:oMath>
        <m:r>
          <w:rPr>
            <w:rFonts w:ascii="Cambria Math" w:hAnsi="Cambria Math"/>
            <w:szCs w:val="18"/>
          </w:rPr>
          <m:t>σ</m:t>
        </m:r>
        <m:r>
          <w:rPr>
            <w:rFonts w:ascii="Cambria Math" w:hAnsi="Cambria Math"/>
            <w:szCs w:val="18"/>
          </w:rPr>
          <m:t>=</m:t>
        </m:r>
        <m:r>
          <w:rPr>
            <w:rFonts w:ascii="Cambria Math" w:hAnsi="Cambria Math"/>
            <w:szCs w:val="18"/>
          </w:rPr>
          <m:t>0.1</m:t>
        </m:r>
      </m:oMath>
      <w:r>
        <w:t xml:space="preserve">), the protocol </w:t>
      </w:r>
      <w:r>
        <w:lastRenderedPageBreak/>
        <w:t xml:space="preserve">of the main cohort. For comparison, LIME on Adult in the matched model strata: fidelity </w:t>
      </w:r>
      <m:oMath>
        <m:r>
          <w:rPr>
            <w:rFonts w:ascii="Cambria Math" w:hAnsi="Cambria Math"/>
            <w:szCs w:val="18"/>
          </w:rPr>
          <m:t>0.457</m:t>
        </m:r>
      </m:oMath>
      <w:r>
        <w:t xml:space="preserve"> </w:t>
      </w:r>
      <w:r>
        <w:t xml:space="preserve">(RF) and </w:t>
      </w:r>
      <m:oMath>
        <m:r>
          <w:rPr>
            <w:rFonts w:ascii="Cambria Math" w:hAnsi="Cambria Math"/>
            <w:szCs w:val="18"/>
          </w:rPr>
          <m:t>0.553</m:t>
        </m:r>
      </m:oMath>
      <w:r>
        <w:t xml:space="preserve"> (XGB); stability </w:t>
      </w:r>
      <m:oMath>
        <m:r>
          <w:rPr>
            <w:rFonts w:ascii="Cambria Math" w:hAnsi="Cambria Math"/>
            <w:szCs w:val="18"/>
          </w:rPr>
          <m:t>≈</m:t>
        </m:r>
        <m:r>
          <w:rPr>
            <w:rFonts w:ascii="Cambria Math" w:hAnsi="Cambria Math"/>
            <w:szCs w:val="18"/>
          </w:rPr>
          <m:t>0.01</m:t>
        </m:r>
      </m:oMath>
      <w:r>
        <w:t>–</w:t>
      </w:r>
      <m:oMath>
        <m:r>
          <w:rPr>
            <w:rFonts w:ascii="Cambria Math" w:hAnsi="Cambria Math"/>
            <w:szCs w:val="18"/>
          </w:rPr>
          <m:t>0.02</m:t>
        </m:r>
      </m:oMath>
      <w:r>
        <w:t xml:space="preserve"> across all model families</w:t>
      </w:r>
    </w:p>
    <w:tbl>
      <w:tblPr>
        <w:tblStyle w:val="TableGrid5"/>
        <w:tblW w:w="6352" w:type="dxa"/>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1"/>
        <w:gridCol w:w="727"/>
        <w:gridCol w:w="783"/>
        <w:gridCol w:w="1257"/>
        <w:gridCol w:w="849"/>
        <w:gridCol w:w="840"/>
        <w:gridCol w:w="775"/>
      </w:tblGrid>
      <w:tr w:rsidR="00F27E4D" w14:paraId="1D4C3D48" w14:textId="77777777">
        <w:trPr>
          <w:jc w:val="center"/>
        </w:trPr>
        <w:tc>
          <w:tcPr>
            <w:tcW w:w="0" w:type="auto"/>
            <w:tcBorders>
              <w:top w:val="single" w:sz="4" w:space="0" w:color="auto"/>
              <w:bottom w:val="single" w:sz="4" w:space="0" w:color="auto"/>
            </w:tcBorders>
          </w:tcPr>
          <w:p w14:paraId="71315205" w14:textId="77777777" w:rsidR="00F27E4D" w:rsidRDefault="00652C58">
            <w:pPr>
              <w:pStyle w:val="Subtitle"/>
              <w:keepNext/>
              <w:spacing w:before="20" w:after="20"/>
              <w:jc w:val="left"/>
              <w:rPr>
                <w:i w:val="0"/>
              </w:rPr>
            </w:pPr>
            <w:r>
              <w:rPr>
                <w:i w:val="0"/>
              </w:rPr>
              <w:t>Dataset</w:t>
            </w:r>
          </w:p>
        </w:tc>
        <w:tc>
          <w:tcPr>
            <w:tcW w:w="0" w:type="auto"/>
            <w:tcBorders>
              <w:top w:val="single" w:sz="4" w:space="0" w:color="auto"/>
              <w:bottom w:val="single" w:sz="4" w:space="0" w:color="auto"/>
            </w:tcBorders>
          </w:tcPr>
          <w:p w14:paraId="0C246E73" w14:textId="77777777" w:rsidR="00F27E4D" w:rsidRDefault="00652C58">
            <w:pPr>
              <w:pStyle w:val="Subtitle"/>
              <w:keepNext/>
              <w:spacing w:before="20" w:after="20"/>
              <w:jc w:val="left"/>
              <w:rPr>
                <w:i w:val="0"/>
              </w:rPr>
            </w:pPr>
            <w:r>
              <w:rPr>
                <w:i w:val="0"/>
              </w:rPr>
              <w:t>Model</w:t>
            </w:r>
          </w:p>
        </w:tc>
        <w:tc>
          <w:tcPr>
            <w:tcW w:w="0" w:type="auto"/>
            <w:tcBorders>
              <w:top w:val="single" w:sz="4" w:space="0" w:color="auto"/>
              <w:bottom w:val="single" w:sz="4" w:space="0" w:color="auto"/>
            </w:tcBorders>
          </w:tcPr>
          <w:p w14:paraId="6CADE327" w14:textId="77777777" w:rsidR="00F27E4D" w:rsidRDefault="00652C58">
            <w:pPr>
              <w:pStyle w:val="Subtitle"/>
              <w:keepNext/>
              <w:spacing w:before="20" w:after="20"/>
              <w:jc w:val="left"/>
              <w:rPr>
                <w:i w:val="0"/>
              </w:rPr>
            </w:pPr>
            <w:r>
              <w:rPr>
                <w:i w:val="0"/>
              </w:rPr>
              <w:t>Fidelity</w:t>
            </w:r>
          </w:p>
        </w:tc>
        <w:tc>
          <w:tcPr>
            <w:tcW w:w="0" w:type="auto"/>
            <w:tcBorders>
              <w:top w:val="single" w:sz="4" w:space="0" w:color="auto"/>
              <w:bottom w:val="single" w:sz="4" w:space="0" w:color="auto"/>
            </w:tcBorders>
          </w:tcPr>
          <w:p w14:paraId="65F043E7" w14:textId="77777777" w:rsidR="00F27E4D" w:rsidRDefault="00652C58">
            <w:pPr>
              <w:pStyle w:val="Subtitle"/>
              <w:keepNext/>
              <w:spacing w:before="20" w:after="20"/>
              <w:jc w:val="left"/>
              <w:rPr>
                <w:i w:val="0"/>
              </w:rPr>
            </w:pPr>
            <w:r>
              <w:rPr>
                <w:i w:val="0"/>
              </w:rPr>
              <w:t>Gap (SHAP</w:t>
            </w:r>
            <w:r>
              <w:rPr>
                <w:i w:val="0"/>
              </w:rPr>
              <w:t xml:space="preserve"> </w:t>
            </w:r>
            <m:oMath>
              <m:r>
                <w:rPr>
                  <w:rFonts w:ascii="Cambria Math" w:hAnsi="Cambria Math"/>
                  <w:szCs w:val="18"/>
                </w:rPr>
                <m:t>-</m:t>
              </m:r>
            </m:oMath>
            <w:r>
              <w:rPr>
                <w:i w:val="0"/>
              </w:rPr>
              <w:t xml:space="preserve"> </w:t>
            </w:r>
            <w:r>
              <w:rPr>
                <w:i w:val="0"/>
              </w:rPr>
              <w:t>LIME)</w:t>
            </w:r>
          </w:p>
        </w:tc>
        <w:tc>
          <w:tcPr>
            <w:tcW w:w="0" w:type="auto"/>
            <w:tcBorders>
              <w:top w:val="single" w:sz="4" w:space="0" w:color="auto"/>
              <w:bottom w:val="single" w:sz="4" w:space="0" w:color="auto"/>
            </w:tcBorders>
          </w:tcPr>
          <w:p w14:paraId="4D69F51F" w14:textId="77777777" w:rsidR="00F27E4D" w:rsidRDefault="00652C58">
            <w:pPr>
              <w:pStyle w:val="Subtitle"/>
              <w:keepNext/>
              <w:spacing w:before="20" w:after="20"/>
              <w:jc w:val="left"/>
              <w:rPr>
                <w:i w:val="0"/>
              </w:rPr>
            </w:pPr>
            <w:r>
              <w:rPr>
                <w:i w:val="0"/>
              </w:rPr>
              <w:t>Stability</w:t>
            </w:r>
          </w:p>
        </w:tc>
        <w:tc>
          <w:tcPr>
            <w:tcW w:w="0" w:type="auto"/>
            <w:tcBorders>
              <w:top w:val="single" w:sz="4" w:space="0" w:color="auto"/>
              <w:bottom w:val="single" w:sz="4" w:space="0" w:color="auto"/>
            </w:tcBorders>
          </w:tcPr>
          <w:p w14:paraId="74ED77EE" w14:textId="77777777" w:rsidR="00F27E4D" w:rsidRDefault="00652C58">
            <w:pPr>
              <w:pStyle w:val="Subtitle"/>
              <w:keepNext/>
              <w:spacing w:before="20" w:after="20"/>
              <w:jc w:val="left"/>
              <w:rPr>
                <w:i w:val="0"/>
              </w:rPr>
            </w:pPr>
            <w:r>
              <w:rPr>
                <w:i w:val="0"/>
              </w:rPr>
              <w:t>Sparsity</w:t>
            </w:r>
          </w:p>
        </w:tc>
        <w:tc>
          <w:tcPr>
            <w:tcW w:w="0" w:type="auto"/>
            <w:tcBorders>
              <w:top w:val="single" w:sz="4" w:space="0" w:color="auto"/>
              <w:bottom w:val="single" w:sz="4" w:space="0" w:color="auto"/>
            </w:tcBorders>
          </w:tcPr>
          <w:p w14:paraId="551EE536" w14:textId="77777777" w:rsidR="00F27E4D" w:rsidRDefault="00652C58">
            <w:pPr>
              <w:pStyle w:val="Subtitle"/>
              <w:keepNext/>
              <w:spacing w:before="20" w:after="20"/>
              <w:jc w:val="left"/>
              <w:rPr>
                <w:i w:val="0"/>
              </w:rPr>
            </w:pPr>
            <w:r>
              <w:rPr>
                <w:i w:val="0"/>
              </w:rPr>
              <w:t>Cost (ms)</w:t>
            </w:r>
          </w:p>
        </w:tc>
      </w:tr>
      <w:tr w:rsidR="00F27E4D" w14:paraId="4F9583A1" w14:textId="77777777">
        <w:trPr>
          <w:jc w:val="center"/>
        </w:trPr>
        <w:tc>
          <w:tcPr>
            <w:tcW w:w="0" w:type="auto"/>
          </w:tcPr>
          <w:p w14:paraId="10D7C5E1" w14:textId="77777777" w:rsidR="00F27E4D" w:rsidRDefault="00652C58">
            <w:pPr>
              <w:pStyle w:val="Subtitle"/>
              <w:keepNext/>
              <w:spacing w:before="20" w:after="20"/>
              <w:jc w:val="left"/>
              <w:rPr>
                <w:i w:val="0"/>
              </w:rPr>
            </w:pPr>
            <w:r>
              <w:rPr>
                <w:i w:val="0"/>
              </w:rPr>
              <w:t>Breast Cancer</w:t>
            </w:r>
          </w:p>
        </w:tc>
        <w:tc>
          <w:tcPr>
            <w:tcW w:w="0" w:type="auto"/>
          </w:tcPr>
          <w:p w14:paraId="40CF1098" w14:textId="77777777" w:rsidR="00F27E4D" w:rsidRDefault="00652C58">
            <w:pPr>
              <w:pStyle w:val="Subtitle"/>
              <w:keepNext/>
              <w:spacing w:before="20" w:after="20"/>
              <w:jc w:val="left"/>
              <w:rPr>
                <w:i w:val="0"/>
              </w:rPr>
            </w:pPr>
            <w:r>
              <w:rPr>
                <w:i w:val="0"/>
              </w:rPr>
              <w:t>RF</w:t>
            </w:r>
          </w:p>
        </w:tc>
        <w:tc>
          <w:tcPr>
            <w:tcW w:w="0" w:type="auto"/>
          </w:tcPr>
          <w:p w14:paraId="62BC7879" w14:textId="77777777" w:rsidR="00F27E4D" w:rsidRDefault="00652C58">
            <w:pPr>
              <w:pStyle w:val="Subtitle"/>
              <w:keepNext/>
              <w:spacing w:before="20" w:after="20"/>
              <w:jc w:val="left"/>
              <w:rPr>
                <w:i w:val="0"/>
              </w:rPr>
            </w:pPr>
            <w:r>
              <w:rPr>
                <w:i w:val="0"/>
              </w:rPr>
              <w:t>0.713</w:t>
            </w:r>
          </w:p>
        </w:tc>
        <w:tc>
          <w:tcPr>
            <w:tcW w:w="0" w:type="auto"/>
          </w:tcPr>
          <w:p w14:paraId="7366B151" w14:textId="77777777" w:rsidR="00F27E4D" w:rsidRDefault="00652C58">
            <w:pPr>
              <w:pStyle w:val="Subtitle"/>
              <w:keepNext/>
              <w:spacing w:before="20" w:after="20"/>
              <w:jc w:val="left"/>
              <w:rPr>
                <w:i w:val="0"/>
              </w:rPr>
            </w:pPr>
            <m:oMath>
              <m:r>
                <w:rPr>
                  <w:rFonts w:ascii="Cambria Math" w:hAnsi="Cambria Math"/>
                  <w:szCs w:val="18"/>
                </w:rPr>
                <m:t>+</m:t>
              </m:r>
              <m:r>
                <w:rPr>
                  <w:rFonts w:ascii="Cambria Math" w:hAnsi="Cambria Math"/>
                  <w:szCs w:val="18"/>
                </w:rPr>
                <m:t>0.07</m:t>
              </m:r>
            </m:oMath>
            <w:r>
              <w:rPr>
                <w:i w:val="0"/>
              </w:rPr>
              <w:t>​</w:t>
            </w:r>
          </w:p>
        </w:tc>
        <w:tc>
          <w:tcPr>
            <w:tcW w:w="0" w:type="auto"/>
          </w:tcPr>
          <w:p w14:paraId="45AD57D4" w14:textId="77777777" w:rsidR="00F27E4D" w:rsidRDefault="00652C58">
            <w:pPr>
              <w:pStyle w:val="Subtitle"/>
              <w:keepNext/>
              <w:spacing w:before="20" w:after="20"/>
              <w:jc w:val="left"/>
              <w:rPr>
                <w:i w:val="0"/>
              </w:rPr>
            </w:pPr>
            <w:r>
              <w:rPr>
                <w:i w:val="0"/>
              </w:rPr>
              <w:t>0.922</w:t>
            </w:r>
          </w:p>
        </w:tc>
        <w:tc>
          <w:tcPr>
            <w:tcW w:w="0" w:type="auto"/>
          </w:tcPr>
          <w:p w14:paraId="260F2CF8" w14:textId="77777777" w:rsidR="00F27E4D" w:rsidRDefault="00652C58">
            <w:pPr>
              <w:pStyle w:val="Subtitle"/>
              <w:keepNext/>
              <w:spacing w:before="20" w:after="20"/>
              <w:jc w:val="left"/>
              <w:rPr>
                <w:i w:val="0"/>
              </w:rPr>
            </w:pPr>
            <w:r>
              <w:rPr>
                <w:i w:val="0"/>
              </w:rPr>
              <w:t>0.331</w:t>
            </w:r>
          </w:p>
        </w:tc>
        <w:tc>
          <w:tcPr>
            <w:tcW w:w="0" w:type="auto"/>
          </w:tcPr>
          <w:p w14:paraId="2F3CEE7A" w14:textId="77777777" w:rsidR="00F27E4D" w:rsidRDefault="00652C58">
            <w:pPr>
              <w:pStyle w:val="Subtitle"/>
              <w:keepNext/>
              <w:spacing w:before="20" w:after="20"/>
              <w:jc w:val="left"/>
              <w:rPr>
                <w:i w:val="0"/>
              </w:rPr>
            </w:pPr>
            <w:r>
              <w:rPr>
                <w:i w:val="0"/>
              </w:rPr>
              <w:t>12.3</w:t>
            </w:r>
          </w:p>
        </w:tc>
      </w:tr>
      <w:tr w:rsidR="00F27E4D" w14:paraId="7D5519C0" w14:textId="77777777">
        <w:trPr>
          <w:jc w:val="center"/>
        </w:trPr>
        <w:tc>
          <w:tcPr>
            <w:tcW w:w="0" w:type="auto"/>
          </w:tcPr>
          <w:p w14:paraId="35E79201" w14:textId="77777777" w:rsidR="00F27E4D" w:rsidRDefault="00652C58">
            <w:pPr>
              <w:pStyle w:val="Subtitle"/>
              <w:keepNext/>
              <w:spacing w:before="20" w:after="20"/>
              <w:jc w:val="left"/>
              <w:rPr>
                <w:i w:val="0"/>
              </w:rPr>
            </w:pPr>
            <w:r>
              <w:rPr>
                <w:i w:val="0"/>
              </w:rPr>
              <w:t>Breast Cancer</w:t>
            </w:r>
          </w:p>
        </w:tc>
        <w:tc>
          <w:tcPr>
            <w:tcW w:w="0" w:type="auto"/>
          </w:tcPr>
          <w:p w14:paraId="0FD8F407" w14:textId="77777777" w:rsidR="00F27E4D" w:rsidRDefault="00652C58">
            <w:pPr>
              <w:pStyle w:val="Subtitle"/>
              <w:keepNext/>
              <w:spacing w:before="20" w:after="20"/>
              <w:jc w:val="left"/>
              <w:rPr>
                <w:i w:val="0"/>
              </w:rPr>
            </w:pPr>
            <w:r>
              <w:rPr>
                <w:i w:val="0"/>
              </w:rPr>
              <w:t>XGB</w:t>
            </w:r>
          </w:p>
        </w:tc>
        <w:tc>
          <w:tcPr>
            <w:tcW w:w="0" w:type="auto"/>
          </w:tcPr>
          <w:p w14:paraId="111664D9" w14:textId="77777777" w:rsidR="00F27E4D" w:rsidRDefault="00652C58">
            <w:pPr>
              <w:pStyle w:val="Subtitle"/>
              <w:keepNext/>
              <w:spacing w:before="20" w:after="20"/>
              <w:jc w:val="left"/>
              <w:rPr>
                <w:i w:val="0"/>
              </w:rPr>
            </w:pPr>
            <w:r>
              <w:rPr>
                <w:i w:val="0"/>
              </w:rPr>
              <w:t>0.543</w:t>
            </w:r>
          </w:p>
        </w:tc>
        <w:tc>
          <w:tcPr>
            <w:tcW w:w="0" w:type="auto"/>
          </w:tcPr>
          <w:p w14:paraId="23278411" w14:textId="77777777" w:rsidR="00F27E4D" w:rsidRDefault="00652C58">
            <w:pPr>
              <w:pStyle w:val="Subtitle"/>
              <w:keepNext/>
              <w:spacing w:before="20" w:after="20"/>
              <w:jc w:val="left"/>
              <w:rPr>
                <w:i w:val="0"/>
              </w:rPr>
            </w:pPr>
            <m:oMath>
              <m:r>
                <w:rPr>
                  <w:rFonts w:ascii="Cambria Math" w:hAnsi="Cambria Math"/>
                  <w:szCs w:val="18"/>
                </w:rPr>
                <m:t>+</m:t>
              </m:r>
              <m:r>
                <w:rPr>
                  <w:rFonts w:ascii="Cambria Math" w:hAnsi="Cambria Math"/>
                  <w:szCs w:val="18"/>
                </w:rPr>
                <m:t>0.07</m:t>
              </m:r>
            </m:oMath>
            <w:r>
              <w:rPr>
                <w:i w:val="0"/>
              </w:rPr>
              <w:t>​</w:t>
            </w:r>
          </w:p>
        </w:tc>
        <w:tc>
          <w:tcPr>
            <w:tcW w:w="0" w:type="auto"/>
          </w:tcPr>
          <w:p w14:paraId="3E025299" w14:textId="77777777" w:rsidR="00F27E4D" w:rsidRDefault="00652C58">
            <w:pPr>
              <w:pStyle w:val="Subtitle"/>
              <w:keepNext/>
              <w:spacing w:before="20" w:after="20"/>
              <w:jc w:val="left"/>
              <w:rPr>
                <w:i w:val="0"/>
              </w:rPr>
            </w:pPr>
            <w:r>
              <w:rPr>
                <w:i w:val="0"/>
              </w:rPr>
              <w:t>0.927</w:t>
            </w:r>
          </w:p>
        </w:tc>
        <w:tc>
          <w:tcPr>
            <w:tcW w:w="0" w:type="auto"/>
          </w:tcPr>
          <w:p w14:paraId="7A2789ED" w14:textId="77777777" w:rsidR="00F27E4D" w:rsidRDefault="00652C58">
            <w:pPr>
              <w:pStyle w:val="Subtitle"/>
              <w:keepNext/>
              <w:spacing w:before="20" w:after="20"/>
              <w:jc w:val="left"/>
              <w:rPr>
                <w:i w:val="0"/>
              </w:rPr>
            </w:pPr>
            <w:r>
              <w:rPr>
                <w:i w:val="0"/>
              </w:rPr>
              <w:t>0.331</w:t>
            </w:r>
          </w:p>
        </w:tc>
        <w:tc>
          <w:tcPr>
            <w:tcW w:w="0" w:type="auto"/>
          </w:tcPr>
          <w:p w14:paraId="59E33AD6" w14:textId="77777777" w:rsidR="00F27E4D" w:rsidRDefault="00652C58">
            <w:pPr>
              <w:pStyle w:val="Subtitle"/>
              <w:keepNext/>
              <w:spacing w:before="20" w:after="20"/>
              <w:jc w:val="left"/>
              <w:rPr>
                <w:i w:val="0"/>
              </w:rPr>
            </w:pPr>
            <w:r>
              <w:rPr>
                <w:i w:val="0"/>
              </w:rPr>
              <w:t>7.5</w:t>
            </w:r>
          </w:p>
        </w:tc>
      </w:tr>
      <w:tr w:rsidR="00F27E4D" w14:paraId="68DBFB6C" w14:textId="77777777">
        <w:trPr>
          <w:jc w:val="center"/>
        </w:trPr>
        <w:tc>
          <w:tcPr>
            <w:tcW w:w="0" w:type="auto"/>
          </w:tcPr>
          <w:p w14:paraId="44C9DE2D" w14:textId="77777777" w:rsidR="00F27E4D" w:rsidRDefault="00652C58">
            <w:pPr>
              <w:pStyle w:val="Subtitle"/>
              <w:keepNext/>
              <w:spacing w:before="20" w:after="20"/>
              <w:jc w:val="left"/>
              <w:rPr>
                <w:i w:val="0"/>
              </w:rPr>
            </w:pPr>
            <w:r>
              <w:rPr>
                <w:i w:val="0"/>
              </w:rPr>
              <w:t>German Credit</w:t>
            </w:r>
          </w:p>
        </w:tc>
        <w:tc>
          <w:tcPr>
            <w:tcW w:w="0" w:type="auto"/>
          </w:tcPr>
          <w:p w14:paraId="0F5D2EE8" w14:textId="77777777" w:rsidR="00F27E4D" w:rsidRDefault="00652C58">
            <w:pPr>
              <w:pStyle w:val="Subtitle"/>
              <w:keepNext/>
              <w:spacing w:before="20" w:after="20"/>
              <w:jc w:val="left"/>
              <w:rPr>
                <w:i w:val="0"/>
              </w:rPr>
            </w:pPr>
            <w:r>
              <w:rPr>
                <w:i w:val="0"/>
              </w:rPr>
              <w:t>RF</w:t>
            </w:r>
          </w:p>
        </w:tc>
        <w:tc>
          <w:tcPr>
            <w:tcW w:w="0" w:type="auto"/>
          </w:tcPr>
          <w:p w14:paraId="04DD237F" w14:textId="77777777" w:rsidR="00F27E4D" w:rsidRDefault="00652C58">
            <w:pPr>
              <w:pStyle w:val="Subtitle"/>
              <w:keepNext/>
              <w:spacing w:before="20" w:after="20"/>
              <w:jc w:val="left"/>
              <w:rPr>
                <w:i w:val="0"/>
              </w:rPr>
            </w:pPr>
            <w:r>
              <w:rPr>
                <w:i w:val="0"/>
              </w:rPr>
              <w:t>0.483</w:t>
            </w:r>
          </w:p>
        </w:tc>
        <w:tc>
          <w:tcPr>
            <w:tcW w:w="0" w:type="auto"/>
          </w:tcPr>
          <w:p w14:paraId="32A76EDE" w14:textId="77777777" w:rsidR="00F27E4D" w:rsidRDefault="00652C58">
            <w:pPr>
              <w:pStyle w:val="Subtitle"/>
              <w:keepNext/>
              <w:spacing w:before="20" w:after="20"/>
              <w:jc w:val="left"/>
              <w:rPr>
                <w:i w:val="0"/>
              </w:rPr>
            </w:pPr>
            <m:oMath>
              <m:r>
                <w:rPr>
                  <w:rFonts w:ascii="Cambria Math" w:hAnsi="Cambria Math"/>
                  <w:szCs w:val="18"/>
                </w:rPr>
                <m:t>+</m:t>
              </m:r>
              <m:r>
                <w:rPr>
                  <w:rFonts w:ascii="Cambria Math" w:hAnsi="Cambria Math"/>
                  <w:szCs w:val="18"/>
                </w:rPr>
                <m:t>0.23</m:t>
              </m:r>
            </m:oMath>
            <w:r>
              <w:rPr>
                <w:i w:val="0"/>
              </w:rPr>
              <w:t>​</w:t>
            </w:r>
          </w:p>
        </w:tc>
        <w:tc>
          <w:tcPr>
            <w:tcW w:w="0" w:type="auto"/>
          </w:tcPr>
          <w:p w14:paraId="5C55092C" w14:textId="77777777" w:rsidR="00F27E4D" w:rsidRDefault="00652C58">
            <w:pPr>
              <w:pStyle w:val="Subtitle"/>
              <w:keepNext/>
              <w:spacing w:before="20" w:after="20"/>
              <w:jc w:val="left"/>
              <w:rPr>
                <w:i w:val="0"/>
              </w:rPr>
            </w:pPr>
            <w:r>
              <w:rPr>
                <w:i w:val="0"/>
              </w:rPr>
              <w:t>0.854</w:t>
            </w:r>
          </w:p>
        </w:tc>
        <w:tc>
          <w:tcPr>
            <w:tcW w:w="0" w:type="auto"/>
          </w:tcPr>
          <w:p w14:paraId="454DC49C" w14:textId="77777777" w:rsidR="00F27E4D" w:rsidRDefault="00652C58">
            <w:pPr>
              <w:pStyle w:val="Subtitle"/>
              <w:keepNext/>
              <w:spacing w:before="20" w:after="20"/>
              <w:jc w:val="left"/>
              <w:rPr>
                <w:i w:val="0"/>
              </w:rPr>
            </w:pPr>
            <w:r>
              <w:rPr>
                <w:i w:val="0"/>
              </w:rPr>
              <w:t>0.163</w:t>
            </w:r>
          </w:p>
        </w:tc>
        <w:tc>
          <w:tcPr>
            <w:tcW w:w="0" w:type="auto"/>
          </w:tcPr>
          <w:p w14:paraId="537C7687" w14:textId="77777777" w:rsidR="00F27E4D" w:rsidRDefault="00652C58">
            <w:pPr>
              <w:pStyle w:val="Subtitle"/>
              <w:keepNext/>
              <w:spacing w:before="20" w:after="20"/>
              <w:jc w:val="left"/>
              <w:rPr>
                <w:i w:val="0"/>
              </w:rPr>
            </w:pPr>
            <w:r>
              <w:rPr>
                <w:i w:val="0"/>
              </w:rPr>
              <w:t>21.1</w:t>
            </w:r>
          </w:p>
        </w:tc>
      </w:tr>
      <w:tr w:rsidR="00F27E4D" w14:paraId="2089D9B7" w14:textId="77777777">
        <w:trPr>
          <w:jc w:val="center"/>
        </w:trPr>
        <w:tc>
          <w:tcPr>
            <w:tcW w:w="0" w:type="auto"/>
            <w:tcBorders>
              <w:bottom w:val="single" w:sz="4" w:space="0" w:color="auto"/>
            </w:tcBorders>
          </w:tcPr>
          <w:p w14:paraId="5A494B07" w14:textId="77777777" w:rsidR="00F27E4D" w:rsidRDefault="00652C58">
            <w:pPr>
              <w:pStyle w:val="Subtitle"/>
              <w:spacing w:before="20" w:after="20"/>
              <w:jc w:val="left"/>
              <w:rPr>
                <w:i w:val="0"/>
              </w:rPr>
            </w:pPr>
            <w:r>
              <w:rPr>
                <w:i w:val="0"/>
              </w:rPr>
              <w:t>German Credit</w:t>
            </w:r>
          </w:p>
        </w:tc>
        <w:tc>
          <w:tcPr>
            <w:tcW w:w="0" w:type="auto"/>
            <w:tcBorders>
              <w:bottom w:val="single" w:sz="4" w:space="0" w:color="auto"/>
            </w:tcBorders>
          </w:tcPr>
          <w:p w14:paraId="48D041DB" w14:textId="77777777" w:rsidR="00F27E4D" w:rsidRDefault="00652C58">
            <w:pPr>
              <w:pStyle w:val="Subtitle"/>
              <w:spacing w:before="20" w:after="20"/>
              <w:jc w:val="left"/>
              <w:rPr>
                <w:i w:val="0"/>
              </w:rPr>
            </w:pPr>
            <w:r>
              <w:rPr>
                <w:i w:val="0"/>
              </w:rPr>
              <w:t>XGB</w:t>
            </w:r>
          </w:p>
        </w:tc>
        <w:tc>
          <w:tcPr>
            <w:tcW w:w="0" w:type="auto"/>
            <w:tcBorders>
              <w:bottom w:val="single" w:sz="4" w:space="0" w:color="auto"/>
            </w:tcBorders>
          </w:tcPr>
          <w:p w14:paraId="787B4120" w14:textId="77777777" w:rsidR="00F27E4D" w:rsidRDefault="00652C58">
            <w:pPr>
              <w:pStyle w:val="Subtitle"/>
              <w:spacing w:before="20" w:after="20"/>
              <w:jc w:val="left"/>
              <w:rPr>
                <w:i w:val="0"/>
              </w:rPr>
            </w:pPr>
            <w:r>
              <w:rPr>
                <w:i w:val="0"/>
              </w:rPr>
              <w:t>0.468</w:t>
            </w:r>
          </w:p>
        </w:tc>
        <w:tc>
          <w:tcPr>
            <w:tcW w:w="0" w:type="auto"/>
            <w:tcBorders>
              <w:bottom w:val="single" w:sz="4" w:space="0" w:color="auto"/>
            </w:tcBorders>
          </w:tcPr>
          <w:p w14:paraId="2B7E6F46" w14:textId="77777777" w:rsidR="00F27E4D" w:rsidRDefault="00652C58">
            <w:pPr>
              <w:pStyle w:val="Subtitle"/>
              <w:spacing w:before="20" w:after="20"/>
              <w:jc w:val="left"/>
              <w:rPr>
                <w:i w:val="0"/>
              </w:rPr>
            </w:pPr>
            <m:oMath>
              <m:r>
                <w:rPr>
                  <w:rFonts w:ascii="Cambria Math" w:hAnsi="Cambria Math"/>
                  <w:szCs w:val="18"/>
                </w:rPr>
                <m:t>+</m:t>
              </m:r>
              <m:r>
                <w:rPr>
                  <w:rFonts w:ascii="Cambria Math" w:hAnsi="Cambria Math"/>
                  <w:szCs w:val="18"/>
                </w:rPr>
                <m:t>0.24</m:t>
              </m:r>
            </m:oMath>
            <w:r>
              <w:rPr>
                <w:i w:val="0"/>
              </w:rPr>
              <w:t>​</w:t>
            </w:r>
          </w:p>
        </w:tc>
        <w:tc>
          <w:tcPr>
            <w:tcW w:w="0" w:type="auto"/>
            <w:tcBorders>
              <w:bottom w:val="single" w:sz="4" w:space="0" w:color="auto"/>
            </w:tcBorders>
          </w:tcPr>
          <w:p w14:paraId="2C7F93A4" w14:textId="77777777" w:rsidR="00F27E4D" w:rsidRDefault="00652C58">
            <w:pPr>
              <w:pStyle w:val="Subtitle"/>
              <w:spacing w:before="20" w:after="20"/>
              <w:jc w:val="left"/>
              <w:rPr>
                <w:i w:val="0"/>
              </w:rPr>
            </w:pPr>
            <w:r>
              <w:rPr>
                <w:i w:val="0"/>
              </w:rPr>
              <w:t>0.748</w:t>
            </w:r>
          </w:p>
        </w:tc>
        <w:tc>
          <w:tcPr>
            <w:tcW w:w="0" w:type="auto"/>
            <w:tcBorders>
              <w:bottom w:val="single" w:sz="4" w:space="0" w:color="auto"/>
            </w:tcBorders>
          </w:tcPr>
          <w:p w14:paraId="354FD1CC" w14:textId="77777777" w:rsidR="00F27E4D" w:rsidRDefault="00652C58">
            <w:pPr>
              <w:pStyle w:val="Subtitle"/>
              <w:spacing w:before="20" w:after="20"/>
              <w:jc w:val="left"/>
              <w:rPr>
                <w:i w:val="0"/>
              </w:rPr>
            </w:pPr>
            <w:r>
              <w:rPr>
                <w:i w:val="0"/>
              </w:rPr>
              <w:t>0.163</w:t>
            </w:r>
          </w:p>
        </w:tc>
        <w:tc>
          <w:tcPr>
            <w:tcW w:w="0" w:type="auto"/>
            <w:tcBorders>
              <w:bottom w:val="single" w:sz="4" w:space="0" w:color="auto"/>
            </w:tcBorders>
          </w:tcPr>
          <w:p w14:paraId="52304312" w14:textId="77777777" w:rsidR="00F27E4D" w:rsidRDefault="00652C58">
            <w:pPr>
              <w:pStyle w:val="Subtitle"/>
              <w:spacing w:before="20" w:after="20"/>
              <w:jc w:val="left"/>
              <w:rPr>
                <w:i w:val="0"/>
              </w:rPr>
            </w:pPr>
            <w:r>
              <w:rPr>
                <w:i w:val="0"/>
              </w:rPr>
              <w:t>10.2</w:t>
            </w:r>
          </w:p>
        </w:tc>
      </w:tr>
    </w:tbl>
    <w:p w14:paraId="63720297" w14:textId="77777777" w:rsidR="00F27E4D" w:rsidRDefault="00652C58">
      <w:r>
        <w:t xml:space="preserve">SHAP stability was not instrumented in the cross-dataset study, so a direct </w:t>
      </w:r>
      <w:r>
        <w:t>SHAP–LIME stability comparison on Breast Cancer and German Credit is not available.</w:t>
      </w:r>
    </w:p>
    <w:p w14:paraId="27DA5524" w14:textId="77777777" w:rsidR="00F27E4D" w:rsidRDefault="00652C58">
      <w:pPr>
        <w:pStyle w:val="Heading2"/>
        <w:keepNext/>
      </w:pPr>
      <w:r>
        <w:t>4.6. LIME Stability Depends on the Kernel Width</w:t>
      </w:r>
    </w:p>
    <w:p w14:paraId="7E010A56" w14:textId="77777777" w:rsidR="00F27E4D" w:rsidRDefault="00652C58">
      <w:r>
        <w:t xml:space="preserve">A probe on Adult varied the LIME kernel width with everything else fixed (random forest, seed 42, </w:t>
      </w:r>
      <m:oMath>
        <m:r>
          <w:rPr>
            <w:rFonts w:ascii="Cambria Math" w:hAnsi="Cambria Math"/>
          </w:rPr>
          <m:t>N</m:t>
        </m:r>
        <m:r>
          <m:rPr>
            <m:sty m:val="p"/>
          </m:rPr>
          <w:rPr>
            <w:rFonts w:ascii="Cambria Math" w:hAnsi="Cambria Math"/>
          </w:rPr>
          <m:t>=</m:t>
        </m:r>
        <m:r>
          <w:rPr>
            <w:rFonts w:ascii="Cambria Math" w:hAnsi="Cambria Math"/>
          </w:rPr>
          <m:t>100</m:t>
        </m:r>
      </m:oMath>
      <w:r>
        <w:t xml:space="preserve">, </w:t>
      </w:r>
      <w:r>
        <w:rPr>
          <w:rFonts w:ascii="Consolas" w:hAnsi="Consolas"/>
          <w:sz w:val="18"/>
        </w:rPr>
        <w:t>num_samples=1000</w:t>
      </w:r>
      <w:r>
        <w:t xml:space="preserve">, </w:t>
      </w:r>
      <w:r>
        <w:rPr>
          <w:rFonts w:ascii="Consolas" w:hAnsi="Consolas"/>
          <w:sz w:val="18"/>
        </w:rPr>
        <w:t>num_features=10</w:t>
      </w:r>
      <w:r>
        <w:t xml:space="preserve">). Table 6 reports the result. Fidelity and stability are computed over the instances that have at least one non-zero weight. The probe covers one model and one seed, so it shows that </w:t>
      </w:r>
      <w:r>
        <w:t>the dependence exists; it does not measure its size across models.</w:t>
      </w:r>
    </w:p>
    <w:p w14:paraId="08F6714B" w14:textId="77777777" w:rsidR="00F27E4D" w:rsidRDefault="00652C58">
      <w:pPr>
        <w:pStyle w:val="Subtitle"/>
        <w:keepNext/>
        <w:jc w:val="both"/>
      </w:pPr>
      <w:r>
        <w:t xml:space="preserve">Table 6. LIME sensitivity to </w:t>
      </w:r>
      <w:r>
        <w:rPr>
          <w:rFonts w:ascii="Consolas" w:hAnsi="Consolas"/>
        </w:rPr>
        <w:t>kernel_width</w:t>
      </w:r>
      <w:r>
        <w:t xml:space="preserve"> on Adult (random forest, seed 42, </w:t>
      </w:r>
      <m:oMath>
        <m:r>
          <w:rPr>
            <w:rFonts w:ascii="Cambria Math" w:hAnsi="Cambria Math"/>
            <w:szCs w:val="18"/>
          </w:rPr>
          <m:t>N</m:t>
        </m:r>
        <m:r>
          <w:rPr>
            <w:rFonts w:ascii="Cambria Math" w:hAnsi="Cambria Math"/>
            <w:szCs w:val="18"/>
          </w:rPr>
          <m:t>=</m:t>
        </m:r>
        <m:r>
          <w:rPr>
            <w:rFonts w:ascii="Cambria Math" w:hAnsi="Cambria Math"/>
            <w:szCs w:val="18"/>
          </w:rPr>
          <m:t>100</m:t>
        </m:r>
      </m:oMath>
      <w:r>
        <w:t xml:space="preserve">). Reference condition: </w:t>
      </w:r>
      <w:r>
        <w:rPr>
          <w:rFonts w:ascii="Consolas" w:hAnsi="Consolas"/>
        </w:rPr>
        <w:t>kernel_width=3.0</w:t>
      </w:r>
    </w:p>
    <w:tbl>
      <w:tblPr>
        <w:tblStyle w:val="TableGrid5"/>
        <w:tblW w:w="6352" w:type="dxa"/>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04"/>
        <w:gridCol w:w="1612"/>
        <w:gridCol w:w="783"/>
        <w:gridCol w:w="849"/>
        <w:gridCol w:w="840"/>
        <w:gridCol w:w="864"/>
      </w:tblGrid>
      <w:tr w:rsidR="00F27E4D" w14:paraId="4849C87D" w14:textId="77777777">
        <w:trPr>
          <w:jc w:val="center"/>
        </w:trPr>
        <w:tc>
          <w:tcPr>
            <w:tcW w:w="0" w:type="auto"/>
            <w:tcBorders>
              <w:top w:val="single" w:sz="4" w:space="0" w:color="auto"/>
              <w:bottom w:val="single" w:sz="4" w:space="0" w:color="auto"/>
            </w:tcBorders>
          </w:tcPr>
          <w:p w14:paraId="7164FB06" w14:textId="77777777" w:rsidR="00F27E4D" w:rsidRDefault="00652C58">
            <w:pPr>
              <w:pStyle w:val="Subtitle"/>
              <w:keepNext/>
              <w:spacing w:before="20" w:after="20"/>
              <w:jc w:val="left"/>
              <w:rPr>
                <w:i w:val="0"/>
              </w:rPr>
            </w:pPr>
            <w:r>
              <w:rPr>
                <w:rFonts w:ascii="Consolas" w:hAnsi="Consolas"/>
                <w:i w:val="0"/>
              </w:rPr>
              <w:t>kernel_width</w:t>
            </w:r>
          </w:p>
        </w:tc>
        <w:tc>
          <w:tcPr>
            <w:tcW w:w="0" w:type="auto"/>
            <w:tcBorders>
              <w:top w:val="single" w:sz="4" w:space="0" w:color="auto"/>
              <w:bottom w:val="single" w:sz="4" w:space="0" w:color="auto"/>
            </w:tcBorders>
          </w:tcPr>
          <w:p w14:paraId="49FEF889" w14:textId="77777777" w:rsidR="00F27E4D" w:rsidRDefault="00652C58">
            <w:pPr>
              <w:pStyle w:val="Subtitle"/>
              <w:keepNext/>
              <w:spacing w:before="20" w:after="20"/>
              <w:jc w:val="left"/>
              <w:rPr>
                <w:i w:val="0"/>
              </w:rPr>
            </w:pPr>
            <w:r>
              <w:rPr>
                <w:i w:val="0"/>
              </w:rPr>
              <w:t>Valid instances</w:t>
            </w:r>
          </w:p>
        </w:tc>
        <w:tc>
          <w:tcPr>
            <w:tcW w:w="0" w:type="auto"/>
            <w:tcBorders>
              <w:top w:val="single" w:sz="4" w:space="0" w:color="auto"/>
              <w:bottom w:val="single" w:sz="4" w:space="0" w:color="auto"/>
            </w:tcBorders>
          </w:tcPr>
          <w:p w14:paraId="55917436" w14:textId="77777777" w:rsidR="00F27E4D" w:rsidRDefault="00652C58">
            <w:pPr>
              <w:pStyle w:val="Subtitle"/>
              <w:keepNext/>
              <w:spacing w:before="20" w:after="20"/>
              <w:jc w:val="left"/>
              <w:rPr>
                <w:i w:val="0"/>
              </w:rPr>
            </w:pPr>
            <w:r>
              <w:rPr>
                <w:i w:val="0"/>
              </w:rPr>
              <w:t>Fidelity</w:t>
            </w:r>
          </w:p>
        </w:tc>
        <w:tc>
          <w:tcPr>
            <w:tcW w:w="0" w:type="auto"/>
            <w:tcBorders>
              <w:top w:val="single" w:sz="4" w:space="0" w:color="auto"/>
              <w:bottom w:val="single" w:sz="4" w:space="0" w:color="auto"/>
            </w:tcBorders>
          </w:tcPr>
          <w:p w14:paraId="482430A8" w14:textId="77777777" w:rsidR="00F27E4D" w:rsidRDefault="00652C58">
            <w:pPr>
              <w:pStyle w:val="Subtitle"/>
              <w:keepNext/>
              <w:spacing w:before="20" w:after="20"/>
              <w:jc w:val="left"/>
              <w:rPr>
                <w:i w:val="0"/>
              </w:rPr>
            </w:pPr>
            <w:r>
              <w:rPr>
                <w:i w:val="0"/>
              </w:rPr>
              <w:t>Stability</w:t>
            </w:r>
          </w:p>
        </w:tc>
        <w:tc>
          <w:tcPr>
            <w:tcW w:w="0" w:type="auto"/>
            <w:tcBorders>
              <w:top w:val="single" w:sz="4" w:space="0" w:color="auto"/>
              <w:bottom w:val="single" w:sz="4" w:space="0" w:color="auto"/>
            </w:tcBorders>
          </w:tcPr>
          <w:p w14:paraId="2F6B6C3B" w14:textId="77777777" w:rsidR="00F27E4D" w:rsidRDefault="00652C58">
            <w:pPr>
              <w:pStyle w:val="Subtitle"/>
              <w:keepNext/>
              <w:spacing w:before="20" w:after="20"/>
              <w:jc w:val="left"/>
              <w:rPr>
                <w:i w:val="0"/>
              </w:rPr>
            </w:pPr>
            <w:r>
              <w:rPr>
                <w:i w:val="0"/>
              </w:rPr>
              <w:t>Sparsity</w:t>
            </w:r>
          </w:p>
        </w:tc>
        <w:tc>
          <w:tcPr>
            <w:tcW w:w="0" w:type="auto"/>
            <w:tcBorders>
              <w:top w:val="single" w:sz="4" w:space="0" w:color="auto"/>
              <w:bottom w:val="single" w:sz="4" w:space="0" w:color="auto"/>
            </w:tcBorders>
          </w:tcPr>
          <w:p w14:paraId="4723ED0C" w14:textId="77777777" w:rsidR="00F27E4D" w:rsidRDefault="00652C58">
            <w:pPr>
              <w:pStyle w:val="Subtitle"/>
              <w:keepNext/>
              <w:spacing w:before="20" w:after="20"/>
              <w:jc w:val="left"/>
              <w:rPr>
                <w:i w:val="0"/>
              </w:rPr>
            </w:pPr>
            <w:r>
              <w:rPr>
                <w:i w:val="0"/>
              </w:rPr>
              <w:t>Cost (ms)</w:t>
            </w:r>
          </w:p>
        </w:tc>
      </w:tr>
      <w:tr w:rsidR="00F27E4D" w14:paraId="185BC619" w14:textId="77777777">
        <w:trPr>
          <w:jc w:val="center"/>
        </w:trPr>
        <w:tc>
          <w:tcPr>
            <w:tcW w:w="0" w:type="auto"/>
          </w:tcPr>
          <w:p w14:paraId="519D4929" w14:textId="77777777" w:rsidR="00F27E4D" w:rsidRDefault="00652C58">
            <w:pPr>
              <w:pStyle w:val="Subtitle"/>
              <w:keepNext/>
              <w:spacing w:before="20" w:after="20"/>
              <w:jc w:val="left"/>
              <w:rPr>
                <w:i w:val="0"/>
              </w:rPr>
            </w:pPr>
            <w:r>
              <w:rPr>
                <w:i w:val="0"/>
              </w:rPr>
              <w:t>0.25</w:t>
            </w:r>
          </w:p>
        </w:tc>
        <w:tc>
          <w:tcPr>
            <w:tcW w:w="0" w:type="auto"/>
          </w:tcPr>
          <w:p w14:paraId="1A0C9D5D" w14:textId="77777777" w:rsidR="00F27E4D" w:rsidRDefault="00652C58">
            <w:pPr>
              <w:pStyle w:val="Subtitle"/>
              <w:keepNext/>
              <w:spacing w:before="20" w:after="20"/>
              <w:jc w:val="left"/>
              <w:rPr>
                <w:i w:val="0"/>
              </w:rPr>
            </w:pPr>
            <w:r>
              <w:rPr>
                <w:i w:val="0"/>
              </w:rPr>
              <w:t>0/100 (degenerate)</w:t>
            </w:r>
          </w:p>
        </w:tc>
        <w:tc>
          <w:tcPr>
            <w:tcW w:w="0" w:type="auto"/>
          </w:tcPr>
          <w:p w14:paraId="70FDA8BD" w14:textId="77777777" w:rsidR="00F27E4D" w:rsidRDefault="00652C58">
            <w:pPr>
              <w:pStyle w:val="Subtitle"/>
              <w:keepNext/>
              <w:spacing w:before="20" w:after="20"/>
              <w:jc w:val="left"/>
              <w:rPr>
                <w:i w:val="0"/>
              </w:rPr>
            </w:pPr>
            <w:r>
              <w:rPr>
                <w:i w:val="0"/>
              </w:rPr>
              <w:t>—</w:t>
            </w:r>
          </w:p>
        </w:tc>
        <w:tc>
          <w:tcPr>
            <w:tcW w:w="0" w:type="auto"/>
          </w:tcPr>
          <w:p w14:paraId="4E3F3E17" w14:textId="77777777" w:rsidR="00F27E4D" w:rsidRDefault="00652C58">
            <w:pPr>
              <w:pStyle w:val="Subtitle"/>
              <w:keepNext/>
              <w:spacing w:before="20" w:after="20"/>
              <w:jc w:val="left"/>
              <w:rPr>
                <w:i w:val="0"/>
              </w:rPr>
            </w:pPr>
            <w:r>
              <w:rPr>
                <w:i w:val="0"/>
              </w:rPr>
              <w:t>—</w:t>
            </w:r>
          </w:p>
        </w:tc>
        <w:tc>
          <w:tcPr>
            <w:tcW w:w="0" w:type="auto"/>
          </w:tcPr>
          <w:p w14:paraId="6B3DD3B1" w14:textId="77777777" w:rsidR="00F27E4D" w:rsidRDefault="00652C58">
            <w:pPr>
              <w:pStyle w:val="Subtitle"/>
              <w:keepNext/>
              <w:spacing w:before="20" w:after="20"/>
              <w:jc w:val="left"/>
              <w:rPr>
                <w:i w:val="0"/>
              </w:rPr>
            </w:pPr>
            <w:r>
              <w:rPr>
                <w:i w:val="0"/>
              </w:rPr>
              <w:t>0.000</w:t>
            </w:r>
          </w:p>
        </w:tc>
        <w:tc>
          <w:tcPr>
            <w:tcW w:w="0" w:type="auto"/>
          </w:tcPr>
          <w:p w14:paraId="3DEF1740" w14:textId="77777777" w:rsidR="00F27E4D" w:rsidRDefault="00652C58">
            <w:pPr>
              <w:pStyle w:val="Subtitle"/>
              <w:keepNext/>
              <w:spacing w:before="20" w:after="20"/>
              <w:jc w:val="left"/>
              <w:rPr>
                <w:i w:val="0"/>
              </w:rPr>
            </w:pPr>
            <w:r>
              <w:rPr>
                <w:i w:val="0"/>
              </w:rPr>
              <w:t>30</w:t>
            </w:r>
          </w:p>
        </w:tc>
      </w:tr>
      <w:tr w:rsidR="00F27E4D" w14:paraId="730CFA71" w14:textId="77777777">
        <w:trPr>
          <w:jc w:val="center"/>
        </w:trPr>
        <w:tc>
          <w:tcPr>
            <w:tcW w:w="0" w:type="auto"/>
          </w:tcPr>
          <w:p w14:paraId="13CB6A60" w14:textId="77777777" w:rsidR="00F27E4D" w:rsidRDefault="00652C58">
            <w:pPr>
              <w:pStyle w:val="Subtitle"/>
              <w:keepNext/>
              <w:spacing w:before="20" w:after="20"/>
              <w:jc w:val="left"/>
              <w:rPr>
                <w:i w:val="0"/>
              </w:rPr>
            </w:pPr>
            <w:r>
              <w:rPr>
                <w:i w:val="0"/>
              </w:rPr>
              <w:t>0.75</w:t>
            </w:r>
          </w:p>
        </w:tc>
        <w:tc>
          <w:tcPr>
            <w:tcW w:w="0" w:type="auto"/>
          </w:tcPr>
          <w:p w14:paraId="7DBCAEAD" w14:textId="77777777" w:rsidR="00F27E4D" w:rsidRDefault="00652C58">
            <w:pPr>
              <w:pStyle w:val="Subtitle"/>
              <w:keepNext/>
              <w:spacing w:before="20" w:after="20"/>
              <w:jc w:val="left"/>
              <w:rPr>
                <w:i w:val="0"/>
              </w:rPr>
            </w:pPr>
            <w:r>
              <w:rPr>
                <w:i w:val="0"/>
              </w:rPr>
              <w:t>0/100 (degenerate)</w:t>
            </w:r>
          </w:p>
        </w:tc>
        <w:tc>
          <w:tcPr>
            <w:tcW w:w="0" w:type="auto"/>
          </w:tcPr>
          <w:p w14:paraId="4A861FD4" w14:textId="77777777" w:rsidR="00F27E4D" w:rsidRDefault="00652C58">
            <w:pPr>
              <w:pStyle w:val="Subtitle"/>
              <w:keepNext/>
              <w:spacing w:before="20" w:after="20"/>
              <w:jc w:val="left"/>
              <w:rPr>
                <w:i w:val="0"/>
              </w:rPr>
            </w:pPr>
            <w:r>
              <w:rPr>
                <w:i w:val="0"/>
              </w:rPr>
              <w:t>—</w:t>
            </w:r>
          </w:p>
        </w:tc>
        <w:tc>
          <w:tcPr>
            <w:tcW w:w="0" w:type="auto"/>
          </w:tcPr>
          <w:p w14:paraId="167FE0F5" w14:textId="77777777" w:rsidR="00F27E4D" w:rsidRDefault="00652C58">
            <w:pPr>
              <w:pStyle w:val="Subtitle"/>
              <w:keepNext/>
              <w:spacing w:before="20" w:after="20"/>
              <w:jc w:val="left"/>
              <w:rPr>
                <w:i w:val="0"/>
              </w:rPr>
            </w:pPr>
            <w:r>
              <w:rPr>
                <w:i w:val="0"/>
              </w:rPr>
              <w:t>—</w:t>
            </w:r>
          </w:p>
        </w:tc>
        <w:tc>
          <w:tcPr>
            <w:tcW w:w="0" w:type="auto"/>
          </w:tcPr>
          <w:p w14:paraId="42E5E1C8" w14:textId="77777777" w:rsidR="00F27E4D" w:rsidRDefault="00652C58">
            <w:pPr>
              <w:pStyle w:val="Subtitle"/>
              <w:keepNext/>
              <w:spacing w:before="20" w:after="20"/>
              <w:jc w:val="left"/>
              <w:rPr>
                <w:i w:val="0"/>
              </w:rPr>
            </w:pPr>
            <w:r>
              <w:rPr>
                <w:i w:val="0"/>
              </w:rPr>
              <w:t>0.000</w:t>
            </w:r>
          </w:p>
        </w:tc>
        <w:tc>
          <w:tcPr>
            <w:tcW w:w="0" w:type="auto"/>
          </w:tcPr>
          <w:p w14:paraId="08139A24" w14:textId="77777777" w:rsidR="00F27E4D" w:rsidRDefault="00652C58">
            <w:pPr>
              <w:pStyle w:val="Subtitle"/>
              <w:keepNext/>
              <w:spacing w:before="20" w:after="20"/>
              <w:jc w:val="left"/>
              <w:rPr>
                <w:i w:val="0"/>
              </w:rPr>
            </w:pPr>
            <w:r>
              <w:rPr>
                <w:i w:val="0"/>
              </w:rPr>
              <w:t>30</w:t>
            </w:r>
          </w:p>
        </w:tc>
      </w:tr>
      <w:tr w:rsidR="00F27E4D" w14:paraId="137FE57F" w14:textId="77777777">
        <w:trPr>
          <w:jc w:val="center"/>
        </w:trPr>
        <w:tc>
          <w:tcPr>
            <w:tcW w:w="0" w:type="auto"/>
          </w:tcPr>
          <w:p w14:paraId="53F0B710" w14:textId="77777777" w:rsidR="00F27E4D" w:rsidRDefault="00652C58">
            <w:pPr>
              <w:pStyle w:val="Subtitle"/>
              <w:keepNext/>
              <w:spacing w:before="20" w:after="20"/>
              <w:jc w:val="left"/>
              <w:rPr>
                <w:i w:val="0"/>
              </w:rPr>
            </w:pPr>
            <w:r>
              <w:rPr>
                <w:i w:val="0"/>
              </w:rPr>
              <w:t>3.0</w:t>
            </w:r>
            <w:r>
              <w:rPr>
                <w:i w:val="0"/>
              </w:rPr>
              <w:t xml:space="preserve"> </w:t>
            </w:r>
            <w:r>
              <w:rPr>
                <w:iCs/>
              </w:rPr>
              <w:t>(ref.)</w:t>
            </w:r>
          </w:p>
        </w:tc>
        <w:tc>
          <w:tcPr>
            <w:tcW w:w="0" w:type="auto"/>
          </w:tcPr>
          <w:p w14:paraId="54ABBDF3" w14:textId="77777777" w:rsidR="00F27E4D" w:rsidRDefault="00652C58">
            <w:pPr>
              <w:pStyle w:val="Subtitle"/>
              <w:keepNext/>
              <w:spacing w:before="20" w:after="20"/>
              <w:jc w:val="left"/>
              <w:rPr>
                <w:i w:val="0"/>
              </w:rPr>
            </w:pPr>
            <w:r>
              <w:rPr>
                <w:i w:val="0"/>
              </w:rPr>
              <w:t>96/100</w:t>
            </w:r>
          </w:p>
        </w:tc>
        <w:tc>
          <w:tcPr>
            <w:tcW w:w="0" w:type="auto"/>
          </w:tcPr>
          <w:p w14:paraId="5BA2E4A6" w14:textId="77777777" w:rsidR="00F27E4D" w:rsidRDefault="00652C58">
            <w:pPr>
              <w:pStyle w:val="Subtitle"/>
              <w:keepNext/>
              <w:spacing w:before="20" w:after="20"/>
              <w:jc w:val="left"/>
              <w:rPr>
                <w:i w:val="0"/>
              </w:rPr>
            </w:pPr>
            <w:r>
              <w:rPr>
                <w:i w:val="0"/>
              </w:rPr>
              <w:t>0.518</w:t>
            </w:r>
          </w:p>
        </w:tc>
        <w:tc>
          <w:tcPr>
            <w:tcW w:w="0" w:type="auto"/>
          </w:tcPr>
          <w:p w14:paraId="132A9830" w14:textId="77777777" w:rsidR="00F27E4D" w:rsidRDefault="00652C58">
            <w:pPr>
              <w:pStyle w:val="Subtitle"/>
              <w:keepNext/>
              <w:spacing w:before="20" w:after="20"/>
              <w:jc w:val="left"/>
              <w:rPr>
                <w:i w:val="0"/>
              </w:rPr>
            </w:pPr>
            <w:r>
              <w:rPr>
                <w:i w:val="0"/>
              </w:rPr>
              <w:t>0.000</w:t>
            </w:r>
          </w:p>
        </w:tc>
        <w:tc>
          <w:tcPr>
            <w:tcW w:w="0" w:type="auto"/>
          </w:tcPr>
          <w:p w14:paraId="641D21C8" w14:textId="77777777" w:rsidR="00F27E4D" w:rsidRDefault="00652C58">
            <w:pPr>
              <w:pStyle w:val="Subtitle"/>
              <w:keepNext/>
              <w:spacing w:before="20" w:after="20"/>
              <w:jc w:val="left"/>
              <w:rPr>
                <w:i w:val="0"/>
              </w:rPr>
            </w:pPr>
            <w:r>
              <w:rPr>
                <w:i w:val="0"/>
              </w:rPr>
              <w:t>0.087</w:t>
            </w:r>
          </w:p>
        </w:tc>
        <w:tc>
          <w:tcPr>
            <w:tcW w:w="0" w:type="auto"/>
          </w:tcPr>
          <w:p w14:paraId="4CA5E646" w14:textId="77777777" w:rsidR="00F27E4D" w:rsidRDefault="00652C58">
            <w:pPr>
              <w:pStyle w:val="Subtitle"/>
              <w:keepNext/>
              <w:spacing w:before="20" w:after="20"/>
              <w:jc w:val="left"/>
              <w:rPr>
                <w:i w:val="0"/>
              </w:rPr>
            </w:pPr>
            <w:r>
              <w:rPr>
                <w:i w:val="0"/>
              </w:rPr>
              <w:t>30</w:t>
            </w:r>
          </w:p>
        </w:tc>
      </w:tr>
      <w:tr w:rsidR="00F27E4D" w14:paraId="7BDD4DD5" w14:textId="77777777">
        <w:trPr>
          <w:jc w:val="center"/>
        </w:trPr>
        <w:tc>
          <w:tcPr>
            <w:tcW w:w="0" w:type="auto"/>
            <w:tcBorders>
              <w:bottom w:val="single" w:sz="4" w:space="0" w:color="auto"/>
            </w:tcBorders>
          </w:tcPr>
          <w:p w14:paraId="2C93F95A" w14:textId="77777777" w:rsidR="00F27E4D" w:rsidRDefault="00652C58">
            <w:pPr>
              <w:pStyle w:val="Subtitle"/>
              <w:spacing w:before="20" w:after="20"/>
              <w:jc w:val="left"/>
              <w:rPr>
                <w:i w:val="0"/>
              </w:rPr>
            </w:pPr>
            <w:r>
              <w:rPr>
                <w:i w:val="0"/>
              </w:rPr>
              <w:t>10.0</w:t>
            </w:r>
          </w:p>
        </w:tc>
        <w:tc>
          <w:tcPr>
            <w:tcW w:w="0" w:type="auto"/>
            <w:tcBorders>
              <w:bottom w:val="single" w:sz="4" w:space="0" w:color="auto"/>
            </w:tcBorders>
          </w:tcPr>
          <w:p w14:paraId="43D1BEB9" w14:textId="77777777" w:rsidR="00F27E4D" w:rsidRDefault="00652C58">
            <w:pPr>
              <w:pStyle w:val="Subtitle"/>
              <w:spacing w:before="20" w:after="20"/>
              <w:jc w:val="left"/>
              <w:rPr>
                <w:i w:val="0"/>
              </w:rPr>
            </w:pPr>
            <w:r>
              <w:rPr>
                <w:i w:val="0"/>
              </w:rPr>
              <w:t>100/100</w:t>
            </w:r>
          </w:p>
        </w:tc>
        <w:tc>
          <w:tcPr>
            <w:tcW w:w="0" w:type="auto"/>
            <w:tcBorders>
              <w:bottom w:val="single" w:sz="4" w:space="0" w:color="auto"/>
            </w:tcBorders>
          </w:tcPr>
          <w:p w14:paraId="608E8E8E" w14:textId="77777777" w:rsidR="00F27E4D" w:rsidRDefault="00652C58">
            <w:pPr>
              <w:pStyle w:val="Subtitle"/>
              <w:spacing w:before="20" w:after="20"/>
              <w:jc w:val="left"/>
              <w:rPr>
                <w:i w:val="0"/>
              </w:rPr>
            </w:pPr>
            <w:r>
              <w:rPr>
                <w:i w:val="0"/>
              </w:rPr>
              <w:t>0.441</w:t>
            </w:r>
          </w:p>
        </w:tc>
        <w:tc>
          <w:tcPr>
            <w:tcW w:w="0" w:type="auto"/>
            <w:tcBorders>
              <w:bottom w:val="single" w:sz="4" w:space="0" w:color="auto"/>
            </w:tcBorders>
          </w:tcPr>
          <w:p w14:paraId="57FFC523" w14:textId="77777777" w:rsidR="00F27E4D" w:rsidRDefault="00652C58">
            <w:pPr>
              <w:pStyle w:val="Subtitle"/>
              <w:spacing w:before="20" w:after="20"/>
              <w:jc w:val="left"/>
              <w:rPr>
                <w:i w:val="0"/>
              </w:rPr>
            </w:pPr>
            <w:r>
              <w:rPr>
                <w:i w:val="0"/>
              </w:rPr>
              <w:t>0.664</w:t>
            </w:r>
          </w:p>
        </w:tc>
        <w:tc>
          <w:tcPr>
            <w:tcW w:w="0" w:type="auto"/>
            <w:tcBorders>
              <w:bottom w:val="single" w:sz="4" w:space="0" w:color="auto"/>
            </w:tcBorders>
          </w:tcPr>
          <w:p w14:paraId="0A3AAA9B" w14:textId="77777777" w:rsidR="00F27E4D" w:rsidRDefault="00652C58">
            <w:pPr>
              <w:pStyle w:val="Subtitle"/>
              <w:spacing w:before="20" w:after="20"/>
              <w:jc w:val="left"/>
              <w:rPr>
                <w:i w:val="0"/>
              </w:rPr>
            </w:pPr>
            <w:r>
              <w:rPr>
                <w:i w:val="0"/>
              </w:rPr>
              <w:t>0.093</w:t>
            </w:r>
          </w:p>
        </w:tc>
        <w:tc>
          <w:tcPr>
            <w:tcW w:w="0" w:type="auto"/>
            <w:tcBorders>
              <w:bottom w:val="single" w:sz="4" w:space="0" w:color="auto"/>
            </w:tcBorders>
          </w:tcPr>
          <w:p w14:paraId="07AFBC73" w14:textId="77777777" w:rsidR="00F27E4D" w:rsidRDefault="00652C58">
            <w:pPr>
              <w:pStyle w:val="Subtitle"/>
              <w:spacing w:before="20" w:after="20"/>
              <w:jc w:val="left"/>
              <w:rPr>
                <w:i w:val="0"/>
              </w:rPr>
            </w:pPr>
            <w:r>
              <w:rPr>
                <w:i w:val="0"/>
              </w:rPr>
              <w:t>32</w:t>
            </w:r>
          </w:p>
        </w:tc>
      </w:tr>
    </w:tbl>
    <w:p w14:paraId="73FFDE36" w14:textId="77777777" w:rsidR="00F27E4D" w:rsidRDefault="00652C58">
      <w:r>
        <w:t xml:space="preserve">Kernel widths of 0.25 and 0.75 produce zero-weight explanations for all 100 instances, because the exponential neighborhood collapses in the 103-dimensional one-hot-encoded space. The reference width of 3.0 is the smallest of the tested settings that yields usable explanations. Widening the kernel to </w:t>
      </w:r>
      <m:oMath>
        <m:r>
          <w:rPr>
            <w:rFonts w:ascii="Cambria Math" w:hAnsi="Cambria Math"/>
          </w:rPr>
          <m:t>10.0</m:t>
        </m:r>
      </m:oMath>
      <w:r>
        <w:t xml:space="preserve"> raises stability to </w:t>
      </w:r>
      <m:oMath>
        <m:r>
          <w:rPr>
            <w:rFonts w:ascii="Cambria Math" w:hAnsi="Cambria Math"/>
          </w:rPr>
          <m:t>0.664</m:t>
        </m:r>
      </m:oMath>
      <w:r>
        <w:t xml:space="preserve"> at a cost in fidelity (</w:t>
      </w:r>
      <m:oMath>
        <m:r>
          <w:rPr>
            <w:rFonts w:ascii="Cambria Math" w:hAnsi="Cambria Math"/>
          </w:rPr>
          <m:t>0.518</m:t>
        </m:r>
        <m:r>
          <m:rPr>
            <m:sty m:val="p"/>
          </m:rPr>
          <w:rPr>
            <w:rFonts w:ascii="Cambria Math" w:hAnsi="Cambria Math"/>
          </w:rPr>
          <m:t>→</m:t>
        </m:r>
        <m:r>
          <w:rPr>
            <w:rFonts w:ascii="Cambria Math" w:hAnsi="Cambria Math"/>
          </w:rPr>
          <m:t>0.441</m:t>
        </m:r>
      </m:oMath>
      <w:r>
        <w:t xml:space="preserve">). Together with the cross-dataset result, where LIME reaches </w:t>
      </w:r>
      <m:oMath>
        <m:r>
          <w:rPr>
            <w:rFonts w:ascii="Cambria Math" w:hAnsi="Cambria Math"/>
          </w:rPr>
          <m:t>0.75</m:t>
        </m:r>
      </m:oMath>
      <w:r>
        <w:t>–</w:t>
      </w:r>
      <m:oMath>
        <m:r>
          <w:rPr>
            <w:rFonts w:ascii="Cambria Math" w:hAnsi="Cambria Math"/>
          </w:rPr>
          <m:t>0.93</m:t>
        </m:r>
      </m:oMath>
      <w:r>
        <w:t xml:space="preserve"> at the reference width, the probe supports a </w:t>
      </w:r>
      <w:r>
        <w:t xml:space="preserve">bounded conclusion: under the reference kernel width, LIME’s stability on Adult is near zero; it rises with the kernel width and is high on two lower-dimensional datasets, so it is modulated by the configuration and by the feature space. Adult’s one-hot encoding is a candidate cause, and the stability protocol itself may contribute: the Gaussian noise is added to every transformed feature, including the one-hot indicator columns, which then take values that no real instance has. Breast Cancer has no </w:t>
      </w:r>
      <w:r>
        <w:t>categorical feature. No experiment here separates the encoding from the perturbation scheme, and the two further datasets also differ from Adult in size, class balance and the mix of continuous and categorical features, so this design does not isolate either cause. The near-zero reading should not be taken as a configuration-independent property of LIME.</w:t>
      </w:r>
    </w:p>
    <w:p w14:paraId="39FCA4F2" w14:textId="77777777" w:rsidR="00F27E4D" w:rsidRDefault="00652C58">
      <w:pPr>
        <w:pStyle w:val="Heading2"/>
        <w:keepNext/>
      </w:pPr>
      <w:r>
        <w:lastRenderedPageBreak/>
        <w:t>4.7. Sensitivity of the Fidelity Ordering to the Masking Scheme</w:t>
      </w:r>
    </w:p>
    <w:p w14:paraId="2C509DF9" w14:textId="77777777" w:rsidR="00F27E4D" w:rsidRDefault="00652C58">
      <w:r>
        <w:t xml:space="preserve">The fidelity and faithfulness-gap metrics mask features independently. </w:t>
      </w:r>
      <w:r>
        <w:t xml:space="preserve">Adult contains associated features, so a masked instance may fall outside the training distribution, where model outputs are less reliable. To assess whether this changes the method ordering, a probe reused the stored top-10 explanations of the five Adult random-forest runs at </w:t>
      </w:r>
      <m:oMath>
        <m:r>
          <w:rPr>
            <w:rFonts w:ascii="Cambria Math" w:hAnsi="Cambria Math"/>
          </w:rPr>
          <m:t>N</m:t>
        </m:r>
        <m:r>
          <m:rPr>
            <m:sty m:val="p"/>
          </m:rPr>
          <w:rPr>
            <w:rFonts w:ascii="Cambria Math" w:hAnsi="Cambria Math"/>
          </w:rPr>
          <m:t>=</m:t>
        </m:r>
        <m:r>
          <w:rPr>
            <w:rFonts w:ascii="Cambria Math" w:hAnsi="Cambria Math"/>
          </w:rPr>
          <m:t>50</m:t>
        </m:r>
      </m:oMath>
      <w:r>
        <w:t xml:space="preserve">, one per seed, and recomputed the prediction-drop metrics under four masking schemes: independent zero masking, mean replacement, marginal empirical replacement, </w:t>
      </w:r>
      <w:r>
        <w:t xml:space="preserve">and grouped mean replacement, which masks associated feature sets together (for example </w:t>
      </w:r>
      <w:r>
        <w:rPr>
          <w:rFonts w:ascii="Consolas" w:hAnsi="Consolas"/>
          <w:sz w:val="18"/>
        </w:rPr>
        <w:t>education</w:t>
      </w:r>
      <w:r>
        <w:t xml:space="preserve"> and </w:t>
      </w:r>
      <w:r>
        <w:rPr>
          <w:rFonts w:ascii="Consolas" w:hAnsi="Consolas"/>
          <w:sz w:val="18"/>
        </w:rPr>
        <w:t>education-num</w:t>
      </w:r>
      <w:r>
        <w:t>). Table 7 reports the result.</w:t>
      </w:r>
    </w:p>
    <w:p w14:paraId="2BC92CEE" w14:textId="77777777" w:rsidR="00F27E4D" w:rsidRDefault="00652C58">
      <w:pPr>
        <w:pStyle w:val="Subtitle"/>
        <w:keepNext/>
        <w:jc w:val="both"/>
      </w:pPr>
      <w:r>
        <w:t>Table 7. SHAP–LIME top-</w:t>
      </w:r>
      <m:oMath>
        <m:r>
          <w:rPr>
            <w:rFonts w:ascii="Cambria Math" w:hAnsi="Cambria Math"/>
            <w:szCs w:val="18"/>
          </w:rPr>
          <m:t>k</m:t>
        </m:r>
      </m:oMath>
      <w:r>
        <w:t xml:space="preserve"> prediction-drop advantage and drop-correlation advantage under four masking schemes (Adult random-forest stratum, five runs at </w:t>
      </w:r>
      <m:oMath>
        <m:r>
          <w:rPr>
            <w:rFonts w:ascii="Cambria Math" w:hAnsi="Cambria Math"/>
            <w:szCs w:val="18"/>
          </w:rPr>
          <m:t>N</m:t>
        </m:r>
        <m:r>
          <w:rPr>
            <w:rFonts w:ascii="Cambria Math" w:hAnsi="Cambria Math"/>
            <w:szCs w:val="18"/>
          </w:rPr>
          <m:t>=</m:t>
        </m:r>
        <m:r>
          <w:rPr>
            <w:rFonts w:ascii="Cambria Math" w:hAnsi="Cambria Math"/>
            <w:szCs w:val="18"/>
          </w:rPr>
          <m:t>50</m:t>
        </m:r>
      </m:oMath>
      <w:r>
        <w:t>, one per seed). The SHAP direction is positive in all five paired seed cells under every scheme</w:t>
      </w:r>
    </w:p>
    <w:tbl>
      <w:tblPr>
        <w:tblStyle w:val="TableGrid5"/>
        <w:tblW w:w="6352" w:type="dxa"/>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27"/>
        <w:gridCol w:w="1739"/>
        <w:gridCol w:w="2186"/>
      </w:tblGrid>
      <w:tr w:rsidR="00F27E4D" w14:paraId="4F534161" w14:textId="77777777">
        <w:trPr>
          <w:jc w:val="center"/>
        </w:trPr>
        <w:tc>
          <w:tcPr>
            <w:tcW w:w="0" w:type="auto"/>
            <w:tcBorders>
              <w:top w:val="single" w:sz="4" w:space="0" w:color="auto"/>
              <w:bottom w:val="single" w:sz="4" w:space="0" w:color="auto"/>
            </w:tcBorders>
          </w:tcPr>
          <w:p w14:paraId="5FCD6746" w14:textId="77777777" w:rsidR="00F27E4D" w:rsidRDefault="00652C58">
            <w:pPr>
              <w:pStyle w:val="Subtitle"/>
              <w:keepNext/>
              <w:spacing w:before="20" w:after="20"/>
              <w:jc w:val="left"/>
              <w:rPr>
                <w:i w:val="0"/>
              </w:rPr>
            </w:pPr>
            <w:r>
              <w:rPr>
                <w:i w:val="0"/>
              </w:rPr>
              <w:t>Masking scheme</w:t>
            </w:r>
          </w:p>
        </w:tc>
        <w:tc>
          <w:tcPr>
            <w:tcW w:w="0" w:type="auto"/>
            <w:tcBorders>
              <w:top w:val="single" w:sz="4" w:space="0" w:color="auto"/>
              <w:bottom w:val="single" w:sz="4" w:space="0" w:color="auto"/>
            </w:tcBorders>
          </w:tcPr>
          <w:p w14:paraId="65FFC6D6" w14:textId="77777777" w:rsidR="00F27E4D" w:rsidRDefault="00652C58">
            <w:pPr>
              <w:pStyle w:val="Subtitle"/>
              <w:keepNext/>
              <w:spacing w:before="20" w:after="20"/>
              <w:jc w:val="left"/>
              <w:rPr>
                <w:i w:val="0"/>
              </w:rPr>
            </w:pPr>
            <w:r>
              <w:rPr>
                <w:i w:val="0"/>
              </w:rPr>
              <w:t>Mean SHAP–LIME gap</w:t>
            </w:r>
          </w:p>
        </w:tc>
        <w:tc>
          <w:tcPr>
            <w:tcW w:w="0" w:type="auto"/>
            <w:tcBorders>
              <w:top w:val="single" w:sz="4" w:space="0" w:color="auto"/>
              <w:bottom w:val="single" w:sz="4" w:space="0" w:color="auto"/>
            </w:tcBorders>
          </w:tcPr>
          <w:p w14:paraId="207BFADA" w14:textId="77777777" w:rsidR="00F27E4D" w:rsidRDefault="00652C58">
            <w:pPr>
              <w:pStyle w:val="Subtitle"/>
              <w:keepNext/>
              <w:spacing w:before="20" w:after="20"/>
              <w:jc w:val="left"/>
              <w:rPr>
                <w:i w:val="0"/>
              </w:rPr>
            </w:pPr>
            <w:r>
              <w:rPr>
                <w:i w:val="0"/>
              </w:rPr>
              <w:t>Mean drop-correlation delta</w:t>
            </w:r>
          </w:p>
        </w:tc>
      </w:tr>
      <w:tr w:rsidR="00F27E4D" w14:paraId="2D6FDA68" w14:textId="77777777">
        <w:trPr>
          <w:jc w:val="center"/>
        </w:trPr>
        <w:tc>
          <w:tcPr>
            <w:tcW w:w="0" w:type="auto"/>
          </w:tcPr>
          <w:p w14:paraId="48000B51" w14:textId="77777777" w:rsidR="00F27E4D" w:rsidRDefault="00652C58">
            <w:pPr>
              <w:pStyle w:val="Subtitle"/>
              <w:keepNext/>
              <w:spacing w:before="20" w:after="20"/>
              <w:jc w:val="left"/>
              <w:rPr>
                <w:i w:val="0"/>
              </w:rPr>
            </w:pPr>
            <w:r>
              <w:rPr>
                <w:i w:val="0"/>
              </w:rPr>
              <w:t>Independent zero masking</w:t>
            </w:r>
          </w:p>
        </w:tc>
        <w:tc>
          <w:tcPr>
            <w:tcW w:w="0" w:type="auto"/>
          </w:tcPr>
          <w:p w14:paraId="44BEFD8A" w14:textId="77777777" w:rsidR="00F27E4D" w:rsidRDefault="00652C58">
            <w:pPr>
              <w:pStyle w:val="Subtitle"/>
              <w:keepNext/>
              <w:spacing w:before="20" w:after="20"/>
              <w:jc w:val="left"/>
              <w:rPr>
                <w:i w:val="0"/>
              </w:rPr>
            </w:pPr>
            <w:r>
              <w:rPr>
                <w:i w:val="0"/>
              </w:rPr>
              <w:t>+0.098</w:t>
            </w:r>
          </w:p>
        </w:tc>
        <w:tc>
          <w:tcPr>
            <w:tcW w:w="0" w:type="auto"/>
          </w:tcPr>
          <w:p w14:paraId="6E116C2D" w14:textId="77777777" w:rsidR="00F27E4D" w:rsidRDefault="00652C58">
            <w:pPr>
              <w:pStyle w:val="Subtitle"/>
              <w:keepNext/>
              <w:spacing w:before="20" w:after="20"/>
              <w:jc w:val="left"/>
              <w:rPr>
                <w:i w:val="0"/>
              </w:rPr>
            </w:pPr>
            <w:r>
              <w:rPr>
                <w:i w:val="0"/>
              </w:rPr>
              <w:t>+0.515</w:t>
            </w:r>
          </w:p>
        </w:tc>
      </w:tr>
      <w:tr w:rsidR="00F27E4D" w14:paraId="01BE4DEC" w14:textId="77777777">
        <w:trPr>
          <w:jc w:val="center"/>
        </w:trPr>
        <w:tc>
          <w:tcPr>
            <w:tcW w:w="0" w:type="auto"/>
          </w:tcPr>
          <w:p w14:paraId="371A9C87" w14:textId="77777777" w:rsidR="00F27E4D" w:rsidRDefault="00652C58">
            <w:pPr>
              <w:pStyle w:val="Subtitle"/>
              <w:keepNext/>
              <w:spacing w:before="20" w:after="20"/>
              <w:jc w:val="left"/>
              <w:rPr>
                <w:i w:val="0"/>
              </w:rPr>
            </w:pPr>
            <w:r>
              <w:rPr>
                <w:i w:val="0"/>
              </w:rPr>
              <w:t>Mean replacement</w:t>
            </w:r>
          </w:p>
        </w:tc>
        <w:tc>
          <w:tcPr>
            <w:tcW w:w="0" w:type="auto"/>
          </w:tcPr>
          <w:p w14:paraId="12F3AB3B" w14:textId="77777777" w:rsidR="00F27E4D" w:rsidRDefault="00652C58">
            <w:pPr>
              <w:pStyle w:val="Subtitle"/>
              <w:keepNext/>
              <w:spacing w:before="20" w:after="20"/>
              <w:jc w:val="left"/>
              <w:rPr>
                <w:i w:val="0"/>
              </w:rPr>
            </w:pPr>
            <w:r>
              <w:rPr>
                <w:i w:val="0"/>
              </w:rPr>
              <w:t>+0.098</w:t>
            </w:r>
          </w:p>
        </w:tc>
        <w:tc>
          <w:tcPr>
            <w:tcW w:w="0" w:type="auto"/>
          </w:tcPr>
          <w:p w14:paraId="28FCB526" w14:textId="77777777" w:rsidR="00F27E4D" w:rsidRDefault="00652C58">
            <w:pPr>
              <w:pStyle w:val="Subtitle"/>
              <w:keepNext/>
              <w:spacing w:before="20" w:after="20"/>
              <w:jc w:val="left"/>
              <w:rPr>
                <w:i w:val="0"/>
              </w:rPr>
            </w:pPr>
            <w:r>
              <w:rPr>
                <w:i w:val="0"/>
              </w:rPr>
              <w:t>+0.512</w:t>
            </w:r>
          </w:p>
        </w:tc>
      </w:tr>
      <w:tr w:rsidR="00F27E4D" w14:paraId="70CAE9EB" w14:textId="77777777">
        <w:trPr>
          <w:jc w:val="center"/>
        </w:trPr>
        <w:tc>
          <w:tcPr>
            <w:tcW w:w="0" w:type="auto"/>
          </w:tcPr>
          <w:p w14:paraId="7CC00569" w14:textId="77777777" w:rsidR="00F27E4D" w:rsidRDefault="00652C58">
            <w:pPr>
              <w:pStyle w:val="Subtitle"/>
              <w:keepNext/>
              <w:spacing w:before="20" w:after="20"/>
              <w:jc w:val="left"/>
              <w:rPr>
                <w:i w:val="0"/>
              </w:rPr>
            </w:pPr>
            <w:r>
              <w:rPr>
                <w:i w:val="0"/>
              </w:rPr>
              <w:t>Marginal empirical replacement</w:t>
            </w:r>
          </w:p>
        </w:tc>
        <w:tc>
          <w:tcPr>
            <w:tcW w:w="0" w:type="auto"/>
          </w:tcPr>
          <w:p w14:paraId="6D9C9391" w14:textId="77777777" w:rsidR="00F27E4D" w:rsidRDefault="00652C58">
            <w:pPr>
              <w:pStyle w:val="Subtitle"/>
              <w:keepNext/>
              <w:spacing w:before="20" w:after="20"/>
              <w:jc w:val="left"/>
              <w:rPr>
                <w:i w:val="0"/>
              </w:rPr>
            </w:pPr>
            <w:r>
              <w:rPr>
                <w:i w:val="0"/>
              </w:rPr>
              <w:t>+0.081</w:t>
            </w:r>
          </w:p>
        </w:tc>
        <w:tc>
          <w:tcPr>
            <w:tcW w:w="0" w:type="auto"/>
          </w:tcPr>
          <w:p w14:paraId="2AD60D59" w14:textId="77777777" w:rsidR="00F27E4D" w:rsidRDefault="00652C58">
            <w:pPr>
              <w:pStyle w:val="Subtitle"/>
              <w:keepNext/>
              <w:spacing w:before="20" w:after="20"/>
              <w:jc w:val="left"/>
              <w:rPr>
                <w:i w:val="0"/>
              </w:rPr>
            </w:pPr>
            <w:r>
              <w:rPr>
                <w:i w:val="0"/>
              </w:rPr>
              <w:t>+0.625</w:t>
            </w:r>
          </w:p>
        </w:tc>
      </w:tr>
      <w:tr w:rsidR="00F27E4D" w14:paraId="7795C94E" w14:textId="77777777">
        <w:trPr>
          <w:jc w:val="center"/>
        </w:trPr>
        <w:tc>
          <w:tcPr>
            <w:tcW w:w="0" w:type="auto"/>
            <w:tcBorders>
              <w:bottom w:val="single" w:sz="4" w:space="0" w:color="auto"/>
            </w:tcBorders>
          </w:tcPr>
          <w:p w14:paraId="337CCD5D" w14:textId="77777777" w:rsidR="00F27E4D" w:rsidRDefault="00652C58">
            <w:pPr>
              <w:pStyle w:val="Subtitle"/>
              <w:spacing w:before="20" w:after="20"/>
              <w:jc w:val="left"/>
              <w:rPr>
                <w:i w:val="0"/>
              </w:rPr>
            </w:pPr>
            <w:r>
              <w:rPr>
                <w:i w:val="0"/>
              </w:rPr>
              <w:t>Grouped mean replacement</w:t>
            </w:r>
          </w:p>
        </w:tc>
        <w:tc>
          <w:tcPr>
            <w:tcW w:w="0" w:type="auto"/>
            <w:tcBorders>
              <w:bottom w:val="single" w:sz="4" w:space="0" w:color="auto"/>
            </w:tcBorders>
          </w:tcPr>
          <w:p w14:paraId="55DF3F54" w14:textId="77777777" w:rsidR="00F27E4D" w:rsidRDefault="00652C58">
            <w:pPr>
              <w:pStyle w:val="Subtitle"/>
              <w:spacing w:before="20" w:after="20"/>
              <w:jc w:val="left"/>
              <w:rPr>
                <w:i w:val="0"/>
              </w:rPr>
            </w:pPr>
            <w:r>
              <w:rPr>
                <w:i w:val="0"/>
              </w:rPr>
              <w:t>+0.053</w:t>
            </w:r>
          </w:p>
        </w:tc>
        <w:tc>
          <w:tcPr>
            <w:tcW w:w="0" w:type="auto"/>
            <w:tcBorders>
              <w:bottom w:val="single" w:sz="4" w:space="0" w:color="auto"/>
            </w:tcBorders>
          </w:tcPr>
          <w:p w14:paraId="708D4B7C" w14:textId="77777777" w:rsidR="00F27E4D" w:rsidRDefault="00652C58">
            <w:pPr>
              <w:pStyle w:val="Subtitle"/>
              <w:spacing w:before="20" w:after="20"/>
              <w:jc w:val="left"/>
              <w:rPr>
                <w:i w:val="0"/>
              </w:rPr>
            </w:pPr>
            <w:r>
              <w:rPr>
                <w:i w:val="0"/>
              </w:rPr>
              <w:t>+0.494</w:t>
            </w:r>
          </w:p>
        </w:tc>
      </w:tr>
    </w:tbl>
    <w:p w14:paraId="4858BFE1" w14:textId="77777777" w:rsidR="00F27E4D" w:rsidRDefault="00652C58">
      <w:r>
        <w:t>SHAP’s advantage is positive in all five paired cells under every scheme. Its magnitude, measured as the prediction-drop gap, does not increase, and falls overall, as the masking takes more of the feature dependence into account (</w:t>
      </w:r>
      <m:oMath>
        <m:r>
          <m:rPr>
            <m:sty m:val="p"/>
          </m:rPr>
          <w:rPr>
            <w:rFonts w:ascii="Cambria Math" w:hAnsi="Cambria Math"/>
          </w:rPr>
          <m:t>+</m:t>
        </m:r>
        <m:r>
          <w:rPr>
            <w:rFonts w:ascii="Cambria Math" w:hAnsi="Cambria Math"/>
          </w:rPr>
          <m:t>0.098</m:t>
        </m:r>
        <m:r>
          <m:rPr>
            <m:sty m:val="p"/>
          </m:rPr>
          <w:rPr>
            <w:rFonts w:ascii="Cambria Math" w:hAnsi="Cambria Math"/>
          </w:rPr>
          <m:t>→+</m:t>
        </m:r>
        <m:r>
          <w:rPr>
            <w:rFonts w:ascii="Cambria Math" w:hAnsi="Cambria Math"/>
          </w:rPr>
          <m:t>0.098</m:t>
        </m:r>
        <m:r>
          <m:rPr>
            <m:sty m:val="p"/>
          </m:rPr>
          <w:rPr>
            <w:rFonts w:ascii="Cambria Math" w:hAnsi="Cambria Math"/>
          </w:rPr>
          <m:t>→+</m:t>
        </m:r>
        <m:r>
          <w:rPr>
            <w:rFonts w:ascii="Cambria Math" w:hAnsi="Cambria Math"/>
          </w:rPr>
          <m:t>0.081</m:t>
        </m:r>
        <m:r>
          <m:rPr>
            <m:sty m:val="p"/>
          </m:rPr>
          <w:rPr>
            <w:rFonts w:ascii="Cambria Math" w:hAnsi="Cambria Math"/>
          </w:rPr>
          <m:t>→+</m:t>
        </m:r>
        <m:r>
          <w:rPr>
            <w:rFonts w:ascii="Cambria Math" w:hAnsi="Cambria Math"/>
          </w:rPr>
          <m:t>0.053</m:t>
        </m:r>
      </m:oMath>
      <w:r>
        <w:t>). The drop-correlation delta does not follow this ordering: it is highest under marginal empirical replacement (</w:t>
      </w:r>
      <m:oMath>
        <m:r>
          <m:rPr>
            <m:sty m:val="p"/>
          </m:rPr>
          <w:rPr>
            <w:rFonts w:ascii="Cambria Math" w:hAnsi="Cambria Math"/>
          </w:rPr>
          <m:t>+</m:t>
        </m:r>
        <m:r>
          <w:rPr>
            <w:rFonts w:ascii="Cambria Math" w:hAnsi="Cambria Math"/>
          </w:rPr>
          <m:t>0.625</m:t>
        </m:r>
      </m:oMath>
      <w:r>
        <w:t>) and lowest under grouped mean replacement (</w:t>
      </w:r>
      <m:oMath>
        <m:r>
          <m:rPr>
            <m:sty m:val="p"/>
          </m:rPr>
          <w:rPr>
            <w:rFonts w:ascii="Cambria Math" w:hAnsi="Cambria Math"/>
          </w:rPr>
          <m:t>+</m:t>
        </m:r>
        <m:r>
          <w:rPr>
            <w:rFonts w:ascii="Cambria Math" w:hAnsi="Cambria Math"/>
          </w:rPr>
          <m:t>0.494</m:t>
        </m:r>
      </m:oMath>
      <w:r>
        <w:t xml:space="preserve">). With five pairs, the exact Wilcoxon test cannot reach </w:t>
      </w:r>
      <m:oMath>
        <m:r>
          <w:rPr>
            <w:rFonts w:ascii="Cambria Math" w:hAnsi="Cambria Math"/>
          </w:rPr>
          <m:t>α</m:t>
        </m:r>
        <m:r>
          <m:rPr>
            <m:sty m:val="p"/>
          </m:rPr>
          <w:rPr>
            <w:rFonts w:ascii="Cambria Math" w:hAnsi="Cambria Math"/>
          </w:rPr>
          <m:t>=</m:t>
        </m:r>
        <m:r>
          <w:rPr>
            <w:rFonts w:ascii="Cambria Math" w:hAnsi="Cambria Math"/>
          </w:rPr>
          <m:t>0.05</m:t>
        </m:r>
      </m:oMath>
      <w:r>
        <w:t xml:space="preserve"> under any scheme, so this agreement is descriptive. The probe uses stored top-10 explanations, not full attribution vectors, and is a stress test of the construct, not a replacement for the primary analysis: the direction holds in every pair, and the magnitude depends in part on the masking protocol.</w:t>
      </w:r>
    </w:p>
    <w:p w14:paraId="0FC5EF09" w14:textId="77777777" w:rsidR="00F27E4D" w:rsidRDefault="00652C58">
      <w:pPr>
        <w:pStyle w:val="Heading1"/>
        <w:keepNext/>
      </w:pPr>
      <w:r>
        <w:t>5. DISCUSSION</w:t>
      </w:r>
    </w:p>
    <w:p w14:paraId="376FED02" w14:textId="77777777" w:rsidR="00F27E4D" w:rsidRDefault="00652C58">
      <w:pPr>
        <w:pStyle w:val="Heading2"/>
        <w:keepNext/>
      </w:pPr>
      <w:r>
        <w:t>5.1. What the Paired Analysis Adds</w:t>
      </w:r>
    </w:p>
    <w:p w14:paraId="5BE43D2B" w14:textId="77777777" w:rsidR="00F27E4D" w:rsidRDefault="00652C58">
      <w:r>
        <w:t xml:space="preserve">The four hypotheses are supported on Adult: SHAP is more stable (RQ1) and scores higher on fidelity and faithfulness gap (RQ4); LIME is sparser as configured (RQ2) and cheaper in most cells (RQ3). The analysis on the full grid confirms the direction that the earlier 45-cell test found, extends it to the SVM and the MLP, and attaches an interval and an effect size to each endpoint; the fidelity and stability differences have the same sign in every cell. </w:t>
      </w:r>
      <w:r>
        <w:t>SHAP delivers higher stability and fidelity at a substantially higher expected runtime; LIME delivers lower latency and more compact explanations at the cost of robustness.</w:t>
      </w:r>
    </w:p>
    <w:p w14:paraId="5E0B737C" w14:textId="77777777" w:rsidR="00F27E4D" w:rsidRDefault="00652C58">
      <w:r>
        <w:t xml:space="preserve">Two of these results come with conditions, and the conditions are the part most likely to matter in practice. The runtime result (RQ3) reverses between XGBoost and random forests, two models that a guideline would group together as “tree-based”. The stability result (RQ1) is measured at one </w:t>
      </w:r>
      <w:r>
        <w:t xml:space="preserve">LIME kernel width on one feature space; a wider kernel or a lower-dimensional dataset raises LIME’s stability from near zero to between </w:t>
      </w:r>
      <m:oMath>
        <m:r>
          <w:rPr>
            <w:rFonts w:ascii="Cambria Math" w:hAnsi="Cambria Math"/>
          </w:rPr>
          <m:t>0.664</m:t>
        </m:r>
      </m:oMath>
      <w:r>
        <w:t xml:space="preserve"> and </w:t>
      </w:r>
      <m:oMath>
        <m:r>
          <w:rPr>
            <w:rFonts w:ascii="Cambria Math" w:hAnsi="Cambria Math"/>
          </w:rPr>
          <m:t>0.927</m:t>
        </m:r>
      </m:oMath>
      <w:r>
        <w:t>. A comparison run on one dataset with one configuration would report either of these as a property of the methods.</w:t>
      </w:r>
    </w:p>
    <w:p w14:paraId="785A4638" w14:textId="77777777" w:rsidR="00F27E4D" w:rsidRDefault="00652C58">
      <w:r>
        <w:t xml:space="preserve">One candidate reason for SHAP’s fidelity advantage is that SHAP ties attribution mass to the model’s response to feature removal: local accuracy means the attributions sum to the prediction change relative </w:t>
      </w:r>
      <w:r>
        <w:lastRenderedPageBreak/>
        <w:t xml:space="preserve">to the </w:t>
      </w:r>
      <w:r>
        <w:t>background distribution [2], and removal-based fidelity asks a related question. This mechanism was not tested and carries no guarantee: the masking used here replaces features with reference values and not with SHAP’s background expectation, KernelSHAP is itself a sampled estimate, and the advantage is small on Breast Cancer.</w:t>
      </w:r>
    </w:p>
    <w:p w14:paraId="3A44BAF2" w14:textId="77777777" w:rsidR="00F27E4D" w:rsidRDefault="00652C58">
      <w:pPr>
        <w:pStyle w:val="Heading2"/>
        <w:keepNext/>
      </w:pPr>
      <w:r>
        <w:t>5.2. Recommendation Conditioned on the Model Architecture</w:t>
      </w:r>
    </w:p>
    <w:p w14:paraId="79C49F44" w14:textId="77777777" w:rsidR="00F27E4D" w:rsidRDefault="00652C58">
      <w:r>
        <w:t xml:space="preserve">Table 8 states the recommendation in two tiers. The first-tier criterion is not a preference for a method. It is a function </w:t>
      </w:r>
      <w:r>
        <w:t xml:space="preserve">of the model architecture: where a model-aware explainer is also fast, as </w:t>
      </w:r>
      <w:r>
        <w:rPr>
          <w:rFonts w:ascii="Consolas" w:hAnsi="Consolas"/>
          <w:sz w:val="18"/>
        </w:rPr>
        <w:t>TreeExplainer</w:t>
      </w:r>
      <w:r>
        <w:t xml:space="preserve"> was for XGBoost, the trade-off between fidelity and latency disappears and SHAP is the better choice in both tiers; where it is not, as for the random forests here, the trade-off remains and has to be measured for the deployed model.</w:t>
      </w:r>
    </w:p>
    <w:p w14:paraId="071EED3E" w14:textId="77777777" w:rsidR="00F27E4D" w:rsidRDefault="00652C58">
      <w:pPr>
        <w:pStyle w:val="Subtitle"/>
        <w:keepNext/>
        <w:jc w:val="both"/>
      </w:pPr>
      <w:r>
        <w:t>Table 8. Recommendation by deployment tier, conditioned on the model architecture</w:t>
      </w:r>
    </w:p>
    <w:tbl>
      <w:tblPr>
        <w:tblStyle w:val="TableGrid5"/>
        <w:tblW w:w="5000" w:type="pct"/>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98"/>
        <w:gridCol w:w="3335"/>
        <w:gridCol w:w="4537"/>
      </w:tblGrid>
      <w:tr w:rsidR="00F27E4D" w14:paraId="4E6987BE" w14:textId="77777777">
        <w:trPr>
          <w:jc w:val="center"/>
        </w:trPr>
        <w:tc>
          <w:tcPr>
            <w:tcW w:w="0" w:type="auto"/>
            <w:tcBorders>
              <w:top w:val="single" w:sz="4" w:space="0" w:color="auto"/>
              <w:bottom w:val="single" w:sz="4" w:space="0" w:color="auto"/>
            </w:tcBorders>
          </w:tcPr>
          <w:p w14:paraId="4880089D" w14:textId="77777777" w:rsidR="00F27E4D" w:rsidRDefault="00652C58">
            <w:pPr>
              <w:pStyle w:val="Subtitle"/>
              <w:keepNext/>
              <w:spacing w:before="20" w:after="20"/>
              <w:jc w:val="left"/>
              <w:rPr>
                <w:i w:val="0"/>
              </w:rPr>
            </w:pPr>
            <w:r>
              <w:rPr>
                <w:b/>
                <w:bCs/>
                <w:i w:val="0"/>
              </w:rPr>
              <w:t>Tier</w:t>
            </w:r>
          </w:p>
        </w:tc>
        <w:tc>
          <w:tcPr>
            <w:tcW w:w="0" w:type="auto"/>
            <w:tcBorders>
              <w:top w:val="single" w:sz="4" w:space="0" w:color="auto"/>
              <w:bottom w:val="single" w:sz="4" w:space="0" w:color="auto"/>
            </w:tcBorders>
          </w:tcPr>
          <w:p w14:paraId="72D74580" w14:textId="77777777" w:rsidR="00F27E4D" w:rsidRDefault="00652C58">
            <w:pPr>
              <w:pStyle w:val="Subtitle"/>
              <w:keepNext/>
              <w:spacing w:before="20" w:after="20"/>
              <w:jc w:val="left"/>
              <w:rPr>
                <w:i w:val="0"/>
              </w:rPr>
            </w:pPr>
            <w:r>
              <w:rPr>
                <w:b/>
                <w:bCs/>
                <w:i w:val="0"/>
              </w:rPr>
              <w:t>Recommendation</w:t>
            </w:r>
          </w:p>
        </w:tc>
        <w:tc>
          <w:tcPr>
            <w:tcW w:w="0" w:type="auto"/>
            <w:tcBorders>
              <w:top w:val="single" w:sz="4" w:space="0" w:color="auto"/>
              <w:bottom w:val="single" w:sz="4" w:space="0" w:color="auto"/>
            </w:tcBorders>
          </w:tcPr>
          <w:p w14:paraId="479230DE" w14:textId="77777777" w:rsidR="00F27E4D" w:rsidRDefault="00652C58">
            <w:pPr>
              <w:pStyle w:val="Subtitle"/>
              <w:keepNext/>
              <w:spacing w:before="20" w:after="20"/>
              <w:jc w:val="left"/>
              <w:rPr>
                <w:i w:val="0"/>
              </w:rPr>
            </w:pPr>
            <w:r>
              <w:rPr>
                <w:b/>
                <w:bCs/>
                <w:i w:val="0"/>
              </w:rPr>
              <w:t>Evidence and condition</w:t>
            </w:r>
          </w:p>
        </w:tc>
      </w:tr>
      <w:tr w:rsidR="00F27E4D" w14:paraId="0E6A368B" w14:textId="77777777">
        <w:trPr>
          <w:jc w:val="center"/>
        </w:trPr>
        <w:tc>
          <w:tcPr>
            <w:tcW w:w="0" w:type="auto"/>
          </w:tcPr>
          <w:p w14:paraId="41896EB9" w14:textId="77777777" w:rsidR="00F27E4D" w:rsidRDefault="00652C58">
            <w:pPr>
              <w:pStyle w:val="Subtitle"/>
              <w:keepNext/>
              <w:spacing w:before="20" w:after="20"/>
              <w:jc w:val="left"/>
              <w:rPr>
                <w:i w:val="0"/>
              </w:rPr>
            </w:pPr>
            <w:r>
              <w:rPr>
                <w:i w:val="0"/>
              </w:rPr>
              <w:t>Tier 1: real-time, end-user facing</w:t>
            </w:r>
          </w:p>
        </w:tc>
        <w:tc>
          <w:tcPr>
            <w:tcW w:w="0" w:type="auto"/>
          </w:tcPr>
          <w:p w14:paraId="50697BDC" w14:textId="77777777" w:rsidR="00F27E4D" w:rsidRDefault="00652C58">
            <w:pPr>
              <w:pStyle w:val="Subtitle"/>
              <w:keepNext/>
              <w:spacing w:before="20" w:after="20"/>
              <w:jc w:val="left"/>
              <w:rPr>
                <w:i w:val="0"/>
              </w:rPr>
            </w:pPr>
            <w:r>
              <w:rPr>
                <w:b/>
                <w:bCs/>
                <w:i w:val="0"/>
              </w:rPr>
              <w:t>SHAP</w:t>
            </w:r>
            <w:r>
              <w:rPr>
                <w:i w:val="0"/>
              </w:rPr>
              <w:t xml:space="preserve"> </w:t>
            </w:r>
            <w:r>
              <w:rPr>
                <w:i w:val="0"/>
              </w:rPr>
              <w:t>(</w:t>
            </w:r>
            <w:r>
              <w:rPr>
                <w:rFonts w:ascii="Consolas" w:hAnsi="Consolas"/>
                <w:i w:val="0"/>
              </w:rPr>
              <w:t>TreeExplainer</w:t>
            </w:r>
            <w:r>
              <w:rPr>
                <w:i w:val="0"/>
              </w:rPr>
              <w:t>) for XGBoost;</w:t>
            </w:r>
            <w:r>
              <w:rPr>
                <w:i w:val="0"/>
              </w:rPr>
              <w:t xml:space="preserve"> </w:t>
            </w:r>
            <w:r>
              <w:rPr>
                <w:b/>
                <w:bCs/>
                <w:i w:val="0"/>
              </w:rPr>
              <w:t>LIME</w:t>
            </w:r>
            <w:r>
              <w:rPr>
                <w:i w:val="0"/>
              </w:rPr>
              <w:t xml:space="preserve"> </w:t>
            </w:r>
            <w:r>
              <w:rPr>
                <w:i w:val="0"/>
              </w:rPr>
              <w:t>for</w:t>
            </w:r>
            <w:r>
              <w:rPr>
                <w:i w:val="0"/>
              </w:rPr>
              <w:t xml:space="preserve"> </w:t>
            </w:r>
            <w:r>
              <w:rPr>
                <w:i w:val="0"/>
              </w:rPr>
              <w:t>models without a fast model-aware explainer; for other tree ensembles,</w:t>
            </w:r>
            <w:r>
              <w:rPr>
                <w:i w:val="0"/>
              </w:rPr>
              <w:t xml:space="preserve"> </w:t>
            </w:r>
            <w:r>
              <w:rPr>
                <w:i w:val="0"/>
              </w:rPr>
              <w:t>measure latency before choosing.</w:t>
            </w:r>
          </w:p>
        </w:tc>
        <w:tc>
          <w:tcPr>
            <w:tcW w:w="0" w:type="auto"/>
          </w:tcPr>
          <w:p w14:paraId="79C179CA" w14:textId="77777777" w:rsidR="00F27E4D" w:rsidRDefault="00652C58">
            <w:pPr>
              <w:pStyle w:val="Subtitle"/>
              <w:keepNext/>
              <w:spacing w:before="20" w:after="20"/>
              <w:jc w:val="left"/>
              <w:rPr>
                <w:i w:val="0"/>
              </w:rPr>
            </w:pPr>
            <w:r>
              <w:rPr>
                <w:i w:val="0"/>
              </w:rPr>
              <w:t>For XGBoost, SHAP was faster in all 15 matched cells and more faithful.</w:t>
            </w:r>
            <w:r>
              <w:rPr>
                <w:i w:val="0"/>
              </w:rPr>
              <w:t xml:space="preserve"> </w:t>
            </w:r>
            <w:r>
              <w:rPr>
                <w:i w:val="0"/>
              </w:rPr>
              <w:t>For random forests it was slower in all 15 cells. For non-tree models LIME</w:t>
            </w:r>
            <w:r>
              <w:rPr>
                <w:i w:val="0"/>
              </w:rPr>
              <w:t xml:space="preserve"> </w:t>
            </w:r>
            <w:r>
              <w:rPr>
                <w:i w:val="0"/>
              </w:rPr>
              <w:t>has the lower median runtime (Section 4.4). Applies when</w:t>
            </w:r>
            <w:r>
              <w:rPr>
                <w:i w:val="0"/>
              </w:rPr>
              <w:t xml:space="preserve"> </w:t>
            </w:r>
            <w:r>
              <w:rPr>
                <w:i w:val="0"/>
              </w:rPr>
              <w:t>sub-second latency and compact explanations matter more than maximum</w:t>
            </w:r>
            <w:r>
              <w:rPr>
                <w:i w:val="0"/>
              </w:rPr>
              <w:t xml:space="preserve"> </w:t>
            </w:r>
            <w:r>
              <w:rPr>
                <w:i w:val="0"/>
              </w:rPr>
              <w:t>fidelity.</w:t>
            </w:r>
          </w:p>
        </w:tc>
      </w:tr>
      <w:tr w:rsidR="00F27E4D" w14:paraId="6DBF5F82" w14:textId="77777777">
        <w:trPr>
          <w:jc w:val="center"/>
        </w:trPr>
        <w:tc>
          <w:tcPr>
            <w:tcW w:w="0" w:type="auto"/>
            <w:tcBorders>
              <w:bottom w:val="single" w:sz="4" w:space="0" w:color="auto"/>
            </w:tcBorders>
          </w:tcPr>
          <w:p w14:paraId="1BBB253A" w14:textId="77777777" w:rsidR="00F27E4D" w:rsidRDefault="00652C58">
            <w:pPr>
              <w:pStyle w:val="Subtitle"/>
              <w:spacing w:before="20" w:after="20"/>
              <w:jc w:val="left"/>
              <w:rPr>
                <w:i w:val="0"/>
              </w:rPr>
            </w:pPr>
            <w:r>
              <w:rPr>
                <w:i w:val="0"/>
              </w:rPr>
              <w:t>Tier 2: auditing, model analysis</w:t>
            </w:r>
          </w:p>
        </w:tc>
        <w:tc>
          <w:tcPr>
            <w:tcW w:w="0" w:type="auto"/>
            <w:tcBorders>
              <w:bottom w:val="single" w:sz="4" w:space="0" w:color="auto"/>
            </w:tcBorders>
          </w:tcPr>
          <w:p w14:paraId="758FD46B" w14:textId="77777777" w:rsidR="00F27E4D" w:rsidRDefault="00652C58">
            <w:pPr>
              <w:pStyle w:val="Subtitle"/>
              <w:spacing w:before="20" w:after="20"/>
              <w:jc w:val="left"/>
              <w:rPr>
                <w:i w:val="0"/>
              </w:rPr>
            </w:pPr>
            <w:r>
              <w:rPr>
                <w:b/>
                <w:bCs/>
                <w:i w:val="0"/>
              </w:rPr>
              <w:t>SHAP.</w:t>
            </w:r>
          </w:p>
        </w:tc>
        <w:tc>
          <w:tcPr>
            <w:tcW w:w="0" w:type="auto"/>
            <w:tcBorders>
              <w:bottom w:val="single" w:sz="4" w:space="0" w:color="auto"/>
            </w:tcBorders>
          </w:tcPr>
          <w:p w14:paraId="29D50F79" w14:textId="77777777" w:rsidR="00F27E4D" w:rsidRDefault="00652C58">
            <w:pPr>
              <w:pStyle w:val="Subtitle"/>
              <w:spacing w:before="20" w:after="20"/>
              <w:jc w:val="left"/>
              <w:rPr>
                <w:i w:val="0"/>
              </w:rPr>
            </w:pPr>
            <w:r>
              <w:rPr>
                <w:i w:val="0"/>
              </w:rPr>
              <w:t>Consistent paired advantages in stability, fidelity and faithfulness gap</w:t>
            </w:r>
            <w:r>
              <w:rPr>
                <w:i w:val="0"/>
              </w:rPr>
              <w:t xml:space="preserve"> </w:t>
            </w:r>
            <w:r>
              <w:rPr>
                <w:i w:val="0"/>
              </w:rPr>
              <w:t>(</w:t>
            </w:r>
            <m:oMath>
              <m:sSub>
                <m:sSubPr>
                  <m:ctrlPr>
                    <w:rPr>
                      <w:rFonts w:ascii="Cambria Math" w:hAnsi="Cambria Math"/>
                    </w:rPr>
                  </m:ctrlPr>
                </m:sSubPr>
                <m:e>
                  <m:r>
                    <w:rPr>
                      <w:rFonts w:ascii="Cambria Math" w:hAnsi="Cambria Math"/>
                      <w:szCs w:val="18"/>
                    </w:rPr>
                    <m:t>d</m:t>
                  </m:r>
                </m:e>
                <m:sub>
                  <m:r>
                    <w:rPr>
                      <w:rFonts w:ascii="Cambria Math" w:hAnsi="Cambria Math"/>
                      <w:szCs w:val="18"/>
                    </w:rPr>
                    <m:t>z</m:t>
                  </m:r>
                </m:sub>
              </m:sSub>
              <m:r>
                <w:rPr>
                  <w:rFonts w:ascii="Cambria Math" w:hAnsi="Cambria Math"/>
                  <w:szCs w:val="18"/>
                </w:rPr>
                <m:t>=</m:t>
              </m:r>
              <m:r>
                <w:rPr>
                  <w:rFonts w:ascii="Cambria Math" w:hAnsi="Cambria Math"/>
                  <w:szCs w:val="18"/>
                </w:rPr>
                <m:t>3.00</m:t>
              </m:r>
            </m:oMath>
            <w:r>
              <w:rPr>
                <w:i w:val="0"/>
              </w:rPr>
              <w:t>,</w:t>
            </w:r>
            <w:r>
              <w:rPr>
                <w:i w:val="0"/>
              </w:rPr>
              <w:t xml:space="preserve"> </w:t>
            </w:r>
            <m:oMath>
              <m:r>
                <w:rPr>
                  <w:rFonts w:ascii="Cambria Math" w:hAnsi="Cambria Math"/>
                  <w:szCs w:val="18"/>
                </w:rPr>
                <m:t>4.82</m:t>
              </m:r>
            </m:oMath>
            <w:r>
              <w:rPr>
                <w:i w:val="0"/>
              </w:rPr>
              <w:t>,</w:t>
            </w:r>
            <w:r>
              <w:rPr>
                <w:i w:val="0"/>
              </w:rPr>
              <w:t xml:space="preserve"> </w:t>
            </w:r>
            <m:oMath>
              <m:r>
                <w:rPr>
                  <w:rFonts w:ascii="Cambria Math" w:hAnsi="Cambria Math"/>
                  <w:szCs w:val="18"/>
                </w:rPr>
                <m:t>2.63</m:t>
              </m:r>
            </m:oMath>
            <w:r>
              <w:rPr>
                <w:i w:val="0"/>
              </w:rPr>
              <w:t>). Applies to offline or analyst-mediated work</w:t>
            </w:r>
            <w:r>
              <w:rPr>
                <w:i w:val="0"/>
              </w:rPr>
              <w:t xml:space="preserve"> </w:t>
            </w:r>
            <w:r>
              <w:rPr>
                <w:i w:val="0"/>
              </w:rPr>
              <w:t>that tolerates latencies of seconds to minutes; the sample budget depends</w:t>
            </w:r>
            <w:r>
              <w:rPr>
                <w:i w:val="0"/>
              </w:rPr>
              <w:t xml:space="preserve"> </w:t>
            </w:r>
            <w:r>
              <w:rPr>
                <w:i w:val="0"/>
              </w:rPr>
              <w:t>on whether SHAP runs in tree-specific or kernel mode.</w:t>
            </w:r>
          </w:p>
        </w:tc>
      </w:tr>
    </w:tbl>
    <w:p w14:paraId="61BFF429" w14:textId="77777777" w:rsidR="00F27E4D" w:rsidRDefault="00652C58">
      <w:pPr>
        <w:pStyle w:val="Heading2"/>
        <w:keepNext/>
      </w:pPr>
      <w:r>
        <w:t>5.3. Validity and Limitations</w:t>
      </w:r>
    </w:p>
    <w:p w14:paraId="1C06C581" w14:textId="77777777" w:rsidR="00F27E4D" w:rsidRDefault="00652C58">
      <w:r>
        <w:rPr>
          <w:b/>
          <w:bCs/>
        </w:rPr>
        <w:t>Ranking claims, not validity claims.</w:t>
      </w:r>
      <w:r>
        <w:t xml:space="preserve"> The differences reported here are comparative performance within a benchmark protocol. A claim that an </w:t>
      </w:r>
      <w:r>
        <w:t>explanation is correct for a task would need stronger evidence: ground truth from synthetic or transparent models, perturbation protocols that respect feature dependence, or human-centered validation [34, 35]. Formal analyses show that several attribution families assign high importance to suppressor variables when features are dependent [36, 37], and faithfulness-style evaluations are informative but do not settle correctness on their own [18, 38].</w:t>
      </w:r>
    </w:p>
    <w:p w14:paraId="4AD39BF6" w14:textId="77777777" w:rsidR="00F27E4D" w:rsidRDefault="00652C58">
      <w:r>
        <w:rPr>
          <w:b/>
          <w:bCs/>
        </w:rPr>
        <w:t>Configuration.</w:t>
      </w:r>
      <w:r>
        <w:t xml:space="preserve"> </w:t>
      </w:r>
      <w:r>
        <w:t>Both methods were run with one fixed reference configuration. The cost gap reflects the method family and the concrete implementation pathway (tree-specific or kernel SHAP). The kernel-width probe covers one model and one seed. Sensitivity to the SHAP background sample and to the kernel width in other models was not examined.</w:t>
      </w:r>
    </w:p>
    <w:p w14:paraId="33130BC1" w14:textId="77777777" w:rsidR="00F27E4D" w:rsidRDefault="00652C58">
      <w:r>
        <w:rPr>
          <w:b/>
          <w:bCs/>
        </w:rPr>
        <w:t>Execution hosts and the cost endpoint.</w:t>
      </w:r>
      <w:r>
        <w:t xml:space="preserve"> Cost is per-instance wall-clock time, and the runs were executed on several workstations whose </w:t>
      </w:r>
      <w:r>
        <w:t xml:space="preserve">processor and memory specifications were not recorded (Section 3.6). The two members of a paired cell are matched on model, seed and </w:t>
      </w:r>
      <m:oMath>
        <m:r>
          <w:rPr>
            <w:rFonts w:ascii="Cambria Math" w:hAnsi="Cambria Math"/>
          </w:rPr>
          <m:t>N</m:t>
        </m:r>
      </m:oMath>
      <w:r>
        <w:t>, but did not necessarily run on the same host. Absolute latencies, and the medians reported here, include between-host variance and are indicative of this environment; they are not hardware-normalized measurements. The quality endpoints do not depend on the host.</w:t>
      </w:r>
    </w:p>
    <w:p w14:paraId="7CB6A75A" w14:textId="77777777" w:rsidR="00F27E4D" w:rsidRDefault="00652C58">
      <w:r>
        <w:rPr>
          <w:b/>
          <w:bCs/>
        </w:rPr>
        <w:t>Generalization.</w:t>
      </w:r>
      <w:r>
        <w:t xml:space="preserve"> Table 9 states the boundary of each claim. The comparison is limited to tabular binary </w:t>
      </w:r>
      <w:r>
        <w:t xml:space="preserve">classification; image, text, graph and time-series explanations need different masking schemes and endpoints and were not tested. The endpoints measure how well an explanation tracks the model it </w:t>
      </w:r>
      <w:r>
        <w:lastRenderedPageBreak/>
        <w:t>explains. They say nothing about whether that model is accurate or fair, and nothing about whether a person decides better with the explanation.</w:t>
      </w:r>
    </w:p>
    <w:p w14:paraId="063F2966" w14:textId="77777777" w:rsidR="00F27E4D" w:rsidRDefault="00652C58">
      <w:pPr>
        <w:pStyle w:val="Subtitle"/>
        <w:keepNext/>
        <w:jc w:val="both"/>
      </w:pPr>
      <w:r>
        <w:t>Table 9. Generalizability boundary of the empirical claims</w:t>
      </w:r>
    </w:p>
    <w:tbl>
      <w:tblPr>
        <w:tblStyle w:val="TableGrid5"/>
        <w:tblW w:w="5000" w:type="pct"/>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72"/>
        <w:gridCol w:w="2115"/>
        <w:gridCol w:w="5483"/>
      </w:tblGrid>
      <w:tr w:rsidR="00F27E4D" w14:paraId="2A8E8F0E" w14:textId="77777777">
        <w:trPr>
          <w:jc w:val="center"/>
        </w:trPr>
        <w:tc>
          <w:tcPr>
            <w:tcW w:w="0" w:type="auto"/>
            <w:tcBorders>
              <w:top w:val="single" w:sz="4" w:space="0" w:color="auto"/>
              <w:bottom w:val="single" w:sz="4" w:space="0" w:color="auto"/>
            </w:tcBorders>
          </w:tcPr>
          <w:p w14:paraId="4023F1B7" w14:textId="77777777" w:rsidR="00F27E4D" w:rsidRDefault="00652C58">
            <w:pPr>
              <w:pStyle w:val="Subtitle"/>
              <w:keepNext/>
              <w:spacing w:before="20" w:after="20"/>
              <w:jc w:val="left"/>
              <w:rPr>
                <w:i w:val="0"/>
              </w:rPr>
            </w:pPr>
            <w:r>
              <w:rPr>
                <w:b/>
                <w:bCs/>
                <w:i w:val="0"/>
              </w:rPr>
              <w:t>Claim</w:t>
            </w:r>
          </w:p>
        </w:tc>
        <w:tc>
          <w:tcPr>
            <w:tcW w:w="0" w:type="auto"/>
            <w:tcBorders>
              <w:top w:val="single" w:sz="4" w:space="0" w:color="auto"/>
              <w:bottom w:val="single" w:sz="4" w:space="0" w:color="auto"/>
            </w:tcBorders>
          </w:tcPr>
          <w:p w14:paraId="3DFCD425" w14:textId="77777777" w:rsidR="00F27E4D" w:rsidRDefault="00652C58">
            <w:pPr>
              <w:pStyle w:val="Subtitle"/>
              <w:keepNext/>
              <w:spacing w:before="20" w:after="20"/>
              <w:jc w:val="left"/>
              <w:rPr>
                <w:i w:val="0"/>
              </w:rPr>
            </w:pPr>
            <w:r>
              <w:rPr>
                <w:b/>
                <w:bCs/>
                <w:i w:val="0"/>
              </w:rPr>
              <w:t>Evidence</w:t>
            </w:r>
          </w:p>
        </w:tc>
        <w:tc>
          <w:tcPr>
            <w:tcW w:w="0" w:type="auto"/>
            <w:tcBorders>
              <w:top w:val="single" w:sz="4" w:space="0" w:color="auto"/>
              <w:bottom w:val="single" w:sz="4" w:space="0" w:color="auto"/>
            </w:tcBorders>
          </w:tcPr>
          <w:p w14:paraId="2763610A" w14:textId="77777777" w:rsidR="00F27E4D" w:rsidRDefault="00652C58">
            <w:pPr>
              <w:pStyle w:val="Subtitle"/>
              <w:keepNext/>
              <w:spacing w:before="20" w:after="20"/>
              <w:jc w:val="left"/>
              <w:rPr>
                <w:i w:val="0"/>
              </w:rPr>
            </w:pPr>
            <w:r>
              <w:rPr>
                <w:b/>
                <w:bCs/>
                <w:i w:val="0"/>
              </w:rPr>
              <w:t>Generalization status</w:t>
            </w:r>
          </w:p>
        </w:tc>
      </w:tr>
      <w:tr w:rsidR="00F27E4D" w14:paraId="10B48CF5" w14:textId="77777777">
        <w:trPr>
          <w:jc w:val="center"/>
        </w:trPr>
        <w:tc>
          <w:tcPr>
            <w:tcW w:w="0" w:type="auto"/>
          </w:tcPr>
          <w:p w14:paraId="3A12DE6F" w14:textId="77777777" w:rsidR="00F27E4D" w:rsidRDefault="00652C58">
            <w:pPr>
              <w:pStyle w:val="Subtitle"/>
              <w:keepNext/>
              <w:spacing w:before="20" w:after="20"/>
              <w:jc w:val="left"/>
              <w:rPr>
                <w:i w:val="0"/>
              </w:rPr>
            </w:pPr>
            <w:r>
              <w:rPr>
                <w:i w:val="0"/>
              </w:rPr>
              <w:t>SHAP</w:t>
            </w:r>
            <w:r>
              <w:rPr>
                <w:i w:val="0"/>
              </w:rPr>
              <w:t xml:space="preserve"> </w:t>
            </w:r>
            <m:oMath>
              <m:r>
                <w:rPr>
                  <w:rFonts w:ascii="Cambria Math" w:hAnsi="Cambria Math"/>
                  <w:szCs w:val="18"/>
                </w:rPr>
                <m:t>&gt;</m:t>
              </m:r>
            </m:oMath>
            <w:r>
              <w:rPr>
                <w:i w:val="0"/>
              </w:rPr>
              <w:t xml:space="preserve"> </w:t>
            </w:r>
            <w:r>
              <w:rPr>
                <w:i w:val="0"/>
              </w:rPr>
              <w:t>LIME stability</w:t>
            </w:r>
          </w:p>
        </w:tc>
        <w:tc>
          <w:tcPr>
            <w:tcW w:w="0" w:type="auto"/>
          </w:tcPr>
          <w:p w14:paraId="00EC13B5" w14:textId="77777777" w:rsidR="00F27E4D" w:rsidRDefault="00652C58">
            <w:pPr>
              <w:pStyle w:val="Subtitle"/>
              <w:keepNext/>
              <w:spacing w:before="20" w:after="20"/>
              <w:jc w:val="left"/>
              <w:rPr>
                <w:i w:val="0"/>
              </w:rPr>
            </w:pPr>
            <w:r>
              <w:rPr>
                <w:i w:val="0"/>
              </w:rPr>
              <w:t>Adult matched cells, one LIME kernel width</w:t>
            </w:r>
          </w:p>
        </w:tc>
        <w:tc>
          <w:tcPr>
            <w:tcW w:w="0" w:type="auto"/>
          </w:tcPr>
          <w:p w14:paraId="7BBCAFE3" w14:textId="77777777" w:rsidR="00F27E4D" w:rsidRDefault="00652C58">
            <w:pPr>
              <w:pStyle w:val="Subtitle"/>
              <w:keepNext/>
              <w:spacing w:before="20" w:after="20"/>
              <w:jc w:val="left"/>
              <w:rPr>
                <w:i w:val="0"/>
              </w:rPr>
            </w:pPr>
            <w:r>
              <w:rPr>
                <w:i w:val="0"/>
              </w:rPr>
              <w:t>Holds for the Adult protocol only; LIME stability is high on two further datasets, where SHAP stability was not measured</w:t>
            </w:r>
          </w:p>
        </w:tc>
      </w:tr>
      <w:tr w:rsidR="00F27E4D" w14:paraId="07B9DFC4" w14:textId="77777777">
        <w:trPr>
          <w:jc w:val="center"/>
        </w:trPr>
        <w:tc>
          <w:tcPr>
            <w:tcW w:w="0" w:type="auto"/>
          </w:tcPr>
          <w:p w14:paraId="79904AD3" w14:textId="77777777" w:rsidR="00F27E4D" w:rsidRDefault="00652C58">
            <w:pPr>
              <w:pStyle w:val="Subtitle"/>
              <w:keepNext/>
              <w:spacing w:before="20" w:after="20"/>
              <w:jc w:val="left"/>
              <w:rPr>
                <w:i w:val="0"/>
              </w:rPr>
            </w:pPr>
            <w:r>
              <w:rPr>
                <w:i w:val="0"/>
              </w:rPr>
              <w:t>SHAP</w:t>
            </w:r>
            <w:r>
              <w:rPr>
                <w:i w:val="0"/>
              </w:rPr>
              <w:t xml:space="preserve"> </w:t>
            </w:r>
            <m:oMath>
              <m:r>
                <w:rPr>
                  <w:rFonts w:ascii="Cambria Math" w:hAnsi="Cambria Math"/>
                  <w:szCs w:val="18"/>
                </w:rPr>
                <m:t>&gt;</m:t>
              </m:r>
            </m:oMath>
            <w:r>
              <w:rPr>
                <w:i w:val="0"/>
              </w:rPr>
              <w:t xml:space="preserve"> </w:t>
            </w:r>
            <w:r>
              <w:rPr>
                <w:i w:val="0"/>
              </w:rPr>
              <w:t>LIME fidelity</w:t>
            </w:r>
          </w:p>
        </w:tc>
        <w:tc>
          <w:tcPr>
            <w:tcW w:w="0" w:type="auto"/>
          </w:tcPr>
          <w:p w14:paraId="2F9366DB" w14:textId="77777777" w:rsidR="00F27E4D" w:rsidRDefault="00652C58">
            <w:pPr>
              <w:pStyle w:val="Subtitle"/>
              <w:keepNext/>
              <w:spacing w:before="20" w:after="20"/>
              <w:jc w:val="left"/>
              <w:rPr>
                <w:i w:val="0"/>
              </w:rPr>
            </w:pPr>
            <w:r>
              <w:rPr>
                <w:i w:val="0"/>
              </w:rPr>
              <w:t>Adult, plus German Credit and Breast Cancer</w:t>
            </w:r>
          </w:p>
        </w:tc>
        <w:tc>
          <w:tcPr>
            <w:tcW w:w="0" w:type="auto"/>
          </w:tcPr>
          <w:p w14:paraId="44DDB01B" w14:textId="77777777" w:rsidR="00F27E4D" w:rsidRDefault="00652C58">
            <w:pPr>
              <w:pStyle w:val="Subtitle"/>
              <w:keepNext/>
              <w:spacing w:before="20" w:after="20"/>
              <w:jc w:val="left"/>
              <w:rPr>
                <w:i w:val="0"/>
              </w:rPr>
            </w:pPr>
            <w:r>
              <w:rPr>
                <w:i w:val="0"/>
              </w:rPr>
              <w:t>Supported within tabular classification, with a small gap on Breast Cancer; not established for other data types</w:t>
            </w:r>
          </w:p>
        </w:tc>
      </w:tr>
      <w:tr w:rsidR="00F27E4D" w14:paraId="4A932380" w14:textId="77777777">
        <w:trPr>
          <w:jc w:val="center"/>
        </w:trPr>
        <w:tc>
          <w:tcPr>
            <w:tcW w:w="0" w:type="auto"/>
          </w:tcPr>
          <w:p w14:paraId="00CA2186" w14:textId="77777777" w:rsidR="00F27E4D" w:rsidRDefault="00652C58">
            <w:pPr>
              <w:pStyle w:val="Subtitle"/>
              <w:keepNext/>
              <w:spacing w:before="20" w:after="20"/>
              <w:jc w:val="left"/>
              <w:rPr>
                <w:i w:val="0"/>
              </w:rPr>
            </w:pPr>
            <w:r>
              <w:rPr>
                <w:i w:val="0"/>
              </w:rPr>
              <w:t>LIME lower runtime</w:t>
            </w:r>
          </w:p>
        </w:tc>
        <w:tc>
          <w:tcPr>
            <w:tcW w:w="0" w:type="auto"/>
          </w:tcPr>
          <w:p w14:paraId="6574B173" w14:textId="77777777" w:rsidR="00F27E4D" w:rsidRDefault="00652C58">
            <w:pPr>
              <w:pStyle w:val="Subtitle"/>
              <w:keepNext/>
              <w:spacing w:before="20" w:after="20"/>
              <w:jc w:val="left"/>
              <w:rPr>
                <w:i w:val="0"/>
              </w:rPr>
            </w:pPr>
            <w:r>
              <w:rPr>
                <w:i w:val="0"/>
              </w:rPr>
              <w:t>Adult, model-dependent</w:t>
            </w:r>
          </w:p>
        </w:tc>
        <w:tc>
          <w:tcPr>
            <w:tcW w:w="0" w:type="auto"/>
          </w:tcPr>
          <w:p w14:paraId="48C86337" w14:textId="77777777" w:rsidR="00F27E4D" w:rsidRDefault="00652C58">
            <w:pPr>
              <w:pStyle w:val="Subtitle"/>
              <w:keepNext/>
              <w:spacing w:before="20" w:after="20"/>
              <w:jc w:val="left"/>
              <w:rPr>
                <w:i w:val="0"/>
              </w:rPr>
            </w:pPr>
            <w:r>
              <w:rPr>
                <w:i w:val="0"/>
              </w:rPr>
              <w:t>Bounded by the model architecture and the SHAP implementation;</w:t>
            </w:r>
            <w:r>
              <w:rPr>
                <w:i w:val="0"/>
              </w:rPr>
              <w:t xml:space="preserve"> </w:t>
            </w:r>
            <w:r>
              <w:rPr>
                <w:rFonts w:ascii="Consolas" w:hAnsi="Consolas"/>
                <w:i w:val="0"/>
              </w:rPr>
              <w:t>TreeExplainer</w:t>
            </w:r>
            <w:r>
              <w:rPr>
                <w:i w:val="0"/>
              </w:rPr>
              <w:t xml:space="preserve"> </w:t>
            </w:r>
            <w:r>
              <w:rPr>
                <w:i w:val="0"/>
              </w:rPr>
              <w:t>reverses the ordering for XGBoost but not for random forests</w:t>
            </w:r>
          </w:p>
        </w:tc>
      </w:tr>
      <w:tr w:rsidR="00F27E4D" w14:paraId="460217FD" w14:textId="77777777">
        <w:trPr>
          <w:jc w:val="center"/>
        </w:trPr>
        <w:tc>
          <w:tcPr>
            <w:tcW w:w="0" w:type="auto"/>
          </w:tcPr>
          <w:p w14:paraId="09C5BC45" w14:textId="77777777" w:rsidR="00F27E4D" w:rsidRDefault="00652C58">
            <w:pPr>
              <w:pStyle w:val="Subtitle"/>
              <w:keepNext/>
              <w:spacing w:before="20" w:after="20"/>
              <w:jc w:val="left"/>
              <w:rPr>
                <w:i w:val="0"/>
              </w:rPr>
            </w:pPr>
            <w:r>
              <w:rPr>
                <w:i w:val="0"/>
              </w:rPr>
              <w:t>SHAP</w:t>
            </w:r>
            <w:r>
              <w:rPr>
                <w:i w:val="0"/>
              </w:rPr>
              <w:t xml:space="preserve"> </w:t>
            </w:r>
            <m:oMath>
              <m:r>
                <w:rPr>
                  <w:rFonts w:ascii="Cambria Math" w:hAnsi="Cambria Math"/>
                  <w:szCs w:val="18"/>
                </w:rPr>
                <m:t>&gt;</m:t>
              </m:r>
            </m:oMath>
            <w:r>
              <w:rPr>
                <w:i w:val="0"/>
              </w:rPr>
              <w:t xml:space="preserve"> </w:t>
            </w:r>
            <w:r>
              <w:rPr>
                <w:i w:val="0"/>
              </w:rPr>
              <w:t>Anchors fidelity</w:t>
            </w:r>
          </w:p>
        </w:tc>
        <w:tc>
          <w:tcPr>
            <w:tcW w:w="0" w:type="auto"/>
          </w:tcPr>
          <w:p w14:paraId="01D46395" w14:textId="77777777" w:rsidR="00F27E4D" w:rsidRDefault="00652C58">
            <w:pPr>
              <w:pStyle w:val="Subtitle"/>
              <w:keepNext/>
              <w:spacing w:before="20" w:after="20"/>
              <w:jc w:val="left"/>
              <w:rPr>
                <w:i w:val="0"/>
              </w:rPr>
            </w:pPr>
            <w:r>
              <w:rPr>
                <w:i w:val="0"/>
              </w:rPr>
              <w:t>Breast Cancer and German Credit</w:t>
            </w:r>
          </w:p>
        </w:tc>
        <w:tc>
          <w:tcPr>
            <w:tcW w:w="0" w:type="auto"/>
          </w:tcPr>
          <w:p w14:paraId="4BFD0DAA" w14:textId="77777777" w:rsidR="00F27E4D" w:rsidRDefault="00652C58">
            <w:pPr>
              <w:pStyle w:val="Subtitle"/>
              <w:keepNext/>
              <w:spacing w:before="20" w:after="20"/>
              <w:jc w:val="left"/>
              <w:rPr>
                <w:i w:val="0"/>
              </w:rPr>
            </w:pPr>
            <w:r>
              <w:rPr>
                <w:i w:val="0"/>
              </w:rPr>
              <w:t>Fidelity ordering only; not a stability or runtime result</w:t>
            </w:r>
          </w:p>
        </w:tc>
      </w:tr>
      <w:tr w:rsidR="00F27E4D" w14:paraId="36B634F2" w14:textId="77777777">
        <w:trPr>
          <w:jc w:val="center"/>
        </w:trPr>
        <w:tc>
          <w:tcPr>
            <w:tcW w:w="0" w:type="auto"/>
            <w:tcBorders>
              <w:bottom w:val="single" w:sz="4" w:space="0" w:color="auto"/>
            </w:tcBorders>
          </w:tcPr>
          <w:p w14:paraId="595F1E99" w14:textId="77777777" w:rsidR="00F27E4D" w:rsidRDefault="00652C58">
            <w:pPr>
              <w:pStyle w:val="Subtitle"/>
              <w:spacing w:before="20" w:after="20"/>
              <w:jc w:val="left"/>
              <w:rPr>
                <w:i w:val="0"/>
              </w:rPr>
            </w:pPr>
            <w:r>
              <w:rPr>
                <w:i w:val="0"/>
              </w:rPr>
              <w:t>Usefulness for people</w:t>
            </w:r>
          </w:p>
        </w:tc>
        <w:tc>
          <w:tcPr>
            <w:tcW w:w="0" w:type="auto"/>
            <w:tcBorders>
              <w:bottom w:val="single" w:sz="4" w:space="0" w:color="auto"/>
            </w:tcBorders>
          </w:tcPr>
          <w:p w14:paraId="3125BDAF" w14:textId="77777777" w:rsidR="00F27E4D" w:rsidRDefault="00652C58">
            <w:pPr>
              <w:pStyle w:val="Subtitle"/>
              <w:spacing w:before="20" w:after="20"/>
              <w:jc w:val="left"/>
              <w:rPr>
                <w:i w:val="0"/>
              </w:rPr>
            </w:pPr>
            <w:r>
              <w:rPr>
                <w:i w:val="0"/>
              </w:rPr>
              <w:t>No participant study</w:t>
            </w:r>
          </w:p>
        </w:tc>
        <w:tc>
          <w:tcPr>
            <w:tcW w:w="0" w:type="auto"/>
            <w:tcBorders>
              <w:bottom w:val="single" w:sz="4" w:space="0" w:color="auto"/>
            </w:tcBorders>
          </w:tcPr>
          <w:p w14:paraId="0FEA9DD9" w14:textId="77777777" w:rsidR="00F27E4D" w:rsidRDefault="00652C58">
            <w:pPr>
              <w:pStyle w:val="Subtitle"/>
              <w:spacing w:before="20" w:after="20"/>
              <w:jc w:val="left"/>
              <w:rPr>
                <w:i w:val="0"/>
              </w:rPr>
            </w:pPr>
            <w:r>
              <w:rPr>
                <w:i w:val="0"/>
              </w:rPr>
              <w:t>Not established</w:t>
            </w:r>
          </w:p>
        </w:tc>
      </w:tr>
    </w:tbl>
    <w:p w14:paraId="0719FAB7" w14:textId="77777777" w:rsidR="00F27E4D" w:rsidRDefault="00652C58">
      <w:pPr>
        <w:pStyle w:val="Heading1"/>
        <w:keepNext/>
      </w:pPr>
      <w:r>
        <w:t>6. CONCLUSIONS</w:t>
      </w:r>
    </w:p>
    <w:p w14:paraId="0AB3E6F2" w14:textId="77777777" w:rsidR="00F27E4D" w:rsidRDefault="00652C58">
      <w:r>
        <w:t>On 75 matched cells of the Adult dataset, SHAP shows consistent paired advantages over LIME in stability (</w:t>
      </w:r>
      <m:oMath>
        <m:sSub>
          <m:sSubPr>
            <m:ctrlPr>
              <w:rPr>
                <w:rFonts w:ascii="Cambria Math" w:hAnsi="Cambria Math"/>
              </w:rPr>
            </m:ctrlPr>
          </m:sSubPr>
          <m:e>
            <m:r>
              <w:rPr>
                <w:rFonts w:ascii="Cambria Math" w:hAnsi="Cambria Math"/>
              </w:rPr>
              <m:t>d</m:t>
            </m:r>
          </m:e>
          <m:sub>
            <m:r>
              <w:rPr>
                <w:rFonts w:ascii="Cambria Math" w:hAnsi="Cambria Math"/>
              </w:rPr>
              <m:t>z</m:t>
            </m:r>
          </m:sub>
        </m:sSub>
        <m:r>
          <m:rPr>
            <m:sty m:val="p"/>
          </m:rPr>
          <w:rPr>
            <w:rFonts w:ascii="Cambria Math" w:hAnsi="Cambria Math"/>
          </w:rPr>
          <m:t>=</m:t>
        </m:r>
        <m:r>
          <w:rPr>
            <w:rFonts w:ascii="Cambria Math" w:hAnsi="Cambria Math"/>
          </w:rPr>
          <m:t>3.00</m:t>
        </m:r>
      </m:oMath>
      <w:r>
        <w:t>), fidelity (</w:t>
      </w:r>
      <m:oMath>
        <m:sSub>
          <m:sSubPr>
            <m:ctrlPr>
              <w:rPr>
                <w:rFonts w:ascii="Cambria Math" w:hAnsi="Cambria Math"/>
              </w:rPr>
            </m:ctrlPr>
          </m:sSubPr>
          <m:e>
            <m:r>
              <w:rPr>
                <w:rFonts w:ascii="Cambria Math" w:hAnsi="Cambria Math"/>
              </w:rPr>
              <m:t>d</m:t>
            </m:r>
          </m:e>
          <m:sub>
            <m:r>
              <w:rPr>
                <w:rFonts w:ascii="Cambria Math" w:hAnsi="Cambria Math"/>
              </w:rPr>
              <m:t>z</m:t>
            </m:r>
          </m:sub>
        </m:sSub>
        <m:r>
          <m:rPr>
            <m:sty m:val="p"/>
          </m:rPr>
          <w:rPr>
            <w:rFonts w:ascii="Cambria Math" w:hAnsi="Cambria Math"/>
          </w:rPr>
          <m:t>=</m:t>
        </m:r>
        <m:r>
          <w:rPr>
            <w:rFonts w:ascii="Cambria Math" w:hAnsi="Cambria Math"/>
          </w:rPr>
          <m:t>4.82</m:t>
        </m:r>
      </m:oMath>
      <w:r>
        <w:t>) and faithfulness gap (</w:t>
      </w:r>
      <m:oMath>
        <m:sSub>
          <m:sSubPr>
            <m:ctrlPr>
              <w:rPr>
                <w:rFonts w:ascii="Cambria Math" w:hAnsi="Cambria Math"/>
              </w:rPr>
            </m:ctrlPr>
          </m:sSubPr>
          <m:e>
            <m:r>
              <w:rPr>
                <w:rFonts w:ascii="Cambria Math" w:hAnsi="Cambria Math"/>
              </w:rPr>
              <m:t>d</m:t>
            </m:r>
          </m:e>
          <m:sub>
            <m:r>
              <w:rPr>
                <w:rFonts w:ascii="Cambria Math" w:hAnsi="Cambria Math"/>
              </w:rPr>
              <m:t>z</m:t>
            </m:r>
          </m:sub>
        </m:sSub>
        <m:r>
          <m:rPr>
            <m:sty m:val="p"/>
          </m:rPr>
          <w:rPr>
            <w:rFonts w:ascii="Cambria Math" w:hAnsi="Cambria Math"/>
          </w:rPr>
          <m:t>=</m:t>
        </m:r>
        <m:r>
          <w:rPr>
            <w:rFonts w:ascii="Cambria Math" w:hAnsi="Cambria Math"/>
          </w:rPr>
          <m:t>2.63</m:t>
        </m:r>
      </m:oMath>
      <w:r>
        <w:t xml:space="preserve">), and LIME produces sparser explanations and runs faster in most model contexts. A cross-dataset extension supports </w:t>
      </w:r>
      <w:r>
        <w:t>the fidelity direction on two further tabular datasets.</w:t>
      </w:r>
    </w:p>
    <w:p w14:paraId="32AF88B0" w14:textId="77777777" w:rsidR="00F27E4D" w:rsidRDefault="00652C58">
      <w:r>
        <w:t xml:space="preserve">The choice between the two methods is a matter of fit for purpose, and two of the usual rules of thumb need a condition. SHAP is not fast on tree models in general: it was faster than LIME for XGBoost and slower for random forests. LIME is not unstable in general: its near-zero stability on Adult is specific to the reference kernel width and to that feature space. The practical recommendation is to prefer SHAP where stability and fidelity </w:t>
      </w:r>
      <w:r>
        <w:t>dominate, to prefer LIME where latency dominates and no fast model-aware explainer exists, and to measure latency for the deployed model before relying on either rule.</w:t>
      </w:r>
    </w:p>
    <w:p w14:paraId="131B9950" w14:textId="77777777" w:rsidR="00F27E4D" w:rsidRDefault="00652C58">
      <w:r>
        <w:t>Future work should instrument SHAP stability on further datasets, vary the SHAP background sample and the LIME kernel width across models, and extend the comparison beyond tabular classification. Whether either method helps people decide is a separate question that needs a study with participants.</w:t>
      </w:r>
    </w:p>
    <w:p w14:paraId="24D54F95" w14:textId="77777777" w:rsidR="00F27E4D" w:rsidRDefault="00652C58">
      <w:pPr>
        <w:pStyle w:val="Heading3"/>
        <w:keepNext/>
      </w:pPr>
      <w:r>
        <w:t>Competing Interests</w:t>
      </w:r>
    </w:p>
    <w:p w14:paraId="265ABF7A" w14:textId="77777777" w:rsidR="00F27E4D" w:rsidRDefault="00652C58">
      <w:r>
        <w:t>No competing financial interests or personal relationships that could have appeared to influence the work reported in this paper are declared. No external funding was received for this study.</w:t>
      </w:r>
    </w:p>
    <w:p w14:paraId="02707594" w14:textId="77777777" w:rsidR="00F27E4D" w:rsidRDefault="00652C58">
      <w:pPr>
        <w:pStyle w:val="Heading3"/>
        <w:keepNext/>
      </w:pPr>
      <w:r>
        <w:t>Data and Code Availability</w:t>
      </w:r>
    </w:p>
    <w:p w14:paraId="2F5B6278" w14:textId="77777777" w:rsidR="00F27E4D" w:rsidRDefault="00652C58">
      <w:r>
        <w:t xml:space="preserve">The experimental code, the run artifacts and the analysis exports are available in a public repository and in a versioned archive with a DOI, both released under the MIT License; their addresses are withheld for masked review and are given on the title page. The </w:t>
      </w:r>
      <w:r>
        <w:t>artifacts needed to reproduce this study are the main-cohort results (), the inferential exports (), the cross-dataset results ( and ), the kernel-width probe () and the masking-sensitivity exports (). Every reported value is re-derived from these files by a verification script that runs in continuous integration.</w:t>
      </w:r>
    </w:p>
    <w:p w14:paraId="5FDD55CF" w14:textId="77777777" w:rsidR="00F27E4D" w:rsidRDefault="00652C58">
      <w:pPr>
        <w:pStyle w:val="Heading1"/>
        <w:keepNext/>
      </w:pPr>
      <w:r>
        <w:lastRenderedPageBreak/>
        <w:t>REFERENCES</w:t>
      </w:r>
    </w:p>
    <w:p w14:paraId="4931CA3A" w14:textId="362AABF2" w:rsidR="00F27E4D" w:rsidRDefault="00652C58">
      <w:pPr>
        <w:pStyle w:val="Default"/>
        <w:spacing w:after="60"/>
        <w:ind w:left="340" w:hanging="340"/>
        <w:rPr>
          <w:rFonts w:ascii="Segoe UI" w:hAnsi="Segoe UI" w:cs="Segoe UI"/>
          <w:sz w:val="16"/>
          <w:szCs w:val="16"/>
          <w:lang w:val="en-US"/>
        </w:rPr>
      </w:pPr>
      <w:r>
        <w:rPr>
          <w:rFonts w:ascii="Segoe UI" w:hAnsi="Segoe UI" w:cs="Segoe UI"/>
          <w:sz w:val="16"/>
          <w:szCs w:val="16"/>
          <w:lang w:val="en-US"/>
        </w:rPr>
        <w:t>[1] Ribeiro MT, Singh S, Guestrin C. “Why should I trust you?”</w:t>
      </w:r>
      <w:r>
        <w:rPr>
          <w:rFonts w:ascii="Segoe UI" w:hAnsi="Segoe UI" w:cs="Segoe UI"/>
          <w:sz w:val="16"/>
          <w:szCs w:val="16"/>
          <w:lang w:val="en-US"/>
        </w:rPr>
        <w:t xml:space="preserve">: Explaining the predictions of any classifier. In: Proceedings of the 22nd ACM SIGKDD International Conference on Knowledge Discovery and Data Mining; 2016. p. 1135–1144. </w:t>
      </w:r>
      <w:hyperlink r:id="rId15">
        <w:r>
          <w:rPr>
            <w:rStyle w:val="Hyperlink"/>
            <w:rFonts w:ascii="Segoe UI" w:hAnsi="Segoe UI" w:cs="Segoe UI"/>
            <w:szCs w:val="16"/>
            <w:lang w:val="en-US"/>
          </w:rPr>
          <w:t>https://doi.org/10.1145/2939672.2939778</w:t>
        </w:r>
      </w:hyperlink>
    </w:p>
    <w:p w14:paraId="1627FFB8" w14:textId="77777777" w:rsidR="00F27E4D" w:rsidRDefault="00652C58">
      <w:pPr>
        <w:pStyle w:val="Default"/>
        <w:spacing w:after="60"/>
        <w:ind w:left="340" w:hanging="340"/>
        <w:rPr>
          <w:rFonts w:ascii="Segoe UI" w:hAnsi="Segoe UI" w:cs="Segoe UI"/>
          <w:sz w:val="16"/>
          <w:szCs w:val="16"/>
          <w:lang w:val="en-US"/>
        </w:rPr>
      </w:pPr>
      <w:r>
        <w:rPr>
          <w:rFonts w:ascii="Segoe UI" w:hAnsi="Segoe UI" w:cs="Segoe UI"/>
          <w:sz w:val="16"/>
          <w:szCs w:val="16"/>
          <w:lang w:val="en-US"/>
        </w:rPr>
        <w:t>[2] Lundberg SM, Lee SI. A unified approach to interpreting model predictions. In: Advances in Neural Information Processing Systems 30; 2017. p. 4765–4774.</w:t>
      </w:r>
    </w:p>
    <w:p w14:paraId="1789F7DC" w14:textId="6125DFC5" w:rsidR="00F27E4D" w:rsidRDefault="00652C58">
      <w:pPr>
        <w:pStyle w:val="Default"/>
        <w:spacing w:after="60"/>
        <w:ind w:left="340" w:hanging="340"/>
        <w:rPr>
          <w:rFonts w:ascii="Segoe UI" w:hAnsi="Segoe UI" w:cs="Segoe UI"/>
          <w:sz w:val="16"/>
          <w:szCs w:val="16"/>
          <w:lang w:val="en-US"/>
        </w:rPr>
      </w:pPr>
      <w:r>
        <w:rPr>
          <w:rFonts w:ascii="Segoe UI" w:hAnsi="Segoe UI" w:cs="Segoe UI"/>
          <w:sz w:val="16"/>
          <w:szCs w:val="16"/>
          <w:lang w:val="en-US"/>
        </w:rPr>
        <w:t xml:space="preserve">[3] Retzlaff CO, Angerschmid A, Saranti A, Schneeberger D, Röttger R, Müller H, et al. Post-hoc vs ante-hoc explanations: xAI design guidelines for data scientists. Cognitive Systems Research. 2024;86:101243. </w:t>
      </w:r>
      <w:hyperlink r:id="rId16">
        <w:r>
          <w:rPr>
            <w:rStyle w:val="Hyperlink"/>
            <w:rFonts w:ascii="Segoe UI" w:hAnsi="Segoe UI" w:cs="Segoe UI"/>
            <w:szCs w:val="16"/>
            <w:lang w:val="en-US"/>
          </w:rPr>
          <w:t>https://doi.org/10.1016/j.cogsys.2024.101243</w:t>
        </w:r>
      </w:hyperlink>
    </w:p>
    <w:p w14:paraId="22F66760" w14:textId="6269F0E6" w:rsidR="00F27E4D" w:rsidRDefault="00652C58">
      <w:pPr>
        <w:pStyle w:val="Default"/>
        <w:spacing w:after="60"/>
        <w:ind w:left="340" w:hanging="340"/>
        <w:rPr>
          <w:rFonts w:ascii="Segoe UI" w:hAnsi="Segoe UI" w:cs="Segoe UI"/>
          <w:sz w:val="16"/>
          <w:szCs w:val="16"/>
          <w:lang w:val="en-US"/>
        </w:rPr>
      </w:pPr>
      <w:r>
        <w:rPr>
          <w:rFonts w:ascii="Segoe UI" w:hAnsi="Segoe UI" w:cs="Segoe UI"/>
          <w:sz w:val="16"/>
          <w:szCs w:val="16"/>
          <w:lang w:val="en-US"/>
        </w:rPr>
        <w:t xml:space="preserve">[4] Ali S, Abuhmed T, El-Sappagh S, Muhammad K, Alonso-Moral JM, Confalonieri R, et al. Explainable Artificial Intelligence (XAI): What we know and what is left to attain Trustworthy Artificial Intelligence. Information Fusion. 2023;99:101805. </w:t>
      </w:r>
      <w:hyperlink r:id="rId17">
        <w:r>
          <w:rPr>
            <w:rStyle w:val="Hyperlink"/>
            <w:rFonts w:ascii="Segoe UI" w:hAnsi="Segoe UI" w:cs="Segoe UI"/>
            <w:szCs w:val="16"/>
            <w:lang w:val="en-US"/>
          </w:rPr>
          <w:t>https://doi.org/10.1016/j.inffus.2023.101805</w:t>
        </w:r>
      </w:hyperlink>
    </w:p>
    <w:p w14:paraId="61E8870B" w14:textId="0E0E8197" w:rsidR="00F27E4D" w:rsidRDefault="00652C58">
      <w:pPr>
        <w:pStyle w:val="Default"/>
        <w:spacing w:after="60"/>
        <w:ind w:left="340" w:hanging="340"/>
        <w:rPr>
          <w:rFonts w:ascii="Segoe UI" w:hAnsi="Segoe UI" w:cs="Segoe UI"/>
          <w:sz w:val="16"/>
          <w:szCs w:val="16"/>
          <w:lang w:val="en-US"/>
        </w:rPr>
      </w:pPr>
      <w:r>
        <w:rPr>
          <w:rFonts w:ascii="Segoe UI" w:hAnsi="Segoe UI" w:cs="Segoe UI"/>
          <w:sz w:val="16"/>
          <w:szCs w:val="16"/>
          <w:lang w:val="en-US"/>
        </w:rPr>
        <w:t xml:space="preserve">[5] Nauta M, Trienes J, Pathak S, Nguyen E, Peters M, Schmitt Y, et al. From anecdotal evidence to quantitative evaluation methods: A systematic review on evaluating explainability. ACM Computing Surveys. 2023;55(13s):1–42. </w:t>
      </w:r>
      <w:hyperlink r:id="rId18">
        <w:r>
          <w:rPr>
            <w:rStyle w:val="Hyperlink"/>
            <w:rFonts w:ascii="Segoe UI" w:hAnsi="Segoe UI" w:cs="Segoe UI"/>
            <w:szCs w:val="16"/>
            <w:lang w:val="en-US"/>
          </w:rPr>
          <w:t>https://doi.org/10.1145/3583558</w:t>
        </w:r>
      </w:hyperlink>
    </w:p>
    <w:p w14:paraId="3091A18A" w14:textId="325AE350" w:rsidR="00F27E4D" w:rsidRDefault="00652C58">
      <w:pPr>
        <w:pStyle w:val="Default"/>
        <w:spacing w:after="60"/>
        <w:ind w:left="340" w:hanging="340"/>
        <w:rPr>
          <w:rFonts w:ascii="Segoe UI" w:hAnsi="Segoe UI" w:cs="Segoe UI"/>
          <w:sz w:val="16"/>
          <w:szCs w:val="16"/>
          <w:lang w:val="en-US"/>
        </w:rPr>
      </w:pPr>
      <w:r>
        <w:rPr>
          <w:rFonts w:ascii="Segoe UI" w:hAnsi="Segoe UI" w:cs="Segoe UI"/>
          <w:sz w:val="16"/>
          <w:szCs w:val="16"/>
          <w:lang w:val="en-US"/>
        </w:rPr>
        <w:t xml:space="preserve">[6] Canha D, Kubler S, Främling K, Fagherazzi G. A functionally-grounded benchmark framework for XAI methods: Insights and foundations from a systematic literature review. ACM Computing Surveys. 2025;57(12):1–40. </w:t>
      </w:r>
      <w:hyperlink r:id="rId19">
        <w:r>
          <w:rPr>
            <w:rStyle w:val="Hyperlink"/>
            <w:rFonts w:ascii="Segoe UI" w:hAnsi="Segoe UI" w:cs="Segoe UI"/>
            <w:szCs w:val="16"/>
            <w:lang w:val="en-US"/>
          </w:rPr>
          <w:t>https://doi.org/10.1145/3737445</w:t>
        </w:r>
      </w:hyperlink>
    </w:p>
    <w:p w14:paraId="5DEEFE3A" w14:textId="1FAACE19" w:rsidR="00F27E4D" w:rsidRDefault="00652C58">
      <w:pPr>
        <w:pStyle w:val="Default"/>
        <w:spacing w:after="60"/>
        <w:ind w:left="340" w:hanging="340"/>
        <w:rPr>
          <w:rFonts w:ascii="Segoe UI" w:hAnsi="Segoe UI" w:cs="Segoe UI"/>
          <w:sz w:val="16"/>
          <w:szCs w:val="16"/>
          <w:lang w:val="en-US"/>
        </w:rPr>
      </w:pPr>
      <w:r>
        <w:rPr>
          <w:rFonts w:ascii="Segoe UI" w:hAnsi="Segoe UI" w:cs="Segoe UI"/>
          <w:sz w:val="16"/>
          <w:szCs w:val="16"/>
          <w:lang w:val="en-US"/>
        </w:rPr>
        <w:t xml:space="preserve">[7] Longo L, Brcic M, Cabitza F, Choi J, Confalonieri R, Del Ser J, et al. Explainable artificial intelligence (XAI) 2.0: A manifesto of open challenges and interdisciplinary research directions. Information Fusion. 2024;106:102301. </w:t>
      </w:r>
      <w:hyperlink r:id="rId20">
        <w:r>
          <w:rPr>
            <w:rStyle w:val="Hyperlink"/>
            <w:rFonts w:ascii="Segoe UI" w:hAnsi="Segoe UI" w:cs="Segoe UI"/>
            <w:szCs w:val="16"/>
            <w:lang w:val="en-US"/>
          </w:rPr>
          <w:t>https://doi.org/10.1016/j.inffus.2024.102301</w:t>
        </w:r>
      </w:hyperlink>
    </w:p>
    <w:p w14:paraId="349BE1C5" w14:textId="0B085E50" w:rsidR="00F27E4D" w:rsidRDefault="00652C58">
      <w:pPr>
        <w:pStyle w:val="Default"/>
        <w:spacing w:after="60"/>
        <w:ind w:left="340" w:hanging="340"/>
        <w:rPr>
          <w:rFonts w:ascii="Segoe UI" w:hAnsi="Segoe UI" w:cs="Segoe UI"/>
          <w:sz w:val="16"/>
          <w:szCs w:val="16"/>
          <w:lang w:val="en-US"/>
        </w:rPr>
      </w:pPr>
      <w:r>
        <w:rPr>
          <w:rFonts w:ascii="Segoe UI" w:hAnsi="Segoe UI" w:cs="Segoe UI"/>
          <w:sz w:val="16"/>
          <w:szCs w:val="16"/>
          <w:lang w:val="en-US"/>
        </w:rPr>
        <w:t xml:space="preserve">[8] Pawlicki M, Pawlicka A, Uccello F, Szelest S, D’Antonio S, Kozik R, et al. Evaluating the necessity of the multiple metrics for assessing explainable AI: A critical examination. Neurocomputing. 2024;602:128282. </w:t>
      </w:r>
      <w:hyperlink r:id="rId21">
        <w:r>
          <w:rPr>
            <w:rStyle w:val="Hyperlink"/>
            <w:rFonts w:ascii="Segoe UI" w:hAnsi="Segoe UI" w:cs="Segoe UI"/>
            <w:szCs w:val="16"/>
            <w:lang w:val="en-US"/>
          </w:rPr>
          <w:t>https://doi.org/10.1016/j.neucom.2024.128282</w:t>
        </w:r>
      </w:hyperlink>
    </w:p>
    <w:p w14:paraId="5B310F37" w14:textId="17ACACBD" w:rsidR="00F27E4D" w:rsidRDefault="00652C58">
      <w:pPr>
        <w:pStyle w:val="Default"/>
        <w:spacing w:after="60"/>
        <w:ind w:left="340" w:hanging="340"/>
        <w:rPr>
          <w:rFonts w:ascii="Segoe UI" w:hAnsi="Segoe UI" w:cs="Segoe UI"/>
          <w:sz w:val="16"/>
          <w:szCs w:val="16"/>
          <w:lang w:val="en-US"/>
        </w:rPr>
      </w:pPr>
      <w:r>
        <w:rPr>
          <w:rFonts w:ascii="Segoe UI" w:hAnsi="Segoe UI" w:cs="Segoe UI"/>
          <w:sz w:val="16"/>
          <w:szCs w:val="16"/>
          <w:lang w:val="en-US"/>
        </w:rPr>
        <w:t xml:space="preserve">[9] Zheng X, Shirani F, Chen Z, Lin C, Cheng W, Guo W, et al. F-Fidelity: A robust framework for faithfulness evaluation of explainable AI. In: The 13th International Conference on Learning Representations (ICLR); 2025. </w:t>
      </w:r>
      <w:hyperlink r:id="rId22">
        <w:r>
          <w:rPr>
            <w:rStyle w:val="Hyperlink"/>
            <w:rFonts w:ascii="Segoe UI" w:hAnsi="Segoe UI" w:cs="Segoe UI"/>
            <w:szCs w:val="16"/>
            <w:lang w:val="en-US"/>
          </w:rPr>
          <w:t>https://openreview.net/forum?id=X0r4BN50Dv</w:t>
        </w:r>
      </w:hyperlink>
    </w:p>
    <w:p w14:paraId="0421AA38" w14:textId="7452970F" w:rsidR="00F27E4D" w:rsidRDefault="00652C58">
      <w:pPr>
        <w:pStyle w:val="Default"/>
        <w:spacing w:after="60"/>
        <w:ind w:left="340" w:hanging="340"/>
        <w:rPr>
          <w:rFonts w:ascii="Segoe UI" w:hAnsi="Segoe UI" w:cs="Segoe UI"/>
          <w:sz w:val="16"/>
          <w:szCs w:val="16"/>
          <w:lang w:val="en-US"/>
        </w:rPr>
      </w:pPr>
      <w:r>
        <w:rPr>
          <w:rFonts w:ascii="Segoe UI" w:hAnsi="Segoe UI" w:cs="Segoe UI"/>
          <w:sz w:val="16"/>
          <w:szCs w:val="16"/>
          <w:lang w:val="en-US"/>
        </w:rPr>
        <w:t xml:space="preserve">[10] Herrera-Vásquez J, Herrero-Uceda M. A framework for rigorous evaluation of model-agnostic explainability methods: multi-metric statistical benchmarking, operational protocol, and reproducibility. Revista de Investigación Multidisciplinaria Iberoamericana (RIMI). 2026;(3). </w:t>
      </w:r>
      <w:hyperlink r:id="rId23">
        <w:r>
          <w:rPr>
            <w:rStyle w:val="Hyperlink"/>
            <w:rFonts w:ascii="Segoe UI" w:hAnsi="Segoe UI" w:cs="Segoe UI"/>
            <w:szCs w:val="16"/>
            <w:lang w:val="en-US"/>
          </w:rPr>
          <w:t>https://doi.org/10.69850/rimi.vi3.307</w:t>
        </w:r>
      </w:hyperlink>
    </w:p>
    <w:p w14:paraId="1A8BD5C7" w14:textId="27946A7D" w:rsidR="00F27E4D" w:rsidRDefault="00652C58">
      <w:pPr>
        <w:pStyle w:val="Default"/>
        <w:spacing w:after="60"/>
        <w:ind w:left="340" w:hanging="340"/>
        <w:rPr>
          <w:rFonts w:ascii="Segoe UI" w:hAnsi="Segoe UI" w:cs="Segoe UI"/>
          <w:sz w:val="16"/>
          <w:szCs w:val="16"/>
          <w:lang w:val="en-US"/>
        </w:rPr>
      </w:pPr>
      <w:r>
        <w:rPr>
          <w:rFonts w:ascii="Segoe UI" w:hAnsi="Segoe UI" w:cs="Segoe UI"/>
          <w:sz w:val="16"/>
          <w:szCs w:val="16"/>
          <w:lang w:val="en-US"/>
        </w:rPr>
        <w:t xml:space="preserve">[11] Bhatt U, Weller A, Moura JMF. Evaluating and aggregating feature-based model explanations. In: Proceedings of the 29th International Joint Conference on Artificial Intelligence (IJCAI); 2020. p. 3016–3022. </w:t>
      </w:r>
      <w:hyperlink r:id="rId24">
        <w:r>
          <w:rPr>
            <w:rStyle w:val="Hyperlink"/>
            <w:rFonts w:ascii="Segoe UI" w:hAnsi="Segoe UI" w:cs="Segoe UI"/>
            <w:szCs w:val="16"/>
            <w:lang w:val="en-US"/>
          </w:rPr>
          <w:t>https://doi.org/10.24963/ijcai.2020/417</w:t>
        </w:r>
      </w:hyperlink>
    </w:p>
    <w:p w14:paraId="0194E5F3" w14:textId="605FF077" w:rsidR="00F27E4D" w:rsidRDefault="00652C58">
      <w:pPr>
        <w:pStyle w:val="Default"/>
        <w:spacing w:after="60"/>
        <w:ind w:left="340" w:hanging="340"/>
        <w:rPr>
          <w:rFonts w:ascii="Segoe UI" w:hAnsi="Segoe UI" w:cs="Segoe UI"/>
          <w:sz w:val="16"/>
          <w:szCs w:val="16"/>
          <w:lang w:val="en-US"/>
        </w:rPr>
      </w:pPr>
      <w:r>
        <w:rPr>
          <w:rFonts w:ascii="Segoe UI" w:hAnsi="Segoe UI" w:cs="Segoe UI"/>
          <w:sz w:val="16"/>
          <w:szCs w:val="16"/>
          <w:lang w:val="en-US"/>
        </w:rPr>
        <w:t xml:space="preserve">[12] Samek W, Binder A, Montavon G, Lapuschkin S, Müller KR. Evaluating the visualization of what a deep neural network has learned. IEEE Transactions on Neural Networks and Learning Systems. 2017;28(11):2660–2673. </w:t>
      </w:r>
      <w:hyperlink r:id="rId25">
        <w:r>
          <w:rPr>
            <w:rStyle w:val="Hyperlink"/>
            <w:rFonts w:ascii="Segoe UI" w:hAnsi="Segoe UI" w:cs="Segoe UI"/>
            <w:szCs w:val="16"/>
            <w:lang w:val="en-US"/>
          </w:rPr>
          <w:t>https://doi.org/10.1109/TNNLS.2016.2599820</w:t>
        </w:r>
      </w:hyperlink>
    </w:p>
    <w:p w14:paraId="484646A9" w14:textId="77777777" w:rsidR="00F27E4D" w:rsidRDefault="00652C58">
      <w:pPr>
        <w:pStyle w:val="Default"/>
        <w:spacing w:after="60"/>
        <w:ind w:left="340" w:hanging="340"/>
        <w:rPr>
          <w:rFonts w:ascii="Segoe UI" w:hAnsi="Segoe UI" w:cs="Segoe UI"/>
          <w:sz w:val="16"/>
          <w:szCs w:val="16"/>
          <w:lang w:val="en-US"/>
        </w:rPr>
      </w:pPr>
      <w:r>
        <w:rPr>
          <w:rFonts w:ascii="Segoe UI" w:hAnsi="Segoe UI" w:cs="Segoe UI"/>
          <w:sz w:val="16"/>
          <w:szCs w:val="16"/>
          <w:lang w:val="en-US"/>
        </w:rPr>
        <w:t>[13] Hooker S, Erhan D, Kindermans PJ, Kim B. A benchmark for interpretability methods in deep neural networks. In: Advances in Neural Information Processing Systems 32; 2019. p. 9737–9748.</w:t>
      </w:r>
    </w:p>
    <w:p w14:paraId="4B11A1C1" w14:textId="150B4C2F" w:rsidR="00F27E4D" w:rsidRDefault="00652C58">
      <w:pPr>
        <w:pStyle w:val="Default"/>
        <w:spacing w:after="60"/>
        <w:ind w:left="340" w:hanging="340"/>
        <w:rPr>
          <w:rFonts w:ascii="Segoe UI" w:hAnsi="Segoe UI" w:cs="Segoe UI"/>
          <w:sz w:val="16"/>
          <w:szCs w:val="16"/>
          <w:lang w:val="en-US"/>
        </w:rPr>
      </w:pPr>
      <w:r>
        <w:rPr>
          <w:rFonts w:ascii="Segoe UI" w:hAnsi="Segoe UI" w:cs="Segoe UI"/>
          <w:sz w:val="16"/>
          <w:szCs w:val="16"/>
          <w:lang w:val="en-US"/>
        </w:rPr>
        <w:t xml:space="preserve">[14] Alvarez-Melis D, Jaakkola TS. On the robustness of interpretability methods. In: ICML Workshop on Human Interpretability in Machine Learning (WHI 2018); 2018. </w:t>
      </w:r>
      <w:hyperlink r:id="rId26">
        <w:r>
          <w:rPr>
            <w:rStyle w:val="Hyperlink"/>
            <w:rFonts w:ascii="Segoe UI" w:hAnsi="Segoe UI" w:cs="Segoe UI"/>
            <w:szCs w:val="16"/>
            <w:lang w:val="en-US"/>
          </w:rPr>
          <w:t>https://arxiv.org/abs/1806.08049</w:t>
        </w:r>
      </w:hyperlink>
    </w:p>
    <w:p w14:paraId="7E773EAE" w14:textId="73932154" w:rsidR="00F27E4D" w:rsidRDefault="00652C58">
      <w:pPr>
        <w:pStyle w:val="Default"/>
        <w:spacing w:after="60"/>
        <w:ind w:left="340" w:hanging="340"/>
        <w:rPr>
          <w:rFonts w:ascii="Segoe UI" w:hAnsi="Segoe UI" w:cs="Segoe UI"/>
          <w:sz w:val="16"/>
          <w:szCs w:val="16"/>
          <w:lang w:val="en-US"/>
        </w:rPr>
      </w:pPr>
      <w:r>
        <w:rPr>
          <w:rFonts w:ascii="Segoe UI" w:hAnsi="Segoe UI" w:cs="Segoe UI"/>
          <w:sz w:val="16"/>
          <w:szCs w:val="16"/>
          <w:lang w:val="en-US"/>
        </w:rPr>
        <w:t xml:space="preserve">[15] Hedstrom A, Weber L, Bareeva D, Krakowczyk D, Motzkus F, Samek W, et al. Quantus: An explainable AI toolkit for responsible evaluation of neural network explanations and beyond. Journal of Machine Learning Research. 2023;24:1–11. </w:t>
      </w:r>
      <w:hyperlink r:id="rId27">
        <w:r>
          <w:rPr>
            <w:rStyle w:val="Hyperlink"/>
            <w:rFonts w:ascii="Segoe UI" w:hAnsi="Segoe UI" w:cs="Segoe UI"/>
            <w:szCs w:val="16"/>
            <w:lang w:val="en-US"/>
          </w:rPr>
          <w:t>https://jmlr.org/papers/v24/22-0142.html</w:t>
        </w:r>
      </w:hyperlink>
    </w:p>
    <w:p w14:paraId="3FAC83AF" w14:textId="396F3010" w:rsidR="00F27E4D" w:rsidRDefault="00652C58">
      <w:pPr>
        <w:pStyle w:val="Default"/>
        <w:spacing w:after="60"/>
        <w:ind w:left="340" w:hanging="340"/>
        <w:rPr>
          <w:rFonts w:ascii="Segoe UI" w:hAnsi="Segoe UI" w:cs="Segoe UI"/>
          <w:sz w:val="16"/>
          <w:szCs w:val="16"/>
          <w:lang w:val="en-US"/>
        </w:rPr>
      </w:pPr>
      <w:r>
        <w:rPr>
          <w:rFonts w:ascii="Segoe UI" w:hAnsi="Segoe UI" w:cs="Segoe UI"/>
          <w:sz w:val="16"/>
          <w:szCs w:val="16"/>
          <w:lang w:val="en-US"/>
        </w:rPr>
        <w:t xml:space="preserve">[16] Agarwal C, Ley D, Krishna S, Saxena E, Pawelczyk M, Johnson N, et al. OpenXAI: Towards a transparent evaluation of model explanations. In: 36th Conference on Neural Information Processing Systems, Datasets and Benchmarks Track; 2022. </w:t>
      </w:r>
      <w:hyperlink r:id="rId28">
        <w:r>
          <w:rPr>
            <w:rStyle w:val="Hyperlink"/>
            <w:rFonts w:ascii="Segoe UI" w:hAnsi="Segoe UI" w:cs="Segoe UI"/>
            <w:szCs w:val="16"/>
            <w:lang w:val="en-US"/>
          </w:rPr>
          <w:t>https://openreview.net/forum?id=MU2495w47rz</w:t>
        </w:r>
      </w:hyperlink>
    </w:p>
    <w:p w14:paraId="5844AEC2" w14:textId="77777777" w:rsidR="00F27E4D" w:rsidRDefault="00652C58">
      <w:pPr>
        <w:pStyle w:val="Default"/>
        <w:spacing w:after="60"/>
        <w:ind w:left="340" w:hanging="340"/>
        <w:rPr>
          <w:rFonts w:ascii="Segoe UI" w:hAnsi="Segoe UI" w:cs="Segoe UI"/>
          <w:sz w:val="16"/>
          <w:szCs w:val="16"/>
          <w:lang w:val="en-US"/>
        </w:rPr>
      </w:pPr>
      <w:r>
        <w:rPr>
          <w:rFonts w:ascii="Segoe UI" w:hAnsi="Segoe UI" w:cs="Segoe UI"/>
          <w:sz w:val="16"/>
          <w:szCs w:val="16"/>
          <w:lang w:val="en-US"/>
        </w:rPr>
        <w:t>[17] Adebayo J, Gilmer J, Muelly M, Goodfellow I, Hardt M, Kim B. Sanity checks for saliency maps. In: Advances in Neural Information Processing Systems 31; 2018. p. 9525–9536.</w:t>
      </w:r>
    </w:p>
    <w:p w14:paraId="5DF12EAD" w14:textId="2EB2CEC7" w:rsidR="00F27E4D" w:rsidRDefault="00652C58">
      <w:pPr>
        <w:pStyle w:val="Default"/>
        <w:spacing w:after="60"/>
        <w:ind w:left="340" w:hanging="340"/>
        <w:rPr>
          <w:rFonts w:ascii="Segoe UI" w:hAnsi="Segoe UI" w:cs="Segoe UI"/>
          <w:sz w:val="16"/>
          <w:szCs w:val="16"/>
          <w:lang w:val="en-US"/>
        </w:rPr>
      </w:pPr>
      <w:r>
        <w:rPr>
          <w:rFonts w:ascii="Segoe UI" w:hAnsi="Segoe UI" w:cs="Segoe UI"/>
          <w:sz w:val="16"/>
          <w:szCs w:val="16"/>
          <w:lang w:val="en-US"/>
        </w:rPr>
        <w:t xml:space="preserve">[18] Rong Y, Leemann T, Borisov V, Kasneci G, Kasneci E. A consistent and efficient evaluation strategy for attribution methods. In: Proceedings of the 39th International Conference on Machine Learning; 2022. p. 18770–18795. </w:t>
      </w:r>
      <w:hyperlink r:id="rId29">
        <w:r>
          <w:rPr>
            <w:rStyle w:val="Hyperlink"/>
            <w:rFonts w:ascii="Segoe UI" w:hAnsi="Segoe UI" w:cs="Segoe UI"/>
            <w:szCs w:val="16"/>
            <w:lang w:val="en-US"/>
          </w:rPr>
          <w:t>https://proceedings.mlr.press/v162/rong22a.html</w:t>
        </w:r>
      </w:hyperlink>
    </w:p>
    <w:p w14:paraId="089899C3" w14:textId="2A414A4E" w:rsidR="00F27E4D" w:rsidRDefault="00652C58">
      <w:pPr>
        <w:pStyle w:val="Default"/>
        <w:spacing w:after="60"/>
        <w:ind w:left="340" w:hanging="340"/>
        <w:rPr>
          <w:rFonts w:ascii="Segoe UI" w:hAnsi="Segoe UI" w:cs="Segoe UI"/>
          <w:sz w:val="16"/>
          <w:szCs w:val="16"/>
          <w:lang w:val="en-US"/>
        </w:rPr>
      </w:pPr>
      <w:r>
        <w:rPr>
          <w:rFonts w:ascii="Segoe UI" w:hAnsi="Segoe UI" w:cs="Segoe UI"/>
          <w:sz w:val="16"/>
          <w:szCs w:val="16"/>
          <w:lang w:val="en-US"/>
        </w:rPr>
        <w:t xml:space="preserve">[19] Slack D, Hilgard S, Jia E, Singh S, Lakkaraju H. Fooling LIME and SHAP: Adversarial attacks on post hoc explanation methods. In: Proceedings of the AAAI/ACM Conference on AI, Ethics, and Society; 2020. p. 180–186. </w:t>
      </w:r>
      <w:hyperlink r:id="rId30">
        <w:r>
          <w:rPr>
            <w:rStyle w:val="Hyperlink"/>
            <w:rFonts w:ascii="Segoe UI" w:hAnsi="Segoe UI" w:cs="Segoe UI"/>
            <w:szCs w:val="16"/>
            <w:lang w:val="en-US"/>
          </w:rPr>
          <w:t>https://doi.org/10.1145/3375627.3375830</w:t>
        </w:r>
      </w:hyperlink>
    </w:p>
    <w:p w14:paraId="614F8B6E" w14:textId="2D229A3F" w:rsidR="00F27E4D" w:rsidRDefault="00652C58">
      <w:pPr>
        <w:pStyle w:val="Default"/>
        <w:spacing w:after="60"/>
        <w:ind w:left="340" w:hanging="340"/>
        <w:rPr>
          <w:rFonts w:ascii="Segoe UI" w:hAnsi="Segoe UI" w:cs="Segoe UI"/>
          <w:sz w:val="16"/>
          <w:szCs w:val="16"/>
          <w:lang w:val="en-US"/>
        </w:rPr>
      </w:pPr>
      <w:r>
        <w:rPr>
          <w:rFonts w:ascii="Segoe UI" w:hAnsi="Segoe UI" w:cs="Segoe UI"/>
          <w:sz w:val="16"/>
          <w:szCs w:val="16"/>
          <w:lang w:val="en-US"/>
        </w:rPr>
        <w:t xml:space="preserve">[20] Kumar IE, Venkatasubramanian S, Scheidegger C, Friedler SA. Problems with Shapley-value-based explanations as feature importance measures. In: Proceedings of the 37th International Conference on Machine Learning; 2020. p. 5491–5500. </w:t>
      </w:r>
      <w:hyperlink r:id="rId31">
        <w:r>
          <w:rPr>
            <w:rStyle w:val="Hyperlink"/>
            <w:rFonts w:ascii="Segoe UI" w:hAnsi="Segoe UI" w:cs="Segoe UI"/>
            <w:szCs w:val="16"/>
            <w:lang w:val="en-US"/>
          </w:rPr>
          <w:t>https://arxiv.org/abs/2002.11097</w:t>
        </w:r>
      </w:hyperlink>
    </w:p>
    <w:p w14:paraId="43A4E0A4" w14:textId="77777777" w:rsidR="00F27E4D" w:rsidRDefault="00652C58">
      <w:pPr>
        <w:pStyle w:val="Default"/>
        <w:spacing w:after="60"/>
        <w:ind w:left="340" w:hanging="340"/>
        <w:rPr>
          <w:rFonts w:ascii="Segoe UI" w:hAnsi="Segoe UI" w:cs="Segoe UI"/>
          <w:sz w:val="16"/>
          <w:szCs w:val="16"/>
          <w:lang w:val="en-US"/>
        </w:rPr>
      </w:pPr>
      <w:r>
        <w:rPr>
          <w:rFonts w:ascii="Segoe UI" w:hAnsi="Segoe UI" w:cs="Segoe UI"/>
          <w:sz w:val="16"/>
          <w:szCs w:val="16"/>
          <w:lang w:val="en-US"/>
        </w:rPr>
        <w:t>[21] Kohavi R. Scaling up the accuracy of Naive-Bayes classifiers: A decision-tree hybrid. In: Proceedings of the 2nd International Conference on Knowledge Discovery and Data Mining; 1996. p. 202–207.</w:t>
      </w:r>
    </w:p>
    <w:p w14:paraId="274AB9B6" w14:textId="21FB0A2D" w:rsidR="00F27E4D" w:rsidRDefault="00652C58">
      <w:pPr>
        <w:pStyle w:val="Default"/>
        <w:spacing w:after="60"/>
        <w:ind w:left="340" w:hanging="340"/>
        <w:rPr>
          <w:rFonts w:ascii="Segoe UI" w:hAnsi="Segoe UI" w:cs="Segoe UI"/>
          <w:sz w:val="16"/>
          <w:szCs w:val="16"/>
          <w:lang w:val="en-US"/>
        </w:rPr>
      </w:pPr>
      <w:r>
        <w:rPr>
          <w:rFonts w:ascii="Segoe UI" w:hAnsi="Segoe UI" w:cs="Segoe UI"/>
          <w:sz w:val="16"/>
          <w:szCs w:val="16"/>
          <w:lang w:val="en-US"/>
        </w:rPr>
        <w:lastRenderedPageBreak/>
        <w:t xml:space="preserve">[22] Becker B, Kohavi R. Adult [dataset]. UCI Machine Learning Repository; 1996. </w:t>
      </w:r>
      <w:hyperlink r:id="rId32">
        <w:r>
          <w:rPr>
            <w:rStyle w:val="Hyperlink"/>
            <w:rFonts w:ascii="Segoe UI" w:hAnsi="Segoe UI" w:cs="Segoe UI"/>
            <w:szCs w:val="16"/>
            <w:lang w:val="en-US"/>
          </w:rPr>
          <w:t>https://doi.org/10.24432/C5XW20</w:t>
        </w:r>
      </w:hyperlink>
    </w:p>
    <w:p w14:paraId="78C3558D" w14:textId="52B266F5" w:rsidR="00F27E4D" w:rsidRDefault="00652C58">
      <w:pPr>
        <w:pStyle w:val="Default"/>
        <w:spacing w:after="60"/>
        <w:ind w:left="340" w:hanging="340"/>
        <w:rPr>
          <w:rFonts w:ascii="Segoe UI" w:hAnsi="Segoe UI" w:cs="Segoe UI"/>
          <w:sz w:val="16"/>
          <w:szCs w:val="16"/>
          <w:lang w:val="en-US"/>
        </w:rPr>
      </w:pPr>
      <w:r>
        <w:rPr>
          <w:rFonts w:ascii="Segoe UI" w:hAnsi="Segoe UI" w:cs="Segoe UI"/>
          <w:sz w:val="16"/>
          <w:szCs w:val="16"/>
          <w:lang w:val="en-US"/>
        </w:rPr>
        <w:t xml:space="preserve">[23] Breiman L. Random forests. Machine Learning. 2001;45(1):5–32. </w:t>
      </w:r>
      <w:hyperlink r:id="rId33">
        <w:r>
          <w:rPr>
            <w:rStyle w:val="Hyperlink"/>
            <w:rFonts w:ascii="Segoe UI" w:hAnsi="Segoe UI" w:cs="Segoe UI"/>
            <w:szCs w:val="16"/>
            <w:lang w:val="en-US"/>
          </w:rPr>
          <w:t>https://doi.org/10.1023/A:1010933404324</w:t>
        </w:r>
      </w:hyperlink>
    </w:p>
    <w:p w14:paraId="78B60BA3" w14:textId="13DAA28F" w:rsidR="00F27E4D" w:rsidRDefault="00652C58">
      <w:pPr>
        <w:pStyle w:val="Default"/>
        <w:spacing w:after="60"/>
        <w:ind w:left="340" w:hanging="340"/>
        <w:rPr>
          <w:rFonts w:ascii="Segoe UI" w:hAnsi="Segoe UI" w:cs="Segoe UI"/>
          <w:sz w:val="16"/>
          <w:szCs w:val="16"/>
          <w:lang w:val="en-US"/>
        </w:rPr>
      </w:pPr>
      <w:r>
        <w:rPr>
          <w:rFonts w:ascii="Segoe UI" w:hAnsi="Segoe UI" w:cs="Segoe UI"/>
          <w:sz w:val="16"/>
          <w:szCs w:val="16"/>
          <w:lang w:val="en-US"/>
        </w:rPr>
        <w:t xml:space="preserve">[24] Chen T, Guestrin C. XGBoost: A scalable tree boosting system. In: Proceedings of the 22nd ACM SIGKDD International Conference on Knowledge Discovery and Data Mining; 2016. p. 785–794. </w:t>
      </w:r>
      <w:hyperlink r:id="rId34">
        <w:r>
          <w:rPr>
            <w:rStyle w:val="Hyperlink"/>
            <w:rFonts w:ascii="Segoe UI" w:hAnsi="Segoe UI" w:cs="Segoe UI"/>
            <w:szCs w:val="16"/>
            <w:lang w:val="en-US"/>
          </w:rPr>
          <w:t>https://doi.org/10.1145/2939672.2939785</w:t>
        </w:r>
      </w:hyperlink>
    </w:p>
    <w:p w14:paraId="7AE97182" w14:textId="6767025A" w:rsidR="00F27E4D" w:rsidRDefault="00652C58">
      <w:pPr>
        <w:pStyle w:val="Default"/>
        <w:spacing w:after="60"/>
        <w:ind w:left="340" w:hanging="340"/>
        <w:rPr>
          <w:rFonts w:ascii="Segoe UI" w:hAnsi="Segoe UI" w:cs="Segoe UI"/>
          <w:sz w:val="16"/>
          <w:szCs w:val="16"/>
          <w:lang w:val="en-US"/>
        </w:rPr>
      </w:pPr>
      <w:r>
        <w:rPr>
          <w:rFonts w:ascii="Segoe UI" w:hAnsi="Segoe UI" w:cs="Segoe UI"/>
          <w:sz w:val="16"/>
          <w:szCs w:val="16"/>
          <w:lang w:val="en-US"/>
        </w:rPr>
        <w:t xml:space="preserve">[25] Demšar J. Statistical comparisons of classifiers over multiple data sets. Journal of Machine Learning Research. 2006;7:1–30. </w:t>
      </w:r>
      <w:hyperlink r:id="rId35">
        <w:r>
          <w:rPr>
            <w:rStyle w:val="Hyperlink"/>
            <w:rFonts w:ascii="Segoe UI" w:hAnsi="Segoe UI" w:cs="Segoe UI"/>
            <w:szCs w:val="16"/>
            <w:lang w:val="en-US"/>
          </w:rPr>
          <w:t>https://jmlr.org/papers/v7/demsar06a.html</w:t>
        </w:r>
      </w:hyperlink>
    </w:p>
    <w:p w14:paraId="68B48DD2" w14:textId="19608BF5" w:rsidR="00F27E4D" w:rsidRDefault="00652C58">
      <w:pPr>
        <w:pStyle w:val="Default"/>
        <w:spacing w:after="60"/>
        <w:ind w:left="340" w:hanging="340"/>
        <w:rPr>
          <w:rFonts w:ascii="Segoe UI" w:hAnsi="Segoe UI" w:cs="Segoe UI"/>
          <w:sz w:val="16"/>
          <w:szCs w:val="16"/>
          <w:lang w:val="en-US"/>
        </w:rPr>
      </w:pPr>
      <w:r>
        <w:rPr>
          <w:rFonts w:ascii="Segoe UI" w:hAnsi="Segoe UI" w:cs="Segoe UI"/>
          <w:sz w:val="16"/>
          <w:szCs w:val="16"/>
          <w:lang w:val="en-US"/>
        </w:rPr>
        <w:t xml:space="preserve">[26] Wilcoxon F. Individual comparisons by ranking methods. Biometrics Bulletin. 1945;1(6):80–83. </w:t>
      </w:r>
      <w:hyperlink r:id="rId36">
        <w:r>
          <w:rPr>
            <w:rStyle w:val="Hyperlink"/>
            <w:rFonts w:ascii="Segoe UI" w:hAnsi="Segoe UI" w:cs="Segoe UI"/>
            <w:szCs w:val="16"/>
            <w:lang w:val="en-US"/>
          </w:rPr>
          <w:t>https://doi.org/10.2307/3001968</w:t>
        </w:r>
      </w:hyperlink>
    </w:p>
    <w:p w14:paraId="71B1AC65" w14:textId="3D1AC440" w:rsidR="00F27E4D" w:rsidRDefault="00652C58">
      <w:pPr>
        <w:pStyle w:val="Default"/>
        <w:spacing w:after="60"/>
        <w:ind w:left="340" w:hanging="340"/>
        <w:rPr>
          <w:rFonts w:ascii="Segoe UI" w:hAnsi="Segoe UI" w:cs="Segoe UI"/>
          <w:sz w:val="16"/>
          <w:szCs w:val="16"/>
          <w:lang w:val="en-US"/>
        </w:rPr>
      </w:pPr>
      <w:r>
        <w:rPr>
          <w:rFonts w:ascii="Segoe UI" w:hAnsi="Segoe UI" w:cs="Segoe UI"/>
          <w:sz w:val="16"/>
          <w:szCs w:val="16"/>
          <w:lang w:val="en-US"/>
        </w:rPr>
        <w:t xml:space="preserve">[27] Lakens D. Calculating and reporting effect sizes to facilitate cumulative science: A practical primer for t-tests and ANOVAs. Frontiers in Psychology. 2013;4:863. </w:t>
      </w:r>
      <w:hyperlink r:id="rId37">
        <w:r>
          <w:rPr>
            <w:rStyle w:val="Hyperlink"/>
            <w:rFonts w:ascii="Segoe UI" w:hAnsi="Segoe UI" w:cs="Segoe UI"/>
            <w:szCs w:val="16"/>
            <w:lang w:val="en-US"/>
          </w:rPr>
          <w:t>https://doi.org/10.3389/fpsyg.2013.00863</w:t>
        </w:r>
      </w:hyperlink>
    </w:p>
    <w:p w14:paraId="482F893D" w14:textId="77777777" w:rsidR="00F27E4D" w:rsidRDefault="00652C58">
      <w:pPr>
        <w:pStyle w:val="Default"/>
        <w:spacing w:after="60"/>
        <w:ind w:left="340" w:hanging="340"/>
        <w:rPr>
          <w:rFonts w:ascii="Segoe UI" w:hAnsi="Segoe UI" w:cs="Segoe UI"/>
          <w:sz w:val="16"/>
          <w:szCs w:val="16"/>
          <w:lang w:val="en-US"/>
        </w:rPr>
      </w:pPr>
      <w:r>
        <w:rPr>
          <w:rFonts w:ascii="Segoe UI" w:hAnsi="Segoe UI" w:cs="Segoe UI"/>
          <w:sz w:val="16"/>
          <w:szCs w:val="16"/>
          <w:lang w:val="en-US"/>
        </w:rPr>
        <w:t>[28] Holm S. A simple sequentially rejective multiple test procedure. Scandinavian Journal of Statistics. 1979;6(2):65–70.</w:t>
      </w:r>
    </w:p>
    <w:p w14:paraId="62B0CE63" w14:textId="3CC416E9" w:rsidR="00F27E4D" w:rsidRDefault="00652C58">
      <w:pPr>
        <w:pStyle w:val="Default"/>
        <w:spacing w:after="60"/>
        <w:ind w:left="340" w:hanging="340"/>
        <w:rPr>
          <w:rFonts w:ascii="Segoe UI" w:hAnsi="Segoe UI" w:cs="Segoe UI"/>
          <w:sz w:val="16"/>
          <w:szCs w:val="16"/>
          <w:lang w:val="en-US"/>
        </w:rPr>
      </w:pPr>
      <w:r>
        <w:rPr>
          <w:rFonts w:ascii="Segoe UI" w:hAnsi="Segoe UI" w:cs="Segoe UI"/>
          <w:sz w:val="16"/>
          <w:szCs w:val="16"/>
          <w:lang w:val="en-US"/>
        </w:rPr>
        <w:t xml:space="preserve">[29] Ribeiro MT, Singh S, Guestrin C. Anchors: High-precision model-agnostic explanations. In: Proceedings of the 32nd AAAI Conference on Artificial Intelligence; 2018. p. 1527–1535. </w:t>
      </w:r>
      <w:hyperlink r:id="rId38">
        <w:r>
          <w:rPr>
            <w:rStyle w:val="Hyperlink"/>
            <w:rFonts w:ascii="Segoe UI" w:hAnsi="Segoe UI" w:cs="Segoe UI"/>
            <w:szCs w:val="16"/>
            <w:lang w:val="en-US"/>
          </w:rPr>
          <w:t>https://doi.org/10.1609/aaai.v32i1.11491</w:t>
        </w:r>
      </w:hyperlink>
    </w:p>
    <w:p w14:paraId="33EA9504" w14:textId="778857EC" w:rsidR="00F27E4D" w:rsidRDefault="00652C58">
      <w:pPr>
        <w:pStyle w:val="Default"/>
        <w:spacing w:after="60"/>
        <w:ind w:left="340" w:hanging="340"/>
        <w:rPr>
          <w:rFonts w:ascii="Segoe UI" w:hAnsi="Segoe UI" w:cs="Segoe UI"/>
          <w:sz w:val="16"/>
          <w:szCs w:val="16"/>
          <w:lang w:val="en-US"/>
        </w:rPr>
      </w:pPr>
      <w:r>
        <w:rPr>
          <w:rFonts w:ascii="Segoe UI" w:hAnsi="Segoe UI" w:cs="Segoe UI"/>
          <w:sz w:val="16"/>
          <w:szCs w:val="16"/>
          <w:lang w:val="en-US"/>
        </w:rPr>
        <w:t xml:space="preserve">[30] Mothilal RK, Sharma A, Tan C. Explaining machine learning classifiers through diverse counterfactual explanations. In: Proceedings of the 2020 Conference on Fairness, Accountability, and Transparency; 2020. p. 607–617. </w:t>
      </w:r>
      <w:hyperlink r:id="rId39">
        <w:r>
          <w:rPr>
            <w:rStyle w:val="Hyperlink"/>
            <w:rFonts w:ascii="Segoe UI" w:hAnsi="Segoe UI" w:cs="Segoe UI"/>
            <w:szCs w:val="16"/>
            <w:lang w:val="en-US"/>
          </w:rPr>
          <w:t>https://doi.org/10.1145/3351095.3372850</w:t>
        </w:r>
      </w:hyperlink>
    </w:p>
    <w:p w14:paraId="49638741" w14:textId="130635E3" w:rsidR="00F27E4D" w:rsidRDefault="00652C58">
      <w:pPr>
        <w:pStyle w:val="Default"/>
        <w:spacing w:after="60"/>
        <w:ind w:left="340" w:hanging="340"/>
        <w:rPr>
          <w:rFonts w:ascii="Segoe UI" w:hAnsi="Segoe UI" w:cs="Segoe UI"/>
          <w:sz w:val="16"/>
          <w:szCs w:val="16"/>
          <w:lang w:val="en-US"/>
        </w:rPr>
      </w:pPr>
      <w:r>
        <w:rPr>
          <w:rFonts w:ascii="Segoe UI" w:hAnsi="Segoe UI" w:cs="Segoe UI"/>
          <w:sz w:val="16"/>
          <w:szCs w:val="16"/>
          <w:lang w:val="en-US"/>
        </w:rPr>
        <w:t xml:space="preserve">[31] Dua D, Graff C. UCI Machine Learning Repository. Irvine (CA): University of California, School of Information and Computer Science; 2019. </w:t>
      </w:r>
      <w:hyperlink r:id="rId40">
        <w:r>
          <w:rPr>
            <w:rStyle w:val="Hyperlink"/>
            <w:rFonts w:ascii="Segoe UI" w:hAnsi="Segoe UI" w:cs="Segoe UI"/>
            <w:szCs w:val="16"/>
            <w:lang w:val="en-US"/>
          </w:rPr>
          <w:t>http://archive.ics.uci.edu/ml</w:t>
        </w:r>
      </w:hyperlink>
    </w:p>
    <w:p w14:paraId="0A48A96D" w14:textId="7D9E4154" w:rsidR="00F27E4D" w:rsidRDefault="00652C58">
      <w:pPr>
        <w:pStyle w:val="Default"/>
        <w:spacing w:after="60"/>
        <w:ind w:left="340" w:hanging="340"/>
        <w:rPr>
          <w:rFonts w:ascii="Segoe UI" w:hAnsi="Segoe UI" w:cs="Segoe UI"/>
          <w:sz w:val="16"/>
          <w:szCs w:val="16"/>
          <w:lang w:val="en-US"/>
        </w:rPr>
      </w:pPr>
      <w:r>
        <w:rPr>
          <w:rFonts w:ascii="Segoe UI" w:hAnsi="Segoe UI" w:cs="Segoe UI"/>
          <w:sz w:val="16"/>
          <w:szCs w:val="16"/>
          <w:lang w:val="en-US"/>
        </w:rPr>
        <w:t xml:space="preserve">[32] Wolberg W, Mangasarian O, Street N, Street W. Breast cancer Wisconsin (diagnostic) [dataset]. UCI Machine Learning Repository; 1993. </w:t>
      </w:r>
      <w:hyperlink r:id="rId41">
        <w:r>
          <w:rPr>
            <w:rStyle w:val="Hyperlink"/>
            <w:rFonts w:ascii="Segoe UI" w:hAnsi="Segoe UI" w:cs="Segoe UI"/>
            <w:szCs w:val="16"/>
            <w:lang w:val="en-US"/>
          </w:rPr>
          <w:t>https://doi.org/10.24432/C5DW2B</w:t>
        </w:r>
      </w:hyperlink>
    </w:p>
    <w:p w14:paraId="209861CA" w14:textId="332D0BAA" w:rsidR="00F27E4D" w:rsidRDefault="00652C58">
      <w:pPr>
        <w:pStyle w:val="Default"/>
        <w:spacing w:after="60"/>
        <w:ind w:left="340" w:hanging="340"/>
        <w:rPr>
          <w:rFonts w:ascii="Segoe UI" w:hAnsi="Segoe UI" w:cs="Segoe UI"/>
          <w:sz w:val="16"/>
          <w:szCs w:val="16"/>
          <w:lang w:val="en-US"/>
        </w:rPr>
      </w:pPr>
      <w:r>
        <w:rPr>
          <w:rFonts w:ascii="Segoe UI" w:hAnsi="Segoe UI" w:cs="Segoe UI"/>
          <w:sz w:val="16"/>
          <w:szCs w:val="16"/>
          <w:lang w:val="en-US"/>
        </w:rPr>
        <w:t xml:space="preserve">[33] Hofmann H. Statlog (German credit data) [dataset]. UCI Machine Learning Repository; 1994. </w:t>
      </w:r>
      <w:hyperlink r:id="rId42">
        <w:r>
          <w:rPr>
            <w:rStyle w:val="Hyperlink"/>
            <w:rFonts w:ascii="Segoe UI" w:hAnsi="Segoe UI" w:cs="Segoe UI"/>
            <w:szCs w:val="16"/>
            <w:lang w:val="en-US"/>
          </w:rPr>
          <w:t>https://doi.org/10.24432/C5NC77</w:t>
        </w:r>
      </w:hyperlink>
    </w:p>
    <w:p w14:paraId="10EC35C9" w14:textId="4BC7B5CC" w:rsidR="00F27E4D" w:rsidRDefault="00652C58">
      <w:pPr>
        <w:pStyle w:val="Default"/>
        <w:spacing w:after="60"/>
        <w:ind w:left="340" w:hanging="340"/>
        <w:rPr>
          <w:rFonts w:ascii="Segoe UI" w:hAnsi="Segoe UI" w:cs="Segoe UI"/>
          <w:sz w:val="16"/>
          <w:szCs w:val="16"/>
          <w:lang w:val="en-US"/>
        </w:rPr>
      </w:pPr>
      <w:r>
        <w:rPr>
          <w:rFonts w:ascii="Segoe UI" w:hAnsi="Segoe UI" w:cs="Segoe UI"/>
          <w:sz w:val="16"/>
          <w:szCs w:val="16"/>
          <w:lang w:val="en-US"/>
        </w:rPr>
        <w:t xml:space="preserve">[34] Haufe S, Wilming R, Clark B, Zhumagambetov R, Boubekki A, Martin J, et al. Explainable AI needs formalization. npj Artificial Intelligence. 2026;2:42. </w:t>
      </w:r>
      <w:hyperlink r:id="rId43">
        <w:r>
          <w:rPr>
            <w:rStyle w:val="Hyperlink"/>
            <w:rFonts w:ascii="Segoe UI" w:hAnsi="Segoe UI" w:cs="Segoe UI"/>
            <w:szCs w:val="16"/>
            <w:lang w:val="en-US"/>
          </w:rPr>
          <w:t>https://doi.org/10.1038/s44387-026-00095-1</w:t>
        </w:r>
      </w:hyperlink>
    </w:p>
    <w:p w14:paraId="50D82AB9" w14:textId="699FFCEB" w:rsidR="00F27E4D" w:rsidRDefault="00652C58">
      <w:pPr>
        <w:pStyle w:val="Default"/>
        <w:spacing w:after="60"/>
        <w:ind w:left="340" w:hanging="340"/>
        <w:rPr>
          <w:rFonts w:ascii="Segoe UI" w:hAnsi="Segoe UI" w:cs="Segoe UI"/>
          <w:sz w:val="16"/>
          <w:szCs w:val="16"/>
          <w:lang w:val="en-US"/>
        </w:rPr>
      </w:pPr>
      <w:r>
        <w:rPr>
          <w:rFonts w:ascii="Segoe UI" w:hAnsi="Segoe UI" w:cs="Segoe UI"/>
          <w:sz w:val="16"/>
          <w:szCs w:val="16"/>
          <w:lang w:val="en-US"/>
        </w:rPr>
        <w:t xml:space="preserve">[35] Doshi-Velez F, Kim B. Towards a rigorous science of interpretable machine learning [Preprint]. arXiv:1702.08608; 2017. </w:t>
      </w:r>
      <w:hyperlink r:id="rId44">
        <w:r>
          <w:rPr>
            <w:rStyle w:val="Hyperlink"/>
            <w:rFonts w:ascii="Segoe UI" w:hAnsi="Segoe UI" w:cs="Segoe UI"/>
            <w:szCs w:val="16"/>
            <w:lang w:val="en-US"/>
          </w:rPr>
          <w:t>https://arxiv.org/abs/1702.08608</w:t>
        </w:r>
      </w:hyperlink>
    </w:p>
    <w:p w14:paraId="0FEBD8B9" w14:textId="30D06EBA" w:rsidR="00F27E4D" w:rsidRDefault="00652C58">
      <w:pPr>
        <w:pStyle w:val="Default"/>
        <w:spacing w:after="60"/>
        <w:ind w:left="340" w:hanging="340"/>
        <w:rPr>
          <w:rFonts w:ascii="Segoe UI" w:hAnsi="Segoe UI" w:cs="Segoe UI"/>
          <w:sz w:val="16"/>
          <w:szCs w:val="16"/>
          <w:lang w:val="en-US"/>
        </w:rPr>
      </w:pPr>
      <w:r>
        <w:rPr>
          <w:rFonts w:ascii="Segoe UI" w:hAnsi="Segoe UI" w:cs="Segoe UI"/>
          <w:sz w:val="16"/>
          <w:szCs w:val="16"/>
          <w:lang w:val="en-US"/>
        </w:rPr>
        <w:t xml:space="preserve">[36] Wilming R, Budding C, Müller KR, Haufe S. Scrutinizing XAI using linear ground-truth data with suppressor variables. Machine Learning. 2022;111(5):1903–1923. </w:t>
      </w:r>
      <w:hyperlink r:id="rId45">
        <w:r>
          <w:rPr>
            <w:rStyle w:val="Hyperlink"/>
            <w:rFonts w:ascii="Segoe UI" w:hAnsi="Segoe UI" w:cs="Segoe UI"/>
            <w:szCs w:val="16"/>
            <w:lang w:val="en-US"/>
          </w:rPr>
          <w:t>https://doi.org/10.1007/s10994-022-06167-y</w:t>
        </w:r>
      </w:hyperlink>
    </w:p>
    <w:p w14:paraId="65E5D8B1" w14:textId="480CA56A" w:rsidR="00F27E4D" w:rsidRDefault="00652C58">
      <w:pPr>
        <w:pStyle w:val="Default"/>
        <w:spacing w:after="60"/>
        <w:ind w:left="340" w:hanging="340"/>
        <w:rPr>
          <w:rFonts w:ascii="Segoe UI" w:hAnsi="Segoe UI" w:cs="Segoe UI"/>
          <w:sz w:val="16"/>
          <w:szCs w:val="16"/>
          <w:lang w:val="en-US"/>
        </w:rPr>
      </w:pPr>
      <w:r>
        <w:rPr>
          <w:rFonts w:ascii="Segoe UI" w:hAnsi="Segoe UI" w:cs="Segoe UI"/>
          <w:sz w:val="16"/>
          <w:szCs w:val="16"/>
          <w:lang w:val="en-US"/>
        </w:rPr>
        <w:t xml:space="preserve">[37] Wilming R, Kieslich L, Clark B, Haufe S. Theoretical behavior of XAI methods in the presence of suppressor variables. In: Proceedings of the 40th International Conference on Machine Learning; 2023. p. 37091–37107. </w:t>
      </w:r>
      <w:hyperlink r:id="rId46">
        <w:r>
          <w:rPr>
            <w:rStyle w:val="Hyperlink"/>
            <w:rFonts w:ascii="Segoe UI" w:hAnsi="Segoe UI" w:cs="Segoe UI"/>
            <w:szCs w:val="16"/>
            <w:lang w:val="en-US"/>
          </w:rPr>
          <w:t>https://proceedings.mlr.press/v202/wilming23a.html</w:t>
        </w:r>
      </w:hyperlink>
    </w:p>
    <w:p w14:paraId="3DB6F3F0" w14:textId="3D6D0745" w:rsidR="00F27E4D" w:rsidRDefault="00652C58">
      <w:pPr>
        <w:pStyle w:val="Default"/>
        <w:spacing w:after="60"/>
        <w:ind w:left="340" w:hanging="340"/>
        <w:rPr>
          <w:rFonts w:ascii="Segoe UI" w:hAnsi="Segoe UI" w:cs="Segoe UI"/>
          <w:sz w:val="16"/>
          <w:szCs w:val="16"/>
          <w:lang w:val="en-US"/>
        </w:rPr>
      </w:pPr>
      <w:r>
        <w:rPr>
          <w:rFonts w:ascii="Segoe UI" w:hAnsi="Segoe UI" w:cs="Segoe UI"/>
          <w:sz w:val="16"/>
          <w:szCs w:val="16"/>
          <w:lang w:val="en-US"/>
        </w:rPr>
        <w:t xml:space="preserve">[38] Jacovi A, Goldberg Y. Towards faithfully interpretable NLP systems: How should we define and evaluate faithfulness? In: Proceedings of the 58th Annual Meeting of the Association for Computational Linguistics; 2020. p. 4198–4205. </w:t>
      </w:r>
      <w:hyperlink r:id="rId47">
        <w:r>
          <w:rPr>
            <w:rStyle w:val="Hyperlink"/>
            <w:rFonts w:ascii="Segoe UI" w:hAnsi="Segoe UI" w:cs="Segoe UI"/>
            <w:szCs w:val="16"/>
            <w:lang w:val="en-US"/>
          </w:rPr>
          <w:t>https://doi.org/10.18653/v1/2020.acl-main.386</w:t>
        </w:r>
      </w:hyperlink>
    </w:p>
    <w:sectPr w:rsidR="00F27E4D" w:rsidSect="002C150F">
      <w:headerReference w:type="default" r:id="rId48"/>
      <w:pgSz w:w="11906" w:h="16838"/>
      <w:pgMar w:top="1418" w:right="1418" w:bottom="1418" w:left="1418"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41D9DB" w14:textId="77777777" w:rsidR="00652C58" w:rsidRPr="00616C1E" w:rsidRDefault="00652C58" w:rsidP="00975563">
      <w:pPr>
        <w:spacing w:after="0"/>
      </w:pPr>
      <w:r w:rsidRPr="00616C1E">
        <w:separator/>
      </w:r>
    </w:p>
  </w:endnote>
  <w:endnote w:type="continuationSeparator" w:id="0">
    <w:p w14:paraId="1606915D" w14:textId="77777777" w:rsidR="00652C58" w:rsidRPr="00616C1E" w:rsidRDefault="00652C58" w:rsidP="00975563">
      <w:pPr>
        <w:spacing w:after="0"/>
      </w:pPr>
      <w:r w:rsidRPr="00616C1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A2"/>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Univers">
    <w:charset w:val="00"/>
    <w:family w:val="swiss"/>
    <w:pitch w:val="variable"/>
    <w:sig w:usb0="80000287" w:usb1="00000000" w:usb2="00000000" w:usb3="00000000" w:csb0="0000000F"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 w:name="Tahoma">
    <w:panose1 w:val="020B0604030504040204"/>
    <w:charset w:val="A2"/>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Palatino Linotype">
    <w:panose1 w:val="02040502050505030304"/>
    <w:charset w:val="A2"/>
    <w:family w:val="roman"/>
    <w:pitch w:val="variable"/>
    <w:sig w:usb0="E0000287" w:usb1="40000013" w:usb2="00000000" w:usb3="00000000" w:csb0="0000019F" w:csb1="00000000"/>
  </w:font>
  <w:font w:name="Cordia New">
    <w:panose1 w:val="020B0304020202020204"/>
    <w:charset w:val="DE"/>
    <w:family w:val="swiss"/>
    <w:pitch w:val="variable"/>
    <w:sig w:usb0="01000001" w:usb1="00000000" w:usb2="00000000" w:usb3="00000000" w:csb0="00010000" w:csb1="00000000"/>
  </w:font>
  <w:font w:name="CMMI10">
    <w:panose1 w:val="00000000000000000000"/>
    <w:charset w:val="81"/>
    <w:family w:val="auto"/>
    <w:notTrueType/>
    <w:pitch w:val="default"/>
    <w:sig w:usb0="00000000" w:usb1="09060000" w:usb2="00000010" w:usb3="00000000" w:csb0="00080000" w:csb1="00000000"/>
  </w:font>
  <w:font w:name="CMR10">
    <w:panose1 w:val="00000000000000000000"/>
    <w:charset w:val="00"/>
    <w:family w:val="roman"/>
    <w:notTrueType/>
    <w:pitch w:val="default"/>
  </w:font>
  <w:font w:name="Copperplate Gothic Light">
    <w:altName w:val="Copperplate Gothic Light"/>
    <w:panose1 w:val="020E0507020206020404"/>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1F3864" w:themeColor="accent5" w:themeShade="80"/>
      </w:rPr>
      <w:id w:val="-364748489"/>
      <w:docPartObj>
        <w:docPartGallery w:val="Page Numbers (Bottom of Page)"/>
        <w:docPartUnique/>
      </w:docPartObj>
    </w:sdtPr>
    <w:sdtEndPr>
      <w:rPr>
        <w:color w:val="auto"/>
      </w:rPr>
    </w:sdtEndPr>
    <w:sdtContent>
      <w:p w14:paraId="46320E1C" w14:textId="77777777" w:rsidR="00F633E7" w:rsidRPr="00616C1E" w:rsidRDefault="00FB719E" w:rsidP="00F633E7">
        <w:pPr>
          <w:pStyle w:val="Footer"/>
          <w:pBdr>
            <w:top w:val="single" w:sz="4" w:space="1" w:color="auto"/>
          </w:pBdr>
          <w:spacing w:before="0" w:beforeAutospacing="0" w:afterAutospacing="0"/>
          <w:jc w:val="left"/>
          <w:rPr>
            <w:color w:val="1F3864" w:themeColor="accent5" w:themeShade="80"/>
          </w:rPr>
        </w:pPr>
        <w:r w:rsidRPr="006F569F">
          <w:rPr>
            <w:rFonts w:ascii="Copperplate Gothic Light" w:hAnsi="Copperplate Gothic Light"/>
            <w:color w:val="FF6600"/>
            <w:sz w:val="18"/>
            <w:szCs w:val="18"/>
          </w:rPr>
          <w:t>C&amp;I</w:t>
        </w:r>
        <w:r w:rsidRPr="006F569F">
          <w:rPr>
            <w:color w:val="1F3864" w:themeColor="accent5" w:themeShade="80"/>
            <w:sz w:val="18"/>
            <w:szCs w:val="18"/>
          </w:rPr>
          <w:t xml:space="preserve">, </w:t>
        </w:r>
        <w:r w:rsidR="00D37357">
          <w:rPr>
            <w:color w:val="1F3864" w:themeColor="accent5" w:themeShade="80"/>
            <w:sz w:val="18"/>
            <w:szCs w:val="18"/>
          </w:rPr>
          <w:t>YYYY</w:t>
        </w:r>
        <w:r w:rsidRPr="006F569F">
          <w:rPr>
            <w:color w:val="1F3864" w:themeColor="accent5" w:themeShade="80"/>
            <w:sz w:val="18"/>
            <w:szCs w:val="18"/>
          </w:rPr>
          <w:t xml:space="preserve">, </w:t>
        </w:r>
        <w:r w:rsidR="00D37357">
          <w:rPr>
            <w:color w:val="1F3864" w:themeColor="accent5" w:themeShade="80"/>
            <w:sz w:val="18"/>
            <w:szCs w:val="18"/>
          </w:rPr>
          <w:t>v</w:t>
        </w:r>
        <w:r w:rsidRPr="006F569F">
          <w:rPr>
            <w:color w:val="1F3864" w:themeColor="accent5" w:themeShade="80"/>
            <w:sz w:val="18"/>
            <w:szCs w:val="18"/>
          </w:rPr>
          <w:t>(</w:t>
        </w:r>
        <w:r w:rsidR="00D37357">
          <w:rPr>
            <w:color w:val="1F3864" w:themeColor="accent5" w:themeShade="80"/>
            <w:sz w:val="18"/>
            <w:szCs w:val="18"/>
          </w:rPr>
          <w:t>i</w:t>
        </w:r>
        <w:r w:rsidRPr="006F569F">
          <w:rPr>
            <w:color w:val="1F3864" w:themeColor="accent5" w:themeShade="80"/>
            <w:sz w:val="18"/>
            <w:szCs w:val="18"/>
          </w:rPr>
          <w:t>), https://doi.org/10.62189/ci.</w:t>
        </w:r>
        <w:r w:rsidR="00D37357">
          <w:rPr>
            <w:color w:val="1F3864" w:themeColor="accent5" w:themeShade="80"/>
            <w:sz w:val="18"/>
            <w:szCs w:val="18"/>
          </w:rPr>
          <w:t>00000000</w:t>
        </w:r>
      </w:p>
      <w:p w14:paraId="09543007" w14:textId="77777777" w:rsidR="00F633E7" w:rsidRPr="00616C1E" w:rsidRDefault="00F633E7" w:rsidP="00F633E7">
        <w:pPr>
          <w:pStyle w:val="Footer"/>
          <w:spacing w:before="0" w:beforeAutospacing="0" w:afterAutospacing="0"/>
          <w:jc w:val="right"/>
        </w:pPr>
        <w:r w:rsidRPr="00616C1E">
          <w:fldChar w:fldCharType="begin"/>
        </w:r>
        <w:r w:rsidRPr="00616C1E">
          <w:instrText xml:space="preserve"> PAGE   \* MERGEFORMAT </w:instrText>
        </w:r>
        <w:r w:rsidRPr="00616C1E">
          <w:fldChar w:fldCharType="separate"/>
        </w:r>
        <w:r w:rsidR="00CD0693">
          <w:rPr>
            <w:noProof/>
          </w:rPr>
          <w:t>18</w:t>
        </w:r>
        <w:r w:rsidRPr="00616C1E">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0E3A5B" w14:textId="77777777" w:rsidR="00652C58" w:rsidRPr="00616C1E" w:rsidRDefault="00652C58" w:rsidP="00975563">
      <w:pPr>
        <w:spacing w:after="0"/>
      </w:pPr>
      <w:r w:rsidRPr="00616C1E">
        <w:separator/>
      </w:r>
    </w:p>
  </w:footnote>
  <w:footnote w:type="continuationSeparator" w:id="0">
    <w:p w14:paraId="722DC876" w14:textId="77777777" w:rsidR="00652C58" w:rsidRPr="00616C1E" w:rsidRDefault="00652C58" w:rsidP="00975563">
      <w:pPr>
        <w:spacing w:after="0"/>
      </w:pPr>
      <w:r w:rsidRPr="00616C1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left w:w="0" w:type="dxa"/>
        <w:right w:w="0" w:type="dxa"/>
      </w:tblCellMar>
      <w:tblLook w:val="04A0" w:firstRow="1" w:lastRow="0" w:firstColumn="1" w:lastColumn="0" w:noHBand="0" w:noVBand="1"/>
    </w:tblPr>
    <w:tblGrid>
      <w:gridCol w:w="2754"/>
      <w:gridCol w:w="717"/>
      <w:gridCol w:w="640"/>
      <w:gridCol w:w="3548"/>
      <w:gridCol w:w="1411"/>
    </w:tblGrid>
    <w:tr w:rsidR="00FB719E" w:rsidRPr="00616C1E" w14:paraId="1BB04E92" w14:textId="77777777" w:rsidTr="009E11E3">
      <w:trPr>
        <w:trHeight w:val="20"/>
        <w:jc w:val="center"/>
      </w:trPr>
      <w:tc>
        <w:tcPr>
          <w:tcW w:w="4222" w:type="pct"/>
          <w:gridSpan w:val="4"/>
          <w:vAlign w:val="center"/>
          <w:hideMark/>
        </w:tcPr>
        <w:p w14:paraId="375BEB20" w14:textId="77777777" w:rsidR="00FB719E" w:rsidRPr="00616C1E" w:rsidRDefault="00FB719E" w:rsidP="00FB719E">
          <w:pPr>
            <w:pStyle w:val="Header"/>
            <w:tabs>
              <w:tab w:val="clear" w:pos="4703"/>
            </w:tabs>
            <w:spacing w:before="0" w:beforeAutospacing="0" w:afterAutospacing="0"/>
            <w:jc w:val="center"/>
            <w:rPr>
              <w:rFonts w:ascii="Copperplate Gothic Light" w:hAnsi="Copperplate Gothic Light"/>
              <w:iCs/>
              <w:color w:val="012845"/>
              <w:sz w:val="48"/>
              <w:szCs w:val="48"/>
            </w:rPr>
          </w:pPr>
          <w:r w:rsidRPr="00EC5E83">
            <w:rPr>
              <w:rFonts w:ascii="Copperplate Gothic Light" w:hAnsi="Copperplate Gothic Light" w:cs="Times New Roman"/>
              <w:iCs/>
              <w:color w:val="002060"/>
              <w:sz w:val="52"/>
              <w:szCs w:val="52"/>
            </w:rPr>
            <w:t>Computers</w:t>
          </w:r>
          <w:r w:rsidRPr="00EC5E83">
            <w:rPr>
              <w:rFonts w:ascii="Copperplate Gothic Light" w:hAnsi="Copperplate Gothic Light" w:cs="Times New Roman"/>
              <w:iCs/>
              <w:color w:val="002060"/>
              <w:sz w:val="48"/>
              <w:szCs w:val="48"/>
            </w:rPr>
            <w:t xml:space="preserve"> and Informatics</w:t>
          </w:r>
        </w:p>
      </w:tc>
      <w:tc>
        <w:tcPr>
          <w:tcW w:w="778" w:type="pct"/>
          <w:vMerge w:val="restart"/>
          <w:vAlign w:val="center"/>
          <w:hideMark/>
        </w:tcPr>
        <w:p w14:paraId="5C57FCBF" w14:textId="77777777" w:rsidR="00FB719E" w:rsidRPr="00616C1E" w:rsidRDefault="00FB719E" w:rsidP="00FB719E">
          <w:pPr>
            <w:pStyle w:val="Header"/>
            <w:spacing w:before="0" w:beforeAutospacing="0" w:afterAutospacing="0"/>
            <w:jc w:val="right"/>
            <w:rPr>
              <w:sz w:val="10"/>
            </w:rPr>
          </w:pPr>
        </w:p>
        <w:p w14:paraId="36880839" w14:textId="77777777" w:rsidR="00FB719E" w:rsidRPr="00616C1E" w:rsidRDefault="00FB719E" w:rsidP="00FB719E">
          <w:pPr>
            <w:pStyle w:val="Header"/>
            <w:spacing w:before="0" w:beforeAutospacing="0" w:after="60" w:afterAutospacing="0"/>
            <w:ind w:left="113" w:right="113"/>
            <w:jc w:val="right"/>
            <w:rPr>
              <w:sz w:val="12"/>
              <w:szCs w:val="12"/>
              <w:lang w:eastAsia="tr-TR"/>
            </w:rPr>
          </w:pPr>
          <w:r w:rsidRPr="00616C1E">
            <w:rPr>
              <w:noProof/>
              <w:sz w:val="12"/>
              <w:szCs w:val="12"/>
            </w:rPr>
            <w:drawing>
              <wp:inline distT="0" distB="0" distL="0" distR="0" wp14:anchorId="75A80D90" wp14:editId="4B1D48F2">
                <wp:extent cx="720000" cy="720000"/>
                <wp:effectExtent l="0" t="0" r="4445" b="4445"/>
                <wp:docPr id="1"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ogo.svg"/>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720000" cy="720000"/>
                        </a:xfrm>
                        <a:prstGeom prst="rect">
                          <a:avLst/>
                        </a:prstGeom>
                      </pic:spPr>
                    </pic:pic>
                  </a:graphicData>
                </a:graphic>
              </wp:inline>
            </w:drawing>
          </w:r>
        </w:p>
      </w:tc>
    </w:tr>
    <w:tr w:rsidR="00FB719E" w:rsidRPr="00616C1E" w14:paraId="2DBAB117" w14:textId="77777777" w:rsidTr="009E11E3">
      <w:trPr>
        <w:trHeight w:val="57"/>
        <w:jc w:val="center"/>
      </w:trPr>
      <w:tc>
        <w:tcPr>
          <w:tcW w:w="1518" w:type="pct"/>
          <w:tcBorders>
            <w:bottom w:val="single" w:sz="4" w:space="0" w:color="auto"/>
          </w:tcBorders>
          <w:vAlign w:val="bottom"/>
          <w:hideMark/>
        </w:tcPr>
        <w:p w14:paraId="55C3050A" w14:textId="77777777" w:rsidR="00FB719E" w:rsidRPr="00616C1E" w:rsidRDefault="00FB719E" w:rsidP="00FB719E">
          <w:pPr>
            <w:pStyle w:val="Header"/>
            <w:tabs>
              <w:tab w:val="clear" w:pos="4703"/>
            </w:tabs>
            <w:spacing w:before="0" w:beforeAutospacing="0" w:afterAutospacing="0"/>
            <w:jc w:val="left"/>
            <w:rPr>
              <w:rFonts w:ascii="Copperplate Gothic Light" w:hAnsi="Copperplate Gothic Light"/>
              <w:iCs/>
              <w:color w:val="012845"/>
            </w:rPr>
          </w:pPr>
          <w:r w:rsidRPr="00616C1E">
            <w:rPr>
              <w:rFonts w:cs="Segoe UI"/>
              <w:iCs/>
              <w:color w:val="012845"/>
              <w:szCs w:val="20"/>
            </w:rPr>
            <w:t>2757-8259</w:t>
          </w:r>
        </w:p>
      </w:tc>
      <w:tc>
        <w:tcPr>
          <w:tcW w:w="748" w:type="pct"/>
          <w:gridSpan w:val="2"/>
          <w:tcBorders>
            <w:bottom w:val="single" w:sz="4" w:space="0" w:color="auto"/>
          </w:tcBorders>
        </w:tcPr>
        <w:p w14:paraId="35A52DD8" w14:textId="77777777" w:rsidR="00FB719E" w:rsidRPr="00616C1E" w:rsidRDefault="00FB719E" w:rsidP="00FB719E">
          <w:pPr>
            <w:pStyle w:val="Header"/>
            <w:tabs>
              <w:tab w:val="clear" w:pos="4703"/>
            </w:tabs>
            <w:spacing w:before="0" w:beforeAutospacing="0" w:afterAutospacing="0"/>
            <w:jc w:val="center"/>
            <w:rPr>
              <w:rFonts w:ascii="Copperplate Gothic Light" w:hAnsi="Copperplate Gothic Light"/>
              <w:iCs/>
            </w:rPr>
          </w:pPr>
        </w:p>
      </w:tc>
      <w:tc>
        <w:tcPr>
          <w:tcW w:w="1956" w:type="pct"/>
          <w:tcBorders>
            <w:bottom w:val="single" w:sz="4" w:space="0" w:color="auto"/>
          </w:tcBorders>
          <w:vAlign w:val="bottom"/>
        </w:tcPr>
        <w:p w14:paraId="1CDC8FD0" w14:textId="77777777" w:rsidR="00FB719E" w:rsidRPr="00616C1E" w:rsidRDefault="00E32EAD" w:rsidP="00FB719E">
          <w:pPr>
            <w:pStyle w:val="Header"/>
            <w:tabs>
              <w:tab w:val="clear" w:pos="4703"/>
            </w:tabs>
            <w:spacing w:before="0" w:beforeAutospacing="0" w:afterAutospacing="0"/>
            <w:jc w:val="right"/>
            <w:rPr>
              <w:rFonts w:cs="Segoe UI"/>
              <w:iCs/>
            </w:rPr>
          </w:pPr>
          <w:r>
            <w:rPr>
              <w:rFonts w:cs="Segoe UI"/>
              <w:iCs/>
              <w:color w:val="012845"/>
              <w:szCs w:val="20"/>
            </w:rPr>
            <w:t>YYYY</w:t>
          </w:r>
          <w:r w:rsidR="00FB719E">
            <w:rPr>
              <w:rFonts w:cs="Segoe UI"/>
              <w:iCs/>
              <w:color w:val="012845"/>
              <w:szCs w:val="20"/>
            </w:rPr>
            <w:t xml:space="preserve">, </w:t>
          </w:r>
          <w:r w:rsidR="00FB719E" w:rsidRPr="00616C1E">
            <w:rPr>
              <w:rFonts w:cs="Segoe UI"/>
              <w:iCs/>
              <w:color w:val="012845"/>
              <w:szCs w:val="20"/>
            </w:rPr>
            <w:t xml:space="preserve">Volume </w:t>
          </w:r>
          <w:r>
            <w:rPr>
              <w:rFonts w:cs="Segoe UI"/>
              <w:iCs/>
              <w:color w:val="012845"/>
              <w:szCs w:val="20"/>
            </w:rPr>
            <w:t>0</w:t>
          </w:r>
          <w:r w:rsidR="00FB719E" w:rsidRPr="00616C1E">
            <w:rPr>
              <w:rFonts w:cs="Segoe UI"/>
              <w:iCs/>
              <w:color w:val="012845"/>
              <w:szCs w:val="20"/>
            </w:rPr>
            <w:t xml:space="preserve"> Issue </w:t>
          </w:r>
          <w:r>
            <w:rPr>
              <w:rFonts w:cs="Segoe UI"/>
              <w:iCs/>
              <w:color w:val="012845"/>
              <w:szCs w:val="20"/>
            </w:rPr>
            <w:t>0</w:t>
          </w:r>
        </w:p>
      </w:tc>
      <w:tc>
        <w:tcPr>
          <w:tcW w:w="778" w:type="pct"/>
          <w:vMerge/>
          <w:tcBorders>
            <w:bottom w:val="single" w:sz="4" w:space="0" w:color="auto"/>
          </w:tcBorders>
          <w:vAlign w:val="bottom"/>
          <w:hideMark/>
        </w:tcPr>
        <w:p w14:paraId="5485D7F5" w14:textId="77777777" w:rsidR="00FB719E" w:rsidRPr="00616C1E" w:rsidRDefault="00FB719E" w:rsidP="00FB719E">
          <w:pPr>
            <w:spacing w:before="0" w:beforeAutospacing="0" w:after="0" w:afterAutospacing="0"/>
            <w:jc w:val="center"/>
            <w:rPr>
              <w:sz w:val="12"/>
              <w:szCs w:val="12"/>
            </w:rPr>
          </w:pPr>
        </w:p>
      </w:tc>
    </w:tr>
    <w:tr w:rsidR="00FB719E" w:rsidRPr="00616C1E" w14:paraId="07DC45BF" w14:textId="77777777" w:rsidTr="00FB719E">
      <w:trPr>
        <w:trHeight w:val="57"/>
        <w:jc w:val="center"/>
      </w:trPr>
      <w:tc>
        <w:tcPr>
          <w:tcW w:w="1913" w:type="pct"/>
          <w:gridSpan w:val="2"/>
          <w:tcBorders>
            <w:top w:val="single" w:sz="4" w:space="0" w:color="auto"/>
          </w:tcBorders>
        </w:tcPr>
        <w:p w14:paraId="6E288616" w14:textId="77777777" w:rsidR="00FB719E" w:rsidRPr="00616C1E" w:rsidRDefault="00FB719E" w:rsidP="00FB719E">
          <w:pPr>
            <w:spacing w:before="0" w:beforeAutospacing="0" w:after="0" w:afterAutospacing="0"/>
            <w:jc w:val="left"/>
            <w:rPr>
              <w:sz w:val="12"/>
              <w:szCs w:val="12"/>
            </w:rPr>
          </w:pPr>
          <w:r>
            <w:rPr>
              <w:rFonts w:cs="Segoe UI"/>
              <w:iCs/>
              <w:color w:val="F7740D"/>
              <w:sz w:val="16"/>
              <w:szCs w:val="14"/>
            </w:rPr>
            <w:t xml:space="preserve">DOI: </w:t>
          </w:r>
          <w:r w:rsidRPr="00EC5E83">
            <w:rPr>
              <w:rFonts w:cs="Segoe UI"/>
              <w:iCs/>
              <w:color w:val="F7740D"/>
              <w:sz w:val="16"/>
              <w:szCs w:val="14"/>
            </w:rPr>
            <w:t>10.62189/ci.</w:t>
          </w:r>
          <w:r w:rsidR="00E32EAD">
            <w:rPr>
              <w:rFonts w:cs="Segoe UI"/>
              <w:iCs/>
              <w:color w:val="F7740D"/>
              <w:sz w:val="16"/>
              <w:szCs w:val="14"/>
            </w:rPr>
            <w:t>X</w:t>
          </w:r>
        </w:p>
      </w:tc>
      <w:tc>
        <w:tcPr>
          <w:tcW w:w="2309" w:type="pct"/>
          <w:gridSpan w:val="2"/>
          <w:tcBorders>
            <w:top w:val="single" w:sz="4" w:space="0" w:color="auto"/>
          </w:tcBorders>
        </w:tcPr>
        <w:p w14:paraId="23ACE5D1" w14:textId="77777777" w:rsidR="00FB719E" w:rsidRPr="00EC5E83" w:rsidRDefault="00FB719E" w:rsidP="00FB719E">
          <w:pPr>
            <w:spacing w:before="0" w:beforeAutospacing="0" w:after="0" w:afterAutospacing="0"/>
            <w:jc w:val="right"/>
            <w:rPr>
              <w:rFonts w:cs="Segoe UI"/>
              <w:iCs/>
              <w:color w:val="F7740D"/>
              <w:sz w:val="16"/>
              <w:szCs w:val="14"/>
            </w:rPr>
          </w:pPr>
          <w:r w:rsidRPr="00616C1E">
            <w:rPr>
              <w:rFonts w:cs="Segoe UI"/>
              <w:iCs/>
              <w:color w:val="F7740D"/>
              <w:sz w:val="16"/>
              <w:szCs w:val="14"/>
            </w:rPr>
            <w:t>Article</w:t>
          </w:r>
        </w:p>
      </w:tc>
      <w:tc>
        <w:tcPr>
          <w:tcW w:w="778" w:type="pct"/>
          <w:vMerge/>
          <w:tcBorders>
            <w:top w:val="single" w:sz="4" w:space="0" w:color="auto"/>
          </w:tcBorders>
        </w:tcPr>
        <w:p w14:paraId="3AF94517" w14:textId="77777777" w:rsidR="00FB719E" w:rsidRPr="00616C1E" w:rsidRDefault="00FB719E" w:rsidP="00FB719E">
          <w:pPr>
            <w:spacing w:before="0" w:beforeAutospacing="0" w:after="0" w:afterAutospacing="0"/>
            <w:jc w:val="left"/>
            <w:rPr>
              <w:sz w:val="12"/>
              <w:szCs w:val="12"/>
            </w:rPr>
          </w:pPr>
        </w:p>
      </w:tc>
    </w:tr>
  </w:tbl>
  <w:p w14:paraId="286C6151" w14:textId="77777777" w:rsidR="0012033F" w:rsidRPr="00616C1E" w:rsidRDefault="0012033F" w:rsidP="002C150F">
    <w:pPr>
      <w:pStyle w:val="Header"/>
      <w:spacing w:before="0" w:beforeAutospacing="0" w:afterAutospacing="0"/>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BD1C9" w14:textId="77777777" w:rsidR="002C150F" w:rsidRPr="00616C1E" w:rsidRDefault="002C150F" w:rsidP="00270800">
    <w:pPr>
      <w:pStyle w:val="Header"/>
      <w:pBdr>
        <w:bottom w:val="single" w:sz="8" w:space="1" w:color="012845"/>
      </w:pBdr>
      <w:tabs>
        <w:tab w:val="clear" w:pos="4703"/>
        <w:tab w:val="clear" w:pos="9406"/>
      </w:tabs>
      <w:jc w:val="center"/>
      <w:rPr>
        <w:rFonts w:asciiTheme="minorHAnsi" w:hAnsiTheme="minorHAnsi" w:cs="Times New Roman"/>
        <w:color w:val="012845"/>
        <w:sz w:val="24"/>
        <w:szCs w:val="24"/>
      </w:rPr>
    </w:pPr>
    <w:r w:rsidRPr="00616C1E">
      <w:rPr>
        <w:rFonts w:ascii="Copperplate Gothic Light" w:hAnsi="Copperplate Gothic Light" w:cs="Times New Roman"/>
        <w:iCs/>
        <w:color w:val="012845"/>
        <w:sz w:val="24"/>
        <w:szCs w:val="24"/>
      </w:rPr>
      <w:t>Computers and Informatics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00A22"/>
    <w:multiLevelType w:val="hybridMultilevel"/>
    <w:tmpl w:val="C972A5F6"/>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 w15:restartNumberingAfterBreak="0">
    <w:nsid w:val="10E43114"/>
    <w:multiLevelType w:val="hybridMultilevel"/>
    <w:tmpl w:val="F1888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5079EF"/>
    <w:multiLevelType w:val="hybridMultilevel"/>
    <w:tmpl w:val="5FB40886"/>
    <w:lvl w:ilvl="0" w:tplc="6B3EC3E8">
      <w:start w:val="1"/>
      <w:numFmt w:val="decimal"/>
      <w:lvlText w:val="[%1]"/>
      <w:lvlJc w:val="left"/>
      <w:pPr>
        <w:ind w:left="3196" w:hanging="360"/>
      </w:pPr>
      <w:rPr>
        <w:rFonts w:hint="eastAsia"/>
        <w:b w:val="0"/>
        <w:bCs w:val="0"/>
        <w:sz w:val="18"/>
        <w:szCs w:val="18"/>
      </w:rPr>
    </w:lvl>
    <w:lvl w:ilvl="1" w:tplc="04090019" w:tentative="1">
      <w:start w:val="1"/>
      <w:numFmt w:val="lowerLetter"/>
      <w:lvlText w:val="%2."/>
      <w:lvlJc w:val="left"/>
      <w:pPr>
        <w:ind w:left="3916" w:hanging="360"/>
      </w:pPr>
    </w:lvl>
    <w:lvl w:ilvl="2" w:tplc="0409001B" w:tentative="1">
      <w:start w:val="1"/>
      <w:numFmt w:val="lowerRoman"/>
      <w:lvlText w:val="%3."/>
      <w:lvlJc w:val="right"/>
      <w:pPr>
        <w:ind w:left="4636" w:hanging="180"/>
      </w:pPr>
    </w:lvl>
    <w:lvl w:ilvl="3" w:tplc="0409000F" w:tentative="1">
      <w:start w:val="1"/>
      <w:numFmt w:val="decimal"/>
      <w:lvlText w:val="%4."/>
      <w:lvlJc w:val="left"/>
      <w:pPr>
        <w:ind w:left="5356" w:hanging="360"/>
      </w:pPr>
    </w:lvl>
    <w:lvl w:ilvl="4" w:tplc="04090019" w:tentative="1">
      <w:start w:val="1"/>
      <w:numFmt w:val="lowerLetter"/>
      <w:lvlText w:val="%5."/>
      <w:lvlJc w:val="left"/>
      <w:pPr>
        <w:ind w:left="6076" w:hanging="360"/>
      </w:pPr>
    </w:lvl>
    <w:lvl w:ilvl="5" w:tplc="0409001B" w:tentative="1">
      <w:start w:val="1"/>
      <w:numFmt w:val="lowerRoman"/>
      <w:lvlText w:val="%6."/>
      <w:lvlJc w:val="right"/>
      <w:pPr>
        <w:ind w:left="6796" w:hanging="180"/>
      </w:pPr>
    </w:lvl>
    <w:lvl w:ilvl="6" w:tplc="0409000F" w:tentative="1">
      <w:start w:val="1"/>
      <w:numFmt w:val="decimal"/>
      <w:lvlText w:val="%7."/>
      <w:lvlJc w:val="left"/>
      <w:pPr>
        <w:ind w:left="7516" w:hanging="360"/>
      </w:pPr>
    </w:lvl>
    <w:lvl w:ilvl="7" w:tplc="04090019" w:tentative="1">
      <w:start w:val="1"/>
      <w:numFmt w:val="lowerLetter"/>
      <w:lvlText w:val="%8."/>
      <w:lvlJc w:val="left"/>
      <w:pPr>
        <w:ind w:left="8236" w:hanging="360"/>
      </w:pPr>
    </w:lvl>
    <w:lvl w:ilvl="8" w:tplc="0409001B" w:tentative="1">
      <w:start w:val="1"/>
      <w:numFmt w:val="lowerRoman"/>
      <w:lvlText w:val="%9."/>
      <w:lvlJc w:val="right"/>
      <w:pPr>
        <w:ind w:left="8956" w:hanging="180"/>
      </w:pPr>
    </w:lvl>
  </w:abstractNum>
  <w:abstractNum w:abstractNumId="3" w15:restartNumberingAfterBreak="0">
    <w:nsid w:val="233727CA"/>
    <w:multiLevelType w:val="hybridMultilevel"/>
    <w:tmpl w:val="4852D796"/>
    <w:styleLink w:val="Harfli"/>
    <w:lvl w:ilvl="0" w:tplc="510A5EEA">
      <w:start w:val="1"/>
      <w:numFmt w:val="lowerLetter"/>
      <w:lvlText w:val="%1)"/>
      <w:lvlJc w:val="left"/>
      <w:pPr>
        <w:ind w:left="36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BC60571C">
      <w:start w:val="1"/>
      <w:numFmt w:val="lowerLetter"/>
      <w:lvlText w:val="%2)"/>
      <w:lvlJc w:val="left"/>
      <w:pPr>
        <w:ind w:left="72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3AA67912">
      <w:start w:val="1"/>
      <w:numFmt w:val="lowerLetter"/>
      <w:lvlText w:val="%3)"/>
      <w:lvlJc w:val="left"/>
      <w:pPr>
        <w:ind w:left="10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42C8708E">
      <w:start w:val="1"/>
      <w:numFmt w:val="lowerLetter"/>
      <w:lvlText w:val="%4)"/>
      <w:lvlJc w:val="left"/>
      <w:pPr>
        <w:ind w:left="144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981C18DC">
      <w:start w:val="1"/>
      <w:numFmt w:val="lowerLetter"/>
      <w:lvlText w:val="%5)"/>
      <w:lvlJc w:val="left"/>
      <w:pPr>
        <w:ind w:left="180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FA80A31C">
      <w:start w:val="1"/>
      <w:numFmt w:val="lowerLetter"/>
      <w:lvlText w:val="%6)"/>
      <w:lvlJc w:val="left"/>
      <w:pPr>
        <w:ind w:left="216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E928415C">
      <w:start w:val="1"/>
      <w:numFmt w:val="lowerLetter"/>
      <w:lvlText w:val="%7)"/>
      <w:lvlJc w:val="left"/>
      <w:pPr>
        <w:ind w:left="252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D9424210">
      <w:start w:val="1"/>
      <w:numFmt w:val="lowerLetter"/>
      <w:lvlText w:val="%8)"/>
      <w:lvlJc w:val="left"/>
      <w:pPr>
        <w:ind w:left="28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D7C40F08">
      <w:start w:val="1"/>
      <w:numFmt w:val="lowerLetter"/>
      <w:lvlText w:val="%9)"/>
      <w:lvlJc w:val="left"/>
      <w:pPr>
        <w:ind w:left="324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4" w15:restartNumberingAfterBreak="0">
    <w:nsid w:val="26B94EB2"/>
    <w:multiLevelType w:val="hybridMultilevel"/>
    <w:tmpl w:val="729AEBCC"/>
    <w:lvl w:ilvl="0" w:tplc="5EC048C8">
      <w:start w:val="1"/>
      <w:numFmt w:val="bullet"/>
      <w:lvlText w:val="-"/>
      <w:lvlJc w:val="left"/>
      <w:pPr>
        <w:ind w:left="927" w:hanging="360"/>
      </w:pPr>
      <w:rPr>
        <w:rFonts w:ascii="Segoe UI" w:eastAsiaTheme="minorHAnsi" w:hAnsi="Segoe UI" w:cs="Segoe UI"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5" w15:restartNumberingAfterBreak="0">
    <w:nsid w:val="29322B9F"/>
    <w:multiLevelType w:val="multilevel"/>
    <w:tmpl w:val="1E642A78"/>
    <w:lvl w:ilvl="0">
      <w:start w:val="1"/>
      <w:numFmt w:val="upperLetter"/>
      <w:pStyle w:val="Els-appendixhead"/>
      <w:suff w:val="nothing"/>
      <w:lvlText w:val="Appendix %1. "/>
      <w:lvlJc w:val="left"/>
      <w:pPr>
        <w:ind w:left="0" w:firstLine="0"/>
      </w:pPr>
      <w:rPr>
        <w:b/>
        <w:i w:val="0"/>
      </w:rPr>
    </w:lvl>
    <w:lvl w:ilvl="1">
      <w:start w:val="1"/>
      <w:numFmt w:val="decimal"/>
      <w:suff w:val="nothing"/>
      <w:lvlText w:val="%1.%2. "/>
      <w:lvlJc w:val="left"/>
      <w:pPr>
        <w:ind w:left="0" w:firstLine="0"/>
      </w:pPr>
      <w:rPr>
        <w:rFonts w:ascii="Times New Roman" w:hAnsi="Times New Roman" w:hint="default"/>
        <w:b w:val="0"/>
        <w:i/>
        <w:sz w:val="20"/>
      </w:rPr>
    </w:lvl>
    <w:lvl w:ilvl="2">
      <w:start w:val="1"/>
      <w:numFmt w:val="none"/>
      <w:lvlText w:val=""/>
      <w:lvlJc w:val="left"/>
      <w:pPr>
        <w:tabs>
          <w:tab w:val="num" w:pos="360"/>
        </w:tabs>
        <w:ind w:left="0" w:firstLine="0"/>
      </w:pPr>
    </w:lvl>
    <w:lvl w:ilvl="3">
      <w:start w:val="1"/>
      <w:numFmt w:val="none"/>
      <w:lvlText w:val=""/>
      <w:lvlJc w:val="right"/>
      <w:pPr>
        <w:tabs>
          <w:tab w:val="num" w:pos="360"/>
        </w:tabs>
        <w:ind w:left="0" w:firstLine="0"/>
      </w:pPr>
    </w:lvl>
    <w:lvl w:ilvl="4">
      <w:start w:val="1"/>
      <w:numFmt w:val="none"/>
      <w:lvlText w:val=""/>
      <w:lvlJc w:val="left"/>
      <w:pPr>
        <w:tabs>
          <w:tab w:val="num" w:pos="360"/>
        </w:tabs>
        <w:ind w:left="0" w:firstLine="0"/>
      </w:pPr>
    </w:lvl>
    <w:lvl w:ilvl="5">
      <w:start w:val="1"/>
      <w:numFmt w:val="none"/>
      <w:lvlText w:val=""/>
      <w:lvlJc w:val="left"/>
      <w:pPr>
        <w:tabs>
          <w:tab w:val="num" w:pos="360"/>
        </w:tabs>
        <w:ind w:left="0" w:firstLine="0"/>
      </w:pPr>
    </w:lvl>
    <w:lvl w:ilvl="6">
      <w:start w:val="1"/>
      <w:numFmt w:val="none"/>
      <w:lvlText w:val=""/>
      <w:lvlJc w:val="left"/>
      <w:pPr>
        <w:tabs>
          <w:tab w:val="num" w:pos="360"/>
        </w:tabs>
        <w:ind w:left="0" w:firstLine="0"/>
      </w:pPr>
    </w:lvl>
    <w:lvl w:ilvl="7">
      <w:start w:val="1"/>
      <w:numFmt w:val="none"/>
      <w:lvlText w:val=""/>
      <w:lvlJc w:val="left"/>
      <w:pPr>
        <w:tabs>
          <w:tab w:val="num" w:pos="360"/>
        </w:tabs>
        <w:ind w:left="0" w:firstLine="0"/>
      </w:pPr>
    </w:lvl>
    <w:lvl w:ilvl="8">
      <w:start w:val="1"/>
      <w:numFmt w:val="none"/>
      <w:lvlText w:val=""/>
      <w:lvlJc w:val="left"/>
      <w:pPr>
        <w:tabs>
          <w:tab w:val="num" w:pos="360"/>
        </w:tabs>
        <w:ind w:left="0" w:firstLine="0"/>
      </w:pPr>
    </w:lvl>
  </w:abstractNum>
  <w:abstractNum w:abstractNumId="6" w15:restartNumberingAfterBreak="0">
    <w:nsid w:val="2A3D0F99"/>
    <w:multiLevelType w:val="hybridMultilevel"/>
    <w:tmpl w:val="BA18D9E4"/>
    <w:lvl w:ilvl="0" w:tplc="088AF83C">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30881C9A"/>
    <w:multiLevelType w:val="hybridMultilevel"/>
    <w:tmpl w:val="E468207E"/>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8" w15:restartNumberingAfterBreak="0">
    <w:nsid w:val="3477064F"/>
    <w:multiLevelType w:val="hybridMultilevel"/>
    <w:tmpl w:val="7F1CFD2E"/>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9" w15:restartNumberingAfterBreak="0">
    <w:nsid w:val="39553C07"/>
    <w:multiLevelType w:val="hybridMultilevel"/>
    <w:tmpl w:val="16C04410"/>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0" w15:restartNumberingAfterBreak="0">
    <w:nsid w:val="3D564642"/>
    <w:multiLevelType w:val="hybridMultilevel"/>
    <w:tmpl w:val="2BAEFE40"/>
    <w:lvl w:ilvl="0" w:tplc="D884E934">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12E530F"/>
    <w:multiLevelType w:val="hybridMultilevel"/>
    <w:tmpl w:val="2CC02508"/>
    <w:lvl w:ilvl="0" w:tplc="08090001">
      <w:start w:val="1"/>
      <w:numFmt w:val="bullet"/>
      <w:lvlText w:val=""/>
      <w:lvlJc w:val="left"/>
      <w:pPr>
        <w:ind w:left="780" w:hanging="360"/>
      </w:pPr>
      <w:rPr>
        <w:rFonts w:ascii="Symbol" w:hAnsi="Symbol" w:hint="default"/>
      </w:rPr>
    </w:lvl>
    <w:lvl w:ilvl="1" w:tplc="08090003">
      <w:start w:val="1"/>
      <w:numFmt w:val="bullet"/>
      <w:lvlText w:val="o"/>
      <w:lvlJc w:val="left"/>
      <w:pPr>
        <w:ind w:left="1500" w:hanging="360"/>
      </w:pPr>
      <w:rPr>
        <w:rFonts w:ascii="Courier New" w:hAnsi="Courier New" w:cs="Courier New" w:hint="default"/>
      </w:rPr>
    </w:lvl>
    <w:lvl w:ilvl="2" w:tplc="08090005">
      <w:start w:val="1"/>
      <w:numFmt w:val="bullet"/>
      <w:lvlText w:val=""/>
      <w:lvlJc w:val="left"/>
      <w:pPr>
        <w:ind w:left="2220" w:hanging="360"/>
      </w:pPr>
      <w:rPr>
        <w:rFonts w:ascii="Wingdings" w:hAnsi="Wingdings" w:hint="default"/>
      </w:rPr>
    </w:lvl>
    <w:lvl w:ilvl="3" w:tplc="08090001">
      <w:start w:val="1"/>
      <w:numFmt w:val="bullet"/>
      <w:lvlText w:val=""/>
      <w:lvlJc w:val="left"/>
      <w:pPr>
        <w:ind w:left="2940" w:hanging="360"/>
      </w:pPr>
      <w:rPr>
        <w:rFonts w:ascii="Symbol" w:hAnsi="Symbol" w:hint="default"/>
      </w:rPr>
    </w:lvl>
    <w:lvl w:ilvl="4" w:tplc="08090003">
      <w:start w:val="1"/>
      <w:numFmt w:val="bullet"/>
      <w:lvlText w:val="o"/>
      <w:lvlJc w:val="left"/>
      <w:pPr>
        <w:ind w:left="3660" w:hanging="360"/>
      </w:pPr>
      <w:rPr>
        <w:rFonts w:ascii="Courier New" w:hAnsi="Courier New" w:cs="Courier New" w:hint="default"/>
      </w:rPr>
    </w:lvl>
    <w:lvl w:ilvl="5" w:tplc="08090005">
      <w:start w:val="1"/>
      <w:numFmt w:val="bullet"/>
      <w:lvlText w:val=""/>
      <w:lvlJc w:val="left"/>
      <w:pPr>
        <w:ind w:left="4380" w:hanging="360"/>
      </w:pPr>
      <w:rPr>
        <w:rFonts w:ascii="Wingdings" w:hAnsi="Wingdings" w:hint="default"/>
      </w:rPr>
    </w:lvl>
    <w:lvl w:ilvl="6" w:tplc="08090001">
      <w:start w:val="1"/>
      <w:numFmt w:val="bullet"/>
      <w:lvlText w:val=""/>
      <w:lvlJc w:val="left"/>
      <w:pPr>
        <w:ind w:left="5100" w:hanging="360"/>
      </w:pPr>
      <w:rPr>
        <w:rFonts w:ascii="Symbol" w:hAnsi="Symbol" w:hint="default"/>
      </w:rPr>
    </w:lvl>
    <w:lvl w:ilvl="7" w:tplc="08090003">
      <w:start w:val="1"/>
      <w:numFmt w:val="bullet"/>
      <w:lvlText w:val="o"/>
      <w:lvlJc w:val="left"/>
      <w:pPr>
        <w:ind w:left="5820" w:hanging="360"/>
      </w:pPr>
      <w:rPr>
        <w:rFonts w:ascii="Courier New" w:hAnsi="Courier New" w:cs="Courier New" w:hint="default"/>
      </w:rPr>
    </w:lvl>
    <w:lvl w:ilvl="8" w:tplc="08090005">
      <w:start w:val="1"/>
      <w:numFmt w:val="bullet"/>
      <w:lvlText w:val=""/>
      <w:lvlJc w:val="left"/>
      <w:pPr>
        <w:ind w:left="6540" w:hanging="360"/>
      </w:pPr>
      <w:rPr>
        <w:rFonts w:ascii="Wingdings" w:hAnsi="Wingdings" w:hint="default"/>
      </w:rPr>
    </w:lvl>
  </w:abstractNum>
  <w:abstractNum w:abstractNumId="12" w15:restartNumberingAfterBreak="0">
    <w:nsid w:val="462404C6"/>
    <w:multiLevelType w:val="hybridMultilevel"/>
    <w:tmpl w:val="FD20404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3"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4" w15:restartNumberingAfterBreak="0">
    <w:nsid w:val="56205803"/>
    <w:multiLevelType w:val="multilevel"/>
    <w:tmpl w:val="1E2855A8"/>
    <w:lvl w:ilvl="0">
      <w:start w:val="1"/>
      <w:numFmt w:val="decimal"/>
      <w:pStyle w:val="Els-1storder-head"/>
      <w:suff w:val="space"/>
      <w:lvlText w:val="%1."/>
      <w:lvlJc w:val="left"/>
      <w:pPr>
        <w:ind w:left="0" w:firstLine="0"/>
      </w:pPr>
    </w:lvl>
    <w:lvl w:ilvl="1">
      <w:start w:val="1"/>
      <w:numFmt w:val="decimal"/>
      <w:pStyle w:val="Els-2ndorder-head"/>
      <w:suff w:val="space"/>
      <w:lvlText w:val="%1.%2."/>
      <w:lvlJc w:val="left"/>
      <w:pPr>
        <w:ind w:left="0" w:firstLine="0"/>
      </w:pPr>
    </w:lvl>
    <w:lvl w:ilvl="2">
      <w:start w:val="1"/>
      <w:numFmt w:val="decimal"/>
      <w:pStyle w:val="Els-3rdorder-head"/>
      <w:suff w:val="space"/>
      <w:lvlText w:val="%1.%2.%3."/>
      <w:lvlJc w:val="left"/>
      <w:pPr>
        <w:ind w:left="0" w:firstLine="0"/>
      </w:pPr>
    </w:lvl>
    <w:lvl w:ilvl="3">
      <w:start w:val="1"/>
      <w:numFmt w:val="decimal"/>
      <w:pStyle w:val="Els-4thorder-head"/>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15" w15:restartNumberingAfterBreak="0">
    <w:nsid w:val="57440989"/>
    <w:multiLevelType w:val="hybridMultilevel"/>
    <w:tmpl w:val="CAAA4EA6"/>
    <w:lvl w:ilvl="0" w:tplc="4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0AE3266"/>
    <w:multiLevelType w:val="multilevel"/>
    <w:tmpl w:val="03808114"/>
    <w:lvl w:ilvl="0">
      <w:start w:val="1"/>
      <w:numFmt w:val="decimal"/>
      <w:lvlText w:val="%1."/>
      <w:lvlJc w:val="left"/>
      <w:pPr>
        <w:ind w:left="360" w:hanging="360"/>
      </w:pPr>
      <w:rPr>
        <w:rFonts w:hint="default"/>
      </w:rPr>
    </w:lvl>
    <w:lvl w:ilvl="1">
      <w:start w:val="1"/>
      <w:numFmt w:val="decimal"/>
      <w:pStyle w:val="BA12"/>
      <w:lvlText w:val="%1.%2."/>
      <w:lvlJc w:val="left"/>
      <w:pPr>
        <w:ind w:left="360" w:hanging="360"/>
      </w:pPr>
      <w:rPr>
        <w:rFonts w:hint="default"/>
      </w:rPr>
    </w:lvl>
    <w:lvl w:ilvl="2">
      <w:start w:val="1"/>
      <w:numFmt w:val="decimal"/>
      <w:pStyle w:val="balk"/>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622B44BC"/>
    <w:multiLevelType w:val="hybridMultilevel"/>
    <w:tmpl w:val="43C66018"/>
    <w:lvl w:ilvl="0" w:tplc="1A686836">
      <w:start w:val="8"/>
      <w:numFmt w:val="bullet"/>
      <w:lvlText w:val="-"/>
      <w:lvlJc w:val="left"/>
      <w:pPr>
        <w:ind w:left="927" w:hanging="360"/>
      </w:pPr>
      <w:rPr>
        <w:rFonts w:ascii="Segoe UI" w:eastAsiaTheme="minorHAnsi" w:hAnsi="Segoe UI" w:cs="Segoe UI" w:hint="default"/>
        <w:b w:val="0"/>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8" w15:restartNumberingAfterBreak="0">
    <w:nsid w:val="75447C86"/>
    <w:multiLevelType w:val="hybridMultilevel"/>
    <w:tmpl w:val="4420E490"/>
    <w:lvl w:ilvl="0" w:tplc="7B3070C8">
      <w:start w:val="1"/>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9" w15:restartNumberingAfterBreak="0">
    <w:nsid w:val="79C8474C"/>
    <w:multiLevelType w:val="hybridMultilevel"/>
    <w:tmpl w:val="D66C6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06273714">
    <w:abstractNumId w:val="5"/>
  </w:num>
  <w:num w:numId="2" w16cid:durableId="590510803">
    <w:abstractNumId w:val="14"/>
  </w:num>
  <w:num w:numId="3" w16cid:durableId="1241791540">
    <w:abstractNumId w:val="16"/>
  </w:num>
  <w:num w:numId="4" w16cid:durableId="1554273352">
    <w:abstractNumId w:val="3"/>
  </w:num>
  <w:num w:numId="5" w16cid:durableId="1325668152">
    <w:abstractNumId w:val="19"/>
  </w:num>
  <w:num w:numId="6" w16cid:durableId="442505308">
    <w:abstractNumId w:val="13"/>
  </w:num>
  <w:num w:numId="7" w16cid:durableId="772747634">
    <w:abstractNumId w:val="8"/>
  </w:num>
  <w:num w:numId="8" w16cid:durableId="647442311">
    <w:abstractNumId w:val="4"/>
  </w:num>
  <w:num w:numId="9" w16cid:durableId="437532138">
    <w:abstractNumId w:val="6"/>
  </w:num>
  <w:num w:numId="10" w16cid:durableId="1114708643">
    <w:abstractNumId w:val="9"/>
  </w:num>
  <w:num w:numId="11" w16cid:durableId="539513984">
    <w:abstractNumId w:val="7"/>
  </w:num>
  <w:num w:numId="12" w16cid:durableId="814105690">
    <w:abstractNumId w:val="0"/>
  </w:num>
  <w:num w:numId="13" w16cid:durableId="1200403">
    <w:abstractNumId w:val="18"/>
  </w:num>
  <w:num w:numId="14" w16cid:durableId="872116769">
    <w:abstractNumId w:val="2"/>
  </w:num>
  <w:num w:numId="15" w16cid:durableId="1680934509">
    <w:abstractNumId w:val="10"/>
  </w:num>
  <w:num w:numId="16" w16cid:durableId="647393550">
    <w:abstractNumId w:val="15"/>
  </w:num>
  <w:num w:numId="17" w16cid:durableId="1082949012">
    <w:abstractNumId w:val="17"/>
  </w:num>
  <w:num w:numId="18" w16cid:durableId="62145134">
    <w:abstractNumId w:val="11"/>
  </w:num>
  <w:num w:numId="19" w16cid:durableId="89280822">
    <w:abstractNumId w:val="12"/>
  </w:num>
  <w:num w:numId="20" w16cid:durableId="1497303481">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activeWritingStyle w:appName="MSWord" w:lang="en-US" w:vendorID="64" w:dllVersion="6" w:nlCheck="1" w:checkStyle="1"/>
  <w:activeWritingStyle w:appName="MSWord" w:lang="en-GB" w:vendorID="64" w:dllVersion="6" w:nlCheck="1" w:checkStyle="1"/>
  <w:activeWritingStyle w:appName="MSWord" w:lang="fr-FR" w:vendorID="64" w:dllVersion="6" w:nlCheck="1" w:checkStyle="1"/>
  <w:activeWritingStyle w:appName="MSWord" w:lang="es-ES" w:vendorID="64" w:dllVersion="6" w:nlCheck="1" w:checkStyle="0"/>
  <w:activeWritingStyle w:appName="MSWord" w:lang="en-US" w:vendorID="64" w:dllVersion="4096" w:nlCheck="1" w:checkStyle="0"/>
  <w:activeWritingStyle w:appName="MSWord" w:lang="en-GB" w:vendorID="64" w:dllVersion="4096" w:nlCheck="1" w:checkStyle="0"/>
  <w:activeWritingStyle w:appName="MSWord" w:lang="es-ES" w:vendorID="64" w:dllVersion="4096" w:nlCheck="1" w:checkStyle="0"/>
  <w:activeWritingStyle w:appName="MSWord" w:lang="tr-TR" w:vendorID="64" w:dllVersion="4096" w:nlCheck="1" w:checkStyle="0"/>
  <w:activeWritingStyle w:appName="MSWord" w:lang="de-DE" w:vendorID="64" w:dllVersion="4096" w:nlCheck="1" w:checkStyle="0"/>
  <w:activeWritingStyle w:appName="MSWord" w:lang="fr-FR" w:vendorID="64" w:dllVersion="4096" w:nlCheck="1" w:checkStyle="0"/>
  <w:activeWritingStyle w:appName="MSWord" w:lang="es-CO" w:vendorID="64" w:dllVersion="4096" w:nlCheck="1" w:checkStyle="0"/>
  <w:activeWritingStyle w:appName="MSWord" w:lang="en-MY" w:vendorID="64" w:dllVersion="4096"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s>
  <w:rsids>
    <w:rsidRoot w:val="00975563"/>
    <w:rsid w:val="0000111B"/>
    <w:rsid w:val="00001159"/>
    <w:rsid w:val="0000180A"/>
    <w:rsid w:val="000027AC"/>
    <w:rsid w:val="00005761"/>
    <w:rsid w:val="000065C7"/>
    <w:rsid w:val="000066B8"/>
    <w:rsid w:val="000127DC"/>
    <w:rsid w:val="0001323A"/>
    <w:rsid w:val="00015BF0"/>
    <w:rsid w:val="0001618E"/>
    <w:rsid w:val="000169A9"/>
    <w:rsid w:val="00022B00"/>
    <w:rsid w:val="00022B18"/>
    <w:rsid w:val="00023120"/>
    <w:rsid w:val="00023150"/>
    <w:rsid w:val="00023238"/>
    <w:rsid w:val="00024326"/>
    <w:rsid w:val="00024C3B"/>
    <w:rsid w:val="00026A6B"/>
    <w:rsid w:val="00027DAF"/>
    <w:rsid w:val="00027FED"/>
    <w:rsid w:val="00030414"/>
    <w:rsid w:val="000305FF"/>
    <w:rsid w:val="00031582"/>
    <w:rsid w:val="00032697"/>
    <w:rsid w:val="0003282A"/>
    <w:rsid w:val="00034BDF"/>
    <w:rsid w:val="00036336"/>
    <w:rsid w:val="00040156"/>
    <w:rsid w:val="00042317"/>
    <w:rsid w:val="000458AF"/>
    <w:rsid w:val="0004654F"/>
    <w:rsid w:val="00052CF2"/>
    <w:rsid w:val="0005499C"/>
    <w:rsid w:val="00054BF7"/>
    <w:rsid w:val="00056776"/>
    <w:rsid w:val="00057872"/>
    <w:rsid w:val="00060D9C"/>
    <w:rsid w:val="00065304"/>
    <w:rsid w:val="000653E5"/>
    <w:rsid w:val="00065485"/>
    <w:rsid w:val="00066B0C"/>
    <w:rsid w:val="00066F70"/>
    <w:rsid w:val="000677FC"/>
    <w:rsid w:val="00072934"/>
    <w:rsid w:val="00072BB4"/>
    <w:rsid w:val="000731C6"/>
    <w:rsid w:val="0007495F"/>
    <w:rsid w:val="00074E34"/>
    <w:rsid w:val="000761AA"/>
    <w:rsid w:val="00080C5A"/>
    <w:rsid w:val="000813EB"/>
    <w:rsid w:val="0008186D"/>
    <w:rsid w:val="00081ADA"/>
    <w:rsid w:val="000827DE"/>
    <w:rsid w:val="000830FD"/>
    <w:rsid w:val="000937B1"/>
    <w:rsid w:val="000956C3"/>
    <w:rsid w:val="000972B5"/>
    <w:rsid w:val="000A10A6"/>
    <w:rsid w:val="000A1192"/>
    <w:rsid w:val="000A2CFA"/>
    <w:rsid w:val="000A3FF1"/>
    <w:rsid w:val="000A5160"/>
    <w:rsid w:val="000A7FAA"/>
    <w:rsid w:val="000B07FC"/>
    <w:rsid w:val="000B0A2F"/>
    <w:rsid w:val="000B1AE6"/>
    <w:rsid w:val="000B1D6C"/>
    <w:rsid w:val="000B1FEC"/>
    <w:rsid w:val="000B375E"/>
    <w:rsid w:val="000B414E"/>
    <w:rsid w:val="000B51E3"/>
    <w:rsid w:val="000B6468"/>
    <w:rsid w:val="000B701C"/>
    <w:rsid w:val="000B71AE"/>
    <w:rsid w:val="000C2ACC"/>
    <w:rsid w:val="000C2B86"/>
    <w:rsid w:val="000C31B8"/>
    <w:rsid w:val="000C44B8"/>
    <w:rsid w:val="000C5521"/>
    <w:rsid w:val="000C5FFA"/>
    <w:rsid w:val="000C75EE"/>
    <w:rsid w:val="000D073A"/>
    <w:rsid w:val="000D0FB0"/>
    <w:rsid w:val="000D46DA"/>
    <w:rsid w:val="000D63B3"/>
    <w:rsid w:val="000E0640"/>
    <w:rsid w:val="000E0920"/>
    <w:rsid w:val="000E0E13"/>
    <w:rsid w:val="000E1920"/>
    <w:rsid w:val="000E24AF"/>
    <w:rsid w:val="000E2F2E"/>
    <w:rsid w:val="000E422F"/>
    <w:rsid w:val="000E5472"/>
    <w:rsid w:val="000E7CDC"/>
    <w:rsid w:val="000E7E32"/>
    <w:rsid w:val="000F0A8F"/>
    <w:rsid w:val="000F266E"/>
    <w:rsid w:val="000F2E8F"/>
    <w:rsid w:val="000F4B41"/>
    <w:rsid w:val="001007FE"/>
    <w:rsid w:val="00100D1B"/>
    <w:rsid w:val="00104790"/>
    <w:rsid w:val="001069F1"/>
    <w:rsid w:val="001103EE"/>
    <w:rsid w:val="001109A4"/>
    <w:rsid w:val="00114228"/>
    <w:rsid w:val="0011462E"/>
    <w:rsid w:val="001146BF"/>
    <w:rsid w:val="00114FF7"/>
    <w:rsid w:val="00116670"/>
    <w:rsid w:val="0012033F"/>
    <w:rsid w:val="00122078"/>
    <w:rsid w:val="001228EC"/>
    <w:rsid w:val="00122A30"/>
    <w:rsid w:val="00122EE7"/>
    <w:rsid w:val="001305AF"/>
    <w:rsid w:val="00131AE9"/>
    <w:rsid w:val="0013372C"/>
    <w:rsid w:val="001354A8"/>
    <w:rsid w:val="00135522"/>
    <w:rsid w:val="001359D8"/>
    <w:rsid w:val="00136ABB"/>
    <w:rsid w:val="001370A6"/>
    <w:rsid w:val="001403FA"/>
    <w:rsid w:val="00141DB4"/>
    <w:rsid w:val="0014356F"/>
    <w:rsid w:val="00143B2A"/>
    <w:rsid w:val="00143D7A"/>
    <w:rsid w:val="001465E9"/>
    <w:rsid w:val="00147172"/>
    <w:rsid w:val="0014744F"/>
    <w:rsid w:val="00147A51"/>
    <w:rsid w:val="001512A6"/>
    <w:rsid w:val="00153A07"/>
    <w:rsid w:val="001565FB"/>
    <w:rsid w:val="0015729C"/>
    <w:rsid w:val="00160168"/>
    <w:rsid w:val="00163DC7"/>
    <w:rsid w:val="0016401A"/>
    <w:rsid w:val="00164163"/>
    <w:rsid w:val="001643F1"/>
    <w:rsid w:val="0016495F"/>
    <w:rsid w:val="00164BDA"/>
    <w:rsid w:val="00164EAE"/>
    <w:rsid w:val="00165FF0"/>
    <w:rsid w:val="00167EFC"/>
    <w:rsid w:val="00171646"/>
    <w:rsid w:val="00173052"/>
    <w:rsid w:val="00174162"/>
    <w:rsid w:val="0018415D"/>
    <w:rsid w:val="001913F8"/>
    <w:rsid w:val="00194B46"/>
    <w:rsid w:val="001950BA"/>
    <w:rsid w:val="001A129F"/>
    <w:rsid w:val="001A2624"/>
    <w:rsid w:val="001A4B34"/>
    <w:rsid w:val="001A521F"/>
    <w:rsid w:val="001A6A69"/>
    <w:rsid w:val="001B0B8E"/>
    <w:rsid w:val="001B1A2F"/>
    <w:rsid w:val="001B37B6"/>
    <w:rsid w:val="001B6DFF"/>
    <w:rsid w:val="001B7061"/>
    <w:rsid w:val="001B7700"/>
    <w:rsid w:val="001C0406"/>
    <w:rsid w:val="001C0814"/>
    <w:rsid w:val="001C14CC"/>
    <w:rsid w:val="001C1A4E"/>
    <w:rsid w:val="001C1B36"/>
    <w:rsid w:val="001C26C1"/>
    <w:rsid w:val="001C3C7B"/>
    <w:rsid w:val="001C4B2F"/>
    <w:rsid w:val="001C677A"/>
    <w:rsid w:val="001D1050"/>
    <w:rsid w:val="001D140D"/>
    <w:rsid w:val="001D16B5"/>
    <w:rsid w:val="001D2B66"/>
    <w:rsid w:val="001D2C4E"/>
    <w:rsid w:val="001D2ED0"/>
    <w:rsid w:val="001D475D"/>
    <w:rsid w:val="001D5213"/>
    <w:rsid w:val="001D67FB"/>
    <w:rsid w:val="001D711A"/>
    <w:rsid w:val="001E11F5"/>
    <w:rsid w:val="001E2EB7"/>
    <w:rsid w:val="001E3D08"/>
    <w:rsid w:val="001E3EC7"/>
    <w:rsid w:val="001E4EC4"/>
    <w:rsid w:val="001E5640"/>
    <w:rsid w:val="001E6C43"/>
    <w:rsid w:val="001F13D4"/>
    <w:rsid w:val="001F2BA9"/>
    <w:rsid w:val="001F44FD"/>
    <w:rsid w:val="001F5144"/>
    <w:rsid w:val="001F5387"/>
    <w:rsid w:val="001F59D5"/>
    <w:rsid w:val="001F68DA"/>
    <w:rsid w:val="001F750D"/>
    <w:rsid w:val="00200E8E"/>
    <w:rsid w:val="002016CD"/>
    <w:rsid w:val="00206548"/>
    <w:rsid w:val="0020708B"/>
    <w:rsid w:val="00207873"/>
    <w:rsid w:val="00211A67"/>
    <w:rsid w:val="00212309"/>
    <w:rsid w:val="00212523"/>
    <w:rsid w:val="002128DB"/>
    <w:rsid w:val="00212AC1"/>
    <w:rsid w:val="00214E09"/>
    <w:rsid w:val="00214ED4"/>
    <w:rsid w:val="00215748"/>
    <w:rsid w:val="002162B1"/>
    <w:rsid w:val="002167D8"/>
    <w:rsid w:val="00220575"/>
    <w:rsid w:val="00221F9A"/>
    <w:rsid w:val="002223D7"/>
    <w:rsid w:val="00222A59"/>
    <w:rsid w:val="00222D65"/>
    <w:rsid w:val="00222FEB"/>
    <w:rsid w:val="00223FDF"/>
    <w:rsid w:val="00225ECD"/>
    <w:rsid w:val="002266B4"/>
    <w:rsid w:val="002270A5"/>
    <w:rsid w:val="002311EC"/>
    <w:rsid w:val="002331A1"/>
    <w:rsid w:val="0023395F"/>
    <w:rsid w:val="00234048"/>
    <w:rsid w:val="00234E5A"/>
    <w:rsid w:val="00235102"/>
    <w:rsid w:val="002357F9"/>
    <w:rsid w:val="00235A0A"/>
    <w:rsid w:val="00235E5A"/>
    <w:rsid w:val="00237060"/>
    <w:rsid w:val="0023799C"/>
    <w:rsid w:val="002379B5"/>
    <w:rsid w:val="002403F8"/>
    <w:rsid w:val="002405D3"/>
    <w:rsid w:val="00240E4B"/>
    <w:rsid w:val="002414F8"/>
    <w:rsid w:val="00241FA7"/>
    <w:rsid w:val="00242D35"/>
    <w:rsid w:val="002430D1"/>
    <w:rsid w:val="00243313"/>
    <w:rsid w:val="00244A74"/>
    <w:rsid w:val="0024515C"/>
    <w:rsid w:val="00245B05"/>
    <w:rsid w:val="00247A9D"/>
    <w:rsid w:val="0025018A"/>
    <w:rsid w:val="0025035F"/>
    <w:rsid w:val="002518E1"/>
    <w:rsid w:val="0025332D"/>
    <w:rsid w:val="0025346F"/>
    <w:rsid w:val="00253AC1"/>
    <w:rsid w:val="0025638C"/>
    <w:rsid w:val="00257C7E"/>
    <w:rsid w:val="00260130"/>
    <w:rsid w:val="00260E74"/>
    <w:rsid w:val="00261FB5"/>
    <w:rsid w:val="00267B57"/>
    <w:rsid w:val="00270800"/>
    <w:rsid w:val="00270A45"/>
    <w:rsid w:val="00271170"/>
    <w:rsid w:val="00272202"/>
    <w:rsid w:val="00272A2B"/>
    <w:rsid w:val="00273E08"/>
    <w:rsid w:val="0027493D"/>
    <w:rsid w:val="002756BE"/>
    <w:rsid w:val="002760E4"/>
    <w:rsid w:val="002763BA"/>
    <w:rsid w:val="002771C8"/>
    <w:rsid w:val="0028073B"/>
    <w:rsid w:val="002830C2"/>
    <w:rsid w:val="00283B1D"/>
    <w:rsid w:val="00285404"/>
    <w:rsid w:val="002865CB"/>
    <w:rsid w:val="00286E1C"/>
    <w:rsid w:val="00291762"/>
    <w:rsid w:val="00292101"/>
    <w:rsid w:val="00292138"/>
    <w:rsid w:val="002934B0"/>
    <w:rsid w:val="002951B1"/>
    <w:rsid w:val="002952E0"/>
    <w:rsid w:val="002960EA"/>
    <w:rsid w:val="002A144D"/>
    <w:rsid w:val="002A1AC8"/>
    <w:rsid w:val="002A38AD"/>
    <w:rsid w:val="002A53AB"/>
    <w:rsid w:val="002A5F8C"/>
    <w:rsid w:val="002A5FA4"/>
    <w:rsid w:val="002A7213"/>
    <w:rsid w:val="002B05B3"/>
    <w:rsid w:val="002B0F7A"/>
    <w:rsid w:val="002B227A"/>
    <w:rsid w:val="002B2D27"/>
    <w:rsid w:val="002B3D0C"/>
    <w:rsid w:val="002B3F22"/>
    <w:rsid w:val="002B67B1"/>
    <w:rsid w:val="002B680C"/>
    <w:rsid w:val="002B7D3E"/>
    <w:rsid w:val="002C0066"/>
    <w:rsid w:val="002C150F"/>
    <w:rsid w:val="002C1764"/>
    <w:rsid w:val="002C32C2"/>
    <w:rsid w:val="002C49D6"/>
    <w:rsid w:val="002C4C30"/>
    <w:rsid w:val="002C4F27"/>
    <w:rsid w:val="002C51E8"/>
    <w:rsid w:val="002C6D55"/>
    <w:rsid w:val="002C764F"/>
    <w:rsid w:val="002D10D5"/>
    <w:rsid w:val="002D2C9C"/>
    <w:rsid w:val="002D637A"/>
    <w:rsid w:val="002D715B"/>
    <w:rsid w:val="002E040B"/>
    <w:rsid w:val="002E0ACE"/>
    <w:rsid w:val="002E277B"/>
    <w:rsid w:val="002E3566"/>
    <w:rsid w:val="002E4BCD"/>
    <w:rsid w:val="002E54AF"/>
    <w:rsid w:val="002E5BF6"/>
    <w:rsid w:val="002E6205"/>
    <w:rsid w:val="002F06B9"/>
    <w:rsid w:val="002F3518"/>
    <w:rsid w:val="002F473B"/>
    <w:rsid w:val="002F4C7D"/>
    <w:rsid w:val="002F79C4"/>
    <w:rsid w:val="003000B2"/>
    <w:rsid w:val="003006A0"/>
    <w:rsid w:val="00300C0B"/>
    <w:rsid w:val="00300F3E"/>
    <w:rsid w:val="00301B7E"/>
    <w:rsid w:val="00301C9C"/>
    <w:rsid w:val="00302D66"/>
    <w:rsid w:val="00303F8C"/>
    <w:rsid w:val="003047A9"/>
    <w:rsid w:val="00304834"/>
    <w:rsid w:val="003048D5"/>
    <w:rsid w:val="00305A22"/>
    <w:rsid w:val="00307516"/>
    <w:rsid w:val="0030770F"/>
    <w:rsid w:val="00310CAE"/>
    <w:rsid w:val="003113D6"/>
    <w:rsid w:val="00312C3F"/>
    <w:rsid w:val="00312EBF"/>
    <w:rsid w:val="00313D6C"/>
    <w:rsid w:val="00313F62"/>
    <w:rsid w:val="00315640"/>
    <w:rsid w:val="003167A0"/>
    <w:rsid w:val="003176E5"/>
    <w:rsid w:val="00317B81"/>
    <w:rsid w:val="0032066E"/>
    <w:rsid w:val="003225D6"/>
    <w:rsid w:val="003231A2"/>
    <w:rsid w:val="00323DA9"/>
    <w:rsid w:val="00324E8E"/>
    <w:rsid w:val="00325D0C"/>
    <w:rsid w:val="0032616B"/>
    <w:rsid w:val="0032760A"/>
    <w:rsid w:val="00330B18"/>
    <w:rsid w:val="0033242D"/>
    <w:rsid w:val="00337233"/>
    <w:rsid w:val="00337BEB"/>
    <w:rsid w:val="003403BA"/>
    <w:rsid w:val="00342205"/>
    <w:rsid w:val="00344FCC"/>
    <w:rsid w:val="00345A55"/>
    <w:rsid w:val="003465E7"/>
    <w:rsid w:val="003505AB"/>
    <w:rsid w:val="00351356"/>
    <w:rsid w:val="00352818"/>
    <w:rsid w:val="0035403D"/>
    <w:rsid w:val="00356832"/>
    <w:rsid w:val="0035758D"/>
    <w:rsid w:val="00360135"/>
    <w:rsid w:val="00361395"/>
    <w:rsid w:val="00362CC8"/>
    <w:rsid w:val="00364F66"/>
    <w:rsid w:val="00370327"/>
    <w:rsid w:val="0037062F"/>
    <w:rsid w:val="00372AD7"/>
    <w:rsid w:val="00374BA4"/>
    <w:rsid w:val="00374BE5"/>
    <w:rsid w:val="00375075"/>
    <w:rsid w:val="0037515A"/>
    <w:rsid w:val="00375457"/>
    <w:rsid w:val="003771C4"/>
    <w:rsid w:val="0038036B"/>
    <w:rsid w:val="00380C9C"/>
    <w:rsid w:val="003818E4"/>
    <w:rsid w:val="00382041"/>
    <w:rsid w:val="0038219B"/>
    <w:rsid w:val="003822F3"/>
    <w:rsid w:val="00383599"/>
    <w:rsid w:val="00385239"/>
    <w:rsid w:val="003853E7"/>
    <w:rsid w:val="00385D8A"/>
    <w:rsid w:val="0038788A"/>
    <w:rsid w:val="003879FF"/>
    <w:rsid w:val="003940D1"/>
    <w:rsid w:val="003950E2"/>
    <w:rsid w:val="00396E03"/>
    <w:rsid w:val="003970A0"/>
    <w:rsid w:val="003A11E4"/>
    <w:rsid w:val="003A4276"/>
    <w:rsid w:val="003A44A2"/>
    <w:rsid w:val="003A4553"/>
    <w:rsid w:val="003A4C9B"/>
    <w:rsid w:val="003A5161"/>
    <w:rsid w:val="003A62BE"/>
    <w:rsid w:val="003B01F3"/>
    <w:rsid w:val="003B45B0"/>
    <w:rsid w:val="003B663C"/>
    <w:rsid w:val="003B751E"/>
    <w:rsid w:val="003C137A"/>
    <w:rsid w:val="003C1BE2"/>
    <w:rsid w:val="003C2FB7"/>
    <w:rsid w:val="003C35BE"/>
    <w:rsid w:val="003C3A04"/>
    <w:rsid w:val="003C474B"/>
    <w:rsid w:val="003C4919"/>
    <w:rsid w:val="003C6315"/>
    <w:rsid w:val="003D1106"/>
    <w:rsid w:val="003D35F5"/>
    <w:rsid w:val="003D4280"/>
    <w:rsid w:val="003D4695"/>
    <w:rsid w:val="003D5D5C"/>
    <w:rsid w:val="003D66F2"/>
    <w:rsid w:val="003E158B"/>
    <w:rsid w:val="003E2789"/>
    <w:rsid w:val="003E4AA0"/>
    <w:rsid w:val="003E519D"/>
    <w:rsid w:val="003E6AD4"/>
    <w:rsid w:val="003E799D"/>
    <w:rsid w:val="003E7AB7"/>
    <w:rsid w:val="003F1197"/>
    <w:rsid w:val="003F13F9"/>
    <w:rsid w:val="003F32E1"/>
    <w:rsid w:val="003F3708"/>
    <w:rsid w:val="003F6996"/>
    <w:rsid w:val="003F7A44"/>
    <w:rsid w:val="003F7E76"/>
    <w:rsid w:val="004001C2"/>
    <w:rsid w:val="00401109"/>
    <w:rsid w:val="00402D67"/>
    <w:rsid w:val="00403858"/>
    <w:rsid w:val="0040401E"/>
    <w:rsid w:val="0040667E"/>
    <w:rsid w:val="00406B43"/>
    <w:rsid w:val="0041009D"/>
    <w:rsid w:val="00411932"/>
    <w:rsid w:val="00412D37"/>
    <w:rsid w:val="004131FF"/>
    <w:rsid w:val="0041502C"/>
    <w:rsid w:val="0042063B"/>
    <w:rsid w:val="00420E8E"/>
    <w:rsid w:val="0042120B"/>
    <w:rsid w:val="00421B89"/>
    <w:rsid w:val="004220BE"/>
    <w:rsid w:val="004224DF"/>
    <w:rsid w:val="00422588"/>
    <w:rsid w:val="004243FA"/>
    <w:rsid w:val="004249B3"/>
    <w:rsid w:val="00425CA8"/>
    <w:rsid w:val="004263D7"/>
    <w:rsid w:val="00427FE2"/>
    <w:rsid w:val="0043035C"/>
    <w:rsid w:val="00431191"/>
    <w:rsid w:val="00433CCC"/>
    <w:rsid w:val="00434ACF"/>
    <w:rsid w:val="00435BC7"/>
    <w:rsid w:val="004364AD"/>
    <w:rsid w:val="00436F63"/>
    <w:rsid w:val="00440265"/>
    <w:rsid w:val="00440C4B"/>
    <w:rsid w:val="0044109B"/>
    <w:rsid w:val="004420C0"/>
    <w:rsid w:val="00444D5F"/>
    <w:rsid w:val="00450410"/>
    <w:rsid w:val="004509D6"/>
    <w:rsid w:val="00450CF8"/>
    <w:rsid w:val="004525C8"/>
    <w:rsid w:val="0045339F"/>
    <w:rsid w:val="0045345A"/>
    <w:rsid w:val="00453921"/>
    <w:rsid w:val="0045398A"/>
    <w:rsid w:val="00454D32"/>
    <w:rsid w:val="00457B9E"/>
    <w:rsid w:val="0046085D"/>
    <w:rsid w:val="00460A5F"/>
    <w:rsid w:val="00464E9E"/>
    <w:rsid w:val="00465079"/>
    <w:rsid w:val="00467476"/>
    <w:rsid w:val="00470B3F"/>
    <w:rsid w:val="00473E37"/>
    <w:rsid w:val="00474254"/>
    <w:rsid w:val="00474AD0"/>
    <w:rsid w:val="004776EF"/>
    <w:rsid w:val="004777CF"/>
    <w:rsid w:val="004802D3"/>
    <w:rsid w:val="00480CC0"/>
    <w:rsid w:val="004834C0"/>
    <w:rsid w:val="004836FC"/>
    <w:rsid w:val="0048384B"/>
    <w:rsid w:val="00483852"/>
    <w:rsid w:val="0048398E"/>
    <w:rsid w:val="00484267"/>
    <w:rsid w:val="00485455"/>
    <w:rsid w:val="00485FA0"/>
    <w:rsid w:val="0048618B"/>
    <w:rsid w:val="004905D5"/>
    <w:rsid w:val="00490AFC"/>
    <w:rsid w:val="0049187B"/>
    <w:rsid w:val="00494180"/>
    <w:rsid w:val="004952C1"/>
    <w:rsid w:val="004953E4"/>
    <w:rsid w:val="004962C3"/>
    <w:rsid w:val="004976BB"/>
    <w:rsid w:val="00497DF3"/>
    <w:rsid w:val="004A0B7F"/>
    <w:rsid w:val="004A1187"/>
    <w:rsid w:val="004A1ECE"/>
    <w:rsid w:val="004A3CA5"/>
    <w:rsid w:val="004A50E5"/>
    <w:rsid w:val="004A6A6D"/>
    <w:rsid w:val="004B132C"/>
    <w:rsid w:val="004B1D8D"/>
    <w:rsid w:val="004B1E59"/>
    <w:rsid w:val="004B3C14"/>
    <w:rsid w:val="004B5394"/>
    <w:rsid w:val="004B54F2"/>
    <w:rsid w:val="004B58EE"/>
    <w:rsid w:val="004C0238"/>
    <w:rsid w:val="004C10CF"/>
    <w:rsid w:val="004C114D"/>
    <w:rsid w:val="004C11C3"/>
    <w:rsid w:val="004C1793"/>
    <w:rsid w:val="004C19CB"/>
    <w:rsid w:val="004C206B"/>
    <w:rsid w:val="004C2786"/>
    <w:rsid w:val="004C3CB1"/>
    <w:rsid w:val="004C3E1C"/>
    <w:rsid w:val="004C4795"/>
    <w:rsid w:val="004C487D"/>
    <w:rsid w:val="004C5031"/>
    <w:rsid w:val="004C5C21"/>
    <w:rsid w:val="004C6A5F"/>
    <w:rsid w:val="004C7B38"/>
    <w:rsid w:val="004D0602"/>
    <w:rsid w:val="004D0A75"/>
    <w:rsid w:val="004D581E"/>
    <w:rsid w:val="004D5880"/>
    <w:rsid w:val="004D714B"/>
    <w:rsid w:val="004D7E25"/>
    <w:rsid w:val="004E3556"/>
    <w:rsid w:val="004E4784"/>
    <w:rsid w:val="004E4C3F"/>
    <w:rsid w:val="004E56A1"/>
    <w:rsid w:val="004E7210"/>
    <w:rsid w:val="004E733D"/>
    <w:rsid w:val="004F05D1"/>
    <w:rsid w:val="004F24B4"/>
    <w:rsid w:val="004F2DC2"/>
    <w:rsid w:val="004F5450"/>
    <w:rsid w:val="004F622F"/>
    <w:rsid w:val="00501544"/>
    <w:rsid w:val="00501705"/>
    <w:rsid w:val="00501AA4"/>
    <w:rsid w:val="00503EE4"/>
    <w:rsid w:val="00504295"/>
    <w:rsid w:val="00504A2C"/>
    <w:rsid w:val="00504A76"/>
    <w:rsid w:val="00506A7F"/>
    <w:rsid w:val="00507DCE"/>
    <w:rsid w:val="00510917"/>
    <w:rsid w:val="00511E25"/>
    <w:rsid w:val="0051242B"/>
    <w:rsid w:val="00512A75"/>
    <w:rsid w:val="00513E62"/>
    <w:rsid w:val="0051511D"/>
    <w:rsid w:val="00517C4A"/>
    <w:rsid w:val="00524A93"/>
    <w:rsid w:val="005270DE"/>
    <w:rsid w:val="005270FE"/>
    <w:rsid w:val="00527158"/>
    <w:rsid w:val="0053054F"/>
    <w:rsid w:val="00531F5D"/>
    <w:rsid w:val="005354DF"/>
    <w:rsid w:val="00537261"/>
    <w:rsid w:val="005400CC"/>
    <w:rsid w:val="005402C9"/>
    <w:rsid w:val="005419A2"/>
    <w:rsid w:val="00542138"/>
    <w:rsid w:val="0054221B"/>
    <w:rsid w:val="005438D5"/>
    <w:rsid w:val="00543FB1"/>
    <w:rsid w:val="00544847"/>
    <w:rsid w:val="00545C41"/>
    <w:rsid w:val="00551618"/>
    <w:rsid w:val="005526C0"/>
    <w:rsid w:val="00553168"/>
    <w:rsid w:val="00553ECF"/>
    <w:rsid w:val="005548EC"/>
    <w:rsid w:val="00555725"/>
    <w:rsid w:val="00556F26"/>
    <w:rsid w:val="00557490"/>
    <w:rsid w:val="0056024A"/>
    <w:rsid w:val="00560CF0"/>
    <w:rsid w:val="00560F30"/>
    <w:rsid w:val="005639F9"/>
    <w:rsid w:val="00566CC3"/>
    <w:rsid w:val="005732F3"/>
    <w:rsid w:val="0057460B"/>
    <w:rsid w:val="005762E3"/>
    <w:rsid w:val="005814BC"/>
    <w:rsid w:val="0058229B"/>
    <w:rsid w:val="0058278E"/>
    <w:rsid w:val="00582BE6"/>
    <w:rsid w:val="00587B13"/>
    <w:rsid w:val="00592D92"/>
    <w:rsid w:val="00593062"/>
    <w:rsid w:val="005937D3"/>
    <w:rsid w:val="005A110D"/>
    <w:rsid w:val="005A1DB5"/>
    <w:rsid w:val="005A1E25"/>
    <w:rsid w:val="005A1EF8"/>
    <w:rsid w:val="005A2783"/>
    <w:rsid w:val="005A3A04"/>
    <w:rsid w:val="005A503F"/>
    <w:rsid w:val="005A5769"/>
    <w:rsid w:val="005A7D12"/>
    <w:rsid w:val="005B1441"/>
    <w:rsid w:val="005B154B"/>
    <w:rsid w:val="005B16C6"/>
    <w:rsid w:val="005B1A28"/>
    <w:rsid w:val="005B2EBD"/>
    <w:rsid w:val="005B523A"/>
    <w:rsid w:val="005B5A40"/>
    <w:rsid w:val="005B7B7F"/>
    <w:rsid w:val="005C0C98"/>
    <w:rsid w:val="005C1E05"/>
    <w:rsid w:val="005C2696"/>
    <w:rsid w:val="005C2B57"/>
    <w:rsid w:val="005C3154"/>
    <w:rsid w:val="005C34C0"/>
    <w:rsid w:val="005C3DFD"/>
    <w:rsid w:val="005C42B7"/>
    <w:rsid w:val="005C4355"/>
    <w:rsid w:val="005C4722"/>
    <w:rsid w:val="005C58BE"/>
    <w:rsid w:val="005D0DA4"/>
    <w:rsid w:val="005D0EB4"/>
    <w:rsid w:val="005D2694"/>
    <w:rsid w:val="005D3AE3"/>
    <w:rsid w:val="005D4691"/>
    <w:rsid w:val="005D487E"/>
    <w:rsid w:val="005D626B"/>
    <w:rsid w:val="005D7A8A"/>
    <w:rsid w:val="005E0626"/>
    <w:rsid w:val="005E062C"/>
    <w:rsid w:val="005E1D5E"/>
    <w:rsid w:val="005E348F"/>
    <w:rsid w:val="005E5EF4"/>
    <w:rsid w:val="005F356F"/>
    <w:rsid w:val="005F3612"/>
    <w:rsid w:val="005F3751"/>
    <w:rsid w:val="005F486A"/>
    <w:rsid w:val="005F49C7"/>
    <w:rsid w:val="005F4B38"/>
    <w:rsid w:val="005F57B3"/>
    <w:rsid w:val="005F6993"/>
    <w:rsid w:val="005F6D23"/>
    <w:rsid w:val="00601656"/>
    <w:rsid w:val="00601BEE"/>
    <w:rsid w:val="00601F81"/>
    <w:rsid w:val="00604F47"/>
    <w:rsid w:val="00605D48"/>
    <w:rsid w:val="006061AB"/>
    <w:rsid w:val="00611E95"/>
    <w:rsid w:val="00612E8A"/>
    <w:rsid w:val="00614622"/>
    <w:rsid w:val="00614E72"/>
    <w:rsid w:val="00615374"/>
    <w:rsid w:val="00616C1E"/>
    <w:rsid w:val="00620096"/>
    <w:rsid w:val="0062015D"/>
    <w:rsid w:val="00621BB5"/>
    <w:rsid w:val="00623FC9"/>
    <w:rsid w:val="006250BC"/>
    <w:rsid w:val="00625F49"/>
    <w:rsid w:val="00625F51"/>
    <w:rsid w:val="00626505"/>
    <w:rsid w:val="006279D1"/>
    <w:rsid w:val="00630C4B"/>
    <w:rsid w:val="0063213C"/>
    <w:rsid w:val="0063352E"/>
    <w:rsid w:val="0063562E"/>
    <w:rsid w:val="00640991"/>
    <w:rsid w:val="00641B86"/>
    <w:rsid w:val="00641D60"/>
    <w:rsid w:val="0064704E"/>
    <w:rsid w:val="006476E4"/>
    <w:rsid w:val="00650157"/>
    <w:rsid w:val="0065116A"/>
    <w:rsid w:val="006513E4"/>
    <w:rsid w:val="006514E9"/>
    <w:rsid w:val="00651B52"/>
    <w:rsid w:val="00652105"/>
    <w:rsid w:val="006524DE"/>
    <w:rsid w:val="00652598"/>
    <w:rsid w:val="00652C58"/>
    <w:rsid w:val="006563F4"/>
    <w:rsid w:val="00656423"/>
    <w:rsid w:val="0065662E"/>
    <w:rsid w:val="00656E88"/>
    <w:rsid w:val="00657853"/>
    <w:rsid w:val="006603F3"/>
    <w:rsid w:val="00661A4E"/>
    <w:rsid w:val="0066215F"/>
    <w:rsid w:val="00663A63"/>
    <w:rsid w:val="0066426E"/>
    <w:rsid w:val="00664D25"/>
    <w:rsid w:val="00664F50"/>
    <w:rsid w:val="006665F2"/>
    <w:rsid w:val="006671D0"/>
    <w:rsid w:val="00671E19"/>
    <w:rsid w:val="00672635"/>
    <w:rsid w:val="006750B2"/>
    <w:rsid w:val="006754E9"/>
    <w:rsid w:val="00676767"/>
    <w:rsid w:val="00676B43"/>
    <w:rsid w:val="00677103"/>
    <w:rsid w:val="0067776F"/>
    <w:rsid w:val="006779EB"/>
    <w:rsid w:val="00680381"/>
    <w:rsid w:val="006810C3"/>
    <w:rsid w:val="006832B4"/>
    <w:rsid w:val="00683F87"/>
    <w:rsid w:val="006844C9"/>
    <w:rsid w:val="00684648"/>
    <w:rsid w:val="0068502A"/>
    <w:rsid w:val="0068579C"/>
    <w:rsid w:val="00687929"/>
    <w:rsid w:val="00692811"/>
    <w:rsid w:val="00693774"/>
    <w:rsid w:val="006948F7"/>
    <w:rsid w:val="006957BA"/>
    <w:rsid w:val="00695D68"/>
    <w:rsid w:val="00697E5E"/>
    <w:rsid w:val="006A1318"/>
    <w:rsid w:val="006A3AE7"/>
    <w:rsid w:val="006A3F5A"/>
    <w:rsid w:val="006A4345"/>
    <w:rsid w:val="006A46C2"/>
    <w:rsid w:val="006A57A7"/>
    <w:rsid w:val="006A7F68"/>
    <w:rsid w:val="006B0392"/>
    <w:rsid w:val="006B0D72"/>
    <w:rsid w:val="006B0DF1"/>
    <w:rsid w:val="006B0FE2"/>
    <w:rsid w:val="006B2D3F"/>
    <w:rsid w:val="006B3F4C"/>
    <w:rsid w:val="006B4243"/>
    <w:rsid w:val="006B4C20"/>
    <w:rsid w:val="006B5C06"/>
    <w:rsid w:val="006C0EE2"/>
    <w:rsid w:val="006C12E4"/>
    <w:rsid w:val="006C26FF"/>
    <w:rsid w:val="006C5119"/>
    <w:rsid w:val="006C5290"/>
    <w:rsid w:val="006C615B"/>
    <w:rsid w:val="006D0176"/>
    <w:rsid w:val="006D1B1D"/>
    <w:rsid w:val="006D2081"/>
    <w:rsid w:val="006D2892"/>
    <w:rsid w:val="006D4209"/>
    <w:rsid w:val="006D4F26"/>
    <w:rsid w:val="006D503A"/>
    <w:rsid w:val="006D57C9"/>
    <w:rsid w:val="006D6828"/>
    <w:rsid w:val="006E0099"/>
    <w:rsid w:val="006E0195"/>
    <w:rsid w:val="006E24EC"/>
    <w:rsid w:val="006E31DD"/>
    <w:rsid w:val="006E3CC8"/>
    <w:rsid w:val="006E4E2A"/>
    <w:rsid w:val="006E5677"/>
    <w:rsid w:val="006E5D15"/>
    <w:rsid w:val="006F1421"/>
    <w:rsid w:val="006F1B09"/>
    <w:rsid w:val="006F37FA"/>
    <w:rsid w:val="006F3FA2"/>
    <w:rsid w:val="006F40E2"/>
    <w:rsid w:val="006F4EDE"/>
    <w:rsid w:val="006F5E83"/>
    <w:rsid w:val="00706595"/>
    <w:rsid w:val="0070676F"/>
    <w:rsid w:val="007078DC"/>
    <w:rsid w:val="00710A30"/>
    <w:rsid w:val="00711C56"/>
    <w:rsid w:val="00712C65"/>
    <w:rsid w:val="00713819"/>
    <w:rsid w:val="00714F14"/>
    <w:rsid w:val="00716C40"/>
    <w:rsid w:val="00717478"/>
    <w:rsid w:val="0072078E"/>
    <w:rsid w:val="00722027"/>
    <w:rsid w:val="00722E26"/>
    <w:rsid w:val="00725CFF"/>
    <w:rsid w:val="00730090"/>
    <w:rsid w:val="007300D1"/>
    <w:rsid w:val="00730B77"/>
    <w:rsid w:val="007317E8"/>
    <w:rsid w:val="007318F2"/>
    <w:rsid w:val="00732162"/>
    <w:rsid w:val="00732BDD"/>
    <w:rsid w:val="0073316F"/>
    <w:rsid w:val="00735178"/>
    <w:rsid w:val="00735484"/>
    <w:rsid w:val="0074083B"/>
    <w:rsid w:val="007409CA"/>
    <w:rsid w:val="00742965"/>
    <w:rsid w:val="00743BC1"/>
    <w:rsid w:val="00744823"/>
    <w:rsid w:val="00744CD7"/>
    <w:rsid w:val="007465F5"/>
    <w:rsid w:val="007473BE"/>
    <w:rsid w:val="007473CC"/>
    <w:rsid w:val="00754785"/>
    <w:rsid w:val="007551D0"/>
    <w:rsid w:val="007560E4"/>
    <w:rsid w:val="0075617C"/>
    <w:rsid w:val="007575E5"/>
    <w:rsid w:val="00760059"/>
    <w:rsid w:val="007608B5"/>
    <w:rsid w:val="007608BF"/>
    <w:rsid w:val="007610CA"/>
    <w:rsid w:val="00761C14"/>
    <w:rsid w:val="007626C9"/>
    <w:rsid w:val="00762DD4"/>
    <w:rsid w:val="00764EBD"/>
    <w:rsid w:val="00766300"/>
    <w:rsid w:val="00766DA4"/>
    <w:rsid w:val="00767330"/>
    <w:rsid w:val="00767486"/>
    <w:rsid w:val="00767E74"/>
    <w:rsid w:val="0077054F"/>
    <w:rsid w:val="00772041"/>
    <w:rsid w:val="0077208F"/>
    <w:rsid w:val="00772F3B"/>
    <w:rsid w:val="00773874"/>
    <w:rsid w:val="007740C2"/>
    <w:rsid w:val="00774352"/>
    <w:rsid w:val="00774586"/>
    <w:rsid w:val="00774B68"/>
    <w:rsid w:val="007768EA"/>
    <w:rsid w:val="00776EFA"/>
    <w:rsid w:val="00781DB4"/>
    <w:rsid w:val="00782EF3"/>
    <w:rsid w:val="00783383"/>
    <w:rsid w:val="007835FC"/>
    <w:rsid w:val="00784458"/>
    <w:rsid w:val="00786AD3"/>
    <w:rsid w:val="00786DD5"/>
    <w:rsid w:val="007900DD"/>
    <w:rsid w:val="00790FF9"/>
    <w:rsid w:val="00791B75"/>
    <w:rsid w:val="00793578"/>
    <w:rsid w:val="00793EC2"/>
    <w:rsid w:val="007945E4"/>
    <w:rsid w:val="00796493"/>
    <w:rsid w:val="007970D1"/>
    <w:rsid w:val="0079768B"/>
    <w:rsid w:val="007A0382"/>
    <w:rsid w:val="007A2A6D"/>
    <w:rsid w:val="007A458D"/>
    <w:rsid w:val="007A5236"/>
    <w:rsid w:val="007A52EA"/>
    <w:rsid w:val="007A64E8"/>
    <w:rsid w:val="007B0051"/>
    <w:rsid w:val="007B132A"/>
    <w:rsid w:val="007B1912"/>
    <w:rsid w:val="007B2B37"/>
    <w:rsid w:val="007B2DE4"/>
    <w:rsid w:val="007B30A9"/>
    <w:rsid w:val="007B4168"/>
    <w:rsid w:val="007B4BA0"/>
    <w:rsid w:val="007B55BB"/>
    <w:rsid w:val="007B7C5C"/>
    <w:rsid w:val="007B7FF8"/>
    <w:rsid w:val="007C0885"/>
    <w:rsid w:val="007C51FA"/>
    <w:rsid w:val="007C7E8A"/>
    <w:rsid w:val="007C7EBF"/>
    <w:rsid w:val="007D0145"/>
    <w:rsid w:val="007D022F"/>
    <w:rsid w:val="007D0933"/>
    <w:rsid w:val="007D0D43"/>
    <w:rsid w:val="007D151A"/>
    <w:rsid w:val="007D18DF"/>
    <w:rsid w:val="007D28E0"/>
    <w:rsid w:val="007D2D3D"/>
    <w:rsid w:val="007D3C66"/>
    <w:rsid w:val="007D405C"/>
    <w:rsid w:val="007D50C0"/>
    <w:rsid w:val="007D622F"/>
    <w:rsid w:val="007D7101"/>
    <w:rsid w:val="007D7205"/>
    <w:rsid w:val="007E039B"/>
    <w:rsid w:val="007E1E48"/>
    <w:rsid w:val="007E390C"/>
    <w:rsid w:val="007E3ACB"/>
    <w:rsid w:val="007F1A94"/>
    <w:rsid w:val="007F28DE"/>
    <w:rsid w:val="007F2C0E"/>
    <w:rsid w:val="007F5C2A"/>
    <w:rsid w:val="007F6649"/>
    <w:rsid w:val="007F7631"/>
    <w:rsid w:val="007F7ED0"/>
    <w:rsid w:val="007F7F88"/>
    <w:rsid w:val="00801593"/>
    <w:rsid w:val="008018A0"/>
    <w:rsid w:val="0080460A"/>
    <w:rsid w:val="008054D4"/>
    <w:rsid w:val="0080568A"/>
    <w:rsid w:val="00806B29"/>
    <w:rsid w:val="00806C44"/>
    <w:rsid w:val="008124E5"/>
    <w:rsid w:val="00812EAD"/>
    <w:rsid w:val="00813358"/>
    <w:rsid w:val="00813BEE"/>
    <w:rsid w:val="00817222"/>
    <w:rsid w:val="0081791A"/>
    <w:rsid w:val="00821038"/>
    <w:rsid w:val="008226B2"/>
    <w:rsid w:val="00823383"/>
    <w:rsid w:val="008244A7"/>
    <w:rsid w:val="00824E86"/>
    <w:rsid w:val="0082590C"/>
    <w:rsid w:val="00826E94"/>
    <w:rsid w:val="0083235B"/>
    <w:rsid w:val="00833151"/>
    <w:rsid w:val="00835510"/>
    <w:rsid w:val="008365E5"/>
    <w:rsid w:val="00836FDB"/>
    <w:rsid w:val="00842D46"/>
    <w:rsid w:val="00843D31"/>
    <w:rsid w:val="0084442B"/>
    <w:rsid w:val="00844DDA"/>
    <w:rsid w:val="00845933"/>
    <w:rsid w:val="008459DC"/>
    <w:rsid w:val="00845ECF"/>
    <w:rsid w:val="0084789A"/>
    <w:rsid w:val="00850ABA"/>
    <w:rsid w:val="00850BE6"/>
    <w:rsid w:val="00852DFF"/>
    <w:rsid w:val="00853D0D"/>
    <w:rsid w:val="00856759"/>
    <w:rsid w:val="00856C19"/>
    <w:rsid w:val="00856C87"/>
    <w:rsid w:val="008579E9"/>
    <w:rsid w:val="00861A89"/>
    <w:rsid w:val="00862358"/>
    <w:rsid w:val="0086265B"/>
    <w:rsid w:val="008646FC"/>
    <w:rsid w:val="00864B03"/>
    <w:rsid w:val="00875AF0"/>
    <w:rsid w:val="008768E2"/>
    <w:rsid w:val="00877220"/>
    <w:rsid w:val="008828BA"/>
    <w:rsid w:val="00883243"/>
    <w:rsid w:val="0088360D"/>
    <w:rsid w:val="00883ADE"/>
    <w:rsid w:val="00883C51"/>
    <w:rsid w:val="008853EB"/>
    <w:rsid w:val="00886C23"/>
    <w:rsid w:val="0088767F"/>
    <w:rsid w:val="00890C48"/>
    <w:rsid w:val="00892C70"/>
    <w:rsid w:val="00894607"/>
    <w:rsid w:val="008964B2"/>
    <w:rsid w:val="0089755D"/>
    <w:rsid w:val="00897D16"/>
    <w:rsid w:val="008A362D"/>
    <w:rsid w:val="008A44AC"/>
    <w:rsid w:val="008A4781"/>
    <w:rsid w:val="008A4DFF"/>
    <w:rsid w:val="008A54EB"/>
    <w:rsid w:val="008A552E"/>
    <w:rsid w:val="008A5576"/>
    <w:rsid w:val="008A6B3E"/>
    <w:rsid w:val="008A7D0D"/>
    <w:rsid w:val="008B0C39"/>
    <w:rsid w:val="008B2B5C"/>
    <w:rsid w:val="008B31B9"/>
    <w:rsid w:val="008B541E"/>
    <w:rsid w:val="008B57C5"/>
    <w:rsid w:val="008B6C1A"/>
    <w:rsid w:val="008B7750"/>
    <w:rsid w:val="008C1754"/>
    <w:rsid w:val="008C1B35"/>
    <w:rsid w:val="008C354A"/>
    <w:rsid w:val="008C416B"/>
    <w:rsid w:val="008C455F"/>
    <w:rsid w:val="008C4AEA"/>
    <w:rsid w:val="008C57A3"/>
    <w:rsid w:val="008C5BF3"/>
    <w:rsid w:val="008C6FE5"/>
    <w:rsid w:val="008C7303"/>
    <w:rsid w:val="008D1E88"/>
    <w:rsid w:val="008D42A4"/>
    <w:rsid w:val="008D430D"/>
    <w:rsid w:val="008D6910"/>
    <w:rsid w:val="008D6D78"/>
    <w:rsid w:val="008D7962"/>
    <w:rsid w:val="008E01BD"/>
    <w:rsid w:val="008E03FC"/>
    <w:rsid w:val="008E1E04"/>
    <w:rsid w:val="008E26D8"/>
    <w:rsid w:val="008E2A85"/>
    <w:rsid w:val="008E44B4"/>
    <w:rsid w:val="008E6CD7"/>
    <w:rsid w:val="008E7E39"/>
    <w:rsid w:val="008F0448"/>
    <w:rsid w:val="008F062B"/>
    <w:rsid w:val="008F0798"/>
    <w:rsid w:val="008F0A82"/>
    <w:rsid w:val="008F139B"/>
    <w:rsid w:val="008F1525"/>
    <w:rsid w:val="008F3EFB"/>
    <w:rsid w:val="008F5A92"/>
    <w:rsid w:val="008F7D3F"/>
    <w:rsid w:val="00901B45"/>
    <w:rsid w:val="00902A5F"/>
    <w:rsid w:val="00902E10"/>
    <w:rsid w:val="00902E83"/>
    <w:rsid w:val="00907756"/>
    <w:rsid w:val="00910A70"/>
    <w:rsid w:val="00912151"/>
    <w:rsid w:val="00912366"/>
    <w:rsid w:val="00912F49"/>
    <w:rsid w:val="00914965"/>
    <w:rsid w:val="0091680C"/>
    <w:rsid w:val="00917ADB"/>
    <w:rsid w:val="00917F2E"/>
    <w:rsid w:val="0092281C"/>
    <w:rsid w:val="00922D8F"/>
    <w:rsid w:val="00923ECE"/>
    <w:rsid w:val="00924F10"/>
    <w:rsid w:val="009262AD"/>
    <w:rsid w:val="0093196F"/>
    <w:rsid w:val="00932E1D"/>
    <w:rsid w:val="00933E72"/>
    <w:rsid w:val="009340ED"/>
    <w:rsid w:val="009344F7"/>
    <w:rsid w:val="00936E63"/>
    <w:rsid w:val="0093744B"/>
    <w:rsid w:val="00940EF7"/>
    <w:rsid w:val="00942605"/>
    <w:rsid w:val="009438BA"/>
    <w:rsid w:val="009456AD"/>
    <w:rsid w:val="009460AB"/>
    <w:rsid w:val="00946512"/>
    <w:rsid w:val="00952A6D"/>
    <w:rsid w:val="00955BAC"/>
    <w:rsid w:val="00955FC3"/>
    <w:rsid w:val="009568DB"/>
    <w:rsid w:val="00961DBF"/>
    <w:rsid w:val="00962B2C"/>
    <w:rsid w:val="0096321E"/>
    <w:rsid w:val="00963789"/>
    <w:rsid w:val="0096393B"/>
    <w:rsid w:val="00963F6F"/>
    <w:rsid w:val="00964188"/>
    <w:rsid w:val="009654C2"/>
    <w:rsid w:val="00966028"/>
    <w:rsid w:val="00966807"/>
    <w:rsid w:val="0097009F"/>
    <w:rsid w:val="009702A9"/>
    <w:rsid w:val="00970673"/>
    <w:rsid w:val="00970FAF"/>
    <w:rsid w:val="009711DC"/>
    <w:rsid w:val="00972036"/>
    <w:rsid w:val="00972C1C"/>
    <w:rsid w:val="00973E70"/>
    <w:rsid w:val="00974005"/>
    <w:rsid w:val="009745F8"/>
    <w:rsid w:val="00974A46"/>
    <w:rsid w:val="00975299"/>
    <w:rsid w:val="00975563"/>
    <w:rsid w:val="009760DA"/>
    <w:rsid w:val="0098030E"/>
    <w:rsid w:val="00981A6A"/>
    <w:rsid w:val="00981CBF"/>
    <w:rsid w:val="00982AD1"/>
    <w:rsid w:val="00983AA8"/>
    <w:rsid w:val="00984093"/>
    <w:rsid w:val="0098503B"/>
    <w:rsid w:val="0098544E"/>
    <w:rsid w:val="00985A15"/>
    <w:rsid w:val="009875FC"/>
    <w:rsid w:val="00987AAC"/>
    <w:rsid w:val="00990AA2"/>
    <w:rsid w:val="00991306"/>
    <w:rsid w:val="00993B4D"/>
    <w:rsid w:val="0099418D"/>
    <w:rsid w:val="009947B5"/>
    <w:rsid w:val="00994A11"/>
    <w:rsid w:val="00994D1C"/>
    <w:rsid w:val="00996873"/>
    <w:rsid w:val="00997F64"/>
    <w:rsid w:val="009A2455"/>
    <w:rsid w:val="009A2597"/>
    <w:rsid w:val="009A55A7"/>
    <w:rsid w:val="009A56AE"/>
    <w:rsid w:val="009A5EFE"/>
    <w:rsid w:val="009A7249"/>
    <w:rsid w:val="009B0167"/>
    <w:rsid w:val="009B23B0"/>
    <w:rsid w:val="009B2887"/>
    <w:rsid w:val="009B2E6F"/>
    <w:rsid w:val="009B44A5"/>
    <w:rsid w:val="009B45F2"/>
    <w:rsid w:val="009B5E32"/>
    <w:rsid w:val="009B635A"/>
    <w:rsid w:val="009B70CB"/>
    <w:rsid w:val="009B772A"/>
    <w:rsid w:val="009B774F"/>
    <w:rsid w:val="009B77D5"/>
    <w:rsid w:val="009C07A4"/>
    <w:rsid w:val="009C0E02"/>
    <w:rsid w:val="009C1402"/>
    <w:rsid w:val="009C1E7C"/>
    <w:rsid w:val="009C459F"/>
    <w:rsid w:val="009C4B1A"/>
    <w:rsid w:val="009C6165"/>
    <w:rsid w:val="009C7ACC"/>
    <w:rsid w:val="009D0AC0"/>
    <w:rsid w:val="009D0BD9"/>
    <w:rsid w:val="009D1E32"/>
    <w:rsid w:val="009D32F9"/>
    <w:rsid w:val="009D3417"/>
    <w:rsid w:val="009D354C"/>
    <w:rsid w:val="009D57EF"/>
    <w:rsid w:val="009D6F35"/>
    <w:rsid w:val="009E0D6C"/>
    <w:rsid w:val="009E20A6"/>
    <w:rsid w:val="009E4927"/>
    <w:rsid w:val="009E4E61"/>
    <w:rsid w:val="009E63CC"/>
    <w:rsid w:val="009F08D1"/>
    <w:rsid w:val="009F2902"/>
    <w:rsid w:val="009F3520"/>
    <w:rsid w:val="009F3A2C"/>
    <w:rsid w:val="009F48FE"/>
    <w:rsid w:val="009F4F95"/>
    <w:rsid w:val="009F58B7"/>
    <w:rsid w:val="009F5FD5"/>
    <w:rsid w:val="009F66E8"/>
    <w:rsid w:val="009F6A85"/>
    <w:rsid w:val="009F70BA"/>
    <w:rsid w:val="00A00FC4"/>
    <w:rsid w:val="00A02956"/>
    <w:rsid w:val="00A031DA"/>
    <w:rsid w:val="00A03A65"/>
    <w:rsid w:val="00A03E73"/>
    <w:rsid w:val="00A05F3E"/>
    <w:rsid w:val="00A061C6"/>
    <w:rsid w:val="00A064FA"/>
    <w:rsid w:val="00A0694C"/>
    <w:rsid w:val="00A06A91"/>
    <w:rsid w:val="00A07D2B"/>
    <w:rsid w:val="00A10AFF"/>
    <w:rsid w:val="00A10EC1"/>
    <w:rsid w:val="00A14BC4"/>
    <w:rsid w:val="00A158D2"/>
    <w:rsid w:val="00A16140"/>
    <w:rsid w:val="00A204DD"/>
    <w:rsid w:val="00A2077D"/>
    <w:rsid w:val="00A24D3A"/>
    <w:rsid w:val="00A30355"/>
    <w:rsid w:val="00A30499"/>
    <w:rsid w:val="00A321B8"/>
    <w:rsid w:val="00A32345"/>
    <w:rsid w:val="00A34532"/>
    <w:rsid w:val="00A35735"/>
    <w:rsid w:val="00A358EC"/>
    <w:rsid w:val="00A375D8"/>
    <w:rsid w:val="00A40116"/>
    <w:rsid w:val="00A4063A"/>
    <w:rsid w:val="00A42310"/>
    <w:rsid w:val="00A42D6D"/>
    <w:rsid w:val="00A45EFE"/>
    <w:rsid w:val="00A46EC5"/>
    <w:rsid w:val="00A511AC"/>
    <w:rsid w:val="00A538D6"/>
    <w:rsid w:val="00A5544F"/>
    <w:rsid w:val="00A5595D"/>
    <w:rsid w:val="00A57931"/>
    <w:rsid w:val="00A6051D"/>
    <w:rsid w:val="00A64CED"/>
    <w:rsid w:val="00A655AA"/>
    <w:rsid w:val="00A660EF"/>
    <w:rsid w:val="00A6663F"/>
    <w:rsid w:val="00A67933"/>
    <w:rsid w:val="00A67E28"/>
    <w:rsid w:val="00A71112"/>
    <w:rsid w:val="00A7193C"/>
    <w:rsid w:val="00A71B00"/>
    <w:rsid w:val="00A737B7"/>
    <w:rsid w:val="00A73F17"/>
    <w:rsid w:val="00A746C7"/>
    <w:rsid w:val="00A766F0"/>
    <w:rsid w:val="00A76D14"/>
    <w:rsid w:val="00A77571"/>
    <w:rsid w:val="00A80AA8"/>
    <w:rsid w:val="00A82F64"/>
    <w:rsid w:val="00A83856"/>
    <w:rsid w:val="00A84E40"/>
    <w:rsid w:val="00A8577B"/>
    <w:rsid w:val="00A87FC4"/>
    <w:rsid w:val="00A909A1"/>
    <w:rsid w:val="00A9129E"/>
    <w:rsid w:val="00A91878"/>
    <w:rsid w:val="00A91923"/>
    <w:rsid w:val="00A9633B"/>
    <w:rsid w:val="00AA0D38"/>
    <w:rsid w:val="00AA1376"/>
    <w:rsid w:val="00AA1934"/>
    <w:rsid w:val="00AA1A8C"/>
    <w:rsid w:val="00AA3150"/>
    <w:rsid w:val="00AA46E1"/>
    <w:rsid w:val="00AA4BAB"/>
    <w:rsid w:val="00AA6D1D"/>
    <w:rsid w:val="00AA773E"/>
    <w:rsid w:val="00AB0568"/>
    <w:rsid w:val="00AB1FBF"/>
    <w:rsid w:val="00AB2FEB"/>
    <w:rsid w:val="00AB430A"/>
    <w:rsid w:val="00AB4FD6"/>
    <w:rsid w:val="00AB5494"/>
    <w:rsid w:val="00AB646E"/>
    <w:rsid w:val="00AB75C7"/>
    <w:rsid w:val="00AC0DC6"/>
    <w:rsid w:val="00AC2213"/>
    <w:rsid w:val="00AC3650"/>
    <w:rsid w:val="00AC374E"/>
    <w:rsid w:val="00AD10F4"/>
    <w:rsid w:val="00AD454D"/>
    <w:rsid w:val="00AD4581"/>
    <w:rsid w:val="00AD6B3B"/>
    <w:rsid w:val="00AE268B"/>
    <w:rsid w:val="00AE51E2"/>
    <w:rsid w:val="00AE6067"/>
    <w:rsid w:val="00AF0888"/>
    <w:rsid w:val="00AF0D17"/>
    <w:rsid w:val="00AF23CE"/>
    <w:rsid w:val="00AF2CBA"/>
    <w:rsid w:val="00AF332B"/>
    <w:rsid w:val="00AF3E72"/>
    <w:rsid w:val="00AF448D"/>
    <w:rsid w:val="00AF5A73"/>
    <w:rsid w:val="00AF5D8E"/>
    <w:rsid w:val="00AF7A36"/>
    <w:rsid w:val="00B010BA"/>
    <w:rsid w:val="00B015CB"/>
    <w:rsid w:val="00B021D7"/>
    <w:rsid w:val="00B05C34"/>
    <w:rsid w:val="00B0755A"/>
    <w:rsid w:val="00B10213"/>
    <w:rsid w:val="00B115F3"/>
    <w:rsid w:val="00B1187F"/>
    <w:rsid w:val="00B120E6"/>
    <w:rsid w:val="00B128E0"/>
    <w:rsid w:val="00B13D61"/>
    <w:rsid w:val="00B1497A"/>
    <w:rsid w:val="00B14B26"/>
    <w:rsid w:val="00B15A5F"/>
    <w:rsid w:val="00B168FE"/>
    <w:rsid w:val="00B222FA"/>
    <w:rsid w:val="00B24E6D"/>
    <w:rsid w:val="00B25395"/>
    <w:rsid w:val="00B27B56"/>
    <w:rsid w:val="00B30B3A"/>
    <w:rsid w:val="00B31DD1"/>
    <w:rsid w:val="00B331B2"/>
    <w:rsid w:val="00B33745"/>
    <w:rsid w:val="00B33A08"/>
    <w:rsid w:val="00B3431E"/>
    <w:rsid w:val="00B35660"/>
    <w:rsid w:val="00B364FA"/>
    <w:rsid w:val="00B3660D"/>
    <w:rsid w:val="00B36AE0"/>
    <w:rsid w:val="00B37E02"/>
    <w:rsid w:val="00B40207"/>
    <w:rsid w:val="00B404A0"/>
    <w:rsid w:val="00B42785"/>
    <w:rsid w:val="00B439BD"/>
    <w:rsid w:val="00B45378"/>
    <w:rsid w:val="00B469E9"/>
    <w:rsid w:val="00B5244B"/>
    <w:rsid w:val="00B534E8"/>
    <w:rsid w:val="00B53C19"/>
    <w:rsid w:val="00B554F1"/>
    <w:rsid w:val="00B56BEB"/>
    <w:rsid w:val="00B57E31"/>
    <w:rsid w:val="00B60740"/>
    <w:rsid w:val="00B61D58"/>
    <w:rsid w:val="00B61E99"/>
    <w:rsid w:val="00B6322A"/>
    <w:rsid w:val="00B63AF0"/>
    <w:rsid w:val="00B64598"/>
    <w:rsid w:val="00B64F7E"/>
    <w:rsid w:val="00B66CE6"/>
    <w:rsid w:val="00B672DD"/>
    <w:rsid w:val="00B67C3F"/>
    <w:rsid w:val="00B726FA"/>
    <w:rsid w:val="00B746E3"/>
    <w:rsid w:val="00B75F3E"/>
    <w:rsid w:val="00B776CB"/>
    <w:rsid w:val="00B7784B"/>
    <w:rsid w:val="00B7791C"/>
    <w:rsid w:val="00B806DC"/>
    <w:rsid w:val="00B82786"/>
    <w:rsid w:val="00B85286"/>
    <w:rsid w:val="00B86963"/>
    <w:rsid w:val="00B91C2F"/>
    <w:rsid w:val="00B91E7C"/>
    <w:rsid w:val="00B94284"/>
    <w:rsid w:val="00B94D30"/>
    <w:rsid w:val="00B964A9"/>
    <w:rsid w:val="00B96A25"/>
    <w:rsid w:val="00B974CB"/>
    <w:rsid w:val="00BA0675"/>
    <w:rsid w:val="00BA0B46"/>
    <w:rsid w:val="00BA121F"/>
    <w:rsid w:val="00BA197E"/>
    <w:rsid w:val="00BA3ECB"/>
    <w:rsid w:val="00BA467C"/>
    <w:rsid w:val="00BA4895"/>
    <w:rsid w:val="00BA5BAF"/>
    <w:rsid w:val="00BA6B9B"/>
    <w:rsid w:val="00BA7205"/>
    <w:rsid w:val="00BA751C"/>
    <w:rsid w:val="00BA7953"/>
    <w:rsid w:val="00BB1347"/>
    <w:rsid w:val="00BB26AD"/>
    <w:rsid w:val="00BB28E5"/>
    <w:rsid w:val="00BB4EE9"/>
    <w:rsid w:val="00BB6373"/>
    <w:rsid w:val="00BB6C48"/>
    <w:rsid w:val="00BB6D01"/>
    <w:rsid w:val="00BB7871"/>
    <w:rsid w:val="00BC128E"/>
    <w:rsid w:val="00BC1609"/>
    <w:rsid w:val="00BC2AB0"/>
    <w:rsid w:val="00BC367E"/>
    <w:rsid w:val="00BC57D5"/>
    <w:rsid w:val="00BC5B7D"/>
    <w:rsid w:val="00BC6BF7"/>
    <w:rsid w:val="00BC6CA8"/>
    <w:rsid w:val="00BC6E53"/>
    <w:rsid w:val="00BD1E3F"/>
    <w:rsid w:val="00BD2060"/>
    <w:rsid w:val="00BD30C9"/>
    <w:rsid w:val="00BD3431"/>
    <w:rsid w:val="00BD4496"/>
    <w:rsid w:val="00BD55C7"/>
    <w:rsid w:val="00BD6410"/>
    <w:rsid w:val="00BE25E5"/>
    <w:rsid w:val="00BE301D"/>
    <w:rsid w:val="00BE49AF"/>
    <w:rsid w:val="00BE4E1B"/>
    <w:rsid w:val="00BE51BF"/>
    <w:rsid w:val="00BE6B1E"/>
    <w:rsid w:val="00BF0AEA"/>
    <w:rsid w:val="00BF1F0E"/>
    <w:rsid w:val="00BF1F4E"/>
    <w:rsid w:val="00BF4639"/>
    <w:rsid w:val="00BF48D2"/>
    <w:rsid w:val="00C00AEA"/>
    <w:rsid w:val="00C038AB"/>
    <w:rsid w:val="00C04068"/>
    <w:rsid w:val="00C04BD7"/>
    <w:rsid w:val="00C054D7"/>
    <w:rsid w:val="00C067C1"/>
    <w:rsid w:val="00C067F0"/>
    <w:rsid w:val="00C06829"/>
    <w:rsid w:val="00C06C55"/>
    <w:rsid w:val="00C0732D"/>
    <w:rsid w:val="00C079D4"/>
    <w:rsid w:val="00C100E6"/>
    <w:rsid w:val="00C12D5B"/>
    <w:rsid w:val="00C13A63"/>
    <w:rsid w:val="00C148FB"/>
    <w:rsid w:val="00C15646"/>
    <w:rsid w:val="00C15B49"/>
    <w:rsid w:val="00C15CA4"/>
    <w:rsid w:val="00C16331"/>
    <w:rsid w:val="00C16919"/>
    <w:rsid w:val="00C174F3"/>
    <w:rsid w:val="00C20C82"/>
    <w:rsid w:val="00C20FA3"/>
    <w:rsid w:val="00C21C8C"/>
    <w:rsid w:val="00C221D9"/>
    <w:rsid w:val="00C23B2B"/>
    <w:rsid w:val="00C23E00"/>
    <w:rsid w:val="00C24660"/>
    <w:rsid w:val="00C24916"/>
    <w:rsid w:val="00C26830"/>
    <w:rsid w:val="00C26B2B"/>
    <w:rsid w:val="00C27EF7"/>
    <w:rsid w:val="00C32FAB"/>
    <w:rsid w:val="00C33303"/>
    <w:rsid w:val="00C371BF"/>
    <w:rsid w:val="00C37D59"/>
    <w:rsid w:val="00C37EF4"/>
    <w:rsid w:val="00C41802"/>
    <w:rsid w:val="00C41B79"/>
    <w:rsid w:val="00C43CB7"/>
    <w:rsid w:val="00C447E0"/>
    <w:rsid w:val="00C45432"/>
    <w:rsid w:val="00C458EC"/>
    <w:rsid w:val="00C4713D"/>
    <w:rsid w:val="00C476C0"/>
    <w:rsid w:val="00C50734"/>
    <w:rsid w:val="00C51265"/>
    <w:rsid w:val="00C51CE4"/>
    <w:rsid w:val="00C524FF"/>
    <w:rsid w:val="00C5474F"/>
    <w:rsid w:val="00C56E08"/>
    <w:rsid w:val="00C56E29"/>
    <w:rsid w:val="00C579C9"/>
    <w:rsid w:val="00C57D05"/>
    <w:rsid w:val="00C63384"/>
    <w:rsid w:val="00C64731"/>
    <w:rsid w:val="00C6656E"/>
    <w:rsid w:val="00C7029A"/>
    <w:rsid w:val="00C7212A"/>
    <w:rsid w:val="00C72B90"/>
    <w:rsid w:val="00C74DE2"/>
    <w:rsid w:val="00C75E03"/>
    <w:rsid w:val="00C8031A"/>
    <w:rsid w:val="00C80383"/>
    <w:rsid w:val="00C80F29"/>
    <w:rsid w:val="00C81199"/>
    <w:rsid w:val="00C817C3"/>
    <w:rsid w:val="00C834AD"/>
    <w:rsid w:val="00C864EE"/>
    <w:rsid w:val="00C8704C"/>
    <w:rsid w:val="00C8715A"/>
    <w:rsid w:val="00C93048"/>
    <w:rsid w:val="00C93260"/>
    <w:rsid w:val="00C940E5"/>
    <w:rsid w:val="00C942FB"/>
    <w:rsid w:val="00C95994"/>
    <w:rsid w:val="00C95D10"/>
    <w:rsid w:val="00C96D02"/>
    <w:rsid w:val="00C978D9"/>
    <w:rsid w:val="00CA0D65"/>
    <w:rsid w:val="00CA42E7"/>
    <w:rsid w:val="00CB0C7D"/>
    <w:rsid w:val="00CB1C32"/>
    <w:rsid w:val="00CB20C2"/>
    <w:rsid w:val="00CB2309"/>
    <w:rsid w:val="00CB3073"/>
    <w:rsid w:val="00CB3B83"/>
    <w:rsid w:val="00CB4285"/>
    <w:rsid w:val="00CB46F3"/>
    <w:rsid w:val="00CB4C42"/>
    <w:rsid w:val="00CB7577"/>
    <w:rsid w:val="00CB7B04"/>
    <w:rsid w:val="00CC1BFB"/>
    <w:rsid w:val="00CC23C2"/>
    <w:rsid w:val="00CC2482"/>
    <w:rsid w:val="00CC26F0"/>
    <w:rsid w:val="00CC3DAE"/>
    <w:rsid w:val="00CC78AC"/>
    <w:rsid w:val="00CD0693"/>
    <w:rsid w:val="00CD1113"/>
    <w:rsid w:val="00CD1E36"/>
    <w:rsid w:val="00CD2C50"/>
    <w:rsid w:val="00CD3250"/>
    <w:rsid w:val="00CD6CD4"/>
    <w:rsid w:val="00CE0B9F"/>
    <w:rsid w:val="00CE1340"/>
    <w:rsid w:val="00CE2029"/>
    <w:rsid w:val="00CE2151"/>
    <w:rsid w:val="00CE2A9D"/>
    <w:rsid w:val="00CE52C3"/>
    <w:rsid w:val="00CE552D"/>
    <w:rsid w:val="00CF085F"/>
    <w:rsid w:val="00CF129B"/>
    <w:rsid w:val="00CF241F"/>
    <w:rsid w:val="00CF271B"/>
    <w:rsid w:val="00CF3B7F"/>
    <w:rsid w:val="00CF3E3F"/>
    <w:rsid w:val="00CF4318"/>
    <w:rsid w:val="00CF457D"/>
    <w:rsid w:val="00CF483B"/>
    <w:rsid w:val="00CF76F0"/>
    <w:rsid w:val="00D016DE"/>
    <w:rsid w:val="00D01869"/>
    <w:rsid w:val="00D018DA"/>
    <w:rsid w:val="00D019EE"/>
    <w:rsid w:val="00D01B43"/>
    <w:rsid w:val="00D025CF"/>
    <w:rsid w:val="00D06047"/>
    <w:rsid w:val="00D108FD"/>
    <w:rsid w:val="00D1192E"/>
    <w:rsid w:val="00D11D38"/>
    <w:rsid w:val="00D12308"/>
    <w:rsid w:val="00D126F8"/>
    <w:rsid w:val="00D12A76"/>
    <w:rsid w:val="00D13B4A"/>
    <w:rsid w:val="00D13EAC"/>
    <w:rsid w:val="00D1469D"/>
    <w:rsid w:val="00D15DFD"/>
    <w:rsid w:val="00D160DB"/>
    <w:rsid w:val="00D16BF9"/>
    <w:rsid w:val="00D21C29"/>
    <w:rsid w:val="00D22FD5"/>
    <w:rsid w:val="00D2777C"/>
    <w:rsid w:val="00D304BF"/>
    <w:rsid w:val="00D3083D"/>
    <w:rsid w:val="00D3202D"/>
    <w:rsid w:val="00D3209A"/>
    <w:rsid w:val="00D32505"/>
    <w:rsid w:val="00D3328D"/>
    <w:rsid w:val="00D33B63"/>
    <w:rsid w:val="00D33B91"/>
    <w:rsid w:val="00D34895"/>
    <w:rsid w:val="00D34A69"/>
    <w:rsid w:val="00D35007"/>
    <w:rsid w:val="00D352B5"/>
    <w:rsid w:val="00D35FFF"/>
    <w:rsid w:val="00D366E1"/>
    <w:rsid w:val="00D367E9"/>
    <w:rsid w:val="00D37357"/>
    <w:rsid w:val="00D40A6F"/>
    <w:rsid w:val="00D42F43"/>
    <w:rsid w:val="00D44543"/>
    <w:rsid w:val="00D451A7"/>
    <w:rsid w:val="00D46DA7"/>
    <w:rsid w:val="00D46E5A"/>
    <w:rsid w:val="00D47E75"/>
    <w:rsid w:val="00D47F73"/>
    <w:rsid w:val="00D52FD1"/>
    <w:rsid w:val="00D55A7F"/>
    <w:rsid w:val="00D56202"/>
    <w:rsid w:val="00D56579"/>
    <w:rsid w:val="00D56D93"/>
    <w:rsid w:val="00D60A7D"/>
    <w:rsid w:val="00D60C26"/>
    <w:rsid w:val="00D610BB"/>
    <w:rsid w:val="00D616D7"/>
    <w:rsid w:val="00D61FC0"/>
    <w:rsid w:val="00D65FA2"/>
    <w:rsid w:val="00D6647D"/>
    <w:rsid w:val="00D6721B"/>
    <w:rsid w:val="00D74211"/>
    <w:rsid w:val="00D74DAD"/>
    <w:rsid w:val="00D75386"/>
    <w:rsid w:val="00D75F01"/>
    <w:rsid w:val="00D76A22"/>
    <w:rsid w:val="00D80BFF"/>
    <w:rsid w:val="00D80CE0"/>
    <w:rsid w:val="00D81FBF"/>
    <w:rsid w:val="00D82226"/>
    <w:rsid w:val="00D82D2D"/>
    <w:rsid w:val="00D845A3"/>
    <w:rsid w:val="00D84A71"/>
    <w:rsid w:val="00D85FFA"/>
    <w:rsid w:val="00D86739"/>
    <w:rsid w:val="00D87BB3"/>
    <w:rsid w:val="00D92D5E"/>
    <w:rsid w:val="00D94446"/>
    <w:rsid w:val="00D95A56"/>
    <w:rsid w:val="00D965F9"/>
    <w:rsid w:val="00D96979"/>
    <w:rsid w:val="00D97AAB"/>
    <w:rsid w:val="00DA383D"/>
    <w:rsid w:val="00DA3F2C"/>
    <w:rsid w:val="00DA6837"/>
    <w:rsid w:val="00DB0D5B"/>
    <w:rsid w:val="00DB169B"/>
    <w:rsid w:val="00DB1900"/>
    <w:rsid w:val="00DB31EA"/>
    <w:rsid w:val="00DB4C8D"/>
    <w:rsid w:val="00DB4E19"/>
    <w:rsid w:val="00DB50BE"/>
    <w:rsid w:val="00DB6D6A"/>
    <w:rsid w:val="00DC3ED1"/>
    <w:rsid w:val="00DD094D"/>
    <w:rsid w:val="00DD14CA"/>
    <w:rsid w:val="00DD200F"/>
    <w:rsid w:val="00DD5096"/>
    <w:rsid w:val="00DE1109"/>
    <w:rsid w:val="00DE1A48"/>
    <w:rsid w:val="00DE2862"/>
    <w:rsid w:val="00DE2CD3"/>
    <w:rsid w:val="00DE60A6"/>
    <w:rsid w:val="00DE6459"/>
    <w:rsid w:val="00DE6ADB"/>
    <w:rsid w:val="00DE6E6B"/>
    <w:rsid w:val="00DE7394"/>
    <w:rsid w:val="00DE78D1"/>
    <w:rsid w:val="00DF032B"/>
    <w:rsid w:val="00DF0DB7"/>
    <w:rsid w:val="00DF1A9F"/>
    <w:rsid w:val="00DF24FF"/>
    <w:rsid w:val="00DF578F"/>
    <w:rsid w:val="00DF6D39"/>
    <w:rsid w:val="00DF7310"/>
    <w:rsid w:val="00DF7575"/>
    <w:rsid w:val="00DF7F1D"/>
    <w:rsid w:val="00E023FC"/>
    <w:rsid w:val="00E03D18"/>
    <w:rsid w:val="00E05756"/>
    <w:rsid w:val="00E061BA"/>
    <w:rsid w:val="00E075AF"/>
    <w:rsid w:val="00E10360"/>
    <w:rsid w:val="00E12745"/>
    <w:rsid w:val="00E12AA1"/>
    <w:rsid w:val="00E138FC"/>
    <w:rsid w:val="00E13F5E"/>
    <w:rsid w:val="00E14494"/>
    <w:rsid w:val="00E15E50"/>
    <w:rsid w:val="00E15FF1"/>
    <w:rsid w:val="00E176D9"/>
    <w:rsid w:val="00E17A41"/>
    <w:rsid w:val="00E2025D"/>
    <w:rsid w:val="00E223A0"/>
    <w:rsid w:val="00E22560"/>
    <w:rsid w:val="00E22AB2"/>
    <w:rsid w:val="00E25DEB"/>
    <w:rsid w:val="00E26B5F"/>
    <w:rsid w:val="00E26CA1"/>
    <w:rsid w:val="00E27E64"/>
    <w:rsid w:val="00E3055C"/>
    <w:rsid w:val="00E32EAD"/>
    <w:rsid w:val="00E32F59"/>
    <w:rsid w:val="00E34B46"/>
    <w:rsid w:val="00E34DC0"/>
    <w:rsid w:val="00E34E8C"/>
    <w:rsid w:val="00E350DF"/>
    <w:rsid w:val="00E357FD"/>
    <w:rsid w:val="00E358BE"/>
    <w:rsid w:val="00E362D6"/>
    <w:rsid w:val="00E37E2E"/>
    <w:rsid w:val="00E414AC"/>
    <w:rsid w:val="00E42CA8"/>
    <w:rsid w:val="00E43130"/>
    <w:rsid w:val="00E438BF"/>
    <w:rsid w:val="00E45A88"/>
    <w:rsid w:val="00E4647E"/>
    <w:rsid w:val="00E478E3"/>
    <w:rsid w:val="00E47E32"/>
    <w:rsid w:val="00E510F7"/>
    <w:rsid w:val="00E51CF0"/>
    <w:rsid w:val="00E52BAA"/>
    <w:rsid w:val="00E53095"/>
    <w:rsid w:val="00E53A99"/>
    <w:rsid w:val="00E55233"/>
    <w:rsid w:val="00E55CD8"/>
    <w:rsid w:val="00E56E4C"/>
    <w:rsid w:val="00E57704"/>
    <w:rsid w:val="00E607C6"/>
    <w:rsid w:val="00E6232F"/>
    <w:rsid w:val="00E62EF1"/>
    <w:rsid w:val="00E636CB"/>
    <w:rsid w:val="00E63A57"/>
    <w:rsid w:val="00E64494"/>
    <w:rsid w:val="00E66445"/>
    <w:rsid w:val="00E66630"/>
    <w:rsid w:val="00E66A00"/>
    <w:rsid w:val="00E717A9"/>
    <w:rsid w:val="00E7256E"/>
    <w:rsid w:val="00E7411F"/>
    <w:rsid w:val="00E74592"/>
    <w:rsid w:val="00E74A8A"/>
    <w:rsid w:val="00E77159"/>
    <w:rsid w:val="00E77A33"/>
    <w:rsid w:val="00E77D2C"/>
    <w:rsid w:val="00E77F93"/>
    <w:rsid w:val="00E8005C"/>
    <w:rsid w:val="00E8122C"/>
    <w:rsid w:val="00E82B37"/>
    <w:rsid w:val="00E83085"/>
    <w:rsid w:val="00E83653"/>
    <w:rsid w:val="00E83BAB"/>
    <w:rsid w:val="00E83D48"/>
    <w:rsid w:val="00E852D9"/>
    <w:rsid w:val="00E9252B"/>
    <w:rsid w:val="00E94D8F"/>
    <w:rsid w:val="00E9577B"/>
    <w:rsid w:val="00E95D26"/>
    <w:rsid w:val="00E976FB"/>
    <w:rsid w:val="00EA077F"/>
    <w:rsid w:val="00EA0B59"/>
    <w:rsid w:val="00EA0CF8"/>
    <w:rsid w:val="00EA1846"/>
    <w:rsid w:val="00EA2B9A"/>
    <w:rsid w:val="00EA2FA0"/>
    <w:rsid w:val="00EA55A7"/>
    <w:rsid w:val="00EA6A21"/>
    <w:rsid w:val="00EB01A5"/>
    <w:rsid w:val="00EB0C46"/>
    <w:rsid w:val="00EB1617"/>
    <w:rsid w:val="00EB18A9"/>
    <w:rsid w:val="00EB360B"/>
    <w:rsid w:val="00EB6993"/>
    <w:rsid w:val="00EB6AF6"/>
    <w:rsid w:val="00EC1400"/>
    <w:rsid w:val="00EC1A70"/>
    <w:rsid w:val="00EC34B8"/>
    <w:rsid w:val="00EC3FCF"/>
    <w:rsid w:val="00EC477F"/>
    <w:rsid w:val="00EC4EEE"/>
    <w:rsid w:val="00EC545D"/>
    <w:rsid w:val="00ED0FC4"/>
    <w:rsid w:val="00ED1827"/>
    <w:rsid w:val="00ED2745"/>
    <w:rsid w:val="00ED37D9"/>
    <w:rsid w:val="00ED5567"/>
    <w:rsid w:val="00ED55D6"/>
    <w:rsid w:val="00ED6B5E"/>
    <w:rsid w:val="00ED6F59"/>
    <w:rsid w:val="00ED7D1D"/>
    <w:rsid w:val="00EE065E"/>
    <w:rsid w:val="00EE13C3"/>
    <w:rsid w:val="00EE1B57"/>
    <w:rsid w:val="00EE43EA"/>
    <w:rsid w:val="00EE5017"/>
    <w:rsid w:val="00EE67DA"/>
    <w:rsid w:val="00EF10CA"/>
    <w:rsid w:val="00EF279B"/>
    <w:rsid w:val="00EF4EC9"/>
    <w:rsid w:val="00EF5247"/>
    <w:rsid w:val="00EF5896"/>
    <w:rsid w:val="00EF7EB4"/>
    <w:rsid w:val="00F00375"/>
    <w:rsid w:val="00F004D7"/>
    <w:rsid w:val="00F0259B"/>
    <w:rsid w:val="00F036DE"/>
    <w:rsid w:val="00F06A62"/>
    <w:rsid w:val="00F105F4"/>
    <w:rsid w:val="00F116C2"/>
    <w:rsid w:val="00F125CD"/>
    <w:rsid w:val="00F13F81"/>
    <w:rsid w:val="00F20376"/>
    <w:rsid w:val="00F259CD"/>
    <w:rsid w:val="00F26AE3"/>
    <w:rsid w:val="00F26F5F"/>
    <w:rsid w:val="00F278F4"/>
    <w:rsid w:val="00F27D13"/>
    <w:rsid w:val="00F27E4D"/>
    <w:rsid w:val="00F31038"/>
    <w:rsid w:val="00F3321B"/>
    <w:rsid w:val="00F33927"/>
    <w:rsid w:val="00F3525C"/>
    <w:rsid w:val="00F354F4"/>
    <w:rsid w:val="00F36568"/>
    <w:rsid w:val="00F4121D"/>
    <w:rsid w:val="00F43548"/>
    <w:rsid w:val="00F4402E"/>
    <w:rsid w:val="00F44454"/>
    <w:rsid w:val="00F45927"/>
    <w:rsid w:val="00F45995"/>
    <w:rsid w:val="00F466DD"/>
    <w:rsid w:val="00F50608"/>
    <w:rsid w:val="00F50DB9"/>
    <w:rsid w:val="00F511AD"/>
    <w:rsid w:val="00F5189C"/>
    <w:rsid w:val="00F52DBD"/>
    <w:rsid w:val="00F5378E"/>
    <w:rsid w:val="00F5404E"/>
    <w:rsid w:val="00F5460F"/>
    <w:rsid w:val="00F54A09"/>
    <w:rsid w:val="00F633E7"/>
    <w:rsid w:val="00F67F68"/>
    <w:rsid w:val="00F7023B"/>
    <w:rsid w:val="00F7356E"/>
    <w:rsid w:val="00F73A55"/>
    <w:rsid w:val="00F745A5"/>
    <w:rsid w:val="00F757BF"/>
    <w:rsid w:val="00F75FED"/>
    <w:rsid w:val="00F77647"/>
    <w:rsid w:val="00F8086F"/>
    <w:rsid w:val="00F81A2B"/>
    <w:rsid w:val="00F81F42"/>
    <w:rsid w:val="00F91DB5"/>
    <w:rsid w:val="00F92A7C"/>
    <w:rsid w:val="00F92D96"/>
    <w:rsid w:val="00F93288"/>
    <w:rsid w:val="00F95814"/>
    <w:rsid w:val="00F95B89"/>
    <w:rsid w:val="00F95F44"/>
    <w:rsid w:val="00F96783"/>
    <w:rsid w:val="00FA0016"/>
    <w:rsid w:val="00FA0CC8"/>
    <w:rsid w:val="00FA31B1"/>
    <w:rsid w:val="00FA5F7C"/>
    <w:rsid w:val="00FA64E8"/>
    <w:rsid w:val="00FA66CA"/>
    <w:rsid w:val="00FA6B20"/>
    <w:rsid w:val="00FA724E"/>
    <w:rsid w:val="00FB1450"/>
    <w:rsid w:val="00FB2F4C"/>
    <w:rsid w:val="00FB3A35"/>
    <w:rsid w:val="00FB47D4"/>
    <w:rsid w:val="00FB5557"/>
    <w:rsid w:val="00FB6F70"/>
    <w:rsid w:val="00FB719E"/>
    <w:rsid w:val="00FC2837"/>
    <w:rsid w:val="00FC4101"/>
    <w:rsid w:val="00FC4FE5"/>
    <w:rsid w:val="00FC6114"/>
    <w:rsid w:val="00FC7D10"/>
    <w:rsid w:val="00FC7F24"/>
    <w:rsid w:val="00FD1030"/>
    <w:rsid w:val="00FD5234"/>
    <w:rsid w:val="00FD6935"/>
    <w:rsid w:val="00FD6C67"/>
    <w:rsid w:val="00FD732E"/>
    <w:rsid w:val="00FE0E67"/>
    <w:rsid w:val="00FE17D5"/>
    <w:rsid w:val="00FE2444"/>
    <w:rsid w:val="00FE3F0E"/>
    <w:rsid w:val="00FE42C8"/>
    <w:rsid w:val="00FE7C88"/>
    <w:rsid w:val="00FF03D5"/>
    <w:rsid w:val="00FF144D"/>
    <w:rsid w:val="00FF19F0"/>
    <w:rsid w:val="00FF43B5"/>
    <w:rsid w:val="00FF63A8"/>
    <w:rsid w:val="00FF6DDA"/>
    <w:rsid w:val="00FF6F9E"/>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D3F666"/>
  <w15:docId w15:val="{98742DAC-686E-4728-9E7B-1533F8893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56BE"/>
    <w:pPr>
      <w:spacing w:before="100" w:beforeAutospacing="1" w:after="100" w:afterAutospacing="1" w:line="240" w:lineRule="auto"/>
      <w:jc w:val="both"/>
    </w:pPr>
    <w:rPr>
      <w:rFonts w:ascii="Segoe UI" w:hAnsi="Segoe UI"/>
      <w:sz w:val="20"/>
      <w:lang w:val="en-US"/>
    </w:rPr>
  </w:style>
  <w:style w:type="paragraph" w:styleId="Heading1">
    <w:name w:val="heading 1"/>
    <w:basedOn w:val="Normal"/>
    <w:next w:val="Normal"/>
    <w:link w:val="Heading1Char"/>
    <w:uiPriority w:val="9"/>
    <w:qFormat/>
    <w:rsid w:val="00BA7953"/>
    <w:pPr>
      <w:outlineLvl w:val="0"/>
    </w:pPr>
    <w:rPr>
      <w:rFonts w:cs="Times New Roman"/>
      <w:b/>
    </w:rPr>
  </w:style>
  <w:style w:type="paragraph" w:styleId="Heading2">
    <w:name w:val="heading 2"/>
    <w:basedOn w:val="Normal"/>
    <w:link w:val="Heading2Char"/>
    <w:uiPriority w:val="9"/>
    <w:qFormat/>
    <w:rsid w:val="00BA7953"/>
    <w:pPr>
      <w:outlineLvl w:val="1"/>
    </w:pPr>
    <w:rPr>
      <w:b/>
    </w:rPr>
  </w:style>
  <w:style w:type="paragraph" w:styleId="Heading3">
    <w:name w:val="heading 3"/>
    <w:basedOn w:val="Normal"/>
    <w:next w:val="Normal"/>
    <w:link w:val="Heading3Char"/>
    <w:uiPriority w:val="9"/>
    <w:unhideWhenUsed/>
    <w:qFormat/>
    <w:rsid w:val="00BA7953"/>
    <w:pPr>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975563"/>
    <w:pPr>
      <w:tabs>
        <w:tab w:val="center" w:pos="4703"/>
        <w:tab w:val="right" w:pos="9406"/>
      </w:tabs>
      <w:spacing w:after="0"/>
    </w:pPr>
  </w:style>
  <w:style w:type="character" w:customStyle="1" w:styleId="HeaderChar">
    <w:name w:val="Header Char"/>
    <w:basedOn w:val="DefaultParagraphFont"/>
    <w:link w:val="Header"/>
    <w:uiPriority w:val="99"/>
    <w:rsid w:val="00975563"/>
    <w:rPr>
      <w:lang w:val="en-US"/>
    </w:rPr>
  </w:style>
  <w:style w:type="paragraph" w:styleId="Footer">
    <w:name w:val="footer"/>
    <w:basedOn w:val="Normal"/>
    <w:link w:val="FooterChar"/>
    <w:uiPriority w:val="99"/>
    <w:unhideWhenUsed/>
    <w:rsid w:val="00975563"/>
    <w:pPr>
      <w:tabs>
        <w:tab w:val="center" w:pos="4703"/>
        <w:tab w:val="right" w:pos="9406"/>
      </w:tabs>
      <w:spacing w:after="0"/>
    </w:pPr>
  </w:style>
  <w:style w:type="character" w:customStyle="1" w:styleId="FooterChar">
    <w:name w:val="Footer Char"/>
    <w:basedOn w:val="DefaultParagraphFont"/>
    <w:link w:val="Footer"/>
    <w:uiPriority w:val="99"/>
    <w:rsid w:val="00975563"/>
    <w:rPr>
      <w:lang w:val="en-US"/>
    </w:rPr>
  </w:style>
  <w:style w:type="character" w:styleId="Hyperlink">
    <w:name w:val="Hyperlink"/>
    <w:rsid w:val="00975563"/>
    <w:rPr>
      <w:color w:val="auto"/>
      <w:sz w:val="16"/>
      <w:u w:val="none"/>
    </w:rPr>
  </w:style>
  <w:style w:type="table" w:styleId="TableGrid">
    <w:name w:val="Table Grid"/>
    <w:basedOn w:val="TableNormal"/>
    <w:uiPriority w:val="39"/>
    <w:rsid w:val="009755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ls-body-text">
    <w:name w:val="Els-body-text"/>
    <w:rsid w:val="00975563"/>
    <w:pPr>
      <w:spacing w:after="0" w:line="240" w:lineRule="exact"/>
      <w:ind w:firstLine="238"/>
      <w:jc w:val="both"/>
    </w:pPr>
    <w:rPr>
      <w:rFonts w:ascii="Times New Roman" w:eastAsia="SimSun" w:hAnsi="Times New Roman" w:cs="Times New Roman"/>
      <w:sz w:val="20"/>
      <w:szCs w:val="20"/>
      <w:lang w:val="en-US"/>
    </w:rPr>
  </w:style>
  <w:style w:type="character" w:styleId="FootnoteReference">
    <w:name w:val="footnote reference"/>
    <w:semiHidden/>
    <w:rsid w:val="00975563"/>
    <w:rPr>
      <w:vertAlign w:val="superscript"/>
    </w:rPr>
  </w:style>
  <w:style w:type="paragraph" w:styleId="FootnoteText">
    <w:name w:val="footnote text"/>
    <w:basedOn w:val="Normal"/>
    <w:link w:val="FootnoteTextChar"/>
    <w:semiHidden/>
    <w:rsid w:val="00975563"/>
    <w:pPr>
      <w:widowControl w:val="0"/>
      <w:spacing w:after="0"/>
    </w:pPr>
    <w:rPr>
      <w:rFonts w:ascii="Univers" w:eastAsia="SimSun" w:hAnsi="Univers" w:cs="Times New Roman"/>
      <w:szCs w:val="20"/>
      <w:lang w:val="en-GB"/>
    </w:rPr>
  </w:style>
  <w:style w:type="character" w:customStyle="1" w:styleId="FootnoteTextChar">
    <w:name w:val="Footnote Text Char"/>
    <w:basedOn w:val="DefaultParagraphFont"/>
    <w:link w:val="FootnoteText"/>
    <w:semiHidden/>
    <w:rsid w:val="00975563"/>
    <w:rPr>
      <w:rFonts w:ascii="Univers" w:eastAsia="SimSun" w:hAnsi="Univers" w:cs="Times New Roman"/>
      <w:sz w:val="20"/>
      <w:szCs w:val="20"/>
      <w:lang w:val="en-GB"/>
    </w:rPr>
  </w:style>
  <w:style w:type="paragraph" w:customStyle="1" w:styleId="Els-Affiliation">
    <w:name w:val="Els-Affiliation"/>
    <w:next w:val="Normal"/>
    <w:rsid w:val="00975563"/>
    <w:pPr>
      <w:suppressAutoHyphens/>
      <w:spacing w:after="0" w:line="200" w:lineRule="exact"/>
      <w:jc w:val="center"/>
    </w:pPr>
    <w:rPr>
      <w:rFonts w:ascii="Times New Roman" w:eastAsia="SimSun" w:hAnsi="Times New Roman" w:cs="Times New Roman"/>
      <w:i/>
      <w:noProof/>
      <w:sz w:val="16"/>
      <w:szCs w:val="20"/>
      <w:lang w:val="en-US"/>
    </w:rPr>
  </w:style>
  <w:style w:type="paragraph" w:customStyle="1" w:styleId="Els-Author">
    <w:name w:val="Els-Author"/>
    <w:next w:val="Normal"/>
    <w:rsid w:val="00975563"/>
    <w:pPr>
      <w:keepNext/>
      <w:suppressAutoHyphens/>
      <w:spacing w:line="300" w:lineRule="exact"/>
      <w:jc w:val="center"/>
    </w:pPr>
    <w:rPr>
      <w:rFonts w:ascii="Times New Roman" w:eastAsia="SimSun" w:hAnsi="Times New Roman" w:cs="Times New Roman"/>
      <w:noProof/>
      <w:sz w:val="26"/>
      <w:szCs w:val="20"/>
      <w:lang w:val="en-US"/>
    </w:rPr>
  </w:style>
  <w:style w:type="paragraph" w:customStyle="1" w:styleId="Els-1storder-head">
    <w:name w:val="Els-1storder-head"/>
    <w:next w:val="Els-body-text"/>
    <w:rsid w:val="00EA0CF8"/>
    <w:pPr>
      <w:keepNext/>
      <w:numPr>
        <w:numId w:val="2"/>
      </w:numPr>
      <w:suppressAutoHyphens/>
      <w:spacing w:before="240" w:after="240" w:line="240" w:lineRule="exact"/>
    </w:pPr>
    <w:rPr>
      <w:rFonts w:ascii="Times New Roman" w:eastAsia="SimSun" w:hAnsi="Times New Roman" w:cs="Times New Roman"/>
      <w:b/>
      <w:sz w:val="20"/>
      <w:szCs w:val="20"/>
      <w:lang w:val="en-US"/>
    </w:rPr>
  </w:style>
  <w:style w:type="paragraph" w:customStyle="1" w:styleId="Els-2ndorder-head">
    <w:name w:val="Els-2ndorder-head"/>
    <w:next w:val="Els-body-text"/>
    <w:rsid w:val="00EA0CF8"/>
    <w:pPr>
      <w:keepNext/>
      <w:numPr>
        <w:ilvl w:val="1"/>
        <w:numId w:val="2"/>
      </w:numPr>
      <w:suppressAutoHyphens/>
      <w:spacing w:before="240" w:after="240" w:line="240" w:lineRule="exact"/>
    </w:pPr>
    <w:rPr>
      <w:rFonts w:ascii="Times New Roman" w:eastAsia="SimSun" w:hAnsi="Times New Roman" w:cs="Times New Roman"/>
      <w:i/>
      <w:sz w:val="20"/>
      <w:szCs w:val="20"/>
      <w:lang w:val="en-US"/>
    </w:rPr>
  </w:style>
  <w:style w:type="paragraph" w:customStyle="1" w:styleId="Els-3rdorder-head">
    <w:name w:val="Els-3rdorder-head"/>
    <w:next w:val="Els-body-text"/>
    <w:rsid w:val="00EA0CF8"/>
    <w:pPr>
      <w:keepNext/>
      <w:numPr>
        <w:ilvl w:val="2"/>
        <w:numId w:val="2"/>
      </w:numPr>
      <w:suppressAutoHyphens/>
      <w:spacing w:before="240" w:after="0" w:line="240" w:lineRule="exact"/>
    </w:pPr>
    <w:rPr>
      <w:rFonts w:ascii="Times New Roman" w:eastAsia="SimSun" w:hAnsi="Times New Roman" w:cs="Times New Roman"/>
      <w:i/>
      <w:sz w:val="20"/>
      <w:szCs w:val="20"/>
      <w:lang w:val="en-US"/>
    </w:rPr>
  </w:style>
  <w:style w:type="paragraph" w:customStyle="1" w:styleId="Els-4thorder-head">
    <w:name w:val="Els-4thorder-head"/>
    <w:next w:val="Els-body-text"/>
    <w:rsid w:val="00EA0CF8"/>
    <w:pPr>
      <w:keepNext/>
      <w:numPr>
        <w:ilvl w:val="3"/>
        <w:numId w:val="2"/>
      </w:numPr>
      <w:suppressAutoHyphens/>
      <w:spacing w:before="240" w:after="0" w:line="240" w:lineRule="exact"/>
    </w:pPr>
    <w:rPr>
      <w:rFonts w:ascii="Times New Roman" w:eastAsia="SimSun" w:hAnsi="Times New Roman" w:cs="Times New Roman"/>
      <w:i/>
      <w:sz w:val="20"/>
      <w:szCs w:val="20"/>
      <w:lang w:val="en-US"/>
    </w:rPr>
  </w:style>
  <w:style w:type="paragraph" w:customStyle="1" w:styleId="Els-appendixhead">
    <w:name w:val="Els-appendixhead"/>
    <w:next w:val="Normal"/>
    <w:rsid w:val="00EA0CF8"/>
    <w:pPr>
      <w:numPr>
        <w:numId w:val="1"/>
      </w:numPr>
      <w:spacing w:before="480" w:after="240" w:line="220" w:lineRule="exact"/>
    </w:pPr>
    <w:rPr>
      <w:rFonts w:ascii="Times New Roman" w:eastAsia="SimSun" w:hAnsi="Times New Roman" w:cs="Times New Roman"/>
      <w:b/>
      <w:sz w:val="20"/>
      <w:szCs w:val="20"/>
      <w:lang w:val="en-US"/>
    </w:rPr>
  </w:style>
  <w:style w:type="table" w:customStyle="1" w:styleId="TableGrid1">
    <w:name w:val="Table Grid1"/>
    <w:basedOn w:val="TableNormal"/>
    <w:next w:val="TableGrid"/>
    <w:rsid w:val="00EA0CF8"/>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A0CF8"/>
    <w:pPr>
      <w:ind w:left="720"/>
      <w:contextualSpacing/>
    </w:pPr>
  </w:style>
  <w:style w:type="paragraph" w:styleId="Bibliography">
    <w:name w:val="Bibliography"/>
    <w:basedOn w:val="Normal"/>
    <w:next w:val="Normal"/>
    <w:uiPriority w:val="37"/>
    <w:unhideWhenUsed/>
    <w:rsid w:val="004C19CB"/>
    <w:pPr>
      <w:widowControl w:val="0"/>
      <w:spacing w:after="0"/>
    </w:pPr>
    <w:rPr>
      <w:rFonts w:eastAsia="SimSun" w:cs="Times New Roman"/>
      <w:szCs w:val="20"/>
      <w:lang w:val="en-GB"/>
    </w:rPr>
  </w:style>
  <w:style w:type="character" w:customStyle="1" w:styleId="authorsname">
    <w:name w:val="authors__name"/>
    <w:basedOn w:val="DefaultParagraphFont"/>
    <w:rsid w:val="006513E4"/>
  </w:style>
  <w:style w:type="character" w:customStyle="1" w:styleId="authorscontact">
    <w:name w:val="authors__contact"/>
    <w:basedOn w:val="DefaultParagraphFont"/>
    <w:rsid w:val="006513E4"/>
  </w:style>
  <w:style w:type="character" w:customStyle="1" w:styleId="Heading2Char">
    <w:name w:val="Heading 2 Char"/>
    <w:basedOn w:val="DefaultParagraphFont"/>
    <w:link w:val="Heading2"/>
    <w:uiPriority w:val="9"/>
    <w:rsid w:val="00BA7953"/>
    <w:rPr>
      <w:rFonts w:ascii="Times New Roman" w:hAnsi="Times New Roman"/>
      <w:b/>
      <w:lang w:val="en-US"/>
    </w:rPr>
  </w:style>
  <w:style w:type="character" w:customStyle="1" w:styleId="authors-info">
    <w:name w:val="authors-info"/>
    <w:basedOn w:val="DefaultParagraphFont"/>
    <w:rsid w:val="00C04068"/>
  </w:style>
  <w:style w:type="character" w:customStyle="1" w:styleId="ng-scope">
    <w:name w:val="ng-scope"/>
    <w:basedOn w:val="DefaultParagraphFont"/>
    <w:rsid w:val="00C04068"/>
  </w:style>
  <w:style w:type="character" w:customStyle="1" w:styleId="ng-binding">
    <w:name w:val="ng-binding"/>
    <w:basedOn w:val="DefaultParagraphFont"/>
    <w:rsid w:val="00C04068"/>
  </w:style>
  <w:style w:type="character" w:styleId="Strong">
    <w:name w:val="Strong"/>
    <w:basedOn w:val="DefaultParagraphFont"/>
    <w:uiPriority w:val="22"/>
    <w:rsid w:val="00C04068"/>
    <w:rPr>
      <w:b/>
      <w:bCs/>
    </w:rPr>
  </w:style>
  <w:style w:type="character" w:customStyle="1" w:styleId="Heading1Char">
    <w:name w:val="Heading 1 Char"/>
    <w:basedOn w:val="DefaultParagraphFont"/>
    <w:link w:val="Heading1"/>
    <w:uiPriority w:val="9"/>
    <w:rsid w:val="00BA7953"/>
    <w:rPr>
      <w:rFonts w:ascii="Times New Roman" w:hAnsi="Times New Roman" w:cs="Times New Roman"/>
      <w:b/>
      <w:lang w:val="en-US"/>
    </w:rPr>
  </w:style>
  <w:style w:type="paragraph" w:customStyle="1" w:styleId="Affiliation">
    <w:name w:val="Affiliation"/>
    <w:uiPriority w:val="99"/>
    <w:rsid w:val="00672635"/>
    <w:pPr>
      <w:spacing w:after="0" w:line="240" w:lineRule="auto"/>
      <w:jc w:val="center"/>
    </w:pPr>
    <w:rPr>
      <w:rFonts w:ascii="Times New Roman" w:eastAsia="Times New Roman" w:hAnsi="Times New Roman" w:cs="Times New Roman"/>
      <w:sz w:val="20"/>
      <w:szCs w:val="20"/>
      <w:lang w:val="en-US"/>
    </w:rPr>
  </w:style>
  <w:style w:type="character" w:styleId="PlaceholderText">
    <w:name w:val="Placeholder Text"/>
    <w:basedOn w:val="DefaultParagraphFont"/>
    <w:uiPriority w:val="99"/>
    <w:semiHidden/>
    <w:rsid w:val="00BC1609"/>
    <w:rPr>
      <w:color w:val="808080"/>
    </w:rPr>
  </w:style>
  <w:style w:type="paragraph" w:customStyle="1" w:styleId="Titlesub">
    <w:name w:val="Title (sub.)"/>
    <w:basedOn w:val="Normal"/>
    <w:rsid w:val="00813358"/>
    <w:pPr>
      <w:widowControl w:val="0"/>
      <w:autoSpaceDE w:val="0"/>
      <w:autoSpaceDN w:val="0"/>
      <w:spacing w:after="0"/>
    </w:pPr>
    <w:rPr>
      <w:rFonts w:ascii="Times" w:eastAsia="Times New Roman" w:hAnsi="Times" w:cs="Times New Roman"/>
      <w:i/>
      <w:iCs/>
      <w:szCs w:val="20"/>
      <w:lang w:val="en-GB"/>
    </w:rPr>
  </w:style>
  <w:style w:type="paragraph" w:customStyle="1" w:styleId="Paragraph">
    <w:name w:val="Paragraph"/>
    <w:basedOn w:val="Normal"/>
    <w:rsid w:val="00813358"/>
    <w:pPr>
      <w:widowControl w:val="0"/>
      <w:autoSpaceDE w:val="0"/>
      <w:autoSpaceDN w:val="0"/>
      <w:spacing w:after="0"/>
      <w:ind w:firstLine="198"/>
    </w:pPr>
    <w:rPr>
      <w:rFonts w:ascii="Times" w:eastAsia="Times New Roman" w:hAnsi="Times" w:cs="Times New Roman"/>
      <w:szCs w:val="20"/>
      <w:lang w:val="en-GB"/>
    </w:rPr>
  </w:style>
  <w:style w:type="table" w:customStyle="1" w:styleId="Tableausimple21">
    <w:name w:val="Tableau simple 21"/>
    <w:basedOn w:val="TableNormal"/>
    <w:uiPriority w:val="42"/>
    <w:rsid w:val="00484267"/>
    <w:pPr>
      <w:spacing w:after="0" w:line="240" w:lineRule="auto"/>
    </w:pPr>
    <w:rPr>
      <w:lang w:val="fr-FR"/>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Els-Abstract-text">
    <w:name w:val="Els-Abstract-text"/>
    <w:next w:val="Normal"/>
    <w:rsid w:val="005F3751"/>
    <w:pPr>
      <w:spacing w:after="0" w:line="220" w:lineRule="exact"/>
      <w:jc w:val="both"/>
    </w:pPr>
    <w:rPr>
      <w:rFonts w:ascii="Times New Roman" w:eastAsia="SimSun" w:hAnsi="Times New Roman" w:cs="Times New Roman"/>
      <w:sz w:val="18"/>
      <w:szCs w:val="20"/>
      <w:lang w:val="en-US"/>
    </w:rPr>
  </w:style>
  <w:style w:type="paragraph" w:customStyle="1" w:styleId="References0">
    <w:name w:val="References"/>
    <w:basedOn w:val="Normal"/>
    <w:rsid w:val="005F3751"/>
    <w:pPr>
      <w:widowControl w:val="0"/>
      <w:autoSpaceDE w:val="0"/>
      <w:autoSpaceDN w:val="0"/>
      <w:spacing w:after="0"/>
      <w:ind w:left="397" w:hanging="397"/>
    </w:pPr>
    <w:rPr>
      <w:rFonts w:ascii="Times" w:eastAsia="Times New Roman" w:hAnsi="Times" w:cs="Times New Roman"/>
      <w:szCs w:val="20"/>
      <w:lang w:val="en-GB"/>
    </w:rPr>
  </w:style>
  <w:style w:type="paragraph" w:customStyle="1" w:styleId="Default">
    <w:name w:val="Default"/>
    <w:rsid w:val="005F3751"/>
    <w:pPr>
      <w:autoSpaceDE w:val="0"/>
      <w:autoSpaceDN w:val="0"/>
      <w:adjustRightInd w:val="0"/>
      <w:spacing w:after="0" w:line="240" w:lineRule="auto"/>
    </w:pPr>
    <w:rPr>
      <w:rFonts w:ascii="Times New Roman" w:hAnsi="Times New Roman" w:cs="Times New Roman"/>
      <w:color w:val="000000"/>
      <w:sz w:val="24"/>
      <w:szCs w:val="24"/>
      <w:lang w:val="fr-FR"/>
    </w:rPr>
  </w:style>
  <w:style w:type="character" w:styleId="Emphasis">
    <w:name w:val="Emphasis"/>
    <w:uiPriority w:val="20"/>
    <w:qFormat/>
    <w:rsid w:val="009A2455"/>
    <w:rPr>
      <w:i/>
      <w:iCs/>
    </w:rPr>
  </w:style>
  <w:style w:type="character" w:customStyle="1" w:styleId="apple-converted-space">
    <w:name w:val="apple-converted-space"/>
    <w:rsid w:val="009A2455"/>
  </w:style>
  <w:style w:type="paragraph" w:customStyle="1" w:styleId="balk">
    <w:name w:val="başlık"/>
    <w:basedOn w:val="Normal"/>
    <w:rsid w:val="009A2455"/>
    <w:pPr>
      <w:numPr>
        <w:ilvl w:val="2"/>
        <w:numId w:val="3"/>
      </w:numPr>
      <w:tabs>
        <w:tab w:val="left" w:pos="180"/>
        <w:tab w:val="left" w:pos="357"/>
      </w:tabs>
      <w:spacing w:after="0" w:line="360" w:lineRule="auto"/>
    </w:pPr>
    <w:rPr>
      <w:rFonts w:eastAsia="Times New Roman" w:cs="Times New Roman"/>
      <w:b/>
      <w:bCs/>
      <w:sz w:val="24"/>
      <w:szCs w:val="24"/>
      <w:lang w:val="tr-TR"/>
    </w:rPr>
  </w:style>
  <w:style w:type="paragraph" w:customStyle="1" w:styleId="BA12">
    <w:name w:val="BA1_2"/>
    <w:basedOn w:val="Normal"/>
    <w:rsid w:val="009A2455"/>
    <w:pPr>
      <w:keepNext/>
      <w:numPr>
        <w:ilvl w:val="1"/>
        <w:numId w:val="3"/>
      </w:numPr>
      <w:spacing w:after="0" w:line="360" w:lineRule="auto"/>
      <w:ind w:left="1134" w:hanging="425"/>
    </w:pPr>
    <w:rPr>
      <w:rFonts w:eastAsia="Times New Roman" w:cs="Times New Roman"/>
      <w:b/>
      <w:bCs/>
      <w:sz w:val="24"/>
      <w:szCs w:val="24"/>
      <w:lang w:val="tr-TR"/>
    </w:rPr>
  </w:style>
  <w:style w:type="table" w:customStyle="1" w:styleId="TableGrid5">
    <w:name w:val="Table Grid5"/>
    <w:basedOn w:val="TableNormal"/>
    <w:next w:val="TableGrid"/>
    <w:uiPriority w:val="59"/>
    <w:rsid w:val="009A2455"/>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BA7953"/>
    <w:rPr>
      <w:rFonts w:ascii="Times New Roman" w:hAnsi="Times New Roman"/>
      <w:b/>
      <w:lang w:val="en-US"/>
    </w:rPr>
  </w:style>
  <w:style w:type="table" w:customStyle="1" w:styleId="TabloKlavuzu1">
    <w:name w:val="Tablo Kılavuzu1"/>
    <w:basedOn w:val="TableNormal"/>
    <w:next w:val="TableGrid"/>
    <w:uiPriority w:val="39"/>
    <w:rsid w:val="005937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Harfli">
    <w:name w:val="Harfli"/>
    <w:rsid w:val="005438D5"/>
    <w:pPr>
      <w:numPr>
        <w:numId w:val="4"/>
      </w:numPr>
    </w:pPr>
  </w:style>
  <w:style w:type="paragraph" w:customStyle="1" w:styleId="Gvde">
    <w:name w:val="Gövde"/>
    <w:rsid w:val="001A6A69"/>
    <w:pPr>
      <w:pBdr>
        <w:top w:val="nil"/>
        <w:left w:val="nil"/>
        <w:bottom w:val="nil"/>
        <w:right w:val="nil"/>
        <w:between w:val="nil"/>
        <w:bar w:val="nil"/>
      </w:pBdr>
      <w:spacing w:after="0" w:line="240" w:lineRule="auto"/>
    </w:pPr>
    <w:rPr>
      <w:rFonts w:ascii="Helvetica" w:eastAsia="Arial Unicode MS" w:hAnsi="Helvetica" w:cs="Arial Unicode MS"/>
      <w:color w:val="000000"/>
      <w:bdr w:val="nil"/>
      <w:lang w:eastAsia="tr-TR"/>
    </w:rPr>
  </w:style>
  <w:style w:type="paragraph" w:styleId="BalloonText">
    <w:name w:val="Balloon Text"/>
    <w:basedOn w:val="Normal"/>
    <w:link w:val="BalloonTextChar"/>
    <w:uiPriority w:val="99"/>
    <w:semiHidden/>
    <w:unhideWhenUsed/>
    <w:rsid w:val="00DF578F"/>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DF578F"/>
    <w:rPr>
      <w:rFonts w:ascii="Tahoma" w:hAnsi="Tahoma" w:cs="Tahoma"/>
      <w:sz w:val="16"/>
      <w:szCs w:val="16"/>
      <w:lang w:val="en-US"/>
    </w:rPr>
  </w:style>
  <w:style w:type="paragraph" w:styleId="BodyText">
    <w:name w:val="Body Text"/>
    <w:basedOn w:val="Normal"/>
    <w:link w:val="BodyTextChar"/>
    <w:uiPriority w:val="99"/>
    <w:rsid w:val="00FB5557"/>
    <w:pPr>
      <w:tabs>
        <w:tab w:val="left" w:pos="288"/>
      </w:tabs>
      <w:spacing w:before="0" w:beforeAutospacing="0" w:after="120" w:afterAutospacing="0" w:line="228" w:lineRule="auto"/>
      <w:ind w:firstLine="288"/>
    </w:pPr>
    <w:rPr>
      <w:rFonts w:eastAsia="MS Mincho" w:cs="Times New Roman"/>
      <w:szCs w:val="20"/>
      <w:lang w:val="x-none" w:eastAsia="x-none"/>
    </w:rPr>
  </w:style>
  <w:style w:type="character" w:customStyle="1" w:styleId="BodyTextChar">
    <w:name w:val="Body Text Char"/>
    <w:basedOn w:val="DefaultParagraphFont"/>
    <w:link w:val="BodyText"/>
    <w:uiPriority w:val="99"/>
    <w:rsid w:val="00FB5557"/>
    <w:rPr>
      <w:rFonts w:ascii="Times New Roman" w:eastAsia="MS Mincho" w:hAnsi="Times New Roman" w:cs="Times New Roman"/>
      <w:sz w:val="20"/>
      <w:szCs w:val="20"/>
      <w:lang w:val="x-none" w:eastAsia="x-none"/>
    </w:rPr>
  </w:style>
  <w:style w:type="character" w:styleId="CommentReference">
    <w:name w:val="annotation reference"/>
    <w:uiPriority w:val="99"/>
    <w:semiHidden/>
    <w:unhideWhenUsed/>
    <w:rsid w:val="00FB5557"/>
    <w:rPr>
      <w:sz w:val="16"/>
      <w:szCs w:val="16"/>
    </w:rPr>
  </w:style>
  <w:style w:type="paragraph" w:customStyle="1" w:styleId="tablecolhead">
    <w:name w:val="table col head"/>
    <w:basedOn w:val="Normal"/>
    <w:uiPriority w:val="99"/>
    <w:rsid w:val="00FB5557"/>
    <w:pPr>
      <w:spacing w:before="0" w:beforeAutospacing="0" w:after="0" w:afterAutospacing="0"/>
      <w:jc w:val="center"/>
    </w:pPr>
    <w:rPr>
      <w:rFonts w:eastAsia="Times New Roman" w:cs="Times New Roman"/>
      <w:b/>
      <w:bCs/>
      <w:sz w:val="16"/>
      <w:szCs w:val="16"/>
    </w:rPr>
  </w:style>
  <w:style w:type="paragraph" w:customStyle="1" w:styleId="tablecopy">
    <w:name w:val="table copy"/>
    <w:uiPriority w:val="99"/>
    <w:rsid w:val="00FB5557"/>
    <w:pPr>
      <w:spacing w:after="0" w:line="240" w:lineRule="auto"/>
      <w:jc w:val="both"/>
    </w:pPr>
    <w:rPr>
      <w:rFonts w:ascii="Times New Roman" w:eastAsia="Times New Roman" w:hAnsi="Times New Roman" w:cs="Times New Roman"/>
      <w:noProof/>
      <w:sz w:val="16"/>
      <w:szCs w:val="16"/>
      <w:lang w:val="en-US"/>
    </w:rPr>
  </w:style>
  <w:style w:type="paragraph" w:styleId="CommentText">
    <w:name w:val="annotation text"/>
    <w:basedOn w:val="Normal"/>
    <w:link w:val="CommentTextChar"/>
    <w:uiPriority w:val="99"/>
    <w:semiHidden/>
    <w:unhideWhenUsed/>
    <w:rsid w:val="00F50DB9"/>
    <w:pPr>
      <w:spacing w:before="0" w:beforeAutospacing="0" w:after="0" w:afterAutospacing="0"/>
      <w:jc w:val="center"/>
    </w:pPr>
    <w:rPr>
      <w:rFonts w:eastAsia="Times New Roman" w:cs="Times New Roman"/>
      <w:szCs w:val="20"/>
    </w:rPr>
  </w:style>
  <w:style w:type="character" w:customStyle="1" w:styleId="CommentTextChar">
    <w:name w:val="Comment Text Char"/>
    <w:basedOn w:val="DefaultParagraphFont"/>
    <w:link w:val="CommentText"/>
    <w:uiPriority w:val="99"/>
    <w:semiHidden/>
    <w:rsid w:val="00F50DB9"/>
    <w:rPr>
      <w:rFonts w:ascii="Times New Roman" w:eastAsia="Times New Roman" w:hAnsi="Times New Roman" w:cs="Times New Roman"/>
      <w:sz w:val="20"/>
      <w:szCs w:val="20"/>
      <w:lang w:val="en-US"/>
    </w:rPr>
  </w:style>
  <w:style w:type="paragraph" w:customStyle="1" w:styleId="EndNoteBibliography">
    <w:name w:val="EndNote Bibliography"/>
    <w:basedOn w:val="Normal"/>
    <w:link w:val="EndNoteBibliographyChar"/>
    <w:rsid w:val="00F50DB9"/>
    <w:pPr>
      <w:spacing w:before="0" w:beforeAutospacing="0" w:after="0" w:afterAutospacing="0"/>
    </w:pPr>
    <w:rPr>
      <w:rFonts w:eastAsia="Times New Roman" w:cs="Times New Roman"/>
      <w:noProof/>
      <w:szCs w:val="20"/>
    </w:rPr>
  </w:style>
  <w:style w:type="character" w:customStyle="1" w:styleId="EndNoteBibliographyChar">
    <w:name w:val="EndNote Bibliography Char"/>
    <w:link w:val="EndNoteBibliography"/>
    <w:rsid w:val="00F50DB9"/>
    <w:rPr>
      <w:rFonts w:ascii="Times New Roman" w:eastAsia="Times New Roman" w:hAnsi="Times New Roman" w:cs="Times New Roman"/>
      <w:noProof/>
      <w:sz w:val="20"/>
      <w:szCs w:val="20"/>
      <w:lang w:val="en-US"/>
    </w:rPr>
  </w:style>
  <w:style w:type="paragraph" w:styleId="Subtitle">
    <w:name w:val="Subtitle"/>
    <w:aliases w:val="Figure-Table"/>
    <w:basedOn w:val="Default"/>
    <w:next w:val="Normal"/>
    <w:link w:val="SubtitleChar"/>
    <w:uiPriority w:val="11"/>
    <w:qFormat/>
    <w:rsid w:val="002C150F"/>
    <w:pPr>
      <w:jc w:val="center"/>
    </w:pPr>
    <w:rPr>
      <w:rFonts w:ascii="Segoe UI" w:hAnsi="Segoe UI"/>
      <w:i/>
      <w:color w:val="auto"/>
      <w:sz w:val="18"/>
      <w:szCs w:val="20"/>
      <w:lang w:val="en-US"/>
    </w:rPr>
  </w:style>
  <w:style w:type="character" w:customStyle="1" w:styleId="SubtitleChar">
    <w:name w:val="Subtitle Char"/>
    <w:aliases w:val="Figure-Table Char"/>
    <w:basedOn w:val="DefaultParagraphFont"/>
    <w:link w:val="Subtitle"/>
    <w:uiPriority w:val="11"/>
    <w:rsid w:val="002C150F"/>
    <w:rPr>
      <w:rFonts w:ascii="Segoe UI" w:hAnsi="Segoe UI" w:cs="Times New Roman"/>
      <w:i/>
      <w:sz w:val="18"/>
      <w:szCs w:val="20"/>
      <w:lang w:val="en-US"/>
    </w:rPr>
  </w:style>
  <w:style w:type="paragraph" w:styleId="NormalWeb">
    <w:name w:val="Normal (Web)"/>
    <w:basedOn w:val="Normal"/>
    <w:uiPriority w:val="99"/>
    <w:unhideWhenUsed/>
    <w:rsid w:val="009B70CB"/>
    <w:rPr>
      <w:rFonts w:eastAsia="Times New Roman" w:cs="Times New Roman"/>
      <w:sz w:val="24"/>
      <w:szCs w:val="24"/>
      <w:lang w:val="es-ES" w:eastAsia="es-ES"/>
    </w:rPr>
  </w:style>
  <w:style w:type="paragraph" w:styleId="Caption">
    <w:name w:val="caption"/>
    <w:basedOn w:val="Normal"/>
    <w:next w:val="Normal"/>
    <w:uiPriority w:val="35"/>
    <w:unhideWhenUsed/>
    <w:qFormat/>
    <w:rsid w:val="001D2C4E"/>
    <w:pPr>
      <w:spacing w:before="0" w:beforeAutospacing="0" w:after="200" w:afterAutospacing="0"/>
      <w:jc w:val="left"/>
    </w:pPr>
    <w:rPr>
      <w:rFonts w:asciiTheme="minorHAnsi" w:hAnsiTheme="minorHAnsi"/>
      <w:i/>
      <w:iCs/>
      <w:color w:val="44546A" w:themeColor="text2"/>
      <w:szCs w:val="18"/>
    </w:rPr>
  </w:style>
  <w:style w:type="character" w:customStyle="1" w:styleId="mwe-math-mathml-inline">
    <w:name w:val="mwe-math-mathml-inline"/>
    <w:basedOn w:val="DefaultParagraphFont"/>
    <w:rsid w:val="001D2C4E"/>
  </w:style>
  <w:style w:type="paragraph" w:customStyle="1" w:styleId="EndNoteBibliographyTitle">
    <w:name w:val="EndNote Bibliography Title"/>
    <w:basedOn w:val="Normal"/>
    <w:rsid w:val="00A05F3E"/>
    <w:pPr>
      <w:spacing w:before="0" w:beforeAutospacing="0" w:after="0" w:afterAutospacing="0" w:line="259" w:lineRule="auto"/>
      <w:jc w:val="center"/>
    </w:pPr>
    <w:rPr>
      <w:rFonts w:cs="Times New Roman"/>
      <w:sz w:val="24"/>
    </w:rPr>
  </w:style>
  <w:style w:type="paragraph" w:styleId="Title">
    <w:name w:val="Title"/>
    <w:aliases w:val="Paper Title"/>
    <w:basedOn w:val="Normal"/>
    <w:next w:val="Normal"/>
    <w:link w:val="TitleChar"/>
    <w:uiPriority w:val="10"/>
    <w:qFormat/>
    <w:rsid w:val="008A54EB"/>
    <w:pPr>
      <w:contextualSpacing/>
    </w:pPr>
    <w:rPr>
      <w:rFonts w:eastAsiaTheme="majorEastAsia" w:cstheme="majorBidi"/>
      <w:spacing w:val="-10"/>
      <w:kern w:val="28"/>
      <w:sz w:val="32"/>
      <w:szCs w:val="56"/>
    </w:rPr>
  </w:style>
  <w:style w:type="character" w:customStyle="1" w:styleId="TitleChar">
    <w:name w:val="Title Char"/>
    <w:aliases w:val="Paper Title Char"/>
    <w:basedOn w:val="DefaultParagraphFont"/>
    <w:link w:val="Title"/>
    <w:uiPriority w:val="10"/>
    <w:rsid w:val="008A54EB"/>
    <w:rPr>
      <w:rFonts w:ascii="Times New Roman" w:eastAsiaTheme="majorEastAsia" w:hAnsi="Times New Roman" w:cstheme="majorBidi"/>
      <w:spacing w:val="-10"/>
      <w:kern w:val="28"/>
      <w:sz w:val="32"/>
      <w:szCs w:val="56"/>
      <w:lang w:val="en-US"/>
    </w:rPr>
  </w:style>
  <w:style w:type="table" w:customStyle="1" w:styleId="Tablacontema2">
    <w:name w:val="Tabla con tema2"/>
    <w:basedOn w:val="TableNormal"/>
    <w:uiPriority w:val="99"/>
    <w:semiHidden/>
    <w:rsid w:val="007B132A"/>
    <w:pPr>
      <w:spacing w:line="254"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7610CA"/>
    <w:rPr>
      <w:color w:val="605E5C"/>
      <w:shd w:val="clear" w:color="auto" w:fill="E1DFDD"/>
    </w:rPr>
  </w:style>
  <w:style w:type="paragraph" w:customStyle="1" w:styleId="MDPI21heading1">
    <w:name w:val="MDPI_2.1_heading1"/>
    <w:basedOn w:val="Normal"/>
    <w:rsid w:val="006C26FF"/>
    <w:pPr>
      <w:adjustRightInd w:val="0"/>
      <w:snapToGrid w:val="0"/>
      <w:spacing w:before="240" w:beforeAutospacing="0" w:after="120" w:afterAutospacing="0" w:line="260" w:lineRule="atLeast"/>
      <w:jc w:val="left"/>
      <w:outlineLvl w:val="0"/>
    </w:pPr>
    <w:rPr>
      <w:rFonts w:ascii="Palatino Linotype" w:eastAsia="Times New Roman" w:hAnsi="Palatino Linotype" w:cs="Times New Roman"/>
      <w:b/>
      <w:snapToGrid w:val="0"/>
      <w:color w:val="000000"/>
      <w:lang w:eastAsia="de-DE" w:bidi="en-US"/>
    </w:rPr>
  </w:style>
  <w:style w:type="paragraph" w:styleId="CommentSubject">
    <w:name w:val="annotation subject"/>
    <w:basedOn w:val="CommentText"/>
    <w:next w:val="CommentText"/>
    <w:link w:val="CommentSubjectChar"/>
    <w:uiPriority w:val="99"/>
    <w:semiHidden/>
    <w:unhideWhenUsed/>
    <w:rsid w:val="006B0D72"/>
    <w:pPr>
      <w:spacing w:before="100" w:beforeAutospacing="1" w:after="100" w:afterAutospacing="1"/>
      <w:jc w:val="both"/>
    </w:pPr>
    <w:rPr>
      <w:rFonts w:ascii="Times New Roman" w:eastAsiaTheme="minorHAnsi" w:hAnsi="Times New Roman" w:cstheme="minorBidi"/>
      <w:b/>
      <w:bCs/>
    </w:rPr>
  </w:style>
  <w:style w:type="character" w:customStyle="1" w:styleId="CommentSubjectChar">
    <w:name w:val="Comment Subject Char"/>
    <w:basedOn w:val="CommentTextChar"/>
    <w:link w:val="CommentSubject"/>
    <w:uiPriority w:val="99"/>
    <w:semiHidden/>
    <w:rsid w:val="006B0D72"/>
    <w:rPr>
      <w:rFonts w:ascii="Times New Roman" w:eastAsia="Times New Roman" w:hAnsi="Times New Roman" w:cs="Times New Roman"/>
      <w:b/>
      <w:bCs/>
      <w:sz w:val="20"/>
      <w:szCs w:val="20"/>
      <w:lang w:val="en-US"/>
    </w:rPr>
  </w:style>
  <w:style w:type="paragraph" w:styleId="Revision">
    <w:name w:val="Revision"/>
    <w:hidden/>
    <w:uiPriority w:val="99"/>
    <w:semiHidden/>
    <w:rsid w:val="006B0D72"/>
    <w:pPr>
      <w:spacing w:after="0" w:line="240" w:lineRule="auto"/>
    </w:pPr>
    <w:rPr>
      <w:rFonts w:ascii="Times New Roman" w:hAnsi="Times New Roman"/>
      <w:lang w:val="en-US"/>
    </w:rPr>
  </w:style>
  <w:style w:type="paragraph" w:customStyle="1" w:styleId="Text">
    <w:name w:val="Text"/>
    <w:basedOn w:val="Normal"/>
    <w:rsid w:val="007F2C0E"/>
    <w:pPr>
      <w:widowControl w:val="0"/>
      <w:overflowPunct w:val="0"/>
      <w:autoSpaceDE w:val="0"/>
      <w:autoSpaceDN w:val="0"/>
      <w:adjustRightInd w:val="0"/>
      <w:spacing w:before="0" w:beforeAutospacing="0" w:after="0" w:afterAutospacing="0"/>
      <w:ind w:firstLine="204"/>
      <w:textAlignment w:val="baseline"/>
    </w:pPr>
    <w:rPr>
      <w:rFonts w:ascii="Times New Roman" w:eastAsia="Times New Roman" w:hAnsi="Times New Roman" w:cs="Times New Roman"/>
      <w:szCs w:val="20"/>
    </w:rPr>
  </w:style>
  <w:style w:type="table" w:customStyle="1" w:styleId="TableGrid0">
    <w:name w:val="TableGrid"/>
    <w:rsid w:val="00AB4FD6"/>
    <w:pPr>
      <w:spacing w:after="0" w:line="240" w:lineRule="auto"/>
    </w:pPr>
    <w:rPr>
      <w:rFonts w:eastAsiaTheme="minorEastAsia"/>
      <w:sz w:val="24"/>
      <w:szCs w:val="24"/>
      <w:lang w:val="en-US"/>
    </w:rPr>
    <w:tblPr>
      <w:tblCellMar>
        <w:top w:w="0" w:type="dxa"/>
        <w:left w:w="0" w:type="dxa"/>
        <w:bottom w:w="0" w:type="dxa"/>
        <w:right w:w="0" w:type="dxa"/>
      </w:tblCellMar>
    </w:tblPr>
  </w:style>
  <w:style w:type="paragraph" w:customStyle="1" w:styleId="MDPI31text">
    <w:name w:val="MDPI_3.1_text"/>
    <w:rsid w:val="00AB4FD6"/>
    <w:pPr>
      <w:adjustRightInd w:val="0"/>
      <w:snapToGrid w:val="0"/>
      <w:spacing w:after="0" w:line="228" w:lineRule="auto"/>
      <w:ind w:left="2608" w:firstLine="425"/>
      <w:jc w:val="both"/>
    </w:pPr>
    <w:rPr>
      <w:rFonts w:ascii="Palatino Linotype" w:eastAsia="Times New Roman" w:hAnsi="Palatino Linotype" w:cs="Times New Roman"/>
      <w:snapToGrid w:val="0"/>
      <w:color w:val="000000"/>
      <w:sz w:val="20"/>
      <w:lang w:val="en-US" w:eastAsia="de-DE" w:bidi="en-US"/>
    </w:rPr>
  </w:style>
  <w:style w:type="paragraph" w:customStyle="1" w:styleId="MDPI41tablecaption">
    <w:name w:val="MDPI_4.1_table_caption"/>
    <w:rsid w:val="00AB4FD6"/>
    <w:pPr>
      <w:adjustRightInd w:val="0"/>
      <w:snapToGrid w:val="0"/>
      <w:spacing w:before="240" w:after="120" w:line="228" w:lineRule="auto"/>
      <w:ind w:left="2608"/>
      <w:jc w:val="both"/>
    </w:pPr>
    <w:rPr>
      <w:rFonts w:ascii="Palatino Linotype" w:eastAsia="Times New Roman" w:hAnsi="Palatino Linotype" w:cs="Cordia New"/>
      <w:color w:val="000000"/>
      <w:sz w:val="18"/>
      <w:lang w:val="en-US" w:eastAsia="de-DE" w:bidi="en-US"/>
    </w:rPr>
  </w:style>
  <w:style w:type="character" w:customStyle="1" w:styleId="UnresolvedMention2">
    <w:name w:val="Unresolved Mention2"/>
    <w:basedOn w:val="DefaultParagraphFont"/>
    <w:uiPriority w:val="99"/>
    <w:semiHidden/>
    <w:unhideWhenUsed/>
    <w:rsid w:val="009F2902"/>
    <w:rPr>
      <w:color w:val="605E5C"/>
      <w:shd w:val="clear" w:color="auto" w:fill="E1DFDD"/>
    </w:rPr>
  </w:style>
  <w:style w:type="paragraph" w:customStyle="1" w:styleId="references">
    <w:name w:val="references"/>
    <w:rsid w:val="001C0406"/>
    <w:pPr>
      <w:numPr>
        <w:numId w:val="6"/>
      </w:numPr>
      <w:spacing w:after="50" w:line="180" w:lineRule="exact"/>
      <w:jc w:val="both"/>
    </w:pPr>
    <w:rPr>
      <w:rFonts w:ascii="Times New Roman" w:eastAsia="MS Mincho" w:hAnsi="Times New Roman" w:cs="Times New Roman"/>
      <w:noProof/>
      <w:sz w:val="16"/>
      <w:szCs w:val="16"/>
      <w:lang w:val="en-US"/>
    </w:rPr>
  </w:style>
  <w:style w:type="character" w:customStyle="1" w:styleId="fontstyle01">
    <w:name w:val="fontstyle01"/>
    <w:basedOn w:val="DefaultParagraphFont"/>
    <w:rsid w:val="00D65FA2"/>
    <w:rPr>
      <w:rFonts w:ascii="CMMI10" w:hAnsi="CMMI10" w:hint="default"/>
      <w:b w:val="0"/>
      <w:bCs w:val="0"/>
      <w:i/>
      <w:iCs/>
      <w:color w:val="000000"/>
      <w:sz w:val="20"/>
      <w:szCs w:val="20"/>
    </w:rPr>
  </w:style>
  <w:style w:type="character" w:customStyle="1" w:styleId="fontstyle21">
    <w:name w:val="fontstyle21"/>
    <w:basedOn w:val="DefaultParagraphFont"/>
    <w:rsid w:val="00D65FA2"/>
    <w:rPr>
      <w:rFonts w:ascii="CMR10" w:hAnsi="CMR10" w:hint="default"/>
      <w:b w:val="0"/>
      <w:bCs w:val="0"/>
      <w:i w:val="0"/>
      <w:iCs w:val="0"/>
      <w:color w:val="000000"/>
      <w:sz w:val="20"/>
      <w:szCs w:val="20"/>
    </w:rPr>
  </w:style>
  <w:style w:type="character" w:customStyle="1" w:styleId="UnresolvedMention3">
    <w:name w:val="Unresolved Mention3"/>
    <w:basedOn w:val="DefaultParagraphFont"/>
    <w:uiPriority w:val="99"/>
    <w:semiHidden/>
    <w:unhideWhenUsed/>
    <w:rsid w:val="00AA1A8C"/>
    <w:rPr>
      <w:color w:val="605E5C"/>
      <w:shd w:val="clear" w:color="auto" w:fill="E1DFDD"/>
    </w:rPr>
  </w:style>
  <w:style w:type="character" w:styleId="UnresolvedMention">
    <w:name w:val="Unresolved Mention"/>
    <w:basedOn w:val="DefaultParagraphFont"/>
    <w:uiPriority w:val="99"/>
    <w:semiHidden/>
    <w:unhideWhenUsed/>
    <w:rsid w:val="00A07D2B"/>
    <w:rPr>
      <w:color w:val="605E5C"/>
      <w:shd w:val="clear" w:color="auto" w:fill="E1DFDD"/>
    </w:rPr>
  </w:style>
  <w:style w:type="table" w:customStyle="1" w:styleId="TabloKlavuzu2">
    <w:name w:val="Tablo Kılavuzu2"/>
    <w:basedOn w:val="TableNormal"/>
    <w:next w:val="TableGrid"/>
    <w:uiPriority w:val="39"/>
    <w:rsid w:val="004F2DC2"/>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759057">
      <w:bodyDiv w:val="1"/>
      <w:marLeft w:val="0"/>
      <w:marRight w:val="0"/>
      <w:marTop w:val="0"/>
      <w:marBottom w:val="0"/>
      <w:divBdr>
        <w:top w:val="none" w:sz="0" w:space="0" w:color="auto"/>
        <w:left w:val="none" w:sz="0" w:space="0" w:color="auto"/>
        <w:bottom w:val="none" w:sz="0" w:space="0" w:color="auto"/>
        <w:right w:val="none" w:sz="0" w:space="0" w:color="auto"/>
      </w:divBdr>
    </w:div>
    <w:div w:id="50276658">
      <w:bodyDiv w:val="1"/>
      <w:marLeft w:val="0"/>
      <w:marRight w:val="0"/>
      <w:marTop w:val="0"/>
      <w:marBottom w:val="0"/>
      <w:divBdr>
        <w:top w:val="none" w:sz="0" w:space="0" w:color="auto"/>
        <w:left w:val="none" w:sz="0" w:space="0" w:color="auto"/>
        <w:bottom w:val="none" w:sz="0" w:space="0" w:color="auto"/>
        <w:right w:val="none" w:sz="0" w:space="0" w:color="auto"/>
      </w:divBdr>
    </w:div>
    <w:div w:id="131947068">
      <w:bodyDiv w:val="1"/>
      <w:marLeft w:val="0"/>
      <w:marRight w:val="0"/>
      <w:marTop w:val="0"/>
      <w:marBottom w:val="0"/>
      <w:divBdr>
        <w:top w:val="none" w:sz="0" w:space="0" w:color="auto"/>
        <w:left w:val="none" w:sz="0" w:space="0" w:color="auto"/>
        <w:bottom w:val="none" w:sz="0" w:space="0" w:color="auto"/>
        <w:right w:val="none" w:sz="0" w:space="0" w:color="auto"/>
      </w:divBdr>
    </w:div>
    <w:div w:id="174804023">
      <w:bodyDiv w:val="1"/>
      <w:marLeft w:val="0"/>
      <w:marRight w:val="0"/>
      <w:marTop w:val="0"/>
      <w:marBottom w:val="0"/>
      <w:divBdr>
        <w:top w:val="none" w:sz="0" w:space="0" w:color="auto"/>
        <w:left w:val="none" w:sz="0" w:space="0" w:color="auto"/>
        <w:bottom w:val="none" w:sz="0" w:space="0" w:color="auto"/>
        <w:right w:val="none" w:sz="0" w:space="0" w:color="auto"/>
      </w:divBdr>
    </w:div>
    <w:div w:id="240528514">
      <w:bodyDiv w:val="1"/>
      <w:marLeft w:val="0"/>
      <w:marRight w:val="0"/>
      <w:marTop w:val="0"/>
      <w:marBottom w:val="0"/>
      <w:divBdr>
        <w:top w:val="none" w:sz="0" w:space="0" w:color="auto"/>
        <w:left w:val="none" w:sz="0" w:space="0" w:color="auto"/>
        <w:bottom w:val="none" w:sz="0" w:space="0" w:color="auto"/>
        <w:right w:val="none" w:sz="0" w:space="0" w:color="auto"/>
      </w:divBdr>
    </w:div>
    <w:div w:id="241184697">
      <w:bodyDiv w:val="1"/>
      <w:marLeft w:val="0"/>
      <w:marRight w:val="0"/>
      <w:marTop w:val="0"/>
      <w:marBottom w:val="0"/>
      <w:divBdr>
        <w:top w:val="none" w:sz="0" w:space="0" w:color="auto"/>
        <w:left w:val="none" w:sz="0" w:space="0" w:color="auto"/>
        <w:bottom w:val="none" w:sz="0" w:space="0" w:color="auto"/>
        <w:right w:val="none" w:sz="0" w:space="0" w:color="auto"/>
      </w:divBdr>
    </w:div>
    <w:div w:id="405953052">
      <w:bodyDiv w:val="1"/>
      <w:marLeft w:val="0"/>
      <w:marRight w:val="0"/>
      <w:marTop w:val="0"/>
      <w:marBottom w:val="0"/>
      <w:divBdr>
        <w:top w:val="none" w:sz="0" w:space="0" w:color="auto"/>
        <w:left w:val="none" w:sz="0" w:space="0" w:color="auto"/>
        <w:bottom w:val="none" w:sz="0" w:space="0" w:color="auto"/>
        <w:right w:val="none" w:sz="0" w:space="0" w:color="auto"/>
      </w:divBdr>
    </w:div>
    <w:div w:id="410542150">
      <w:bodyDiv w:val="1"/>
      <w:marLeft w:val="0"/>
      <w:marRight w:val="0"/>
      <w:marTop w:val="0"/>
      <w:marBottom w:val="0"/>
      <w:divBdr>
        <w:top w:val="none" w:sz="0" w:space="0" w:color="auto"/>
        <w:left w:val="none" w:sz="0" w:space="0" w:color="auto"/>
        <w:bottom w:val="none" w:sz="0" w:space="0" w:color="auto"/>
        <w:right w:val="none" w:sz="0" w:space="0" w:color="auto"/>
      </w:divBdr>
    </w:div>
    <w:div w:id="429473625">
      <w:bodyDiv w:val="1"/>
      <w:marLeft w:val="0"/>
      <w:marRight w:val="0"/>
      <w:marTop w:val="0"/>
      <w:marBottom w:val="0"/>
      <w:divBdr>
        <w:top w:val="none" w:sz="0" w:space="0" w:color="auto"/>
        <w:left w:val="none" w:sz="0" w:space="0" w:color="auto"/>
        <w:bottom w:val="none" w:sz="0" w:space="0" w:color="auto"/>
        <w:right w:val="none" w:sz="0" w:space="0" w:color="auto"/>
      </w:divBdr>
    </w:div>
    <w:div w:id="446311514">
      <w:bodyDiv w:val="1"/>
      <w:marLeft w:val="0"/>
      <w:marRight w:val="0"/>
      <w:marTop w:val="0"/>
      <w:marBottom w:val="0"/>
      <w:divBdr>
        <w:top w:val="none" w:sz="0" w:space="0" w:color="auto"/>
        <w:left w:val="none" w:sz="0" w:space="0" w:color="auto"/>
        <w:bottom w:val="none" w:sz="0" w:space="0" w:color="auto"/>
        <w:right w:val="none" w:sz="0" w:space="0" w:color="auto"/>
      </w:divBdr>
    </w:div>
    <w:div w:id="469515568">
      <w:bodyDiv w:val="1"/>
      <w:marLeft w:val="0"/>
      <w:marRight w:val="0"/>
      <w:marTop w:val="0"/>
      <w:marBottom w:val="0"/>
      <w:divBdr>
        <w:top w:val="none" w:sz="0" w:space="0" w:color="auto"/>
        <w:left w:val="none" w:sz="0" w:space="0" w:color="auto"/>
        <w:bottom w:val="none" w:sz="0" w:space="0" w:color="auto"/>
        <w:right w:val="none" w:sz="0" w:space="0" w:color="auto"/>
      </w:divBdr>
    </w:div>
    <w:div w:id="512574678">
      <w:bodyDiv w:val="1"/>
      <w:marLeft w:val="0"/>
      <w:marRight w:val="0"/>
      <w:marTop w:val="0"/>
      <w:marBottom w:val="0"/>
      <w:divBdr>
        <w:top w:val="none" w:sz="0" w:space="0" w:color="auto"/>
        <w:left w:val="none" w:sz="0" w:space="0" w:color="auto"/>
        <w:bottom w:val="none" w:sz="0" w:space="0" w:color="auto"/>
        <w:right w:val="none" w:sz="0" w:space="0" w:color="auto"/>
      </w:divBdr>
    </w:div>
    <w:div w:id="516037966">
      <w:bodyDiv w:val="1"/>
      <w:marLeft w:val="0"/>
      <w:marRight w:val="0"/>
      <w:marTop w:val="0"/>
      <w:marBottom w:val="0"/>
      <w:divBdr>
        <w:top w:val="none" w:sz="0" w:space="0" w:color="auto"/>
        <w:left w:val="none" w:sz="0" w:space="0" w:color="auto"/>
        <w:bottom w:val="none" w:sz="0" w:space="0" w:color="auto"/>
        <w:right w:val="none" w:sz="0" w:space="0" w:color="auto"/>
      </w:divBdr>
    </w:div>
    <w:div w:id="539827366">
      <w:bodyDiv w:val="1"/>
      <w:marLeft w:val="0"/>
      <w:marRight w:val="0"/>
      <w:marTop w:val="0"/>
      <w:marBottom w:val="0"/>
      <w:divBdr>
        <w:top w:val="none" w:sz="0" w:space="0" w:color="auto"/>
        <w:left w:val="none" w:sz="0" w:space="0" w:color="auto"/>
        <w:bottom w:val="none" w:sz="0" w:space="0" w:color="auto"/>
        <w:right w:val="none" w:sz="0" w:space="0" w:color="auto"/>
      </w:divBdr>
    </w:div>
    <w:div w:id="580070256">
      <w:bodyDiv w:val="1"/>
      <w:marLeft w:val="0"/>
      <w:marRight w:val="0"/>
      <w:marTop w:val="0"/>
      <w:marBottom w:val="0"/>
      <w:divBdr>
        <w:top w:val="none" w:sz="0" w:space="0" w:color="auto"/>
        <w:left w:val="none" w:sz="0" w:space="0" w:color="auto"/>
        <w:bottom w:val="none" w:sz="0" w:space="0" w:color="auto"/>
        <w:right w:val="none" w:sz="0" w:space="0" w:color="auto"/>
      </w:divBdr>
    </w:div>
    <w:div w:id="648559611">
      <w:bodyDiv w:val="1"/>
      <w:marLeft w:val="0"/>
      <w:marRight w:val="0"/>
      <w:marTop w:val="0"/>
      <w:marBottom w:val="0"/>
      <w:divBdr>
        <w:top w:val="none" w:sz="0" w:space="0" w:color="auto"/>
        <w:left w:val="none" w:sz="0" w:space="0" w:color="auto"/>
        <w:bottom w:val="none" w:sz="0" w:space="0" w:color="auto"/>
        <w:right w:val="none" w:sz="0" w:space="0" w:color="auto"/>
      </w:divBdr>
    </w:div>
    <w:div w:id="649360234">
      <w:bodyDiv w:val="1"/>
      <w:marLeft w:val="0"/>
      <w:marRight w:val="0"/>
      <w:marTop w:val="0"/>
      <w:marBottom w:val="0"/>
      <w:divBdr>
        <w:top w:val="none" w:sz="0" w:space="0" w:color="auto"/>
        <w:left w:val="none" w:sz="0" w:space="0" w:color="auto"/>
        <w:bottom w:val="none" w:sz="0" w:space="0" w:color="auto"/>
        <w:right w:val="none" w:sz="0" w:space="0" w:color="auto"/>
      </w:divBdr>
    </w:div>
    <w:div w:id="662584163">
      <w:bodyDiv w:val="1"/>
      <w:marLeft w:val="0"/>
      <w:marRight w:val="0"/>
      <w:marTop w:val="0"/>
      <w:marBottom w:val="0"/>
      <w:divBdr>
        <w:top w:val="none" w:sz="0" w:space="0" w:color="auto"/>
        <w:left w:val="none" w:sz="0" w:space="0" w:color="auto"/>
        <w:bottom w:val="none" w:sz="0" w:space="0" w:color="auto"/>
        <w:right w:val="none" w:sz="0" w:space="0" w:color="auto"/>
      </w:divBdr>
    </w:div>
    <w:div w:id="770206634">
      <w:bodyDiv w:val="1"/>
      <w:marLeft w:val="0"/>
      <w:marRight w:val="0"/>
      <w:marTop w:val="0"/>
      <w:marBottom w:val="0"/>
      <w:divBdr>
        <w:top w:val="none" w:sz="0" w:space="0" w:color="auto"/>
        <w:left w:val="none" w:sz="0" w:space="0" w:color="auto"/>
        <w:bottom w:val="none" w:sz="0" w:space="0" w:color="auto"/>
        <w:right w:val="none" w:sz="0" w:space="0" w:color="auto"/>
      </w:divBdr>
    </w:div>
    <w:div w:id="828205297">
      <w:bodyDiv w:val="1"/>
      <w:marLeft w:val="0"/>
      <w:marRight w:val="0"/>
      <w:marTop w:val="0"/>
      <w:marBottom w:val="0"/>
      <w:divBdr>
        <w:top w:val="none" w:sz="0" w:space="0" w:color="auto"/>
        <w:left w:val="none" w:sz="0" w:space="0" w:color="auto"/>
        <w:bottom w:val="none" w:sz="0" w:space="0" w:color="auto"/>
        <w:right w:val="none" w:sz="0" w:space="0" w:color="auto"/>
      </w:divBdr>
    </w:div>
    <w:div w:id="991718143">
      <w:bodyDiv w:val="1"/>
      <w:marLeft w:val="0"/>
      <w:marRight w:val="0"/>
      <w:marTop w:val="0"/>
      <w:marBottom w:val="0"/>
      <w:divBdr>
        <w:top w:val="none" w:sz="0" w:space="0" w:color="auto"/>
        <w:left w:val="none" w:sz="0" w:space="0" w:color="auto"/>
        <w:bottom w:val="none" w:sz="0" w:space="0" w:color="auto"/>
        <w:right w:val="none" w:sz="0" w:space="0" w:color="auto"/>
      </w:divBdr>
    </w:div>
    <w:div w:id="1010176403">
      <w:bodyDiv w:val="1"/>
      <w:marLeft w:val="0"/>
      <w:marRight w:val="0"/>
      <w:marTop w:val="0"/>
      <w:marBottom w:val="0"/>
      <w:divBdr>
        <w:top w:val="none" w:sz="0" w:space="0" w:color="auto"/>
        <w:left w:val="none" w:sz="0" w:space="0" w:color="auto"/>
        <w:bottom w:val="none" w:sz="0" w:space="0" w:color="auto"/>
        <w:right w:val="none" w:sz="0" w:space="0" w:color="auto"/>
      </w:divBdr>
    </w:div>
    <w:div w:id="1056780945">
      <w:bodyDiv w:val="1"/>
      <w:marLeft w:val="0"/>
      <w:marRight w:val="0"/>
      <w:marTop w:val="0"/>
      <w:marBottom w:val="0"/>
      <w:divBdr>
        <w:top w:val="none" w:sz="0" w:space="0" w:color="auto"/>
        <w:left w:val="none" w:sz="0" w:space="0" w:color="auto"/>
        <w:bottom w:val="none" w:sz="0" w:space="0" w:color="auto"/>
        <w:right w:val="none" w:sz="0" w:space="0" w:color="auto"/>
      </w:divBdr>
    </w:div>
    <w:div w:id="1066949741">
      <w:bodyDiv w:val="1"/>
      <w:marLeft w:val="0"/>
      <w:marRight w:val="0"/>
      <w:marTop w:val="0"/>
      <w:marBottom w:val="0"/>
      <w:divBdr>
        <w:top w:val="none" w:sz="0" w:space="0" w:color="auto"/>
        <w:left w:val="none" w:sz="0" w:space="0" w:color="auto"/>
        <w:bottom w:val="none" w:sz="0" w:space="0" w:color="auto"/>
        <w:right w:val="none" w:sz="0" w:space="0" w:color="auto"/>
      </w:divBdr>
    </w:div>
    <w:div w:id="1071121451">
      <w:bodyDiv w:val="1"/>
      <w:marLeft w:val="0"/>
      <w:marRight w:val="0"/>
      <w:marTop w:val="0"/>
      <w:marBottom w:val="0"/>
      <w:divBdr>
        <w:top w:val="none" w:sz="0" w:space="0" w:color="auto"/>
        <w:left w:val="none" w:sz="0" w:space="0" w:color="auto"/>
        <w:bottom w:val="none" w:sz="0" w:space="0" w:color="auto"/>
        <w:right w:val="none" w:sz="0" w:space="0" w:color="auto"/>
      </w:divBdr>
    </w:div>
    <w:div w:id="1193180646">
      <w:bodyDiv w:val="1"/>
      <w:marLeft w:val="0"/>
      <w:marRight w:val="0"/>
      <w:marTop w:val="0"/>
      <w:marBottom w:val="0"/>
      <w:divBdr>
        <w:top w:val="none" w:sz="0" w:space="0" w:color="auto"/>
        <w:left w:val="none" w:sz="0" w:space="0" w:color="auto"/>
        <w:bottom w:val="none" w:sz="0" w:space="0" w:color="auto"/>
        <w:right w:val="none" w:sz="0" w:space="0" w:color="auto"/>
      </w:divBdr>
    </w:div>
    <w:div w:id="1217550639">
      <w:bodyDiv w:val="1"/>
      <w:marLeft w:val="0"/>
      <w:marRight w:val="0"/>
      <w:marTop w:val="0"/>
      <w:marBottom w:val="0"/>
      <w:divBdr>
        <w:top w:val="none" w:sz="0" w:space="0" w:color="auto"/>
        <w:left w:val="none" w:sz="0" w:space="0" w:color="auto"/>
        <w:bottom w:val="none" w:sz="0" w:space="0" w:color="auto"/>
        <w:right w:val="none" w:sz="0" w:space="0" w:color="auto"/>
      </w:divBdr>
    </w:div>
    <w:div w:id="1241521372">
      <w:bodyDiv w:val="1"/>
      <w:marLeft w:val="0"/>
      <w:marRight w:val="0"/>
      <w:marTop w:val="0"/>
      <w:marBottom w:val="0"/>
      <w:divBdr>
        <w:top w:val="none" w:sz="0" w:space="0" w:color="auto"/>
        <w:left w:val="none" w:sz="0" w:space="0" w:color="auto"/>
        <w:bottom w:val="none" w:sz="0" w:space="0" w:color="auto"/>
        <w:right w:val="none" w:sz="0" w:space="0" w:color="auto"/>
      </w:divBdr>
    </w:div>
    <w:div w:id="1251741680">
      <w:bodyDiv w:val="1"/>
      <w:marLeft w:val="0"/>
      <w:marRight w:val="0"/>
      <w:marTop w:val="0"/>
      <w:marBottom w:val="0"/>
      <w:divBdr>
        <w:top w:val="none" w:sz="0" w:space="0" w:color="auto"/>
        <w:left w:val="none" w:sz="0" w:space="0" w:color="auto"/>
        <w:bottom w:val="none" w:sz="0" w:space="0" w:color="auto"/>
        <w:right w:val="none" w:sz="0" w:space="0" w:color="auto"/>
      </w:divBdr>
    </w:div>
    <w:div w:id="1340893316">
      <w:bodyDiv w:val="1"/>
      <w:marLeft w:val="0"/>
      <w:marRight w:val="0"/>
      <w:marTop w:val="0"/>
      <w:marBottom w:val="0"/>
      <w:divBdr>
        <w:top w:val="none" w:sz="0" w:space="0" w:color="auto"/>
        <w:left w:val="none" w:sz="0" w:space="0" w:color="auto"/>
        <w:bottom w:val="none" w:sz="0" w:space="0" w:color="auto"/>
        <w:right w:val="none" w:sz="0" w:space="0" w:color="auto"/>
      </w:divBdr>
    </w:div>
    <w:div w:id="1365325993">
      <w:bodyDiv w:val="1"/>
      <w:marLeft w:val="0"/>
      <w:marRight w:val="0"/>
      <w:marTop w:val="0"/>
      <w:marBottom w:val="0"/>
      <w:divBdr>
        <w:top w:val="none" w:sz="0" w:space="0" w:color="auto"/>
        <w:left w:val="none" w:sz="0" w:space="0" w:color="auto"/>
        <w:bottom w:val="none" w:sz="0" w:space="0" w:color="auto"/>
        <w:right w:val="none" w:sz="0" w:space="0" w:color="auto"/>
      </w:divBdr>
    </w:div>
    <w:div w:id="1607422998">
      <w:bodyDiv w:val="1"/>
      <w:marLeft w:val="0"/>
      <w:marRight w:val="0"/>
      <w:marTop w:val="0"/>
      <w:marBottom w:val="0"/>
      <w:divBdr>
        <w:top w:val="none" w:sz="0" w:space="0" w:color="auto"/>
        <w:left w:val="none" w:sz="0" w:space="0" w:color="auto"/>
        <w:bottom w:val="none" w:sz="0" w:space="0" w:color="auto"/>
        <w:right w:val="none" w:sz="0" w:space="0" w:color="auto"/>
      </w:divBdr>
    </w:div>
    <w:div w:id="1666350163">
      <w:bodyDiv w:val="1"/>
      <w:marLeft w:val="0"/>
      <w:marRight w:val="0"/>
      <w:marTop w:val="0"/>
      <w:marBottom w:val="0"/>
      <w:divBdr>
        <w:top w:val="none" w:sz="0" w:space="0" w:color="auto"/>
        <w:left w:val="none" w:sz="0" w:space="0" w:color="auto"/>
        <w:bottom w:val="none" w:sz="0" w:space="0" w:color="auto"/>
        <w:right w:val="none" w:sz="0" w:space="0" w:color="auto"/>
      </w:divBdr>
    </w:div>
    <w:div w:id="1689452876">
      <w:bodyDiv w:val="1"/>
      <w:marLeft w:val="0"/>
      <w:marRight w:val="0"/>
      <w:marTop w:val="0"/>
      <w:marBottom w:val="0"/>
      <w:divBdr>
        <w:top w:val="none" w:sz="0" w:space="0" w:color="auto"/>
        <w:left w:val="none" w:sz="0" w:space="0" w:color="auto"/>
        <w:bottom w:val="none" w:sz="0" w:space="0" w:color="auto"/>
        <w:right w:val="none" w:sz="0" w:space="0" w:color="auto"/>
      </w:divBdr>
    </w:div>
    <w:div w:id="1722291477">
      <w:bodyDiv w:val="1"/>
      <w:marLeft w:val="0"/>
      <w:marRight w:val="0"/>
      <w:marTop w:val="0"/>
      <w:marBottom w:val="0"/>
      <w:divBdr>
        <w:top w:val="none" w:sz="0" w:space="0" w:color="auto"/>
        <w:left w:val="none" w:sz="0" w:space="0" w:color="auto"/>
        <w:bottom w:val="none" w:sz="0" w:space="0" w:color="auto"/>
        <w:right w:val="none" w:sz="0" w:space="0" w:color="auto"/>
      </w:divBdr>
    </w:div>
    <w:div w:id="1732727644">
      <w:bodyDiv w:val="1"/>
      <w:marLeft w:val="0"/>
      <w:marRight w:val="0"/>
      <w:marTop w:val="0"/>
      <w:marBottom w:val="0"/>
      <w:divBdr>
        <w:top w:val="none" w:sz="0" w:space="0" w:color="auto"/>
        <w:left w:val="none" w:sz="0" w:space="0" w:color="auto"/>
        <w:bottom w:val="none" w:sz="0" w:space="0" w:color="auto"/>
        <w:right w:val="none" w:sz="0" w:space="0" w:color="auto"/>
      </w:divBdr>
    </w:div>
    <w:div w:id="1733886797">
      <w:bodyDiv w:val="1"/>
      <w:marLeft w:val="0"/>
      <w:marRight w:val="0"/>
      <w:marTop w:val="0"/>
      <w:marBottom w:val="0"/>
      <w:divBdr>
        <w:top w:val="none" w:sz="0" w:space="0" w:color="auto"/>
        <w:left w:val="none" w:sz="0" w:space="0" w:color="auto"/>
        <w:bottom w:val="none" w:sz="0" w:space="0" w:color="auto"/>
        <w:right w:val="none" w:sz="0" w:space="0" w:color="auto"/>
      </w:divBdr>
    </w:div>
    <w:div w:id="1817915996">
      <w:bodyDiv w:val="1"/>
      <w:marLeft w:val="0"/>
      <w:marRight w:val="0"/>
      <w:marTop w:val="0"/>
      <w:marBottom w:val="0"/>
      <w:divBdr>
        <w:top w:val="none" w:sz="0" w:space="0" w:color="auto"/>
        <w:left w:val="none" w:sz="0" w:space="0" w:color="auto"/>
        <w:bottom w:val="none" w:sz="0" w:space="0" w:color="auto"/>
        <w:right w:val="none" w:sz="0" w:space="0" w:color="auto"/>
      </w:divBdr>
    </w:div>
    <w:div w:id="1841460756">
      <w:bodyDiv w:val="1"/>
      <w:marLeft w:val="0"/>
      <w:marRight w:val="0"/>
      <w:marTop w:val="0"/>
      <w:marBottom w:val="0"/>
      <w:divBdr>
        <w:top w:val="none" w:sz="0" w:space="0" w:color="auto"/>
        <w:left w:val="none" w:sz="0" w:space="0" w:color="auto"/>
        <w:bottom w:val="none" w:sz="0" w:space="0" w:color="auto"/>
        <w:right w:val="none" w:sz="0" w:space="0" w:color="auto"/>
      </w:divBdr>
    </w:div>
    <w:div w:id="1863085131">
      <w:bodyDiv w:val="1"/>
      <w:marLeft w:val="0"/>
      <w:marRight w:val="0"/>
      <w:marTop w:val="0"/>
      <w:marBottom w:val="0"/>
      <w:divBdr>
        <w:top w:val="none" w:sz="0" w:space="0" w:color="auto"/>
        <w:left w:val="none" w:sz="0" w:space="0" w:color="auto"/>
        <w:bottom w:val="none" w:sz="0" w:space="0" w:color="auto"/>
        <w:right w:val="none" w:sz="0" w:space="0" w:color="auto"/>
      </w:divBdr>
    </w:div>
    <w:div w:id="1941067151">
      <w:bodyDiv w:val="1"/>
      <w:marLeft w:val="0"/>
      <w:marRight w:val="0"/>
      <w:marTop w:val="0"/>
      <w:marBottom w:val="0"/>
      <w:divBdr>
        <w:top w:val="none" w:sz="0" w:space="0" w:color="auto"/>
        <w:left w:val="none" w:sz="0" w:space="0" w:color="auto"/>
        <w:bottom w:val="none" w:sz="0" w:space="0" w:color="auto"/>
        <w:right w:val="none" w:sz="0" w:space="0" w:color="auto"/>
      </w:divBdr>
    </w:div>
    <w:div w:id="1985618024">
      <w:bodyDiv w:val="1"/>
      <w:marLeft w:val="0"/>
      <w:marRight w:val="0"/>
      <w:marTop w:val="0"/>
      <w:marBottom w:val="0"/>
      <w:divBdr>
        <w:top w:val="none" w:sz="0" w:space="0" w:color="auto"/>
        <w:left w:val="none" w:sz="0" w:space="0" w:color="auto"/>
        <w:bottom w:val="none" w:sz="0" w:space="0" w:color="auto"/>
        <w:right w:val="none" w:sz="0" w:space="0" w:color="auto"/>
      </w:divBdr>
    </w:div>
    <w:div w:id="1985965186">
      <w:bodyDiv w:val="1"/>
      <w:marLeft w:val="0"/>
      <w:marRight w:val="0"/>
      <w:marTop w:val="0"/>
      <w:marBottom w:val="0"/>
      <w:divBdr>
        <w:top w:val="none" w:sz="0" w:space="0" w:color="auto"/>
        <w:left w:val="none" w:sz="0" w:space="0" w:color="auto"/>
        <w:bottom w:val="none" w:sz="0" w:space="0" w:color="auto"/>
        <w:right w:val="none" w:sz="0" w:space="0" w:color="auto"/>
      </w:divBdr>
    </w:div>
    <w:div w:id="2011836757">
      <w:bodyDiv w:val="1"/>
      <w:marLeft w:val="0"/>
      <w:marRight w:val="0"/>
      <w:marTop w:val="0"/>
      <w:marBottom w:val="0"/>
      <w:divBdr>
        <w:top w:val="none" w:sz="0" w:space="0" w:color="auto"/>
        <w:left w:val="none" w:sz="0" w:space="0" w:color="auto"/>
        <w:bottom w:val="none" w:sz="0" w:space="0" w:color="auto"/>
        <w:right w:val="none" w:sz="0" w:space="0" w:color="auto"/>
      </w:divBdr>
    </w:div>
    <w:div w:id="2042244159">
      <w:bodyDiv w:val="1"/>
      <w:marLeft w:val="0"/>
      <w:marRight w:val="0"/>
      <w:marTop w:val="0"/>
      <w:marBottom w:val="0"/>
      <w:divBdr>
        <w:top w:val="none" w:sz="0" w:space="0" w:color="auto"/>
        <w:left w:val="none" w:sz="0" w:space="0" w:color="auto"/>
        <w:bottom w:val="none" w:sz="0" w:space="0" w:color="auto"/>
        <w:right w:val="none" w:sz="0" w:space="0" w:color="auto"/>
      </w:divBdr>
    </w:div>
    <w:div w:id="2056856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doi.org/10.1145/3583558" TargetMode="External"/><Relationship Id="rId26" Type="http://schemas.openxmlformats.org/officeDocument/2006/relationships/hyperlink" Target="https://arxiv.org/abs/1806.08049" TargetMode="External"/><Relationship Id="rId39" Type="http://schemas.openxmlformats.org/officeDocument/2006/relationships/hyperlink" Target="https://doi.org/10.1145/3351095.3372850" TargetMode="External"/><Relationship Id="rId21" Type="http://schemas.openxmlformats.org/officeDocument/2006/relationships/hyperlink" Target="https://doi.org/10.1016/j.neucom.2024.128282" TargetMode="External"/><Relationship Id="rId34" Type="http://schemas.openxmlformats.org/officeDocument/2006/relationships/hyperlink" Target="https://doi.org/10.1145/2939672.2939785" TargetMode="External"/><Relationship Id="rId42" Type="http://schemas.openxmlformats.org/officeDocument/2006/relationships/hyperlink" Target="https://doi.org/10.24432/C5NC77" TargetMode="External"/><Relationship Id="rId47" Type="http://schemas.openxmlformats.org/officeDocument/2006/relationships/hyperlink" Target="https://doi.org/10.18653/v1/2020.acl-main.386" TargetMode="Externa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016/j.cogsys.2024.101243" TargetMode="External"/><Relationship Id="rId29" Type="http://schemas.openxmlformats.org/officeDocument/2006/relationships/hyperlink" Target="https://proceedings.mlr.press/v162/rong22a.html" TargetMode="External"/><Relationship Id="rId11" Type="http://schemas.openxmlformats.org/officeDocument/2006/relationships/header" Target="header1.xml"/><Relationship Id="rId24" Type="http://schemas.openxmlformats.org/officeDocument/2006/relationships/hyperlink" Target="https://doi.org/10.24963/ijcai.2020/417" TargetMode="External"/><Relationship Id="rId32" Type="http://schemas.openxmlformats.org/officeDocument/2006/relationships/hyperlink" Target="https://doi.org/10.24432/C5XW20" TargetMode="External"/><Relationship Id="rId37" Type="http://schemas.openxmlformats.org/officeDocument/2006/relationships/hyperlink" Target="https://doi.org/10.3389/fpsyg.2013.00863" TargetMode="External"/><Relationship Id="rId40" Type="http://schemas.openxmlformats.org/officeDocument/2006/relationships/hyperlink" Target="http://archive.ics.uci.edu/ml" TargetMode="External"/><Relationship Id="rId45" Type="http://schemas.openxmlformats.org/officeDocument/2006/relationships/hyperlink" Target="https://doi.org/10.1007/s10994-022-06167-y" TargetMode="External"/><Relationship Id="rId5" Type="http://schemas.openxmlformats.org/officeDocument/2006/relationships/webSettings" Target="webSettings.xml"/><Relationship Id="rId15" Type="http://schemas.openxmlformats.org/officeDocument/2006/relationships/hyperlink" Target="https://doi.org/10.1145/2939672.2939778" TargetMode="External"/><Relationship Id="rId23" Type="http://schemas.openxmlformats.org/officeDocument/2006/relationships/hyperlink" Target="https://doi.org/10.69850/rimi.vi3.307" TargetMode="External"/><Relationship Id="rId28" Type="http://schemas.openxmlformats.org/officeDocument/2006/relationships/hyperlink" Target="https://openreview.net/forum?id=MU2495w47rz" TargetMode="External"/><Relationship Id="rId36" Type="http://schemas.openxmlformats.org/officeDocument/2006/relationships/hyperlink" Target="https://doi.org/10.2307/3001968" TargetMode="External"/><Relationship Id="rId49" Type="http://schemas.openxmlformats.org/officeDocument/2006/relationships/fontTable" Target="fontTable.xml"/><Relationship Id="rId10" Type="http://schemas.openxmlformats.org/officeDocument/2006/relationships/hyperlink" Target="https://dergipark.org.tr/en/pub/ci" TargetMode="External"/><Relationship Id="rId19" Type="http://schemas.openxmlformats.org/officeDocument/2006/relationships/hyperlink" Target="https://doi.org/10.1145/3737445" TargetMode="External"/><Relationship Id="rId31" Type="http://schemas.openxmlformats.org/officeDocument/2006/relationships/hyperlink" Target="https://arxiv.org/abs/2002.11097" TargetMode="External"/><Relationship Id="rId44" Type="http://schemas.openxmlformats.org/officeDocument/2006/relationships/hyperlink" Target="https://arxiv.org/abs/1702.08608"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5.png"/><Relationship Id="rId22" Type="http://schemas.openxmlformats.org/officeDocument/2006/relationships/hyperlink" Target="https://openreview.net/forum?id=X0r4BN50Dv" TargetMode="External"/><Relationship Id="rId27" Type="http://schemas.openxmlformats.org/officeDocument/2006/relationships/hyperlink" Target="https://jmlr.org/papers/v24/22-0142.html" TargetMode="External"/><Relationship Id="rId30" Type="http://schemas.openxmlformats.org/officeDocument/2006/relationships/hyperlink" Target="https://doi.org/10.1145/3375627.3375830" TargetMode="External"/><Relationship Id="rId35" Type="http://schemas.openxmlformats.org/officeDocument/2006/relationships/hyperlink" Target="https://jmlr.org/papers/v7/demsar06a.html" TargetMode="External"/><Relationship Id="rId43" Type="http://schemas.openxmlformats.org/officeDocument/2006/relationships/hyperlink" Target="https://doi.org/10.1038/s44387-026-00095-1" TargetMode="External"/><Relationship Id="rId48" Type="http://schemas.openxmlformats.org/officeDocument/2006/relationships/header" Target="header2.xml"/><Relationship Id="rId8" Type="http://schemas.openxmlformats.org/officeDocument/2006/relationships/hyperlink" Target="https://doi.org/10.62189/ci.1260288" TargetMode="Externa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yperlink" Target="https://doi.org/10.1016/j.inffus.2023.101805" TargetMode="External"/><Relationship Id="rId25" Type="http://schemas.openxmlformats.org/officeDocument/2006/relationships/hyperlink" Target="https://doi.org/10.1109/TNNLS.2016.2599820" TargetMode="External"/><Relationship Id="rId33" Type="http://schemas.openxmlformats.org/officeDocument/2006/relationships/hyperlink" Target="https://doi.org/10.1023/A:1010933404324" TargetMode="External"/><Relationship Id="rId38" Type="http://schemas.openxmlformats.org/officeDocument/2006/relationships/hyperlink" Target="https://doi.org/10.1609/aaai.v32i1.11491" TargetMode="External"/><Relationship Id="rId46" Type="http://schemas.openxmlformats.org/officeDocument/2006/relationships/hyperlink" Target="https://proceedings.mlr.press/v202/wilming23a.html" TargetMode="External"/><Relationship Id="rId20" Type="http://schemas.openxmlformats.org/officeDocument/2006/relationships/hyperlink" Target="https://doi.org/10.1016/j.inffus.2024.102301" TargetMode="External"/><Relationship Id="rId41" Type="http://schemas.openxmlformats.org/officeDocument/2006/relationships/hyperlink" Target="https://doi.org/10.24432/C5DW2B"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06A40769-C53B-4B9B-A379-9C9D84B38F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14</Pages>
  <Words>6509</Words>
  <Characters>37576</Characters>
  <Application>Microsoft Office Word</Application>
  <DocSecurity>0</DocSecurity>
  <Lines>736</Lines>
  <Paragraphs>355</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43702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Does SHAP Outperform LIME? Model- and Configuration-Dependent Results from a Paired Tabular Benchmark</dc:title>
  <dc:creator/>
  <cp:lastModifiedBy/>
  <cp:revision>5</cp:revision>
  <cp:lastPrinted>2024-01-12T14:22:00Z</cp:lastPrinted>
  <dcterms:created xsi:type="dcterms:W3CDTF">2024-01-12T15:07:00Z</dcterms:created>
  <dcterms:modified xsi:type="dcterms:W3CDTF">2026-10-21T23:23:00Z</dcterms:modified>
</cp:coreProperties>
</file>