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both"/>
      </w:pPr>
      <w:r>
        <w:t xml:space="preserve">Dedicatoria</w:t>
      </w:r>
    </w:p>
    <w:p>
      <w:pPr>
        <w:pStyle w:val="FirstParagraph"/>
        <w:spacing w:line="360" w:lineRule="auto"/>
        <w:jc w:val="both"/>
      </w:pPr>
      <w:r>
        <w:t xml:space="preserve">A mi hijo, Alejandro, su curiosidad es mi inspiración para seguir buscando</w:t>
      </w:r>
      <w:r>
        <w:t xml:space="preserve"> </w:t>
      </w:r>
      <w:r>
        <w:t xml:space="preserve">respuesta a todas las preguntas.</w:t>
      </w:r>
    </w:p>
    <w:p>
      <w:pPr>
        <w:pStyle w:val="Textoindependiente"/>
        <w:spacing w:line="360" w:lineRule="auto"/>
        <w:jc w:val="both"/>
      </w:pPr>
      <w:r>
        <w:t xml:space="preserve">A mi esposa, Liena, tu presencia en mi vida me ha hecho una mejor persona.</w:t>
      </w:r>
    </w:p>
    <w:p>
      <w:pPr>
        <w:pStyle w:val="Textoindependiente"/>
        <w:spacing w:line="360" w:lineRule="auto"/>
        <w:jc w:val="both"/>
      </w:pPr>
      <w:r>
        <w:t xml:space="preserve">A mi madre, Alis, sin tu guía no hubiese podido llegar aquí.</w:t>
      </w:r>
    </w:p>
    <w:p>
      <w:pPr>
        <w:pStyle w:val="Textoindependiente"/>
        <w:spacing w:line="360" w:lineRule="auto"/>
        <w:jc w:val="both"/>
      </w:pPr>
      <w:r>
        <w:t xml:space="preserve">Jonathan Herrera Vásquez</w:t>
      </w:r>
    </w:p>
    <w:p>
      <w:pPr>
        <w:spacing w:line="360" w:lineRule="auto"/>
        <w:jc w:val="both"/>
      </w:pPr>
      <w:r>
        <w:br w:type="page"/>
      </w:r>
    </w:p>
    <w:bookmarkEnd w:id="25"/>
    <w:bookmarkStart w:id="26" w:name="agradecimientos"/>
    <w:p>
      <w:pPr>
        <w:pStyle w:val="Ttulo1"/>
        <w:spacing w:line="360" w:lineRule="auto"/>
        <w:jc w:val="both"/>
      </w:pPr>
      <w:r>
        <w:t xml:space="preserve">Agradecimientos</w:t>
      </w:r>
    </w:p>
    <w:p>
      <w:pPr>
        <w:pStyle w:val="FirstParagraph"/>
        <w:spacing w:line="360" w:lineRule="auto"/>
        <w:jc w:val="both"/>
      </w:pPr>
      <w:r>
        <w:t xml:space="preserve">Agradezco a mi familia por todo su apoyo en el camino a través de los años.</w:t>
      </w:r>
    </w:p>
    <w:p>
      <w:pPr>
        <w:pStyle w:val="Textoindependiente"/>
        <w:spacing w:line="360" w:lineRule="auto"/>
        <w:jc w:val="both"/>
      </w:pPr>
      <w:r>
        <w:t xml:space="preserve">Agradezco al Dr. Miguel Herrero Uceda por su apoyo en el proceso de elaboración</w:t>
      </w:r>
      <w:r>
        <w:t xml:space="preserve"> </w:t>
      </w:r>
      <w:r>
        <w:t xml:space="preserve">de esta tesis.</w:t>
      </w:r>
    </w:p>
    <w:p>
      <w:pPr>
        <w:spacing w:line="360" w:lineRule="auto"/>
        <w:jc w:val="both"/>
      </w:pPr>
      <w: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and Zhang 2023)</w:t>
      </w:r>
      <w:r>
        <w:t xml:space="preserve">, en la auditoría de sesgos en sistemas de clasificación de texto</w:t>
      </w:r>
      <w:r>
        <w:t xml:space="preserve"> </w:t>
      </w:r>
      <w:r>
        <w:t xml:space="preserve">(Muntasir and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and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and Thangarajah 2024; Hosseini and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Objetivos e hipótesis</w:t>
      </w:r>
    </w:p>
    <w:bookmarkStart w:id="32"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2"/>
    <w:bookmarkStart w:id="33"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tblLayout w:type="fixed"/>
        <w:tblLook w:firstRow="0" w:lastRow="0" w:firstColumn="0" w:lastColumn="0" w:noHBand="0" w:noVBand="0" w:val="0000"/>
      </w:tblPr>
      <w:tblGrid>
        <w:gridCol w:w="7920"/>
      </w:tblGrid>
      <w:tr>
        <w:tc>
          <w:tcPr/>
          <w:bookmarkStart w:id="34" w:name="tbl-estudios"/>
          <w:p>
            <w:pPr>
              <w:jc w:val="both"/>
              <w:spacing w:line="360" w:lineRule="auto"/>
            </w:pPr>
            <w:pPr>
              <w:jc w:val="left"/>
              <w:spacing w:before="200"/>
              <w:pStyle w:val="ImageCaption"/>
            </w:pPr>
            <w:r>
              <w:t xml:space="preserve">Table 1.1: Nomenclatura, alcance y trazabilidad de los cuatro estudios.</w:t>
            </w:r>
          </w:p>
          <w:tbl>
            <w:tblPr>
              <w:tblStyle w:val="Table"/>
              <w:tblW w:type="pct" w:w="5000"/>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t xml:space="preserve">Estudio</w:t>
                  </w:r>
                </w:p>
              </w:tc>
              <w:tc>
                <w:tcPr/>
                <w:p>
                  <w:pPr>
                    <w:pStyle w:val="Compact"/>
                    <w:jc w:val="both"/>
                    <w:jc w:val="center"/>
                    <w:spacing w:line="360" w:lineRule="auto"/>
                  </w:pPr>
                  <w:r>
                    <w:t xml:space="preserve">Pregunta que responde</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and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Metodología general de la investigación</w:t>
      </w:r>
    </w:p>
    <w:bookmarkStart w:id="38"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3"/>
    <w:bookmarkStart w:id="44"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Marco teórico específico / fundamentos conceptuales</w:t>
      </w:r>
    </w:p>
    <w:bookmarkStart w:id="47"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and Martinez 2019)</w:t>
      </w:r>
      <w:r>
        <w:t xml:space="preserve">, arquitecturas prototípicas</w:t>
      </w:r>
      <w:r>
        <w:t xml:space="preserve"> </w:t>
      </w:r>
      <w:r>
        <w:t xml:space="preserve">(Hess and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and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Métodos de explicación evaluados en esta tesis</w:t>
      </w:r>
    </w:p>
    <w:bookmarkStart w:id="50"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and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and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5" w:name="tbl-framework-comparison"/>
          <w:p>
            <w:pPr>
              <w:jc w:val="both"/>
              <w:spacing w:line="360" w:lineRule="auto"/>
            </w:pPr>
            <w:pPr>
              <w:jc w:val="left"/>
              <w:spacing w:before="200"/>
              <w:pStyle w:val="ImageCaption"/>
            </w:pPr>
            <w:r>
              <w:t xml:space="preserve">Table 2.1: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and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and Carman 2024)</w:t>
      </w:r>
      <w:r>
        <w:t xml:space="preserve">, el diseño de la interfaz que la presenta</w:t>
      </w:r>
      <w:r>
        <w:t xml:space="preserve"> </w:t>
      </w:r>
      <w:r>
        <w:t xml:space="preserve">(Bhat and Long 2024; Alkhateeb and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and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3" w:name="tbl-model-performance"/>
          <w:p>
            <w:pPr>
              <w:jc w:val="both"/>
              <w:spacing w:line="360" w:lineRule="auto"/>
            </w:pPr>
            <w:pPr>
              <w:jc w:val="left"/>
              <w:spacing w:before="200"/>
              <w:pStyle w:val="ImageCaption"/>
            </w:pPr>
            <w:r>
              <w:t xml:space="preserve">Table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Conjunto de datos y protocolo de preprocesamiento</w:t>
      </w:r>
    </w:p>
    <w:bookmarkStart w:id="67"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Protocolo de muestreo de instancias y configuración de explicadores</w:t>
      </w:r>
    </w:p>
    <w:bookmarkStart w:id="73"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81" w:name="tbl-metrics"/>
          <w:p>
            <w:pPr>
              <w:jc w:val="both"/>
              <w:spacing w:line="360" w:lineRule="auto"/>
            </w:pPr>
            <w:pPr>
              <w:jc w:val="left"/>
              <w:spacing w:before="200"/>
              <w:pStyle w:val="ImageCaption"/>
            </w:pPr>
            <w:r>
              <w:t xml:space="preserve">Table 3.2: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4" w:name="tbl-fom7-gates"/>
          <w:p>
            <w:pPr>
              <w:jc w:val="both"/>
              <w:spacing w:line="360" w:lineRule="auto"/>
            </w:pPr>
            <w:pPr>
              <w:jc w:val="left"/>
              <w:spacing w:before="200"/>
              <w:pStyle w:val="ImageCaption"/>
            </w:pPr>
            <w:r>
              <w:t xml:space="preserve">Table 3.3: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4.1</w:t>
                    </w:r>
                  </w:hyperlink>
                  <w:r>
                    <w:t xml:space="preserve"> </w:t>
                  </w:r>
                  <w:r>
                    <w:t xml:space="preserve">y</w:t>
                  </w:r>
                  <w:r>
                    <w:t xml:space="preserve"> </w:t>
                  </w:r>
                  <w:hyperlink w:anchor="tbl-claim-traceability">
                    <w:r>
                      <w:rPr>
                        <w:rStyle w:val="Hipervnculo"/>
                      </w:rPr>
                      <w:t xml:space="preserve">Table 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Cobertura de artefactos y análisis del impacto de datos faltantes</w:t>
      </w:r>
    </w:p>
    <w:bookmarkStart w:id="88"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6" w:name="tbl-coverage"/>
          <w:p>
            <w:pPr>
              <w:jc w:val="both"/>
              <w:spacing w:line="360" w:lineRule="auto"/>
            </w:pPr>
            <w:pPr>
              <w:jc w:val="left"/>
              <w:spacing w:before="200"/>
              <w:pStyle w:val="ImageCaption"/>
            </w:pPr>
            <w:r>
              <w:t xml:space="preserve">Table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7" w:name="tbl-coverage-method"/>
          <w:p>
            <w:pPr>
              <w:jc w:val="both"/>
              <w:spacing w:line="360" w:lineRule="auto"/>
            </w:pPr>
            <w:pPr>
              <w:jc w:val="left"/>
              <w:spacing w:before="200"/>
              <w:pStyle w:val="ImageCaption"/>
            </w:pPr>
            <w:r>
              <w:t xml:space="preserve">Table 3.5: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Plan de inferencia estadística</w:t>
      </w:r>
    </w:p>
    <w:bookmarkStart w:id="91" w:name="Xb1cf6929af397b34ac8b341602720570fd1cf16"/>
    <w:p>
      <w:pPr>
        <w:pStyle w:val="Ttulo3"/>
        <w:spacing w:line="360" w:lineRule="auto"/>
        <w:jc w:val="both"/>
      </w:pP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4" w:name="tbl-stat-plan"/>
          <w:p>
            <w:pPr>
              <w:jc w:val="both"/>
              <w:spacing w:line="360" w:lineRule="auto"/>
            </w:pPr>
            <w:pPr>
              <w:jc w:val="left"/>
              <w:spacing w:before="200"/>
              <w:pStyle w:val="ImageCaption"/>
            </w:pPr>
            <w:r>
              <w:t xml:space="preserve">Table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6" w:name="tbl-hypo-plan"/>
          <w:p>
            <w:pPr>
              <w:jc w:val="both"/>
              <w:spacing w:line="360" w:lineRule="auto"/>
            </w:pPr>
            <w:pPr>
              <w:jc w:val="left"/>
              <w:spacing w:before="200"/>
              <w:pStyle w:val="ImageCaption"/>
            </w:pPr>
            <w:r>
              <w:t xml:space="preserve">Table 3.7: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9" w:name="tbl-validity-threats"/>
          <w:p>
            <w:pPr>
              <w:jc w:val="both"/>
              <w:spacing w:line="360" w:lineRule="auto"/>
            </w:pPr>
            <w:pPr>
              <w:jc w:val="left"/>
              <w:spacing w:before="200"/>
              <w:pStyle w:val="ImageCaption"/>
            </w:pPr>
            <w:r>
              <w:t xml:space="preserve">Table 3.8: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6" w:name="tbl-results-overview"/>
          <w:p>
            <w:pPr>
              <w:jc w:val="both"/>
              <w:spacing w:line="360" w:lineRule="auto"/>
            </w:pPr>
            <w:pPr>
              <w:jc w:val="left"/>
              <w:spacing w:before="200"/>
              <w:pStyle w:val="ImageCaption"/>
            </w:pPr>
            <w:r>
              <w:t xml:space="preserve">Table 4.1: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Estudio Omnibus Multimétrico: H1 y H2</w:t>
      </w:r>
    </w:p>
    <w:bookmarkStart w:id="110"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8" w:name="tbl-friedman-fidelity"/>
          <w:p>
            <w:pPr>
              <w:jc w:val="both"/>
              <w:spacing w:line="360" w:lineRule="auto"/>
            </w:pPr>
            <w:pPr>
              <w:jc w:val="left"/>
              <w:spacing w:before="200"/>
              <w:pStyle w:val="ImageCaption"/>
            </w:pPr>
            <w:r>
              <w:t xml:space="preserve">Table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9" w:name="tbl-nemenyi-fidelity"/>
          <w:p>
            <w:pPr>
              <w:jc w:val="both"/>
              <w:spacing w:line="360" w:lineRule="auto"/>
            </w:pPr>
            <w:pPr>
              <w:jc w:val="left"/>
              <w:spacing w:before="200"/>
              <w:pStyle w:val="ImageCaption"/>
            </w:pPr>
            <w:r>
              <w:t xml:space="preserve">Table 4.3: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11" w:name="tbl-friedman-stability"/>
          <w:p>
            <w:pPr>
              <w:jc w:val="both"/>
              <w:spacing w:line="360" w:lineRule="auto"/>
            </w:pPr>
            <w:pPr>
              <w:jc w:val="left"/>
              <w:spacing w:before="200"/>
              <w:pStyle w:val="ImageCaption"/>
            </w:pPr>
            <w:r>
              <w:t xml:space="preserve">Table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4" w:name="tbl-paired-shap-lime"/>
          <w:p>
            <w:pPr>
              <w:jc w:val="both"/>
              <w:spacing w:line="360" w:lineRule="auto"/>
            </w:pPr>
            <w:pPr>
              <w:jc w:val="left"/>
              <w:spacing w:before="200"/>
              <w:pStyle w:val="ImageCaption"/>
            </w:pPr>
            <w:r>
              <w:t xml:space="preserve">Table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8" w:name="tbl-cv-p1"/>
          <w:p>
            <w:pPr>
              <w:jc w:val="both"/>
              <w:spacing w:line="360" w:lineRule="auto"/>
            </w:pPr>
            <w:pPr>
              <w:jc w:val="left"/>
              <w:spacing w:before="200"/>
              <w:pStyle w:val="ImageCaption"/>
            </w:pPr>
            <w:r>
              <w:t xml:space="preserve">Table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4.2</w:t>
        </w:r>
      </w:hyperlink>
      <w:r>
        <w:t xml:space="preserve">,</w:t>
      </w:r>
      <w:r>
        <w:t xml:space="preserve"> </w:t>
      </w:r>
      <w:hyperlink w:anchor="tbl-friedman-stability">
        <w:r>
          <w:rPr>
            <w:rStyle w:val="Hipervnculo"/>
          </w:rPr>
          <w:t xml:space="preserve">Table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Análisis transversal: efecto del modelo base y del tamaño de muestra</w:t>
      </w:r>
    </w:p>
    <w:bookmarkStart w:id="125"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8" w:name="tbl-claim-traceability"/>
          <w:p>
            <w:pPr>
              <w:jc w:val="both"/>
              <w:spacing w:line="360" w:lineRule="auto"/>
            </w:pPr>
            <w:pPr>
              <w:jc w:val="left"/>
              <w:spacing w:before="200"/>
              <w:pStyle w:val="ImageCaption"/>
            </w:pPr>
            <w:r>
              <w:t xml:space="preserve">Table 4.7: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4.2</w:t>
                    </w:r>
                  </w:hyperlink>
                  <w:r>
                    <w:t xml:space="preserve"> </w:t>
                  </w:r>
                  <w:r>
                    <w:t xml:space="preserve">y</w:t>
                  </w:r>
                  <w:r>
                    <w:t xml:space="preserve"> </w:t>
                  </w:r>
                  <w:hyperlink w:anchor="tbl-nemenyi-fidelity">
                    <w:r>
                      <w:rPr>
                        <w:rStyle w:val="Hipervnculo"/>
                      </w:rPr>
                      <w:t xml:space="preserve">Table 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3" w:name="fig-estabilidad-coste"/>
          <w:p>
            <w:pPr>
              <w:pStyle w:val="Compact"/>
              <w:jc w:val="both"/>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fig-correlacion-metricas"/>
          <w:p>
            <w:pPr>
              <w:pStyle w:val="Compact"/>
              <w:jc w:val="both"/>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fig-cobertura-exp2"/>
          <w:p>
            <w:pPr>
              <w:pStyle w:val="Compact"/>
              <w:jc w:val="both"/>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5" w:name="fig-cd-diagram"/>
          <w:p>
            <w:pPr>
              <w:pStyle w:val="Compact"/>
              <w:jc w:val="both"/>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fig-boxplots-metricas"/>
          <w:p>
            <w:pPr>
              <w:pStyle w:val="Compact"/>
              <w:jc w:val="both"/>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3" w:name="fig-diferencias-pareadas"/>
          <w:p>
            <w:pPr>
              <w:pStyle w:val="Compact"/>
              <w:jc w:val="both"/>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7" w:name="fig-radar-metodos"/>
          <w:p>
            <w:pPr>
              <w:pStyle w:val="Compact"/>
              <w:jc w:val="both"/>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Discusión</w:t>
      </w:r>
    </w:p>
    <w:bookmarkStart w:id="159"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7" w:name="tbl-taxonomia-ampliada"/>
          <w:p>
            <w:pPr>
              <w:jc w:val="both"/>
              <w:spacing w:line="360" w:lineRule="auto"/>
            </w:pPr>
            <w:pPr>
              <w:jc w:val="left"/>
              <w:spacing w:before="200"/>
              <w:pStyle w:val="ImageCaption"/>
            </w:pPr>
            <w:r>
              <w:t xml:space="preserve">Table 5.1: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tblLayout w:type="fixed"/>
        <w:tblLook w:firstRow="0" w:lastRow="0" w:firstColumn="0" w:lastColumn="0" w:noHBand="0" w:noVBand="0" w:val="0000"/>
      </w:tblPr>
      <w:tblGrid>
        <w:gridCol w:w="7920"/>
      </w:tblGrid>
      <w:tr>
        <w:tc>
          <w:tcPr/>
          <w:bookmarkStart w:id="169" w:name="tbl-taxonomia-benchmark"/>
          <w:p>
            <w:pPr>
              <w:jc w:val="both"/>
              <w:spacing w:line="360" w:lineRule="auto"/>
            </w:pPr>
            <w:pPr>
              <w:jc w:val="left"/>
              <w:spacing w:before="200"/>
              <w:pStyle w:val="ImageCaption"/>
            </w:pPr>
            <w:r>
              <w:t xml:space="preserve">Table 5.2: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71"/>
    <w:bookmarkStart w:id="172"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Estudio de Fiabilidad Inter-juez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3" w:name="tbl-exp4-icc"/>
          <w:p>
            <w:pPr>
              <w:jc w:val="both"/>
              <w:spacing w:line="360" w:lineRule="auto"/>
            </w:pPr>
            <w:pPr>
              <w:jc w:val="left"/>
              <w:spacing w:before="200"/>
              <w:pStyle w:val="ImageCaption"/>
            </w:pPr>
            <w:r>
              <w:t xml:space="preserve">Table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6" w:name="tbl-hipotesis"/>
          <w:p>
            <w:pPr>
              <w:jc w:val="both"/>
              <w:spacing w:line="360" w:lineRule="auto"/>
            </w:pPr>
            <w:pPr>
              <w:jc w:val="left"/>
              <w:spacing w:before="200"/>
              <w:pStyle w:val="ImageCaption"/>
            </w:pPr>
            <w:r>
              <w:t xml:space="preserve">Table 6.1: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7" w:name="tbl-objetivos"/>
          <w:p>
            <w:pPr>
              <w:jc w:val="both"/>
              <w:spacing w:line="360" w:lineRule="auto"/>
            </w:pPr>
            <w:pPr>
              <w:jc w:val="left"/>
              <w:spacing w:before="200"/>
              <w:pStyle w:val="ImageCaption"/>
            </w:pPr>
            <w:r>
              <w:t xml:space="preserve">Table 6.2: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§sec-taxonomia-brechas,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Contribuciones científicas</w:t>
      </w:r>
    </w:p>
    <w:bookmarkStart w:id="179"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6.3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3" w:name="tbl-contribucion-separacion"/>
          <w:p>
            <w:pPr>
              <w:jc w:val="both"/>
              <w:spacing w:line="360" w:lineRule="auto"/>
            </w:pPr>
            <w:pPr>
              <w:jc w:val="left"/>
              <w:spacing w:before="200"/>
              <w:pStyle w:val="ImageCaption"/>
            </w:pPr>
            <w:r>
              <w:t xml:space="preserve">Table 6.3: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6" w:name="tbl-fronteras-generalizacion"/>
          <w:p>
            <w:pPr>
              <w:jc w:val="both"/>
              <w:spacing w:line="360" w:lineRule="auto"/>
            </w:pPr>
            <w:pPr>
              <w:jc w:val="left"/>
              <w:spacing w:before="200"/>
              <w:pStyle w:val="ImageCaption"/>
            </w:pPr>
            <w:r>
              <w:t xml:space="preserve">Table 6.4: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and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and Marinka Zitnik. 2023.</w:t>
      </w:r>
      <w:r>
        <w:t xml:space="preserve"> </w:t>
      </w:r>
      <w:r>
        <w:t xml:space="preserve">“Evaluating Explainability for Graph Neural Networks.”</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and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and David Walker. 2024.</w:t>
      </w:r>
      <w:r>
        <w:t xml:space="preserve"> </w:t>
      </w:r>
      <w:r>
        <w:t xml:space="preserve">“Introduction to the Special Issue on Explainable AI in Evolutionary Computation.”</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and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and Duri Long. 2024.</w:t>
      </w:r>
      <w:r>
        <w:t xml:space="preserve"> </w:t>
      </w:r>
      <w:r>
        <w:t xml:space="preserve">“Designing Interactive Explainable AI Tools for Algorithmic Literacy and Transparency.”</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and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and Glenn Hawe. 2024.</w:t>
      </w:r>
      <w:r>
        <w:t xml:space="preserve"> </w:t>
      </w:r>
      <w:r>
        <w:t xml:space="preserve">“Exploring Trade-Offs in Explainable AI.”</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and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and Kaisa Väänänen. 2023.</w:t>
      </w:r>
      <w:r>
        <w:t xml:space="preserve"> </w:t>
      </w:r>
      <w:r>
        <w:t xml:space="preserve">“Exploring Tangible Explainable AI (TangXAI): A User Study of Two XAI Approaches.”</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and Simone Diniz Junqueira Barbosa. 2024.</w:t>
      </w:r>
      <w:r>
        <w:t xml:space="preserve"> </w:t>
      </w:r>
      <w:r>
        <w:t xml:space="preserve">“Evaluating the Effectiveness of Visual Representations of SHAP Values Toward Explainable Artificial Intelligence.”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and Mark Riedl. 2024.</w:t>
      </w:r>
      <w:r>
        <w:t xml:space="preserve"> </w:t>
      </w:r>
      <w:r>
        <w:t xml:space="preserve">“Explainable AI Reloaded: Challenging the XAI Status Quo in the Era of Large Language Models.”</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and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and Steffen Strassburger. 2023.</w:t>
      </w:r>
      <w:r>
        <w:t xml:space="preserve"> </w:t>
      </w:r>
      <w:r>
        <w:t xml:space="preserve">“From Explainable AI to Explainable Simulation: Using Machine Learning and XAI to Understand System Robustness.”</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and Francesca Dominici. 2019.</w:t>
      </w:r>
      <w:r>
        <w:t xml:space="preserve"> </w:t>
      </w:r>
      <w:r>
        <w:t xml:space="preserve">“All Models Are Wrong, but Many Are Useful: Learning a Variable’s Importance by Studying an Entire Class of Prediction Models Simultaneously.”</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and William Lai. 2024.</w:t>
      </w:r>
      <w:r>
        <w:t xml:space="preserve"> </w:t>
      </w:r>
      <w:r>
        <w:t xml:space="preserve">“Adversarial Robustness and Explainability of Machine Learning Models.”</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and José A. Ruipérez-Valiente. 2024.</w:t>
      </w:r>
      <w:r>
        <w:t xml:space="preserve"> </w:t>
      </w:r>
      <w:r>
        <w:t xml:space="preserve">“Utilizing Explainable AI to Enhance Real-Time Student Performance Prediction in Educational Serious Games.”</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and Gregory Ditzler. 2023.</w:t>
      </w:r>
      <w:r>
        <w:t xml:space="preserve"> </w:t>
      </w:r>
      <w:r>
        <w:t xml:space="preserve">“ProtoShotXAI: Using Prototypical Few-Shot Architecture for Explainable AI.”</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and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and Hossein Seilani. 2025.</w:t>
      </w:r>
      <w:r>
        <w:t xml:space="preserve"> </w:t>
      </w:r>
      <w:r>
        <w:t xml:space="preserve">“The Role of Agentic AI in Shaping a Smart Future: A Systematic Review.”</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and Theodor Panagiotakopoulos. 2023.</w:t>
      </w:r>
      <w:r>
        <w:t xml:space="preserve"> </w:t>
      </w:r>
      <w:r>
        <w:t xml:space="preserve">“KONX: A Dynamic Approach for Explainable AI in Higher Education.”</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and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and Angulakshmi Maruthamuthu. 2025.</w:t>
      </w:r>
      <w:r>
        <w:t xml:space="preserve"> </w:t>
      </w:r>
      <w:r>
        <w:t xml:space="preserve">“A Literature Review on Applications of Explainable Artificial Intelligence (XAI).”</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and Stephane Bressan. 2024.</w:t>
      </w:r>
      <w:r>
        <w:t xml:space="preserve"> </w:t>
      </w:r>
      <w:r>
        <w:t xml:space="preserve">“Expected Shapley-Like Scores of Boolean Functions: Complexity and Applications to Probabilistic Databases.”</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4th ed. SAGE Publications.</w:t>
      </w:r>
    </w:p>
    <w:bookmarkEnd w:id="325"/>
    <w:bookmarkStart w:id="327" w:name="ref-kumagai2023"/>
    <w:p>
      <w:pPr>
        <w:pStyle w:val="Bibliography"/>
        <w:spacing w:line="360" w:lineRule="auto"/>
        <w:jc w:val="both"/>
      </w:pPr>
      <w:r>
        <w:t xml:space="preserve">Kumagai, Ryo, Shu Takemoto, Yusuke Nozaki, and Masaya Yoshikawa. 2023.</w:t>
      </w:r>
      <w:r>
        <w:t xml:space="preserve"> </w:t>
      </w:r>
      <w:r>
        <w:t xml:space="preserve">“Explainable AI Based Adversarial Examples and Its Evaluation.”</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and Dejing Dou. 2022.</w:t>
      </w:r>
      <w:r>
        <w:t xml:space="preserve"> </w:t>
      </w:r>
      <w:r>
        <w:t xml:space="preserve">“InterpretDL: Explaining Deep Models in PaddlePaddle.”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and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and Geoffrey Holmes. 2022.</w:t>
      </w:r>
      <w:r>
        <w:t xml:space="preserve"> </w:t>
      </w:r>
      <w:r>
        <w:t xml:space="preserve">“Sampling Permutations for Shapley Value Estimation.”</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and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and Adam Perer. 2023.</w:t>
      </w:r>
      <w:r>
        <w:t xml:space="preserve"> </w:t>
      </w:r>
      <w:r>
        <w:t xml:space="preserve">“Eye into AI: Evaluating the Interpretability of Explainable AI Techniques Through a Game with a Purpose.”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and Jannatun Noor. 2024.</w:t>
      </w:r>
      <w:r>
        <w:t xml:space="preserve"> </w:t>
      </w:r>
      <w:r>
        <w:t xml:space="preserve">“Explainable AI Discloses Gender Bias in Sexism Detection Algorithm.”</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and Isacco Beretta. 2024.</w:t>
      </w:r>
      <w:r>
        <w:t xml:space="preserve"> </w:t>
      </w:r>
      <w:r>
        <w:t xml:space="preserve">“Mapping the Landscape of Ethical Considerations in Explainable AI Research.”</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and Danda Rawat. 2025.</w:t>
      </w:r>
      <w:r>
        <w:t xml:space="preserve"> </w:t>
      </w:r>
      <w:r>
        <w:t xml:space="preserve">“Decoding Fake News and Hate Speech: A Survey of Explainable AI Techniques.”</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and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and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and Kjersti Aas. 2022.</w:t>
      </w:r>
      <w:r>
        <w:t xml:space="preserve"> </w:t>
      </w:r>
      <w:r>
        <w:t xml:space="preserve">“Using Shapley Values and Variational Autoencoders to Explain Predictive Models with Dependent Mixed Features.”</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and Mary Carman. 2024.</w:t>
      </w:r>
      <w:r>
        <w:t xml:space="preserve"> </w:t>
      </w:r>
      <w:r>
        <w:t xml:space="preserve">“Cultural Bias in Explainable AI Research: A Systematic Analysis.”</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and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and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and Jack B. Soll. 2025.</w:t>
      </w:r>
      <w:r>
        <w:t xml:space="preserve"> </w:t>
      </w:r>
      <w:r>
        <w:t xml:space="preserve">“Evidence of a Social Evaluation Penalty for Using AI.”</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and John Thangarajah. 2024.</w:t>
      </w:r>
      <w:r>
        <w:t xml:space="preserve"> </w:t>
      </w:r>
      <w:r>
        <w:t xml:space="preserve">“Explainable Agents (XAg) by Design.”</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and Philippe Charland. 2024.</w:t>
      </w:r>
      <w:r>
        <w:t xml:space="preserve"> </w:t>
      </w:r>
      <w:r>
        <w:t xml:space="preserve">“A Comprehensive Analysis of Explainable AI for Malware Hunting.”</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and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and Yongfeng Zhang. 2023.</w:t>
      </w:r>
      <w:r>
        <w:t xml:space="preserve"> </w:t>
      </w:r>
      <w:r>
        <w:t xml:space="preserve">“ExplainableFold: Understanding AlphaFold Prediction with Explainable AI.”</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and Pradeep Ravikumar. 2023.</w:t>
      </w:r>
      <w:r>
        <w:t xml:space="preserve"> </w:t>
      </w:r>
      <w:r>
        <w:t xml:space="preserve">“Faith-Shap: The Faithful Shapley Interaction Index.”</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and Vasileios Mezaris. 2024.</w:t>
      </w:r>
      <w:r>
        <w:t xml:space="preserve"> </w:t>
      </w:r>
      <w:r>
        <w:t xml:space="preserve">“Towards Quantitative Evaluation of Explainable AI Methods for Deepfake Detection.”</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and Giovanna Sannino. 2024.</w:t>
      </w:r>
      <w:r>
        <w:t xml:space="preserve"> </w:t>
      </w:r>
      <w:r>
        <w:t xml:space="preserve">“Explainable Artificial Intelligence: Importance, Use Domains, Stages, Output Shapes, and Challenges.”</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and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455" w:name="tbl-appendix-dataset-schema"/>
          <w:p>
            <w:pPr>
              <w:jc w:val="both"/>
              <w:spacing w:line="360" w:lineRule="auto"/>
            </w:pPr>
            <w:pPr>
              <w:jc w:val="left"/>
              <w:spacing w:before="200"/>
              <w:pStyle w:val="ImageCaption"/>
            </w:pPr>
            <w:r>
              <w:t xml:space="preserve">Table 6.5: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457" w:name="tbl-appendix-models"/>
          <w:p>
            <w:pPr>
              <w:jc w:val="both"/>
              <w:spacing w:line="360" w:lineRule="auto"/>
            </w:pPr>
            <w:pPr>
              <w:jc w:val="left"/>
              <w:spacing w:before="200"/>
              <w:pStyle w:val="ImageCaption"/>
            </w:pPr>
            <w:r>
              <w:t xml:space="preserve">Table 6.6: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459" w:name="tbl-appendix-explainers"/>
          <w:p>
            <w:pPr>
              <w:jc w:val="both"/>
              <w:spacing w:line="360" w:lineRule="auto"/>
            </w:pPr>
            <w:pPr>
              <w:jc w:val="left"/>
              <w:spacing w:before="200"/>
              <w:pStyle w:val="ImageCaption"/>
            </w:pPr>
            <w:r>
              <w:t xml:space="preserve">Table 6.7: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460" w:name="tbl-appendix-lime-sensitivity"/>
          <w:p>
            <w:pPr>
              <w:jc w:val="both"/>
              <w:spacing w:line="360" w:lineRule="auto"/>
            </w:pPr>
            <w:pPr>
              <w:jc w:val="left"/>
              <w:spacing w:before="200"/>
              <w:pStyle w:val="ImageCaption"/>
            </w:pPr>
            <w:r>
              <w:t xml:space="preserve">Table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461" w:name="tbl-appendix-shap-sensitivity"/>
          <w:p>
            <w:pPr>
              <w:jc w:val="both"/>
              <w:spacing w:line="360" w:lineRule="auto"/>
            </w:pPr>
            <w:pPr>
              <w:jc w:val="left"/>
              <w:spacing w:before="200"/>
              <w:pStyle w:val="ImageCaption"/>
            </w:pPr>
            <w:r>
              <w:t xml:space="preserve">Table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462" w:name="tbl-appendix-anchors-sensitivity"/>
          <w:p>
            <w:pPr>
              <w:jc w:val="both"/>
              <w:spacing w:line="360" w:lineRule="auto"/>
            </w:pPr>
            <w:pPr>
              <w:jc w:val="left"/>
              <w:spacing w:before="200"/>
              <w:pStyle w:val="ImageCaption"/>
            </w:pPr>
            <w:r>
              <w:t xml:space="preserve">Table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3.5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463" w:name="tbl-appendix-lime-kw-sensitivity"/>
          <w:p>
            <w:pPr>
              <w:jc w:val="both"/>
              <w:spacing w:line="360" w:lineRule="auto"/>
            </w:pPr>
            <w:pPr>
              <w:jc w:val="left"/>
              <w:spacing w:before="200"/>
              <w:pStyle w:val="ImageCaption"/>
            </w:pPr>
            <w:r>
              <w:t xml:space="preserve">Table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466" w:name="tbl-appendix-stat-outputs"/>
          <w:p>
            <w:pPr>
              <w:jc w:val="both"/>
              <w:spacing w:line="360" w:lineRule="auto"/>
            </w:pPr>
            <w:pPr>
              <w:jc w:val="left"/>
              <w:spacing w:before="200"/>
              <w:pStyle w:val="ImageCaption"/>
            </w:pPr>
            <w:r>
              <w:t xml:space="preserve">Table 6.12: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467" w:name="tbl-appendix-friedman-full"/>
          <w:p>
            <w:pPr>
              <w:jc w:val="both"/>
              <w:spacing w:line="360" w:lineRule="auto"/>
            </w:pPr>
            <w:pPr>
              <w:jc w:val="left"/>
              <w:spacing w:before="200"/>
              <w:pStyle w:val="ImageCaption"/>
            </w:pPr>
            <w:r>
              <w:t xml:space="preserve">Table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Table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469" w:name="tbl-appendix-nemenyi-full"/>
          <w:p>
            <w:pPr>
              <w:jc w:val="both"/>
              <w:spacing w:line="360" w:lineRule="auto"/>
            </w:pPr>
            <w:pPr>
              <w:jc w:val="left"/>
              <w:spacing w:before="200"/>
              <w:pStyle w:val="ImageCaption"/>
            </w:pPr>
            <w:r>
              <w:t xml:space="preserve">Table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471" w:name="tbl-appendix-wilcoxon-full"/>
          <w:p>
            <w:pPr>
              <w:jc w:val="both"/>
              <w:spacing w:line="360" w:lineRule="auto"/>
            </w:pPr>
            <w:pPr>
              <w:jc w:val="left"/>
              <w:spacing w:before="200"/>
              <w:pStyle w:val="ImageCaption"/>
            </w:pPr>
            <w:r>
              <w:t xml:space="preserve">Table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474" w:name="tbl-appendix-environment"/>
          <w:p>
            <w:pPr>
              <w:jc w:val="both"/>
              <w:spacing w:line="360" w:lineRule="auto"/>
            </w:pPr>
            <w:pPr>
              <w:jc w:val="left"/>
              <w:spacing w:before="200"/>
              <w:pStyle w:val="ImageCaption"/>
            </w:pPr>
            <w:r>
              <w:t xml:space="preserve">Table 6.16: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5.3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476" w:name="tbl-appendix-llm"/>
          <w:p>
            <w:pPr>
              <w:jc w:val="both"/>
              <w:spacing w:line="360" w:lineRule="auto"/>
            </w:pPr>
            <w:pPr>
              <w:jc w:val="left"/>
              <w:spacing w:before="200"/>
              <w:pStyle w:val="ImageCaption"/>
            </w:pPr>
            <w:r>
              <w:t xml:space="preserve">Table 6.17: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cp:keywords/>
  <dcterms:created xsi:type="dcterms:W3CDTF">2026-08-30T23:47:58Z</dcterms:created>
  <dcterms:modified xsi:type="dcterms:W3CDTF">2026-08-30T23:47:58Z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