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4.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Override PartName="/word/media/rId219.png" ContentType="image/png"/>
  <Override PartName="/word/media/rId215.png" ContentType="image/png"/>
  <Override PartName="/word/media/rId211.png" ContentType="image/png"/>
  <Override PartName="/word/media/rId207.png" ContentType="image/png"/>
  <Override PartName="/word/media/rId194.png" ContentType="image/png"/>
  <Override PartName="/word/media/rId75.png" ContentType="image/png"/>
  <Override PartName="/word/media/rId81.png" ContentType="image/png"/>
  <Override PartName="/word/media/rId61.png" ContentType="image/png"/>
  <Override PartName="/word/media/rId56.png" ContentType="image/png"/>
  <Override PartName="/word/media/rId52.png" ContentType="image/png"/>
  <Override PartName="/word/media/rId66.png" ContentType="image/png"/>
  <Override PartName="/word/media/rId87.png" ContentType="image/png"/>
  <Override PartName="/word/media/rId133.png" ContentType="image/png"/>
  <Override PartName="/word/media/rId137.png" ContentType="image/png"/>
  <Override PartName="/word/media/rId70.png" ContentType="image/png"/>
  <Override PartName="/word/media/rId223.png" ContentType="image/png"/>
  <Override PartName="/word/media/rId203.png" ContentType="image/png"/>
  <Override PartName="/word/media/rId252.png" ContentType="image/png"/>
  <Override PartName="/word/media/rId300.png" ContentType="image/png"/>
  <Override PartName="/word/media/rId35.png" ContentType="image/png"/>
  <Override PartName="/word/media/rId227.png" ContentType="image/png"/>
  <Override PartName="/word/media/rId258.png" ContentType="image/png"/>
  <Override PartName="/word/media/rId275.png" ContentType="image/png"/>
  <Override PartName="/word/media/rId265.png" ContentType="image/png"/>
  <Override PartName="/word/media/rId286.png" ContentType="image/png"/>
  <Override PartName="/word/media/rId269.png" ContentType="image/png"/>
  <Override PartName="/word/media/rId281.png" ContentType="image/png"/>
  <Override PartName="/word/media/rId243.png" ContentType="image/png"/>
  <Override PartName="/word/media/rId111.png" ContentType="image/png"/>
  <Override PartName="/word/media/image2.jpeg" ContentType="image/jpeg"/>
  <Override PartName="/word/media/image1.jpe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ns1="http://schemas.openxmlformats.org/drawingml/2006/wordprocessingDrawing" xmlns:ns2="http://schemas.openxmlformats.org/drawingml/2006/main" xmlns:ns3="http://schemas.openxmlformats.org/drawingml/2006/picture" xmlns:ns4="http://schemas.openxmlformats.org/officeDocument/2006/relationships" xmlns:ns5="http://schemas.openxmlformats.org/officeDocument/2006/math" xmlns:w="http://schemas.openxmlformats.org/wordprocessingml/2006/main">
  <w:body>
    <w:p>
      <w:pPr>
        <w:pStyle w:val="Subtitle"/>
        <w:spacing w:line="240" w:lineRule="auto"/>
        <w:jc w:val="center"/>
      </w:pPr>
      <w:r>
        <w:t xml:space="preserve">Doctorado en Informática</w:t>
      </w:r>
    </w:p>
    <w:p>
      <w:pPr>
        <w:spacing w:line="240" w:lineRule="auto"/>
        <w:jc w:val="center"/>
      </w:pPr>
    </w:p>
    <w:p>
      <w:pPr>
        <w:spacing w:line="240" w:lineRule="auto"/>
        <w:jc w:val="center"/>
      </w:pPr>
    </w:p>
    <w:p>
      <w:pPr>
        <w:pStyle w:val="Title"/>
        <w:spacing w:line="240" w:lineRule="auto"/>
        <w:jc w:val="center"/>
      </w:pPr>
      <w:r>
        <w:t xml:space="preserve">Arquitectura Agnóstica para la Interpretabilidad de Modelos de Inteligencia Artificial de Caja Negra</w:t>
      </w:r>
    </w:p>
    <w:p>
      <w:pPr>
        <w:spacing w:line="240" w:lineRule="auto"/>
        <w:jc w:val="center"/>
      </w:pPr>
    </w:p>
    <w:p>
      <w:pPr>
        <w:spacing w:line="240" w:lineRule="auto"/>
        <w:jc w:val="center"/>
      </w:pPr>
    </w:p>
    <w:p>
      <w:pPr>
        <w:spacing w:line="240" w:lineRule="auto"/>
        <w:jc w:val="center"/>
      </w:pPr>
    </w:p>
    <w:p>
      <w:pPr>
        <w:pStyle w:val="Author"/>
        <w:spacing w:line="240" w:lineRule="auto"/>
        <w:jc w:val="center"/>
      </w:pPr>
      <w:r>
        <w:t xml:space="preserve">Jonathan Herrera Vásquez</w:t>
      </w:r>
    </w:p>
    <w:p>
      <w:pPr>
        <w:pStyle w:val="Author"/>
        <w:spacing w:line="240" w:lineRule="auto"/>
        <w:jc w:val="center"/>
      </w:pPr>
      <w:r>
        <w:t xml:space="preserve">Director: Dr. Miguel Herrero Uceda</w:t>
      </w:r>
    </w:p>
    <w:p>
      <w:pPr>
        <w:spacing w:line="240" w:lineRule="auto"/>
        <w:jc w:val="center"/>
      </w:pPr>
    </w:p>
    <w:p>
      <w:pPr>
        <w:spacing w:line="240" w:lineRule="auto"/>
        <w:jc w:val="center"/>
      </w:pPr>
    </w:p>
    <w:p>
      <w:pPr>
        <w:spacing w:line="240" w:lineRule="auto"/>
        <w:jc w:val="center"/>
      </w:pPr>
    </w:p>
    <w:p>
      <w:pPr>
        <w:pStyle w:val="Date"/>
        <w:spacing w:line="240" w:lineRule="auto"/>
        <w:jc w:val="center"/>
      </w:pPr>
      <w:r>
        <w:t xml:space="preserve">Cancún, México</w:t>
      </w:r>
    </w:p>
    <w:p>
      <w:r>
        <w:br w:type="page"/>
      </w:r>
    </w:p>
    <w:sdt>
      <w:sdtPr>
        <w:docPartObj>
          <w:docPartGallery w:val="Table of Contents"/>
          <w:docPartUnique/>
        </w:docPartObj>
      </w:sdtPr>
      <w:sdtContent>
        <w:p>
          <w:pPr>
            <w:pStyle w:val="TtulodeTDC"/>
            <w:spacing w:line="360" w:lineRule="auto"/>
            <w:jc w:val="both"/>
          </w:pPr>
          <w:r>
            <w:t xml:space="preserve">Tabla de contenidos</w:t>
          </w:r>
        </w:p>
        <w:p>
          <w:pPr>
            <w:spacing w:line="360" w:lineRule="auto"/>
            <w:jc w:val="both"/>
          </w:pPr>
          <w:r>
            <w:fldChar w:fldCharType="begin" w:dirty="true"/>
            <w:instrText xml:space="preserve">TOC \o "1-3" \h \z \u</w:instrText>
            <w:fldChar w:fldCharType="separate"/>
            <w:fldChar w:fldCharType="end"/>
          </w:r>
        </w:p>
      </w:sdtContent>
    </w:sdt>
    <w:p>
      <w:r>
        <w:br w:type="page"/>
      </w:r>
    </w:p>
    <w:bookmarkStart w:id="25" w:name="dedicatoria"/>
    <w:p>
      <w:pPr>
        <w:pStyle w:val="Ttulo1"/>
        <w:spacing w:line="360" w:lineRule="auto"/>
        <w:jc w:val="center"/>
      </w:pPr>
      <w:r>
        <w:t xml:space="preserve">Dedicatoria</w:t>
      </w:r>
    </w:p>
    <w:p>
      <w:pPr>
        <w:pStyle w:val="FirstParagraph"/>
        <w:spacing w:line="360" w:lineRule="auto"/>
        <w:jc w:val="right"/>
      </w:pPr>
      <w:r>
        <w:rPr>
          <w:iCs/>
          <w:i/>
        </w:rPr>
        <w:t xml:space="preserve">A mi hijo, Alejandro, su curiosidad es mi inspiración para seguir buscando</w:t>
      </w:r>
      <w:r>
        <w:rPr>
          <w:iCs/>
          <w:i/>
        </w:rPr>
        <w:t xml:space="preserve"> </w:t>
      </w:r>
      <w:r>
        <w:rPr>
          <w:iCs/>
          <w:i/>
        </w:rPr>
        <w:t xml:space="preserve">respuesta a todas las preguntas.</w:t>
      </w:r>
    </w:p>
    <w:p>
      <w:pPr>
        <w:pStyle w:val="Textoindependiente"/>
        <w:spacing w:line="360" w:lineRule="auto"/>
        <w:jc w:val="right"/>
      </w:pPr>
      <w:r>
        <w:rPr>
          <w:iCs/>
          <w:i/>
        </w:rPr>
        <w:t xml:space="preserve">A mi esposa, Liena, tu presencia en mi vida me ha hecho una mejor persona.</w:t>
      </w:r>
    </w:p>
    <w:p>
      <w:pPr>
        <w:pStyle w:val="Textoindependiente"/>
        <w:spacing w:line="360" w:lineRule="auto"/>
        <w:jc w:val="right"/>
      </w:pPr>
      <w:r>
        <w:rPr>
          <w:iCs/>
          <w:i/>
        </w:rPr>
        <w:t xml:space="preserve">A mi madre, Alis, sin tu guía no hubiese podido llegar aquí.</w:t>
      </w:r>
    </w:p>
    <w:p>
      <w:pPr>
        <w:pStyle w:val="Textoindependiente"/>
        <w:spacing w:line="360" w:lineRule="auto"/>
        <w:jc w:val="right"/>
      </w:pPr>
      <w:r>
        <w:rPr>
          <w:iCs/>
          <w:i/>
        </w:rPr>
        <w:t xml:space="preserve">Jonathan Herrera Vásquez</w:t>
      </w:r>
    </w:p>
    <w:p>
      <w:pPr>
        <w:spacing w:line="360" w:lineRule="auto"/>
        <w:jc w:val="right"/>
      </w:pPr>
      <w:r>
        <w:rPr>
          <w:iCs/>
          <w:i/>
        </w:rPr>
        <w:br w:type="page"/>
      </w:r>
    </w:p>
    <w:bookmarkEnd w:id="25"/>
    <w:bookmarkStart w:id="26" w:name="agradecimientos"/>
    <w:p>
      <w:pPr>
        <w:pStyle w:val="Ttulo1"/>
        <w:spacing w:line="360" w:lineRule="auto"/>
        <w:jc w:val="center"/>
      </w:pPr>
      <w:r>
        <w:t xml:space="preserve">Agradecimientos</w:t>
      </w:r>
    </w:p>
    <w:p>
      <w:pPr>
        <w:pStyle w:val="FirstParagraph"/>
        <w:spacing w:line="360" w:lineRule="auto"/>
        <w:jc w:val="right"/>
      </w:pPr>
      <w:r>
        <w:rPr>
          <w:iCs/>
          <w:i/>
        </w:rPr>
        <w:t xml:space="preserve">Agradezco a mi familia por todo su apoyo en el camino a través de los años.</w:t>
      </w:r>
    </w:p>
    <w:p>
      <w:pPr>
        <w:pStyle w:val="Textoindependiente"/>
        <w:spacing w:line="360" w:lineRule="auto"/>
        <w:jc w:val="right"/>
      </w:pPr>
      <w:r>
        <w:rPr>
          <w:iCs/>
          <w:i/>
        </w:rPr>
        <w:t xml:space="preserve">Agradezco al Dr. Miguel Herrero Uceda por su apoyo en el proceso de elaboración</w:t>
      </w:r>
      <w:r>
        <w:rPr>
          <w:iCs/>
          <w:i/>
        </w:rPr>
        <w:t xml:space="preserve"> </w:t>
      </w:r>
      <w:r>
        <w:rPr>
          <w:iCs/>
          <w:i/>
        </w:rPr>
        <w:t xml:space="preserve">de esta tesis.</w:t>
      </w:r>
    </w:p>
    <w:p>
      <w:pPr>
        <w:spacing w:line="360" w:lineRule="auto"/>
        <w:jc w:val="right"/>
      </w:pPr>
      <w:r>
        <w:rPr>
          <w:iCs/>
          <w:i/>
        </w:rPr>
        <w:br w:type="page"/>
      </w:r>
    </w:p>
    <w:bookmarkEnd w:id="26"/>
    <w:bookmarkStart w:id="27" w:name="resumen"/>
    <w:p>
      <w:pPr>
        <w:pStyle w:val="Ttulo1"/>
        <w:spacing w:line="360" w:lineRule="auto"/>
        <w:jc w:val="both"/>
      </w:pPr>
      <w:r>
        <w:t xml:space="preserve">Resumen</w:t>
      </w:r>
    </w:p>
    <w:p>
      <w:pPr>
        <w:pStyle w:val="FirstParagraph"/>
        <w:spacing w:line="360" w:lineRule="auto"/>
        <w:jc w:val="both"/>
      </w:pPr>
      <w:r>
        <w:t xml:space="preserve">Esta tesis propone un marco de evaluación multinivel para la Inteligencia Artificial Explicable (XAI) orientado a comparar métodos agnósticos al modelo bajo condiciones de benchmarking controladas y reproducibles. El trabajo responde a la fragmentación evaluativa del campo articulando tres componentes complementarios: (i) un protocolo de operación reproducible de siete puertas (FOM-7) que conecta diseño experimental, calificación de artefactos e inferencia estadística admisible; (ii) un benchmark cuantitativo multi-métrico sobre datos tabulares reales que evalúa SHAP, LIME, Anchors y DiCE en cinco familias de modelos; y (iii) una taxonomía estructurada del espacio de métricas de evaluación XAI organizada en cuatro ejes (objetivo de evaluación, fuente de evidencia, propiedad de calidad y contexto de tarea), que hace explícitas tres brechas de constructo del campo.</w:t>
      </w:r>
    </w:p>
    <w:p>
      <w:pPr>
        <w:pStyle w:val="Textoindependiente"/>
        <w:spacing w:line="360" w:lineRule="auto"/>
        <w:jc w:val="both"/>
      </w:pPr>
      <w:r>
        <w:t xml:space="preserve">El estudio empírico se realiza sobre el conjunto Adult (UCI Adult Income) y operacionaliza cinco métricas primarias: fidelidad, estabilidad, parsimonia, brecha de fidelidad (</w:t>
      </w:r>
      <w:r>
        <w:rPr>
          <w:i/>
          <w:iCs/>
        </w:rPr>
        <w:t xml:space="preserve">faithfulness gap</w:t>
      </w:r>
      <w:r>
        <w:t xml:space="preserve">) y coste computacional. La inferencia confirmativa se apoya en comparaciones no paramétricas sobre 15 bloques con control de multiplicidad y en un análisis pareado SHAP–LIME que cuantifica el trade-off calidad–coste. Los resultados muestran diferencias grandes y consistentes entre métodos: SHAP alcanza la mejor fidelidad y estabilidad medias, con tamaños de efecto muy grandes frente a LIME (d_z = 4.82 en fidelidad y d_z = 3.00 en estabilidad), si bien la ventaja no es uniforme entre familias de modelos. LIME resulta competitivo cuando la latencia es crítica, a costa de una inestabilidad severa bajo la configuración y el espacio de características evaluados; se trata de una propiedad del par (configuración, espacio de características) y no de una propiedad universal del método. Anchors y DiCE responden a objetivos explicativos cualitativamente distintos a la atribución de características. Una validación cruzada sobre dos conjuntos de datos adicionales replica el ordenamiento de fidelidad entre SHAP y Anchors, delimitando el alcance externo de los hallazgos.</w:t>
      </w:r>
    </w:p>
    <w:p>
      <w:pPr>
        <w:pStyle w:val="Textoindependiente"/>
        <w:spacing w:line="360" w:lineRule="auto"/>
        <w:jc w:val="both"/>
      </w:pPr>
      <w:r>
        <w:t xml:space="preserve">Un estudio complementario evalúa si jueces basados en modelos de lenguaje pueden sostener la evaluación semántica de explicaciones. El resultado es negativo: la concordancia inter-juez, medida como ICC(1,1), se sitúa entre 0.321 y 0.601 según la dimensión evaluada, sin alcanzar el umbral exigible para sustentar afirmaciones confirmativas; una segunda cohorte, con otro panel de jueces sobre los mismos casos, reproduce este resultado en la condición primaria. Por ello, su uso queda acotado a un papel exploratorio y de calibración instrumental. Cuatro trabajos de seguimiento, posteriores al plan confirmativo, delimitan el alcance de estos resultados: en el benchmark primario, la estabilidad de las explicaciones es menor cuando el modelo se equivoca; SHAP y LIME coinciden solo en parte al explicar la misma instancia; el orden de los métodos se conserva en la mayoría de dieciséis conjuntos de datos tabulares bajo un protocolo de evaluación fijo; y el acuerdo entre jueces recae sobre el método y la forma de la explicación, no sobre su corrección. En conjunto, la tesis aporta un protocolo portable, evidencia comparativa cuantificada con sus condiciones de validez explícitas y un marco conceptual que permiten seleccionar métodos XAI en función de objetivos operativos y acumular evidencia de forma reproducible.</w:t>
      </w:r>
    </w:p>
    <w:p>
      <w:pPr>
        <w:pStyle w:val="Textoindependiente"/>
        <w:spacing w:line="360" w:lineRule="auto"/>
        <w:jc w:val="both"/>
      </w:pPr>
      <w:r>
        <w:rPr>
          <w:b/>
          <w:bCs/>
        </w:rPr>
        <w:t xml:space="preserve">Palabras clave:</w:t>
      </w:r>
      <w:r>
        <w:t xml:space="preserve"> </w:t>
      </w:r>
      <w:r>
        <w:t xml:space="preserve">inteligencia artificial explicable (XAI); evaluación multimétrica; benchmarking reproducible; protocolo FOM-7; atribución de características; explicaciones contrafactuales; datos tabulares.</w:t>
      </w:r>
    </w:p>
    <w:bookmarkEnd w:id="27"/>
    <w:bookmarkStart w:id="28" w:name="abstract"/>
    <w:p>
      <w:pPr>
        <w:pStyle w:val="Ttulo1"/>
        <w:spacing w:line="360" w:lineRule="auto"/>
        <w:jc w:val="both"/>
      </w:pPr>
      <w:r>
        <w:t xml:space="preserve">Abstract</w:t>
      </w:r>
    </w:p>
    <w:p>
      <w:pPr>
        <w:pStyle w:val="FirstParagraph"/>
        <w:spacing w:line="360" w:lineRule="auto"/>
        <w:jc w:val="both"/>
      </w:pPr>
      <w:r>
        <w:t xml:space="preserve">This thesis proposes a multilevel evaluation framework for Explainable Artificial Intelligence (XAI) aimed at comparing model-agnostic explainers under controlled and reproducible benchmarking conditions. To address the evaluation fragmentation in the field, the framework integrates three complementary components: (i) a seven-gate operational protocol (FOM-7) that links experimental design, artifact qualification, and statistically admissible inference; (ii) a multi-metric quantitative benchmark on real-world tabular data evaluating SHAP, LIME, Anchors, and DiCE across five model families; and (iii) a structured taxonomy of XAI evaluation metrics organized along four axes (evaluation target, evidence source, quality property, and task context), which makes three of the field’s construct gaps explicit.</w:t>
      </w:r>
    </w:p>
    <w:p>
      <w:pPr>
        <w:pStyle w:val="Textoindependiente"/>
        <w:spacing w:line="360" w:lineRule="auto"/>
        <w:jc w:val="both"/>
      </w:pPr>
      <w:r>
        <w:t xml:space="preserve">The empirical study uses the Adult (UCI Adult Income) dataset and operationalizes five primary metrics: faithfulness, stability, parsimony, faithfulness gap, and computational cost. Confirmatory inference relies on nonparametric comparisons over 15 blocks with multiplicity control and on a paired SHAP-LIME analysis quantifying the quality-cost trade-off. Results show large and consistent differences across methods: SHAP attains the best mean faithfulness and stability, with very large effect sizes over LIME (d_z = 4.82 for faithfulness and d_z = 3.00 for stability), although the advantage is not uniform across model families. LIME remains attractive when latency constraints dominate, at the cost of severe instability under the configuration and feature space evaluated; this is a property of the (configuration, feature space) pair rather than a universal property of the method. Anchors and DiCE address qualitatively different explanatory objectives than feature attribution. A cross-dataset check on two further datasets replicates the SHAP-over-Anchors faithfulness ordering, delimiting the external scope of the findings.</w:t>
      </w:r>
    </w:p>
    <w:p>
      <w:pPr>
        <w:pStyle w:val="Textoindependiente"/>
        <w:spacing w:line="360" w:lineRule="auto"/>
        <w:jc w:val="both"/>
      </w:pPr>
      <w:r>
        <w:t xml:space="preserve">A complementary study evaluates whether language-model judges can sustain the semantic evaluation of explanations. The result is negative: inter-judge agreement, measured as ICC(1,1), ranges from 0.321 to 0.601 depending on the dimension, falling short of the threshold required to support confirmatory claims; a second cohort, with a different judge panel on the same cases, reproduces this result in the primary condition. This confines such judges to an exploratory, instrument-calibration role. Four follow-up studies, conducted after the confirmatory plan, delimit the scope of these results: on the primary benchmark, explanations are less stable when the model is wrong; SHAP and LIME agree only in part when explaining the same instance; the ordering of the methods holds on most of sixteen tabular datasets under a fixed evaluation protocol; and agreement among judges concerns the method and the form of an explanation, not its correctness. Overall, the thesis contributes a portable protocol, quantified comparative evidence with its validity conditions made explicit, and a conceptual framework to support operationally grounded XAI method selection and reproducible evidence accumulation.</w:t>
      </w:r>
    </w:p>
    <w:p>
      <w:pPr>
        <w:pStyle w:val="Textoindependiente"/>
        <w:spacing w:line="360" w:lineRule="auto"/>
        <w:jc w:val="both"/>
      </w:pPr>
      <w:r>
        <w:rPr>
          <w:b/>
          <w:bCs/>
        </w:rPr>
        <w:t xml:space="preserve">Keywords:</w:t>
      </w:r>
      <w:r>
        <w:t xml:space="preserve"> </w:t>
      </w:r>
      <w:r>
        <w:t xml:space="preserve">explainable AI (XAI); multi-metric evaluation; reproducible benchmarking; FOM-7 protocol; feature attribution; counterfactual explanations; tabular data.</w:t>
      </w:r>
    </w:p>
    <w:bookmarkEnd w:id="28"/>
    <w:bookmarkStart w:id="29" w:name="introducción"/>
    <w:p>
      <w:pPr>
        <w:pStyle w:val="Ttulo1"/>
        <w:spacing w:line="360" w:lineRule="auto"/>
        <w:jc w:val="both"/>
      </w:pPr>
      <w:r>
        <w:t xml:space="preserve">Introducción</w:t>
      </w:r>
    </w:p>
    <w:p>
      <w:pPr>
        <w:pStyle w:val="FirstParagraph"/>
        <w:spacing w:line="360" w:lineRule="auto"/>
        <w:jc w:val="both"/>
      </w:pPr>
      <w:r>
        <w:t xml:space="preserve">El rápido avance de la inteligencia artificial (IA), particularmente en el</w:t>
      </w:r>
      <w:r>
        <w:t xml:space="preserve"> </w:t>
      </w:r>
      <w:r>
        <w:t xml:space="preserve">ámbito del aprendizaje profundo y los modelos complejos de aprendizaje</w:t>
      </w:r>
      <w:r>
        <w:t xml:space="preserve"> </w:t>
      </w:r>
      <w:r>
        <w:t xml:space="preserve">automático, ha transformado radicalmente la capacidad predictiva en dominios tan</w:t>
      </w:r>
      <w:r>
        <w:t xml:space="preserve"> </w:t>
      </w:r>
      <w:r>
        <w:t xml:space="preserve">diversos como la atención médica, las finanzas y los sistemas autónomos. Sin</w:t>
      </w:r>
      <w:r>
        <w:t xml:space="preserve"> </w:t>
      </w:r>
      <w:r>
        <w:t xml:space="preserve">embargo, esta evolución tecnológica ha traído consigo una problemática</w:t>
      </w:r>
      <w:r>
        <w:t xml:space="preserve"> </w:t>
      </w:r>
      <w:r>
        <w:t xml:space="preserve">fundamental: la naturaleza de</w:t>
      </w:r>
      <w:r>
        <w:t xml:space="preserve"> </w:t>
      </w:r>
      <w:r>
        <w:t xml:space="preserve">“caja negra”</w:t>
      </w:r>
      <w:r>
        <w:t xml:space="preserve"> </w:t>
      </w:r>
      <w:r>
        <w:t xml:space="preserve">de estos modelos, la cual plantea</w:t>
      </w:r>
      <w:r>
        <w:t xml:space="preserve"> </w:t>
      </w:r>
      <w:r>
        <w:t xml:space="preserve">serias preocupaciones respecto a la confianza, la transparencia y la</w:t>
      </w:r>
      <w:r>
        <w:t xml:space="preserve"> </w:t>
      </w:r>
      <w:r>
        <w:t xml:space="preserve">responsabilidad algorítmica. En este escenario, la interpretabilidad emerge no</w:t>
      </w:r>
      <w:r>
        <w:t xml:space="preserve"> </w:t>
      </w:r>
      <w:r>
        <w:t xml:space="preserve">solo como un desafío técnico de primer orden, sino como un requisito ético y</w:t>
      </w:r>
      <w:r>
        <w:t xml:space="preserve"> </w:t>
      </w:r>
      <w:r>
        <w:t xml:space="preserve">legal indispensable para el despliegue de soluciones en el mundo real. Para</w:t>
      </w:r>
      <w:r>
        <w:t xml:space="preserve"> </w:t>
      </w:r>
      <w:r>
        <w:t xml:space="preserve">abordar esta opacidad, los métodos de explicación agnósticos al modelo —tales</w:t>
      </w:r>
      <w:r>
        <w:t xml:space="preserve"> </w:t>
      </w:r>
      <w:r>
        <w:t xml:space="preserve">como LIME</w:t>
      </w:r>
      <w:r>
        <w:t xml:space="preserve"> </w:t>
      </w:r>
      <w:r>
        <w:t xml:space="preserve">(Ribeiro 2016)</w:t>
      </w:r>
      <w:r>
        <w:t xml:space="preserve">, SHAP</w:t>
      </w:r>
      <w:r>
        <w:t xml:space="preserve"> </w:t>
      </w:r>
      <w:r>
        <w:t xml:space="preserve">(Lundberg 2017)</w:t>
      </w:r>
      <w:r>
        <w:t xml:space="preserve">, Anchors</w:t>
      </w:r>
      <w:r>
        <w:t xml:space="preserve"> </w:t>
      </w:r>
      <w:r>
        <w:t xml:space="preserve">(Ribeiro 2018)</w:t>
      </w:r>
      <w:r>
        <w:t xml:space="preserve"> </w:t>
      </w:r>
      <w:r>
        <w:t xml:space="preserve">y DiCE</w:t>
      </w:r>
      <w:r>
        <w:t xml:space="preserve"> </w:t>
      </w:r>
      <w:r>
        <w:t xml:space="preserve">(Mothilal 2020)</w:t>
      </w:r>
      <w:r>
        <w:t xml:space="preserve">— han ganado protagonismo al intentar proporcionar explicaciones</w:t>
      </w:r>
      <w:r>
        <w:t xml:space="preserve"> </w:t>
      </w:r>
      <w:r>
        <w:rPr>
          <w:i/>
          <w:iCs/>
        </w:rPr>
        <w:t xml:space="preserve">post-hoc</w:t>
      </w:r>
      <w:r>
        <w:t xml:space="preserve"> </w:t>
      </w:r>
      <w:r>
        <w:t xml:space="preserve">sin necesidad de alterar los componentes internos del modelo,</w:t>
      </w:r>
      <w:r>
        <w:t xml:space="preserve"> </w:t>
      </w:r>
      <w:r>
        <w:t xml:space="preserve">facilitando así la detección de sesgos y la validación de resultados en</w:t>
      </w:r>
      <w:r>
        <w:t xml:space="preserve"> </w:t>
      </w:r>
      <w:r>
        <w:t xml:space="preserve">aplicaciones críticas.</w:t>
      </w:r>
    </w:p>
    <w:p>
      <w:pPr>
        <w:pStyle w:val="Textoindependiente"/>
        <w:spacing w:line="360" w:lineRule="auto"/>
        <w:jc w:val="both"/>
      </w:pPr>
      <w:r>
        <w:t xml:space="preserve">La urgencia de esta investigación se amplifica por un contexto regulatorio en</w:t>
      </w:r>
      <w:r>
        <w:t xml:space="preserve"> </w:t>
      </w:r>
      <w:r>
        <w:t xml:space="preserve">rápida evolución. El Reglamento General de Protección de Datos de la Unión</w:t>
      </w:r>
      <w:r>
        <w:t xml:space="preserve"> </w:t>
      </w:r>
      <w:r>
        <w:t xml:space="preserve">Europea (GDPR) establece en su Artículo 22 el derecho de las personas a obtener</w:t>
      </w:r>
      <w:r>
        <w:t xml:space="preserve"> </w:t>
      </w:r>
      <w:r>
        <w:t xml:space="preserve">explicaciones significativas sobre decisiones automatizadas que les afecten</w:t>
      </w:r>
      <w:r>
        <w:t xml:space="preserve"> </w:t>
      </w:r>
      <w:r>
        <w:t xml:space="preserve">(Voigt y Bussche 2017)</w:t>
      </w:r>
      <w:r>
        <w:t xml:space="preserve">. La Ley de Inteligencia Artificial de la Unión Europea (EU AI Act,</w:t>
      </w:r>
      <w:r>
        <w:t xml:space="preserve"> </w:t>
      </w:r>
      <w:r>
        <w:t xml:space="preserve">2024) va más lejos: clasifica ciertos sistemas de IA como de alto riesgo y exige</w:t>
      </w:r>
      <w:r>
        <w:t xml:space="preserve"> </w:t>
      </w:r>
      <w:r>
        <w:t xml:space="preserve">requisitos de transparencia, trazabilidad y supervisión humana que dependen</w:t>
      </w:r>
      <w:r>
        <w:t xml:space="preserve"> </w:t>
      </w:r>
      <w:r>
        <w:t xml:space="preserve">directamente de la disponibilidad de métodos de explicación verificables. En el</w:t>
      </w:r>
      <w:r>
        <w:t xml:space="preserve"> </w:t>
      </w:r>
      <w:r>
        <w:t xml:space="preserve">ámbito financiero, la Directiva de Crédito Hipotecario y la regulación bancaria</w:t>
      </w:r>
      <w:r>
        <w:t xml:space="preserve"> </w:t>
      </w:r>
      <w:r>
        <w:t xml:space="preserve">(Basilea IV) demandan modelos auditables. En el sector sanitario, la FDA</w:t>
      </w:r>
      <w:r>
        <w:t xml:space="preserve"> </w:t>
      </w:r>
      <w:r>
        <w:t xml:space="preserve">norteamericana y la EMA europea han publicado marcos de gobernanza que vinculan</w:t>
      </w:r>
      <w:r>
        <w:t xml:space="preserve"> </w:t>
      </w:r>
      <w:r>
        <w:t xml:space="preserve">aprobación de sistemas de IA con explicabilidad comprobable. Esta confluencia</w:t>
      </w:r>
      <w:r>
        <w:t xml:space="preserve"> </w:t>
      </w:r>
      <w:r>
        <w:t xml:space="preserve">normativa convierte la evaluación rigurosa de métodos de explicación en una</w:t>
      </w:r>
      <w:r>
        <w:t xml:space="preserve"> </w:t>
      </w:r>
      <w:r>
        <w:t xml:space="preserve">necesidad operativa, no solo académica.</w:t>
      </w:r>
    </w:p>
    <w:p>
      <w:pPr>
        <w:pStyle w:val="Textoindependiente"/>
        <w:spacing w:line="360" w:lineRule="auto"/>
        <w:jc w:val="both"/>
      </w:pPr>
      <w:r>
        <w:t xml:space="preserve">A pesar de su potencial, los enfoques actuales de explicabilidad</w:t>
      </w:r>
      <w:r>
        <w:t xml:space="preserve"> </w:t>
      </w:r>
      <w:r>
        <w:t xml:space="preserve">adolecen de limitaciones significativas que restringen su aplicabilidad</w:t>
      </w:r>
      <w:r>
        <w:t xml:space="preserve"> </w:t>
      </w:r>
      <w:r>
        <w:t xml:space="preserve">práctica. En primer lugar, la comunidad científica enfrenta lo que se ha</w:t>
      </w:r>
      <w:r>
        <w:t xml:space="preserve"> </w:t>
      </w:r>
      <w:r>
        <w:t xml:space="preserve">denominado una</w:t>
      </w:r>
      <w:r>
        <w:t xml:space="preserve"> </w:t>
      </w:r>
      <w:r>
        <w:t xml:space="preserve">“crisis de evaluación”</w:t>
      </w:r>
      <w:r>
        <w:t xml:space="preserve">, caracterizada por una proliferación de</w:t>
      </w:r>
      <w:r>
        <w:t xml:space="preserve"> </w:t>
      </w:r>
      <w:r>
        <w:t xml:space="preserve">métricas inconexas que a menudo generan resultados duplicados o contradictorios</w:t>
      </w:r>
      <w:r>
        <w:t xml:space="preserve"> </w:t>
      </w:r>
      <w:r>
        <w:t xml:space="preserve">(Pawlicki et al. 2024)</w:t>
      </w:r>
      <w:r>
        <w:t xml:space="preserve">. Revisiones sistemáticas recientes</w:t>
      </w:r>
      <w:r>
        <w:t xml:space="preserve"> </w:t>
      </w:r>
      <w:r>
        <w:t xml:space="preserve">(Abdul Kadir et al. 2023)</w:t>
      </w:r>
      <w:r>
        <w:t xml:space="preserve"> </w:t>
      </w:r>
      <w:r>
        <w:t xml:space="preserve">revelan que,</w:t>
      </w:r>
      <w:r>
        <w:t xml:space="preserve"> </w:t>
      </w:r>
      <w:r>
        <w:t xml:space="preserve">a pesar del auge de la disciplina, solo una pequeña fracción del corpus de</w:t>
      </w:r>
      <w:r>
        <w:t xml:space="preserve"> </w:t>
      </w:r>
      <w:r>
        <w:t xml:space="preserve">investigación —aproximadamente el 14%— incorpora evaluaciones cuantitativas</w:t>
      </w:r>
      <w:r>
        <w:t xml:space="preserve"> </w:t>
      </w:r>
      <w:r>
        <w:t xml:space="preserve">rigurosas. Esta carencia de estándares se ve agravada por la falta de consenso</w:t>
      </w:r>
      <w:r>
        <w:t xml:space="preserve"> </w:t>
      </w:r>
      <w:r>
        <w:t xml:space="preserve">formal sobre las propiedades fundamentales de una</w:t>
      </w:r>
      <w:r>
        <w:t xml:space="preserve"> </w:t>
      </w:r>
      <w:r>
        <w:t xml:space="preserve">“buena”</w:t>
      </w:r>
      <w:r>
        <w:t xml:space="preserve"> </w:t>
      </w:r>
      <w:r>
        <w:t xml:space="preserve">explicación, lo que</w:t>
      </w:r>
      <w:r>
        <w:t xml:space="preserve"> </w:t>
      </w:r>
      <w:r>
        <w:t xml:space="preserve">dificulta la comparación objetiva entre métodos</w:t>
      </w:r>
      <w:r>
        <w:t xml:space="preserve"> </w:t>
      </w:r>
      <w:r>
        <w:t xml:space="preserve">(Canha et al. 2025; Nizam y Zafar 2023)</w:t>
      </w:r>
      <w:r>
        <w:t xml:space="preserve">. La</w:t>
      </w:r>
      <w:r>
        <w:t xml:space="preserve"> </w:t>
      </w:r>
      <w:r>
        <w:t xml:space="preserve">ausencia de criterios consensuados provoca que, a menudo, se ignore la</w:t>
      </w:r>
      <w:r>
        <w:t xml:space="preserve"> </w:t>
      </w:r>
      <w:r>
        <w:t xml:space="preserve">“validez</w:t>
      </w:r>
      <w:r>
        <w:t xml:space="preserve"> </w:t>
      </w:r>
      <w:r>
        <w:t xml:space="preserve">semántica”</w:t>
      </w:r>
      <w:r>
        <w:t xml:space="preserve"> </w:t>
      </w:r>
      <w:r>
        <w:t xml:space="preserve">de la explicación, priorizando métricas matemáticas proxy que no</w:t>
      </w:r>
      <w:r>
        <w:t xml:space="preserve"> </w:t>
      </w:r>
      <w:r>
        <w:t xml:space="preserve">siempre logran capturar el juicio comprensible para un experto humano.</w:t>
      </w:r>
    </w:p>
    <w:p>
      <w:pPr>
        <w:pStyle w:val="Textoindependiente"/>
        <w:spacing w:line="360" w:lineRule="auto"/>
        <w:jc w:val="both"/>
      </w:pPr>
      <w:r>
        <w:t xml:space="preserve">A los desafíos de estandarización se suman debilidades técnicas críticas en los</w:t>
      </w:r>
      <w:r>
        <w:t xml:space="preserve"> </w:t>
      </w:r>
      <w:r>
        <w:t xml:space="preserve">marcos de evaluación vigentes. Estudios recientes han identificado que muchas de</w:t>
      </w:r>
      <w:r>
        <w:t xml:space="preserve"> </w:t>
      </w:r>
      <w:r>
        <w:t xml:space="preserve">las métricas de fidelidad tradicionales sufren del problema de datos</w:t>
      </w:r>
      <w:r>
        <w:t xml:space="preserve"> </w:t>
      </w:r>
      <w:r>
        <w:t xml:space="preserve">“fuera de la distribución”</w:t>
      </w:r>
      <w:r>
        <w:t xml:space="preserve"> </w:t>
      </w:r>
      <w:r>
        <w:t xml:space="preserve">(Out-of-Distribution o OOD), donde la eliminación o</w:t>
      </w:r>
      <w:r>
        <w:t xml:space="preserve"> </w:t>
      </w:r>
      <w:r>
        <w:t xml:space="preserve">perturbación de características genera instancias que el modelo original nunca</w:t>
      </w:r>
      <w:r>
        <w:t xml:space="preserve"> </w:t>
      </w:r>
      <w:r>
        <w:t xml:space="preserve">encontró durante su entrenamiento, invalidando así sus respuestas y las</w:t>
      </w:r>
      <w:r>
        <w:t xml:space="preserve"> </w:t>
      </w:r>
      <w:r>
        <w:t xml:space="preserve">puntuaciones de fiabilidad resultantes</w:t>
      </w:r>
      <w:r>
        <w:t xml:space="preserve"> </w:t>
      </w:r>
      <w:r>
        <w:t xml:space="preserve">(Zheng et al. 2025)</w:t>
      </w:r>
      <w:r>
        <w:t xml:space="preserve">. Si bien han surgido</w:t>
      </w:r>
      <w:r>
        <w:t xml:space="preserve"> </w:t>
      </w:r>
      <w:r>
        <w:t xml:space="preserve">ecosistemas de benchmarking integrales como Quantus</w:t>
      </w:r>
      <w:r>
        <w:t xml:space="preserve"> </w:t>
      </w:r>
      <w:r>
        <w:t xml:space="preserve">(Hedström et al. 2023)</w:t>
      </w:r>
      <w:r>
        <w:t xml:space="preserve"> </w:t>
      </w:r>
      <w:r>
        <w:t xml:space="preserve">y OpenXAI</w:t>
      </w:r>
      <w:r>
        <w:t xml:space="preserve"> </w:t>
      </w:r>
      <w:r>
        <w:t xml:space="preserve">(Agarwal et al. 2022)</w:t>
      </w:r>
      <w:r>
        <w:t xml:space="preserve"> </w:t>
      </w:r>
      <w:r>
        <w:t xml:space="preserve">para intentar unificar el campo, todavía persiste una brecha</w:t>
      </w:r>
      <w:r>
        <w:t xml:space="preserve"> </w:t>
      </w:r>
      <w:r>
        <w:t xml:space="preserve">significativa: ninguno de estos marcos ofrece un protocolo operativo completo</w:t>
      </w:r>
      <w:r>
        <w:t xml:space="preserve"> </w:t>
      </w:r>
      <w:r>
        <w:t xml:space="preserve">que conecte diseño experimental, calificación de artefactos, admisibilidad</w:t>
      </w:r>
      <w:r>
        <w:t xml:space="preserve"> </w:t>
      </w:r>
      <w:r>
        <w:t xml:space="preserve">estadística, reproducibilidad y trazabilidad de afirmaciones en una secuencia</w:t>
      </w:r>
      <w:r>
        <w:t xml:space="preserve"> </w:t>
      </w:r>
      <w:r>
        <w:t xml:space="preserve">auditable</w:t>
      </w:r>
      <w:r>
        <w:t xml:space="preserve"> </w:t>
      </w:r>
      <w:r>
        <w:t xml:space="preserve">(Pawlicki et al. 2024; Canha et al. 2025)</w:t>
      </w:r>
      <w:r>
        <w:t xml:space="preserve">. Esa brecha es el problema central de esta</w:t>
      </w:r>
      <w:r>
        <w:t xml:space="preserve"> </w:t>
      </w:r>
      <w:r>
        <w:t xml:space="preserve">tesis.</w:t>
      </w:r>
    </w:p>
    <w:p>
      <w:pPr>
        <w:pStyle w:val="Textoindependiente"/>
        <w:spacing w:line="360" w:lineRule="auto"/>
        <w:jc w:val="both"/>
      </w:pPr>
      <w:r>
        <w:t xml:space="preserve">Esta investigación responde a la brecha con tres contribuciones articuladas.</w:t>
      </w:r>
      <w:r>
        <w:t xml:space="preserve"> </w:t>
      </w:r>
      <w:r>
        <w:t xml:space="preserve">La</w:t>
      </w:r>
      <w:r>
        <w:t xml:space="preserve"> </w:t>
      </w:r>
      <w:r>
        <w:rPr>
          <w:b/>
          <w:bCs/>
        </w:rPr>
        <w:t xml:space="preserve">contribución metodológica</w:t>
      </w:r>
      <w:r>
        <w:t xml:space="preserve"> </w:t>
      </w:r>
      <w:r>
        <w:t xml:space="preserve">es el protocolo FOM-7 (</w:t>
      </w:r>
      <w:r>
        <w:rPr>
          <w:i/>
          <w:iCs/>
        </w:rPr>
        <w:t xml:space="preserve">Framework Operation</w:t>
      </w:r>
      <w:r>
        <w:rPr>
          <w:i/>
          <w:iCs/>
        </w:rPr>
        <w:t xml:space="preserve"> </w:t>
      </w:r>
      <w:r>
        <w:rPr>
          <w:i/>
          <w:iCs/>
        </w:rPr>
        <w:t xml:space="preserve">Method</w:t>
      </w:r>
      <w:r>
        <w:t xml:space="preserve">, siete puertas), una secuencia operativa reproducible que gobierna el</w:t>
      </w:r>
      <w:r>
        <w:t xml:space="preserve"> </w:t>
      </w:r>
      <w:r>
        <w:t xml:space="preserve">ciclo completo de evidencia en evaluación XAI comparativa: desde la congelación</w:t>
      </w:r>
      <w:r>
        <w:t xml:space="preserve"> </w:t>
      </w:r>
      <w:r>
        <w:t xml:space="preserve">del protocolo experimental hasta la trazabilidad de afirmaciones inferenciales.</w:t>
      </w:r>
      <w:r>
        <w:t xml:space="preserve"> </w:t>
      </w:r>
      <w:r>
        <w:t xml:space="preserve">La</w:t>
      </w:r>
      <w:r>
        <w:t xml:space="preserve"> </w:t>
      </w:r>
      <w:r>
        <w:rPr>
          <w:b/>
          <w:bCs/>
        </w:rPr>
        <w:t xml:space="preserve">contribución empírica</w:t>
      </w:r>
      <w:r>
        <w:t xml:space="preserve"> </w:t>
      </w:r>
      <w:r>
        <w:t xml:space="preserve">es un benchmark multi-métrico sobre datos tabulares</w:t>
      </w:r>
      <w:r>
        <w:t xml:space="preserve"> </w:t>
      </w:r>
      <w:r>
        <w:t xml:space="preserve">reales que compara SHAP, LIME, Anchors y DiCE bajo cinco modelos, cinco</w:t>
      </w:r>
      <w:r>
        <w:t xml:space="preserve"> </w:t>
      </w:r>
      <w:r>
        <w:t xml:space="preserve">semillas y tres tamaños de muestra, produciendo 275 artefactos calificados con</w:t>
      </w:r>
      <w:r>
        <w:t xml:space="preserve"> </w:t>
      </w:r>
      <w:r>
        <w:t xml:space="preserve">análisis estadístico mediante pruebas no paramétricas con control de</w:t>
      </w:r>
      <w:r>
        <w:t xml:space="preserve"> </w:t>
      </w:r>
      <w:r>
        <w:t xml:space="preserve">multiplicidad. La</w:t>
      </w:r>
      <w:r>
        <w:t xml:space="preserve"> </w:t>
      </w:r>
      <w:r>
        <w:rPr>
          <w:b/>
          <w:bCs/>
        </w:rPr>
        <w:t xml:space="preserve">contribución teórica</w:t>
      </w:r>
      <w:r>
        <w:t xml:space="preserve"> </w:t>
      </w:r>
      <w:r>
        <w:t xml:space="preserve">es una taxonomía estructurada de</w:t>
      </w:r>
      <w:r>
        <w:t xml:space="preserve"> </w:t>
      </w:r>
      <w:r>
        <w:t xml:space="preserve">cuatro ejes que organiza el espacio de métricas de evaluación XAI,</w:t>
      </w:r>
      <w:r>
        <w:t xml:space="preserve"> </w:t>
      </w:r>
      <w:r>
        <w:t xml:space="preserve">localiza explícitamente las dimensiones cubiertas y no cubiertas por el</w:t>
      </w:r>
      <w:r>
        <w:t xml:space="preserve"> </w:t>
      </w:r>
      <w:r>
        <w:t xml:space="preserve">benchmark, y vincula cada métrica a su alcance inferencial admisible. Juntas,</w:t>
      </w:r>
      <w:r>
        <w:t xml:space="preserve"> </w:t>
      </w:r>
      <w:r>
        <w:t xml:space="preserve">estas tres contribuciones avanzan el campo desde la proliferación de métricas</w:t>
      </w:r>
      <w:r>
        <w:t xml:space="preserve"> </w:t>
      </w:r>
      <w:r>
        <w:t xml:space="preserve">hacia la acumulación sistemática de evidencia defendible. Cuatro trabajos de</w:t>
      </w:r>
      <w:r>
        <w:t xml:space="preserve"> </w:t>
      </w:r>
      <w:r>
        <w:t xml:space="preserve">seguimiento, posteriores al plan confirmativo y declarados como tales, delimitan</w:t>
      </w:r>
      <w:r>
        <w:t xml:space="preserve"> </w:t>
      </w:r>
      <w:r>
        <w:t xml:space="preserve">después el alcance de validez de esos resultados: ante el error de</w:t>
      </w:r>
      <w:r>
        <w:t xml:space="preserve"> </w:t>
      </w:r>
      <w:r>
        <w:t xml:space="preserve">clasificación, ante el cambio de explicador, ante el cambio de conjunto de</w:t>
      </w:r>
      <w:r>
        <w:t xml:space="preserve"> </w:t>
      </w:r>
      <w:r>
        <w:t xml:space="preserve">datos y ante el instrumento de evaluación semántica.</w:t>
      </w:r>
    </w:p>
    <w:p>
      <w:pPr>
        <w:pStyle w:val="Textoindependiente"/>
        <w:spacing w:line="360" w:lineRule="auto"/>
        <w:jc w:val="both"/>
      </w:pPr>
      <w:r>
        <w:t xml:space="preserve">Para alcanzar estos objetivos, el documento se estructura en siete capítulos y</w:t>
      </w:r>
      <w:r>
        <w:t xml:space="preserve"> </w:t>
      </w:r>
      <w:r>
        <w:t xml:space="preserve">dos elementos complementarios. Tras esta introducción, el</w:t>
      </w:r>
      <w:r>
        <w:t xml:space="preserve"> </w:t>
      </w:r>
      <w:r>
        <w:rPr>
          <w:b/>
          <w:bCs/>
        </w:rPr>
        <w:t xml:space="preserve">Capítulo 1</w:t>
      </w:r>
      <w:r>
        <w:t xml:space="preserve"> </w:t>
      </w:r>
      <w:r>
        <w:t xml:space="preserve">formaliza el problema de investigación, los objetivos específicos y las</w:t>
      </w:r>
      <w:r>
        <w:t xml:space="preserve"> </w:t>
      </w:r>
      <w:r>
        <w:t xml:space="preserve">hipótesis estadísticas. El</w:t>
      </w:r>
      <w:r>
        <w:t xml:space="preserve"> </w:t>
      </w:r>
      <w:r>
        <w:rPr>
          <w:b/>
          <w:bCs/>
        </w:rPr>
        <w:t xml:space="preserve">Capítulo 2</w:t>
      </w:r>
      <w:r>
        <w:t xml:space="preserve"> </w:t>
      </w:r>
      <w:r>
        <w:t xml:space="preserve">establece el marco teórico:</w:t>
      </w:r>
      <w:r>
        <w:t xml:space="preserve"> </w:t>
      </w:r>
      <w:r>
        <w:t xml:space="preserve">desarrolla el desarrollo histórico de la XAI, las distinciones conceptuales</w:t>
      </w:r>
      <w:r>
        <w:t xml:space="preserve"> </w:t>
      </w:r>
      <w:r>
        <w:t xml:space="preserve">fundamentales, los cuatro métodos evaluados y los marcos de evaluación</w:t>
      </w:r>
      <w:r>
        <w:t xml:space="preserve"> </w:t>
      </w:r>
      <w:r>
        <w:t xml:space="preserve">existentes, cerrando con la síntesis crítica que justifica FOM-7. El</w:t>
      </w:r>
      <w:r>
        <w:t xml:space="preserve"> </w:t>
      </w:r>
      <w:r>
        <w:rPr>
          <w:b/>
          <w:bCs/>
        </w:rPr>
        <w:t xml:space="preserve">Capítulo 3</w:t>
      </w:r>
      <w:r>
        <w:t xml:space="preserve"> </w:t>
      </w:r>
      <w:r>
        <w:t xml:space="preserve">describe el diseño experimental: el protocolo FOM-7, el</w:t>
      </w:r>
      <w:r>
        <w:t xml:space="preserve"> </w:t>
      </w:r>
      <w:r>
        <w:t xml:space="preserve">conjunto de datos, el diseño factorial, la operacionalización de métricas, el</w:t>
      </w:r>
      <w:r>
        <w:t xml:space="preserve"> </w:t>
      </w:r>
      <w:r>
        <w:t xml:space="preserve">análisis de cobertura y el plan de inferencia estadística. El</w:t>
      </w:r>
      <w:r>
        <w:t xml:space="preserve"> </w:t>
      </w:r>
      <w:r>
        <w:rPr>
          <w:b/>
          <w:bCs/>
        </w:rPr>
        <w:t xml:space="preserve">Capítulo 4</w:t>
      </w:r>
      <w:r>
        <w:t xml:space="preserve"> </w:t>
      </w:r>
      <w:r>
        <w:t xml:space="preserve">expone y discute los resultados empíricos del Estudio Omnibus Multimétrico y</w:t>
      </w:r>
      <w:r>
        <w:t xml:space="preserve"> </w:t>
      </w:r>
      <w:r>
        <w:t xml:space="preserve">del Estudio Pareado LIME–SHAP, con plena trazabilidad de afirmaciones. El</w:t>
      </w:r>
      <w:r>
        <w:t xml:space="preserve"> </w:t>
      </w:r>
      <w:r>
        <w:rPr>
          <w:b/>
          <w:bCs/>
        </w:rPr>
        <w:t xml:space="preserve">Capítulo 5</w:t>
      </w:r>
      <w:r>
        <w:t xml:space="preserve"> </w:t>
      </w:r>
      <w:r>
        <w:t xml:space="preserve">desarrolla la taxonomía de métricas XAI como contribución</w:t>
      </w:r>
      <w:r>
        <w:t xml:space="preserve"> </w:t>
      </w:r>
      <w:r>
        <w:t xml:space="preserve">teórica autónoma. El</w:t>
      </w:r>
      <w:r>
        <w:t xml:space="preserve"> </w:t>
      </w:r>
      <w:r>
        <w:rPr>
          <w:b/>
          <w:bCs/>
        </w:rPr>
        <w:t xml:space="preserve">Capítulo 6</w:t>
      </w:r>
      <w:r>
        <w:t xml:space="preserve"> </w:t>
      </w:r>
      <w:r>
        <w:t xml:space="preserve">reporta los estudios de seguimiento, que</w:t>
      </w:r>
      <w:r>
        <w:t xml:space="preserve"> </w:t>
      </w:r>
      <w:r>
        <w:t xml:space="preserve">examinan hasta dónde se sostienen las conclusiones del benchmark. El</w:t>
      </w:r>
      <w:r>
        <w:t xml:space="preserve"> </w:t>
      </w:r>
      <w:r>
        <w:rPr>
          <w:b/>
          <w:bCs/>
        </w:rPr>
        <w:t xml:space="preserve">Capítulo 7</w:t>
      </w:r>
      <w:r>
        <w:t xml:space="preserve"> </w:t>
      </w:r>
      <w:r>
        <w:t xml:space="preserve">sintetiza las conclusiones, separa las</w:t>
      </w:r>
      <w:r>
        <w:t xml:space="preserve"> </w:t>
      </w:r>
      <w:r>
        <w:t xml:space="preserve">contribuciones de la literatura previa, reconoce las limitaciones y propone</w:t>
      </w:r>
      <w:r>
        <w:t xml:space="preserve"> </w:t>
      </w:r>
      <w:r>
        <w:t xml:space="preserve">líneas de investigación futura. Los apéndices documentan los datos, modelos,</w:t>
      </w:r>
      <w:r>
        <w:t xml:space="preserve"> </w:t>
      </w:r>
      <w:r>
        <w:t xml:space="preserve">configuraciones, salidas estadísticas y entorno de reproducción.</w:t>
      </w:r>
    </w:p>
    <w:bookmarkEnd w:id="29"/>
    <w:bookmarkStart w:id="50" w:name="X13574bcfb14bbd4e095f2c559ff6b33999e5b97"/>
    <w:p>
      <w:pPr>
        <w:pStyle w:val="Ttulo1"/>
        <w:spacing w:line="360" w:lineRule="auto"/>
        <w:jc w:val="both"/>
      </w:pPr>
      <w:r>
        <w:t xml:space="preserve">Capítulo 1. </w:t>
      </w:r>
      <w:r>
        <w:t xml:space="preserve">Problema, objetivos y diseño general de la investigación</w:t>
      </w:r>
    </w:p>
    <w:p>
      <w:pPr>
        <w:pStyle w:val="FirstParagraph"/>
        <w:spacing w:line="360" w:lineRule="auto"/>
        <w:jc w:val="both"/>
      </w:pPr>
      <w:r>
        <w:t xml:space="preserve">Este capítulo establece el posicionamiento investigativo de la tesis. Se</w:t>
      </w:r>
      <w:r>
        <w:t xml:space="preserve"> </w:t>
      </w:r>
      <w:r>
        <w:t xml:space="preserve">articula en cuatro ejes: el problema de investigación que motiva el trabajo, la</w:t>
      </w:r>
      <w:r>
        <w:t xml:space="preserve"> </w:t>
      </w:r>
      <w:r>
        <w:t xml:space="preserve">justificación de su relevancia científica y práctica, los objetivos e hipótesis</w:t>
      </w:r>
      <w:r>
        <w:t xml:space="preserve"> </w:t>
      </w:r>
      <w:r>
        <w:t xml:space="preserve">formales que orientan la indagación empírica, y la metodología general que</w:t>
      </w:r>
      <w:r>
        <w:t xml:space="preserve"> </w:t>
      </w:r>
      <w:r>
        <w:t xml:space="preserve">estructura el diseño de los estudios. La exposición detallada de los fundamentos</w:t>
      </w:r>
      <w:r>
        <w:t xml:space="preserve"> </w:t>
      </w:r>
      <w:r>
        <w:t xml:space="preserve">conceptuales —incluyendo las bases técnicas de los métodos de explicabilidad y</w:t>
      </w:r>
      <w:r>
        <w:t xml:space="preserve"> </w:t>
      </w:r>
      <w:r>
        <w:t xml:space="preserve">los criterios de evaluación— se desarrolla en el Capítulo 2.</w:t>
      </w:r>
    </w:p>
    <w:bookmarkStart w:id="30" w:name="problema-de-investigación"/>
    <w:p>
      <w:pPr>
        <w:pStyle w:val="Ttulo2"/>
        <w:spacing w:line="360" w:lineRule="auto"/>
        <w:jc w:val="both"/>
      </w:pPr>
      <w:r>
        <w:t xml:space="preserve">1.1 </w:t>
      </w:r>
      <w:r>
        <w:t xml:space="preserve">Problema de investigación</w:t>
      </w:r>
    </w:p>
    <w:p>
      <w:pPr>
        <w:pStyle w:val="FirstParagraph"/>
        <w:spacing w:line="360" w:lineRule="auto"/>
        <w:jc w:val="both"/>
      </w:pPr>
      <w:r>
        <w:t xml:space="preserve">La Inteligencia Artificial Explicable (XAI) ha consolidado un ecosistema de</w:t>
      </w:r>
      <w:r>
        <w:t xml:space="preserve"> </w:t>
      </w:r>
      <w:r>
        <w:t xml:space="preserve">métodos</w:t>
      </w:r>
      <w:r>
        <w:t xml:space="preserve"> </w:t>
      </w:r>
      <w:r>
        <w:rPr>
          <w:i/>
          <w:iCs/>
        </w:rPr>
        <w:t xml:space="preserve">post-hoc</w:t>
      </w:r>
      <w:r>
        <w:t xml:space="preserve"> </w:t>
      </w:r>
      <w:r>
        <w:t xml:space="preserve">agnósticos al modelo cuya adopción en dominios de alto riesgo</w:t>
      </w:r>
      <w:r>
        <w:t xml:space="preserve"> </w:t>
      </w:r>
      <w:r>
        <w:t xml:space="preserve">crece de forma sostenida</w:t>
      </w:r>
      <w:r>
        <w:t xml:space="preserve"> </w:t>
      </w:r>
      <w:r>
        <w:t xml:space="preserve">(Adadi 2018; Arrieta 2019; Angelov 2021; Schwalbe 2023; Ali 2023; Belle 2021; Linardatos 2020; Saarela 2024; Malwade 2023)</w:t>
      </w:r>
      <w:r>
        <w:t xml:space="preserve">. Sin embargo, la capacidad del campo para</w:t>
      </w:r>
      <w:r>
        <w:t xml:space="preserve"> </w:t>
      </w:r>
      <w:r>
        <w:rPr>
          <w:i/>
          <w:iCs/>
        </w:rPr>
        <w:t xml:space="preserve">evaluar</w:t>
      </w:r>
      <w:r>
        <w:t xml:space="preserve"> </w:t>
      </w:r>
      <w:r>
        <w:t xml:space="preserve">esos</w:t>
      </w:r>
      <w:r>
        <w:t xml:space="preserve"> </w:t>
      </w:r>
      <w:r>
        <w:t xml:space="preserve">métodos de manera comparativa, rigurosa y reproducible no ha avanzado al mismo</w:t>
      </w:r>
      <w:r>
        <w:t xml:space="preserve"> </w:t>
      </w:r>
      <w:r>
        <w:t xml:space="preserve">ritmo</w:t>
      </w:r>
      <w:r>
        <w:t xml:space="preserve"> </w:t>
      </w:r>
      <w:r>
        <w:t xml:space="preserve">(Doshi-Velez 2017; Samek 2019; Canha et al. 2025)</w:t>
      </w:r>
      <w:r>
        <w:t xml:space="preserve">. En la práctica, esta tensión</w:t>
      </w:r>
      <w:r>
        <w:t xml:space="preserve"> </w:t>
      </w:r>
      <w:r>
        <w:t xml:space="preserve">se observa incluso en explicadores locales ampliamente utilizados —como LIME y</w:t>
      </w:r>
      <w:r>
        <w:t xml:space="preserve"> </w:t>
      </w:r>
      <w:r>
        <w:t xml:space="preserve">SHAP— cuyo uso extensivo contrasta con la variabilidad de criterios de</w:t>
      </w:r>
      <w:r>
        <w:t xml:space="preserve"> </w:t>
      </w:r>
      <w:r>
        <w:t xml:space="preserve">evaluación reportados entre estudios</w:t>
      </w:r>
      <w:r>
        <w:t xml:space="preserve"> </w:t>
      </w:r>
      <w:r>
        <w:t xml:space="preserve">(Ribeiro 2016; Lundberg 2017; Pawlicki et al. 2024)</w:t>
      </w:r>
      <w:r>
        <w:t xml:space="preserve">. Revisiones sistemáticas recientes</w:t>
      </w:r>
      <w:r>
        <w:t xml:space="preserve"> </w:t>
      </w:r>
      <w:r>
        <w:t xml:space="preserve">identifican una marcada proliferación de métricas inconexas, inconsistencia en</w:t>
      </w:r>
      <w:r>
        <w:t xml:space="preserve"> </w:t>
      </w:r>
      <w:r>
        <w:t xml:space="preserve">los criterios de inclusión de instancias y ausencia de protocolos que conecten</w:t>
      </w:r>
      <w:r>
        <w:t xml:space="preserve"> </w:t>
      </w:r>
      <w:r>
        <w:t xml:space="preserve">la ejecución experimental con la inferencia estadística admisible</w:t>
      </w:r>
      <w:r>
        <w:t xml:space="preserve"> </w:t>
      </w:r>
      <w:r>
        <w:t xml:space="preserve">(Pawlicki et al. 2024; Abdul Kadir et al. 2023; Altukhi 2025; Bhattacharya y Verbert 2024; Lipton 2018)</w:t>
      </w:r>
      <w:r>
        <w:t xml:space="preserve">. Las</w:t>
      </w:r>
      <w:r>
        <w:t xml:space="preserve"> </w:t>
      </w:r>
      <w:r>
        <w:t xml:space="preserve">revisiones panorámicas del campo coinciden en el diagnóstico: el catálogo de</w:t>
      </w:r>
      <w:r>
        <w:t xml:space="preserve"> </w:t>
      </w:r>
      <w:r>
        <w:t xml:space="preserve">técnicas ha crecido con rapidez</w:t>
      </w:r>
      <w:r>
        <w:t xml:space="preserve"> </w:t>
      </w:r>
      <w:r>
        <w:t xml:space="preserve">(Dwivedi 2022)</w:t>
      </w:r>
      <w:r>
        <w:t xml:space="preserve">, mientras que los retos abiertos</w:t>
      </w:r>
      <w:r>
        <w:t xml:space="preserve"> </w:t>
      </w:r>
      <w:r>
        <w:t xml:space="preserve">de evaluación permanecen en buena medida sin resolver a lo largo de sucesivas</w:t>
      </w:r>
      <w:r>
        <w:t xml:space="preserve"> </w:t>
      </w:r>
      <w:r>
        <w:t xml:space="preserve">meta-revisiones</w:t>
      </w:r>
      <w:r>
        <w:t xml:space="preserve"> </w:t>
      </w:r>
      <w:r>
        <w:t xml:space="preserve">(Saeed 2023)</w:t>
      </w:r>
      <w:r>
        <w:t xml:space="preserve">. Como</w:t>
      </w:r>
      <w:r>
        <w:t xml:space="preserve"> </w:t>
      </w:r>
      <w:r>
        <w:t xml:space="preserve">resultado, los estudios publicados son frecuentemente inconmensurables entre sí</w:t>
      </w:r>
      <w:r>
        <w:t xml:space="preserve"> </w:t>
      </w:r>
      <w:r>
        <w:t xml:space="preserve">y no permiten la acumulación sistemática de evidencia</w:t>
      </w:r>
      <w:r>
        <w:t xml:space="preserve"> </w:t>
      </w:r>
      <w:r>
        <w:t xml:space="preserve">(Doshi-Velez 2017; Canha et al. 2025)</w:t>
      </w:r>
      <w:r>
        <w:t xml:space="preserve">.</w:t>
      </w:r>
    </w:p>
    <w:p>
      <w:pPr>
        <w:pStyle w:val="Textoindependiente"/>
        <w:spacing w:line="360" w:lineRule="auto"/>
        <w:jc w:val="both"/>
      </w:pPr>
      <w:r>
        <w:t xml:space="preserve">La raíz técnica de este problema es doble. Por un lado, las métricas de</w:t>
      </w:r>
      <w:r>
        <w:t xml:space="preserve"> </w:t>
      </w:r>
      <w:r>
        <w:t xml:space="preserve">fidelidad —las más ampliamente utilizadas— no capturan dimensiones igualmente</w:t>
      </w:r>
      <w:r>
        <w:t xml:space="preserve"> </w:t>
      </w:r>
      <w:r>
        <w:t xml:space="preserve">relevantes para el despliegue práctico: la estabilidad ante perturbaciones de</w:t>
      </w:r>
      <w:r>
        <w:t xml:space="preserve"> </w:t>
      </w:r>
      <w:r>
        <w:t xml:space="preserve">entrada, la parsimonia de las explicaciones producidas y el coste computacional</w:t>
      </w:r>
      <w:r>
        <w:t xml:space="preserve"> </w:t>
      </w:r>
      <w:r>
        <w:t xml:space="preserve">por instancia</w:t>
      </w:r>
      <w:r>
        <w:t xml:space="preserve"> </w:t>
      </w:r>
      <w:r>
        <w:t xml:space="preserve">(Bhattacharya y Verbert 2024; Abdul Kadir et al. 2023; Canha et al. 2025; Hedström et al. 2023)</w:t>
      </w:r>
      <w:r>
        <w:t xml:space="preserve">. Por</w:t>
      </w:r>
      <w:r>
        <w:t xml:space="preserve"> </w:t>
      </w:r>
      <w:r>
        <w:t xml:space="preserve">otro lado, muchas de estas</w:t>
      </w:r>
      <w:r>
        <w:t xml:space="preserve"> </w:t>
      </w:r>
      <w:r>
        <w:t xml:space="preserve">métricas sufren del problema de datos fuera de la distribución (</w:t>
      </w:r>
      <w:r>
        <w:rPr>
          <w:i/>
          <w:iCs/>
        </w:rPr>
        <w:t xml:space="preserve">Out-of-</w:t>
      </w:r>
      <w:r>
        <w:rPr>
          <w:i/>
          <w:iCs/>
        </w:rPr>
        <w:t xml:space="preserve"> </w:t>
      </w:r>
      <w:r>
        <w:rPr>
          <w:i/>
          <w:iCs/>
        </w:rPr>
        <w:t xml:space="preserve">Distribution</w:t>
      </w:r>
      <w:r>
        <w:t xml:space="preserve">, OOD): la perturbación de características puede generar</w:t>
      </w:r>
      <w:r>
        <w:t xml:space="preserve"> </w:t>
      </w:r>
      <w:r>
        <w:t xml:space="preserve">instancias que el modelo nunca encontró durante el entrenamiento y sesgar las</w:t>
      </w:r>
      <w:r>
        <w:t xml:space="preserve"> </w:t>
      </w:r>
      <w:r>
        <w:t xml:space="preserve">puntuaciones de fidelidad resultantes</w:t>
      </w:r>
      <w:r>
        <w:t xml:space="preserve"> </w:t>
      </w:r>
      <w:r>
        <w:t xml:space="preserve">(Alvarez-Melis y Jaakkola 2018; Hooker et al. 2019; Rong et al. 2022; Zheng et al. 2025)</w:t>
      </w:r>
      <w:r>
        <w:t xml:space="preserve">. Por ello, un ordenamiento obtenido mediante</w:t>
      </w:r>
      <w:r>
        <w:t xml:space="preserve"> </w:t>
      </w:r>
      <w:r>
        <w:t xml:space="preserve">enmascaramiento debe interpretarse como evidencia comparativa bajo el operador</w:t>
      </w:r>
      <w:r>
        <w:t xml:space="preserve"> </w:t>
      </w:r>
      <w:r>
        <w:t xml:space="preserve">de perturbación declarado, no como validación irrestricta de la corrección de</w:t>
      </w:r>
      <w:r>
        <w:t xml:space="preserve"> </w:t>
      </w:r>
      <w:r>
        <w:t xml:space="preserve">las explicaciones. La disponibilidad de herramientas de</w:t>
      </w:r>
      <w:r>
        <w:t xml:space="preserve"> </w:t>
      </w:r>
      <w:r>
        <w:t xml:space="preserve">benchmarking como Quantus</w:t>
      </w:r>
      <w:r>
        <w:t xml:space="preserve"> </w:t>
      </w:r>
      <w:r>
        <w:t xml:space="preserve">(Hedström et al. 2023)</w:t>
      </w:r>
      <w:r>
        <w:t xml:space="preserve"> </w:t>
      </w:r>
      <w:r>
        <w:t xml:space="preserve">y OpenXAI</w:t>
      </w:r>
      <w:r>
        <w:t xml:space="preserve"> </w:t>
      </w:r>
      <w:r>
        <w:t xml:space="preserve">(Agarwal et al. 2022)</w:t>
      </w:r>
      <w:r>
        <w:t xml:space="preserve"> </w:t>
      </w:r>
      <w:r>
        <w:t xml:space="preserve">ha mejorado</w:t>
      </w:r>
      <w:r>
        <w:t xml:space="preserve"> </w:t>
      </w:r>
      <w:r>
        <w:t xml:space="preserve">la estandarización de la medición, pero no resuelve la ausencia de un protocolo</w:t>
      </w:r>
      <w:r>
        <w:t xml:space="preserve"> </w:t>
      </w:r>
      <w:r>
        <w:t xml:space="preserve">de operación que discipline la trazabilidad de artefactos y la corrección de</w:t>
      </w:r>
      <w:r>
        <w:t xml:space="preserve"> </w:t>
      </w:r>
      <w:r>
        <w:t xml:space="preserve">multiplicidad en la inferencia</w:t>
      </w:r>
      <w:r>
        <w:t xml:space="preserve"> </w:t>
      </w:r>
      <w:r>
        <w:t xml:space="preserve">(Doshi-Velez 2017; Canha et al. 2025)</w:t>
      </w:r>
      <w:r>
        <w:t xml:space="preserve">.</w:t>
      </w:r>
    </w:p>
    <w:p>
      <w:pPr>
        <w:pStyle w:val="Textoindependiente"/>
        <w:spacing w:line="360" w:lineRule="auto"/>
        <w:jc w:val="both"/>
      </w:pPr>
      <w:r>
        <w:t xml:space="preserve">El problema de investigación de esta tesis se formula en los siguientes</w:t>
      </w:r>
      <w:r>
        <w:t xml:space="preserve"> </w:t>
      </w:r>
      <w:r>
        <w:t xml:space="preserve">términos:</w:t>
      </w:r>
      <w:r>
        <w:t xml:space="preserve"> </w:t>
      </w:r>
      <w:r>
        <w:rPr>
          <w:b/>
          <w:bCs/>
        </w:rPr>
        <w:t xml:space="preserve">¿En qué medida difieren los métodos de explicabilidad agnósticos al</w:t>
      </w:r>
      <w:r>
        <w:rPr>
          <w:b/>
          <w:bCs/>
        </w:rPr>
        <w:t xml:space="preserve"> </w:t>
      </w:r>
      <w:r>
        <w:rPr>
          <w:b/>
          <w:bCs/>
        </w:rPr>
        <w:t xml:space="preserve">modelo en un conjunto multidimensional de métricas de calidad bajo condiciones</w:t>
      </w:r>
      <w:r>
        <w:rPr>
          <w:b/>
          <w:bCs/>
        </w:rPr>
        <w:t xml:space="preserve"> </w:t>
      </w:r>
      <w:r>
        <w:rPr>
          <w:b/>
          <w:bCs/>
        </w:rPr>
        <w:t xml:space="preserve">de benchmarking controladas y reproducibles, y qué criterios técnicos permiten</w:t>
      </w:r>
      <w:r>
        <w:rPr>
          <w:b/>
          <w:bCs/>
        </w:rPr>
        <w:t xml:space="preserve"> </w:t>
      </w:r>
      <w:r>
        <w:rPr>
          <w:b/>
          <w:bCs/>
        </w:rPr>
        <w:t xml:space="preserve">orientar su selección en función de los objetivos operativos?</w:t>
      </w:r>
    </w:p>
    <w:bookmarkEnd w:id="30"/>
    <w:bookmarkStart w:id="31" w:name="justificación-científica-y-práctica"/>
    <w:p>
      <w:pPr>
        <w:pStyle w:val="Ttulo2"/>
        <w:spacing w:line="360" w:lineRule="auto"/>
        <w:jc w:val="both"/>
      </w:pPr>
      <w:r>
        <w:t xml:space="preserve">1.2 </w:t>
      </w:r>
      <w:r>
        <w:t xml:space="preserve">Justificación científica y práctica</w:t>
      </w:r>
    </w:p>
    <w:p>
      <w:pPr>
        <w:pStyle w:val="FirstParagraph"/>
        <w:spacing w:line="360" w:lineRule="auto"/>
        <w:jc w:val="both"/>
      </w:pPr>
      <w:r>
        <w:t xml:space="preserve">Desde el punto de vista científico, esta investigación responde a una necesidad</w:t>
      </w:r>
      <w:r>
        <w:t xml:space="preserve"> </w:t>
      </w:r>
      <w:r>
        <w:t xml:space="preserve">metodológica identificada de forma recurrente en la literatura: la falta de un</w:t>
      </w:r>
      <w:r>
        <w:t xml:space="preserve"> </w:t>
      </w:r>
      <w:r>
        <w:t xml:space="preserve">protocolo unificado que conecte el diseño experimental, la calificación de</w:t>
      </w:r>
      <w:r>
        <w:t xml:space="preserve"> </w:t>
      </w:r>
      <w:r>
        <w:t xml:space="preserve">artefactos y la inferencia estadística controlada</w:t>
      </w:r>
      <w:r>
        <w:t xml:space="preserve"> </w:t>
      </w:r>
      <w:r>
        <w:t xml:space="preserve">(Hedström et al. 2023; Agarwal et al. 2022; Zheng et al. 2025; Doshi-Velez 2017; Allen 2024)</w:t>
      </w:r>
      <w:r>
        <w:t xml:space="preserve">. La formalización de ese protocolo</w:t>
      </w:r>
      <w:r>
        <w:t xml:space="preserve"> </w:t>
      </w:r>
      <w:r>
        <w:t xml:space="preserve">como un método de operación de siete puertas (FOM-7) constituye en sí misma una</w:t>
      </w:r>
      <w:r>
        <w:t xml:space="preserve"> </w:t>
      </w:r>
      <w:r>
        <w:t xml:space="preserve">contribución al campo de la metodología de evaluación en XAI</w:t>
      </w:r>
      <w:r>
        <w:t xml:space="preserve"> </w:t>
      </w:r>
      <w:r>
        <w:t xml:space="preserve">(Canha et al. 2025)</w:t>
      </w:r>
      <w:r>
        <w:t xml:space="preserve">.</w:t>
      </w:r>
      <w:r>
        <w:t xml:space="preserve"> </w:t>
      </w:r>
      <w:r>
        <w:t xml:space="preserve">Complementariamente, la construcción de una taxonomía estructurada del espacio</w:t>
      </w:r>
      <w:r>
        <w:t xml:space="preserve"> </w:t>
      </w:r>
      <w:r>
        <w:t xml:space="preserve">de métricas de evaluación proporciona un marco conceptual que organiza las</w:t>
      </w:r>
      <w:r>
        <w:t xml:space="preserve"> </w:t>
      </w:r>
      <w:r>
        <w:t xml:space="preserve">brechas de constructo actualmente dispersas en la literatura</w:t>
      </w:r>
      <w:r>
        <w:t xml:space="preserve"> </w:t>
      </w:r>
      <w:r>
        <w:t xml:space="preserve">(Pawlicki et al. 2024; Abdul Kadir et al. 2023; Nizam y Zafar 2023; Marcinkevičs 2023; Schwalbe 2023)</w:t>
      </w:r>
      <w:r>
        <w:t xml:space="preserve">.</w:t>
      </w:r>
    </w:p>
    <w:p>
      <w:pPr>
        <w:pStyle w:val="Textoindependiente"/>
        <w:spacing w:line="360" w:lineRule="auto"/>
        <w:jc w:val="both"/>
      </w:pPr>
      <w:r>
        <w:t xml:space="preserve">Desde el punto de vista práctico, los sistemas de IA se despliegan de forma</w:t>
      </w:r>
      <w:r>
        <w:t xml:space="preserve"> </w:t>
      </w:r>
      <w:r>
        <w:t xml:space="preserve">creciente en dominios donde la explicabilidad no es opcional, sino un requisito</w:t>
      </w:r>
      <w:r>
        <w:t xml:space="preserve"> </w:t>
      </w:r>
      <w:r>
        <w:t xml:space="preserve">normativo y ético</w:t>
      </w:r>
      <w:r>
        <w:t xml:space="preserve"> </w:t>
      </w:r>
      <w:r>
        <w:t xml:space="preserve">(Mittelstadt 2019; Floridi 2018; Hassija 2023; Ali 2023)</w:t>
      </w:r>
      <w:r>
        <w:t xml:space="preserve">. En</w:t>
      </w:r>
      <w:r>
        <w:t xml:space="preserve"> </w:t>
      </w:r>
      <w:r>
        <w:t xml:space="preserve">este contexto, los profesionales y organizaciones necesitan criterios técnicos</w:t>
      </w:r>
      <w:r>
        <w:t xml:space="preserve"> </w:t>
      </w:r>
      <w:r>
        <w:t xml:space="preserve">fundamentados que orienten la selección de métodos XAI en función de objetivos</w:t>
      </w:r>
      <w:r>
        <w:t xml:space="preserve"> </w:t>
      </w:r>
      <w:r>
        <w:t xml:space="preserve">operativos concretos —p. ej., alta fiabilidad auditora frente a baja latencia de</w:t>
      </w:r>
      <w:r>
        <w:t xml:space="preserve"> </w:t>
      </w:r>
      <w:r>
        <w:t xml:space="preserve">respuesta— y de las preferencias y expectativas de los usuarios</w:t>
      </w:r>
      <w:r>
        <w:t xml:space="preserve"> </w:t>
      </w:r>
      <w:r>
        <w:t xml:space="preserve">(Murdoch 2019; Rudin 2022; Belle 2021; Tripathy 2024; Hoffman et al. 2023; Nussberger 2022)</w:t>
      </w:r>
      <w:r>
        <w:t xml:space="preserve">. Esta</w:t>
      </w:r>
      <w:r>
        <w:t xml:space="preserve"> </w:t>
      </w:r>
      <w:r>
        <w:t xml:space="preserve">tesis provee esa orientación a través de un análisis empírico pareado,</w:t>
      </w:r>
      <w:r>
        <w:t xml:space="preserve"> </w:t>
      </w:r>
      <w:r>
        <w:t xml:space="preserve">reproducible y estadísticamente riguroso</w:t>
      </w:r>
      <w:r>
        <w:t xml:space="preserve"> </w:t>
      </w:r>
      <w:r>
        <w:t xml:space="preserve">sobre datos tabulares reales.</w:t>
      </w:r>
    </w:p>
    <w:p>
      <w:pPr>
        <w:pStyle w:val="Textoindependiente"/>
        <w:spacing w:line="360" w:lineRule="auto"/>
        <w:jc w:val="both"/>
      </w:pPr>
      <w:r>
        <w:t xml:space="preserve">La amplitud de dominios en que la explicabilidad se despliega refuerza la</w:t>
      </w:r>
      <w:r>
        <w:t xml:space="preserve"> </w:t>
      </w:r>
      <w:r>
        <w:t xml:space="preserve">necesidad de criterios de selección fundamentados. La literatura reciente</w:t>
      </w:r>
      <w:r>
        <w:t xml:space="preserve"> </w:t>
      </w:r>
      <w:r>
        <w:t xml:space="preserve">documenta aplicaciones en seguridad informática —análisis de programas</w:t>
      </w:r>
      <w:r>
        <w:t xml:space="preserve"> </w:t>
      </w:r>
      <w:r>
        <w:t xml:space="preserve">maliciosos</w:t>
      </w:r>
      <w:r>
        <w:t xml:space="preserve"> </w:t>
      </w:r>
      <w:r>
        <w:t xml:space="preserve">(Saqib et al. 2024)</w:t>
      </w:r>
      <w:r>
        <w:t xml:space="preserve">, detección de URL fraudulentas</w:t>
      </w:r>
      <w:r>
        <w:t xml:space="preserve"> </w:t>
      </w:r>
      <w:r>
        <w:t xml:space="preserve">(Mittal 2023)</w:t>
      </w:r>
      <w:r>
        <w:t xml:space="preserve"> </w:t>
      </w:r>
      <w:r>
        <w:t xml:space="preserve">y robustez</w:t>
      </w:r>
      <w:r>
        <w:t xml:space="preserve"> </w:t>
      </w:r>
      <w:r>
        <w:t xml:space="preserve">frente a ejemplos adversarios</w:t>
      </w:r>
      <w:r>
        <w:t xml:space="preserve"> </w:t>
      </w:r>
      <w:r>
        <w:t xml:space="preserve">(Gafur et al. 2024)</w:t>
      </w:r>
      <w:r>
        <w:t xml:space="preserve">—, en educación</w:t>
      </w:r>
      <w:r>
        <w:t xml:space="preserve"> </w:t>
      </w:r>
      <w:r>
        <w:t xml:space="preserve">(Iatrellis et al. 2023; Gomez et al. 2024)</w:t>
      </w:r>
      <w:r>
        <w:t xml:space="preserve">, en agricultura digital</w:t>
      </w:r>
      <w:r>
        <w:t xml:space="preserve"> </w:t>
      </w:r>
      <w:r>
        <w:t xml:space="preserve">(Porfírio 2024)</w:t>
      </w:r>
      <w:r>
        <w:t xml:space="preserve">, en biología estructural</w:t>
      </w:r>
      <w:r>
        <w:t xml:space="preserve"> </w:t>
      </w:r>
      <w:r>
        <w:t xml:space="preserve">(Tan y Zhang 2023)</w:t>
      </w:r>
      <w:r>
        <w:t xml:space="preserve">, en la auditoría de sesgos en sistemas de clasificación de texto</w:t>
      </w:r>
      <w:r>
        <w:t xml:space="preserve"> </w:t>
      </w:r>
      <w:r>
        <w:t xml:space="preserve">(Muntasir y Noor 2024)</w:t>
      </w:r>
      <w:r>
        <w:t xml:space="preserve"> </w:t>
      </w:r>
      <w:r>
        <w:t xml:space="preserve">y en la anticipación de necesidades formativas</w:t>
      </w:r>
      <w:r>
        <w:t xml:space="preserve"> </w:t>
      </w:r>
      <w:r>
        <w:t xml:space="preserve">(Bobitan et al. 2024)</w:t>
      </w:r>
      <w:r>
        <w:t xml:space="preserve">.</w:t>
      </w:r>
      <w:r>
        <w:t xml:space="preserve"> </w:t>
      </w:r>
      <w:r>
        <w:t xml:space="preserve">El mismo desplazamiento alcanza a la simulación</w:t>
      </w:r>
      <w:r>
        <w:t xml:space="preserve"> </w:t>
      </w:r>
      <w:r>
        <w:t xml:space="preserve">(Feldkamp y Strassburger 2023)</w:t>
      </w:r>
      <w:r>
        <w:t xml:space="preserve">, a la computación</w:t>
      </w:r>
      <w:r>
        <w:t xml:space="preserve"> </w:t>
      </w:r>
      <w:r>
        <w:t xml:space="preserve">evolutiva</w:t>
      </w:r>
      <w:r>
        <w:t xml:space="preserve"> </w:t>
      </w:r>
      <w:r>
        <w:t xml:space="preserve">(Bacardit et al. 2024)</w:t>
      </w:r>
      <w:r>
        <w:t xml:space="preserve"> </w:t>
      </w:r>
      <w:r>
        <w:t xml:space="preserve">y al diseño de agentes autónomos, donde la exigencia de</w:t>
      </w:r>
      <w:r>
        <w:t xml:space="preserve"> </w:t>
      </w:r>
      <w:r>
        <w:t xml:space="preserve">explicabilidad se plantea ya como requisito arquitectónico</w:t>
      </w:r>
      <w:r>
        <w:t xml:space="preserve"> </w:t>
      </w:r>
      <w:r>
        <w:t xml:space="preserve">(Rodriguez y Thangarajah 2024; Hosseini y Seilani 2025)</w:t>
      </w:r>
      <w:r>
        <w:t xml:space="preserve">. En todos estos contextos la pregunta operativa es la misma —qué</w:t>
      </w:r>
      <w:r>
        <w:t xml:space="preserve"> </w:t>
      </w:r>
      <w:r>
        <w:t xml:space="preserve">método explicador elegir y con qué garantías— y en ninguno se responde con un</w:t>
      </w:r>
      <w:r>
        <w:t xml:space="preserve"> </w:t>
      </w:r>
      <w:r>
        <w:t xml:space="preserve">criterio único: cada dominio prioriza dimensiones de calidad distintas, lo que</w:t>
      </w:r>
      <w:r>
        <w:t xml:space="preserve"> </w:t>
      </w:r>
      <w:r>
        <w:t xml:space="preserve">justifica un marco de evaluación multidimensional en lugar de un ranking</w:t>
      </w:r>
      <w:r>
        <w:t xml:space="preserve"> </w:t>
      </w:r>
      <w:r>
        <w:t xml:space="preserve">absoluto.</w:t>
      </w:r>
    </w:p>
    <w:bookmarkEnd w:id="31"/>
    <w:bookmarkStart w:id="41" w:name="objetivos-e-hipótesis"/>
    <w:p>
      <w:pPr>
        <w:pStyle w:val="Ttulo2"/>
        <w:spacing w:line="360" w:lineRule="auto"/>
        <w:jc w:val="both"/>
      </w:pPr>
      <w:r>
        <w:t xml:space="preserve">1.3 </w:t>
      </w:r>
      <w:r>
        <w:t xml:space="preserve">Objetivos e hipótesis</w:t>
      </w:r>
    </w:p>
    <w:bookmarkStart w:id="32" w:name="objetivo-general"/>
    <w:p>
      <w:pPr>
        <w:pStyle w:val="Ttulo3"/>
        <w:spacing w:line="360" w:lineRule="auto"/>
        <w:jc w:val="both"/>
      </w:pPr>
      <w:r>
        <w:t xml:space="preserve">1.3.1 </w:t>
      </w:r>
      <w:r>
        <w:t xml:space="preserve">Objetivo general</w:t>
      </w:r>
    </w:p>
    <w:p>
      <w:pPr>
        <w:pStyle w:val="FirstParagraph"/>
        <w:spacing w:line="360" w:lineRule="auto"/>
        <w:jc w:val="both"/>
      </w:pPr>
      <w:r>
        <w:t xml:space="preserve">Desarrollar y evaluar empíricamente un marco de evaluación multinivel y</w:t>
      </w:r>
      <w:r>
        <w:t xml:space="preserve"> </w:t>
      </w:r>
      <w:r>
        <w:t xml:space="preserve">reproducible para métodos de explicabilidad agnósticos al modelo —articulado en</w:t>
      </w:r>
      <w:r>
        <w:t xml:space="preserve"> </w:t>
      </w:r>
      <w:r>
        <w:t xml:space="preserve">un protocolo de operación (FOM-7), un benchmark cuantitativo multi-métrico y una</w:t>
      </w:r>
      <w:r>
        <w:t xml:space="preserve"> </w:t>
      </w:r>
      <w:r>
        <w:t xml:space="preserve">taxonomía estructurada del espacio de métricas—, con el fin de establecer</w:t>
      </w:r>
      <w:r>
        <w:t xml:space="preserve"> </w:t>
      </w:r>
      <w:r>
        <w:t xml:space="preserve">criterios técnicamente fundamentados para la selección y comparación de métodos</w:t>
      </w:r>
      <w:r>
        <w:t xml:space="preserve"> </w:t>
      </w:r>
      <w:r>
        <w:t xml:space="preserve">XAI en contextos de datos tabulares, delimitando explícitamente el alcance de</w:t>
      </w:r>
      <w:r>
        <w:t xml:space="preserve"> </w:t>
      </w:r>
      <w:r>
        <w:t xml:space="preserve">validez de la evidencia obtenida.</w:t>
      </w:r>
    </w:p>
    <w:bookmarkEnd w:id="32"/>
    <w:bookmarkStart w:id="33" w:name="objetivos-específicos"/>
    <w:p>
      <w:pPr>
        <w:pStyle w:val="Ttulo3"/>
        <w:spacing w:line="360" w:lineRule="auto"/>
        <w:jc w:val="both"/>
      </w:pPr>
      <w:r>
        <w:t xml:space="preserve">1.3.2 </w:t>
      </w:r>
      <w:r>
        <w:t xml:space="preserve">Objetivos específicos</w:t>
      </w:r>
    </w:p>
    <w:p>
      <w:pPr>
        <w:numPr>
          <w:ilvl w:val="0"/>
          <w:numId w:val="1001"/>
        </w:numPr>
        <w:spacing w:line="360" w:lineRule="auto"/>
        <w:jc w:val="both"/>
      </w:pPr>
      <w:r>
        <w:t xml:space="preserve">Diseñar y formalizar un protocolo de benchmarking reproducible (FOM-7) que</w:t>
      </w:r>
      <w:r>
        <w:t xml:space="preserve"> </w:t>
      </w:r>
      <w:r>
        <w:t xml:space="preserve">garantice trazabilidad entre artefactos de ejecución, calificación de</w:t>
      </w:r>
      <w:r>
        <w:t xml:space="preserve"> </w:t>
      </w:r>
      <w:r>
        <w:t xml:space="preserve">evidencia e inferencia estadística admisible.</w:t>
      </w:r>
    </w:p>
    <w:p>
      <w:pPr>
        <w:numPr>
          <w:ilvl w:val="0"/>
          <w:numId w:val="1001"/>
        </w:numPr>
        <w:spacing w:line="360" w:lineRule="auto"/>
        <w:jc w:val="both"/>
      </w:pPr>
      <w:r>
        <w:t xml:space="preserve">Evaluar comparativamente cuatro métodos agnósticos —SHAP, LIME, Anchors y</w:t>
      </w:r>
      <w:r>
        <w:t xml:space="preserve"> </w:t>
      </w:r>
      <w:r>
        <w:t xml:space="preserve">DiCE— sobre cinco familias de modelos en el conjunto de datos UCI Adult</w:t>
      </w:r>
      <w:r>
        <w:t xml:space="preserve"> </w:t>
      </w:r>
      <w:r>
        <w:t xml:space="preserve">Income, utilizando un conjunto multidimensional de métricas: fidelidad,</w:t>
      </w:r>
      <w:r>
        <w:t xml:space="preserve"> </w:t>
      </w:r>
      <w:r>
        <w:t xml:space="preserve">estabilidad, parsimonia, brecha de fidelidad y coste computacional.</w:t>
      </w:r>
    </w:p>
    <w:p>
      <w:pPr>
        <w:numPr>
          <w:ilvl w:val="0"/>
          <w:numId w:val="1001"/>
        </w:numPr>
        <w:spacing w:line="360" w:lineRule="auto"/>
        <w:jc w:val="both"/>
      </w:pPr>
      <w:r>
        <w:t xml:space="preserve">Cuantificar las diferencias en la relación calidad-coste entre LIME y SHAP</w:t>
      </w:r>
      <w:r>
        <w:t xml:space="preserve"> </w:t>
      </w:r>
      <w:r>
        <w:t xml:space="preserve">mediante pruebas estadísticas pareadas sobre celdas coincidentes de modelo,</w:t>
      </w:r>
      <w:r>
        <w:t xml:space="preserve"> </w:t>
      </w:r>
      <w:r>
        <w:t xml:space="preserve">semilla y tamaño de muestra.</w:t>
      </w:r>
    </w:p>
    <w:p>
      <w:pPr>
        <w:numPr>
          <w:ilvl w:val="0"/>
          <w:numId w:val="1001"/>
        </w:numPr>
        <w:spacing w:line="360" w:lineRule="auto"/>
        <w:jc w:val="both"/>
      </w:pPr>
      <w:r>
        <w:t xml:space="preserve">Caracterizar el perfil de reproducibilidad del protocolo de benchmarking</w:t>
      </w:r>
      <w:r>
        <w:t xml:space="preserve"> </w:t>
      </w:r>
      <w:r>
        <w:t xml:space="preserve">mediante el análisis de la dispersión métrica bajo ejecuciones repetidas con</w:t>
      </w:r>
      <w:r>
        <w:t xml:space="preserve"> </w:t>
      </w:r>
      <w:r>
        <w:t xml:space="preserve">semillas distintas.</w:t>
      </w:r>
    </w:p>
    <w:p>
      <w:pPr>
        <w:numPr>
          <w:ilvl w:val="0"/>
          <w:numId w:val="1001"/>
        </w:numPr>
        <w:spacing w:line="360" w:lineRule="auto"/>
        <w:jc w:val="both"/>
      </w:pPr>
      <w:r>
        <w:t xml:space="preserve">Construir una taxonomía estructurada del espacio de métricas de evaluación</w:t>
      </w:r>
      <w:r>
        <w:t xml:space="preserve"> </w:t>
      </w:r>
      <w:r>
        <w:t xml:space="preserve">XAI organizada en cuatro ejes —objetivo de evaluación, fuente de evidencia,</w:t>
      </w:r>
      <w:r>
        <w:t xml:space="preserve"> </w:t>
      </w:r>
      <w:r>
        <w:t xml:space="preserve">propiedad de calidad y contexto de tarea— que sirva de marco conceptual</w:t>
      </w:r>
      <w:r>
        <w:t xml:space="preserve"> </w:t>
      </w:r>
      <w:r>
        <w:t xml:space="preserve">integrador para el Estudio Omnibus Multimétrico —la comparación de los</w:t>
      </w:r>
      <w:r>
        <w:t xml:space="preserve"> </w:t>
      </w:r>
      <w:r>
        <w:t xml:space="preserve">cuatro métodos agnósticos— y el Estudio Pareado LIME–SHAP, y que haga</w:t>
      </w:r>
      <w:r>
        <w:t xml:space="preserve"> </w:t>
      </w:r>
      <w:r>
        <w:t xml:space="preserve">explícitas las brechas de constructo del campo.</w:t>
      </w:r>
    </w:p>
    <w:p>
      <w:pPr>
        <w:numPr>
          <w:ilvl w:val="0"/>
          <w:numId w:val="1001"/>
        </w:numPr>
        <w:spacing w:line="360" w:lineRule="auto"/>
        <w:jc w:val="both"/>
      </w:pPr>
      <w:r>
        <w:t xml:space="preserve">Cuantificar la fiabilidad inter-juez de evaluadores semánticos basados en</w:t>
      </w:r>
      <w:r>
        <w:t xml:space="preserve"> </w:t>
      </w:r>
      <w:r>
        <w:t xml:space="preserve">modelos de lenguaje sobre explicaciones del corpus experimental, con el fin</w:t>
      </w:r>
      <w:r>
        <w:t xml:space="preserve"> </w:t>
      </w:r>
      <w:r>
        <w:t xml:space="preserve">de determinar si dicho instrumento alcanza la convergencia necesaria para</w:t>
      </w:r>
      <w:r>
        <w:t xml:space="preserve"> </w:t>
      </w:r>
      <w:r>
        <w:t xml:space="preserve">sostener afirmaciones confirmativas. Derivado de la Brecha 3 del Capítulo 5,</w:t>
      </w:r>
      <w:r>
        <w:t xml:space="preserve"> </w:t>
      </w:r>
      <w:r>
        <w:t xml:space="preserve">su alcance es exploratorio y de calibración instrumental, no confirmativo;</w:t>
      </w:r>
      <w:r>
        <w:t xml:space="preserve"> </w:t>
      </w:r>
      <w:r>
        <w:t xml:space="preserve">el estatuto epistémico de la proposición asociada se argumenta junto a P2.</w:t>
      </w:r>
    </w:p>
    <w:bookmarkEnd w:id="33"/>
    <w:bookmarkStart w:id="39" w:name="nomenclatura-de-los-estudios"/>
    <w:p>
      <w:pPr>
        <w:pStyle w:val="Ttulo3"/>
        <w:spacing w:line="360" w:lineRule="auto"/>
        <w:jc w:val="both"/>
      </w:pPr>
      <w:r>
        <w:t xml:space="preserve">1.3.3 </w:t>
      </w:r>
      <w:r>
        <w:t xml:space="preserve">Nomenclatura de los estudios</w:t>
      </w:r>
    </w:p>
    <w:p>
      <w:pPr>
        <w:pStyle w:val="FirstParagraph"/>
        <w:spacing w:line="360" w:lineRule="auto"/>
        <w:jc w:val="both"/>
      </w:pPr>
      <w:r>
        <w:t xml:space="preserve">La investigación se articula en cuatro estudios principales y tres estudios de</w:t>
      </w:r>
      <w:r>
        <w:t xml:space="preserve"> </w:t>
      </w:r>
      <w:r>
        <w:t xml:space="preserve">seguimiento, cuya denominación se emplea de forma uniforme en el resto del</w:t>
      </w:r>
      <w:r>
        <w:t xml:space="preserve"> </w:t>
      </w:r>
      <w:r>
        <w:t xml:space="preserve">documento. Los objetivos 1 y 4 —formalización del protocolo FOM-7 y</w:t>
      </w:r>
      <w:r>
        <w:t xml:space="preserve"> </w:t>
      </w:r>
      <w:r>
        <w:t xml:space="preserve">caracterización de su reproducibilidad— son transversales a los dos estudios</w:t>
      </w:r>
      <w:r>
        <w:t xml:space="preserve"> </w:t>
      </w:r>
      <w:r>
        <w:t xml:space="preserve">empíricos principales y no se adscriben a uno solo de ellos. La</w:t>
      </w:r>
      <w:r>
        <w:t xml:space="preserve"> </w:t>
      </w:r>
      <w:hyperlink w:anchor="tbl-estudios">
        <w:r>
          <w:rPr>
            <w:rStyle w:val="Hipervnculo"/>
          </w:rPr>
          <w:t xml:space="preserve">Tabla 1.1</w:t>
        </w:r>
      </w:hyperlink>
      <w:r>
        <w:t xml:space="preserve"> </w:t>
      </w:r>
      <w:r>
        <w:t xml:space="preserve">es el lugar de definición de esos nombres.</w:t>
      </w:r>
    </w:p>
    <w:tbl>
      <w:tblPr>
        <w:tblStyle w:val="Table"/>
        <w:tblW w:type="pct" w:w="5000"/>
        <w:jc w:val="center"/>
        <w:tblLayout w:type="fixed"/>
        <w:tblLook w:firstRow="0" w:lastRow="0" w:firstColumn="0" w:lastColumn="0" w:noHBand="0" w:noVBand="0" w:val="0000"/>
      </w:tblPr>
      <w:tblGrid>
        <w:gridCol w:w="7920"/>
      </w:tblGrid>
      <w:tr>
        <w:tc>
          <w:tcPr/>
          <w:bookmarkStart w:id="34" w:name="tbl-estudios"/>
          <w:p>
            <w:pPr>
              <w:pStyle w:val="ImageCaption"/>
              <w:spacing w:before="200" w:line="360" w:lineRule="auto"/>
              <w:jc w:val="center"/>
            </w:pPr>
            <w:r>
              <w:t xml:space="preserve">Tabla 1.1: Nomenclatura, alcance y trazabilidad de los estudios.</w:t>
            </w:r>
          </w:p>
          <w:tbl>
            <w:tblPr>
              <w:tblStyle w:val="Table"/>
              <w:tblW w:type="pct" w:w="500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Row="1" w:lastRow="0" w:firstColumn="0" w:lastColumn="0" w:noHBand="0" w:noVBand="0" w:val="0020"/>
            </w:tblPr>
            <w:tblGrid>
              <w:gridCol w:w="1344"/>
              <w:gridCol w:w="3436"/>
              <w:gridCol w:w="1494"/>
              <w:gridCol w:w="1643"/>
            </w:tblGrid>
            <w:tr>
              <w:trPr>
                <w:tblHeader w:val="on"/>
              </w:trPr>
              <w:tc>
                <w:tcPr/>
                <w:p>
                  <w:pPr>
                    <w:pStyle w:val="Compact"/>
                    <w:jc w:val="both"/>
                    <w:jc w:val="center"/>
                    <w:spacing w:line="360" w:lineRule="auto"/>
                  </w:pPr>
                  <w:r>
                    <w:rPr>
                      <w:bCs/>
                      <w:b/>
                    </w:rPr>
                    <w:t xml:space="preserve">Estudio</w:t>
                  </w:r>
                </w:p>
              </w:tc>
              <w:tc>
                <w:tcPr/>
                <w:p>
                  <w:pPr>
                    <w:pStyle w:val="Compact"/>
                    <w:jc w:val="both"/>
                    <w:jc w:val="center"/>
                    <w:spacing w:line="360" w:lineRule="auto"/>
                  </w:pPr>
                  <w:r>
                    <w:rPr>
                      <w:bCs/>
                      <w:b/>
                    </w:rPr>
                    <w:t xml:space="preserve">Pregunta que responde</w:t>
                  </w:r>
                </w:p>
              </w:tc>
              <w:tc>
                <w:tcPr/>
                <w:p>
                  <w:pPr>
                    <w:pStyle w:val="Compact"/>
                    <w:jc w:val="both"/>
                    <w:jc w:val="center"/>
                    <w:spacing w:line="360" w:lineRule="auto"/>
                  </w:pPr>
                  <w:r>
                    <w:rPr>
                      <w:bCs/>
                      <w:b/>
                    </w:rPr>
                    <w:t xml:space="preserve">Objetivo</w:t>
                  </w:r>
                </w:p>
              </w:tc>
              <w:tc>
                <w:tcPr/>
                <w:p>
                  <w:pPr>
                    <w:pStyle w:val="Compact"/>
                    <w:jc w:val="both"/>
                    <w:jc w:val="center"/>
                    <w:spacing w:line="360" w:lineRule="auto"/>
                  </w:pPr>
                  <w:r>
                    <w:rPr>
                      <w:bCs/>
                      <w:b/>
                    </w:rPr>
                    <w:t xml:space="preserve">Capítulos</w:t>
                  </w:r>
                </w:p>
              </w:tc>
            </w:tr>
            <w:tr>
              <w:tc>
                <w:tcPr/>
                <w:p>
                  <w:pPr>
                    <w:pStyle w:val="Compact"/>
                    <w:jc w:val="both"/>
                    <w:jc w:val="center"/>
                    <w:spacing w:line="360" w:lineRule="auto"/>
                  </w:pPr>
                  <w:r>
                    <w:rPr>
                      <w:b/>
                      <w:bCs/>
                    </w:rPr>
                    <w:t xml:space="preserve">Estudio Omnibus Multimétrico</w:t>
                  </w:r>
                </w:p>
              </w:tc>
              <w:tc>
                <w:tcPr/>
                <w:p>
                  <w:pPr>
                    <w:pStyle w:val="Compact"/>
                    <w:jc w:val="both"/>
                    <w:jc w:val="center"/>
                    <w:spacing w:line="360" w:lineRule="auto"/>
                  </w:pPr>
                  <w:r>
                    <w:t xml:space="preserve">¿Difieren SHAP, LIME, Anchors y DiCE en las cinco métricas de calidad sobre el diseño factorial completo?</w:t>
                  </w:r>
                </w:p>
              </w:tc>
              <w:tc>
                <w:tcPr/>
                <w:p>
                  <w:pPr>
                    <w:pStyle w:val="Compact"/>
                    <w:jc w:val="both"/>
                    <w:jc w:val="center"/>
                    <w:spacing w:line="360" w:lineRule="auto"/>
                  </w:pPr>
                  <w:r>
                    <w:t xml:space="preserve">OE2</w:t>
                  </w:r>
                </w:p>
              </w:tc>
              <w:tc>
                <w:tcPr/>
                <w:p>
                  <w:pPr>
                    <w:pStyle w:val="Compact"/>
                    <w:jc w:val="both"/>
                    <w:jc w:val="center"/>
                    <w:spacing w:line="360" w:lineRule="auto"/>
                  </w:pPr>
                  <w:r>
                    <w:t xml:space="preserve">3 y 4</w:t>
                  </w:r>
                </w:p>
              </w:tc>
            </w:tr>
            <w:tr>
              <w:tc>
                <w:tcPr/>
                <w:p>
                  <w:pPr>
                    <w:pStyle w:val="Compact"/>
                    <w:jc w:val="both"/>
                    <w:jc w:val="center"/>
                    <w:spacing w:line="360" w:lineRule="auto"/>
                  </w:pPr>
                  <w:r>
                    <w:rPr>
                      <w:b/>
                      <w:bCs/>
                    </w:rPr>
                    <w:t xml:space="preserve">Estudio Pareado LIME–SHAP</w:t>
                  </w:r>
                </w:p>
              </w:tc>
              <w:tc>
                <w:tcPr/>
                <w:p>
                  <w:pPr>
                    <w:pStyle w:val="Compact"/>
                    <w:jc w:val="both"/>
                    <w:jc w:val="center"/>
                    <w:spacing w:line="360" w:lineRule="auto"/>
                  </w:pPr>
                  <w:r>
                    <w:t xml:space="preserve">¿Cómo se comporta la relación calidad-coste entre LIME y SHAP sobre celdas coincidentes de modelo, semilla y tamaño de muestra?</w:t>
                  </w:r>
                </w:p>
              </w:tc>
              <w:tc>
                <w:tcPr/>
                <w:p>
                  <w:pPr>
                    <w:pStyle w:val="Compact"/>
                    <w:jc w:val="both"/>
                    <w:jc w:val="center"/>
                    <w:spacing w:line="360" w:lineRule="auto"/>
                  </w:pPr>
                  <w:r>
                    <w:t xml:space="preserve">OE3</w:t>
                  </w:r>
                </w:p>
              </w:tc>
              <w:tc>
                <w:tcPr/>
                <w:p>
                  <w:pPr>
                    <w:pStyle w:val="Compact"/>
                    <w:jc w:val="both"/>
                    <w:jc w:val="center"/>
                    <w:spacing w:line="360" w:lineRule="auto"/>
                  </w:pPr>
                  <w:r>
                    <w:t xml:space="preserve">3 y 4</w:t>
                  </w:r>
                </w:p>
              </w:tc>
            </w:tr>
            <w:tr>
              <w:tc>
                <w:tcPr/>
                <w:p>
                  <w:pPr>
                    <w:pStyle w:val="Compact"/>
                    <w:jc w:val="both"/>
                    <w:jc w:val="center"/>
                    <w:spacing w:line="360" w:lineRule="auto"/>
                  </w:pPr>
                  <w:r>
                    <w:rPr>
                      <w:b/>
                      <w:bCs/>
                    </w:rPr>
                    <w:t xml:space="preserve">Estudio Taxonómico</w:t>
                  </w:r>
                </w:p>
              </w:tc>
              <w:tc>
                <w:tcPr/>
                <w:p>
                  <w:pPr>
                    <w:pStyle w:val="Compact"/>
                    <w:jc w:val="both"/>
                    <w:jc w:val="center"/>
                    <w:spacing w:line="360" w:lineRule="auto"/>
                  </w:pPr>
                  <w:r>
                    <w:t xml:space="preserve">¿Qué estructura conceptual organiza el espacio de métricas de evaluación XAI y qué brechas de constructo revela?</w:t>
                  </w:r>
                </w:p>
              </w:tc>
              <w:tc>
                <w:tcPr/>
                <w:p>
                  <w:pPr>
                    <w:pStyle w:val="Compact"/>
                    <w:jc w:val="both"/>
                    <w:jc w:val="center"/>
                    <w:spacing w:line="360" w:lineRule="auto"/>
                  </w:pPr>
                  <w:r>
                    <w:t xml:space="preserve">OE5</w:t>
                  </w:r>
                </w:p>
              </w:tc>
              <w:tc>
                <w:tcPr/>
                <w:p>
                  <w:pPr>
                    <w:pStyle w:val="Compact"/>
                    <w:jc w:val="both"/>
                    <w:jc w:val="center"/>
                    <w:spacing w:line="360" w:lineRule="auto"/>
                  </w:pPr>
                  <w:r>
                    <w:t xml:space="preserve">5</w:t>
                  </w:r>
                </w:p>
              </w:tc>
            </w:tr>
            <w:tr>
              <w:tc>
                <w:tcPr/>
                <w:p>
                  <w:pPr>
                    <w:pStyle w:val="Compact"/>
                    <w:jc w:val="both"/>
                    <w:jc w:val="center"/>
                    <w:spacing w:line="360" w:lineRule="auto"/>
                  </w:pPr>
                  <w:r>
                    <w:rPr>
                      <w:b/>
                      <w:bCs/>
                    </w:rPr>
                    <w:t xml:space="preserve">Estudio de Fiabilidad Inter-juez</w:t>
                  </w:r>
                </w:p>
              </w:tc>
              <w:tc>
                <w:tcPr/>
                <w:p>
                  <w:pPr>
                    <w:pStyle w:val="Compact"/>
                    <w:jc w:val="both"/>
                    <w:jc w:val="center"/>
                    <w:spacing w:line="360" w:lineRule="auto"/>
                  </w:pPr>
                  <w:r>
                    <w:t xml:space="preserve">¿Alcanzan los evaluadores semánticos basados en LLM la convergencia inter-juez necesaria para sostener afirmaciones confirmativas?</w:t>
                  </w:r>
                </w:p>
              </w:tc>
              <w:tc>
                <w:tcPr/>
                <w:p>
                  <w:pPr>
                    <w:pStyle w:val="Compact"/>
                    <w:jc w:val="both"/>
                    <w:jc w:val="center"/>
                    <w:spacing w:line="360" w:lineRule="auto"/>
                  </w:pPr>
                  <w:r>
                    <w:t xml:space="preserve">OE6</w:t>
                  </w:r>
                </w:p>
              </w:tc>
              <w:tc>
                <w:tcPr/>
                <w:p>
                  <w:pPr>
                    <w:pStyle w:val="Compact"/>
                    <w:jc w:val="both"/>
                    <w:jc w:val="center"/>
                    <w:spacing w:line="360" w:lineRule="auto"/>
                  </w:pPr>
                  <w:r>
                    <w:t xml:space="preserve">3, 5 y 6</w:t>
                  </w:r>
                </w:p>
              </w:tc>
            </w:tr>
            <w:tr>
              <w:tc>
                <w:tcPr/>
                <w:p>
                  <w:pPr>
                    <w:pStyle w:val="Compact"/>
                    <w:jc w:val="both"/>
                    <w:jc w:val="center"/>
                    <w:spacing w:line="360" w:lineRule="auto"/>
                  </w:pPr>
                  <w:r>
                    <w:rPr>
                      <w:b/>
                      <w:bCs/>
                    </w:rPr>
                    <w:t xml:space="preserve">Estudio de Fiabilidad ante el Error</w:t>
                  </w:r>
                  <w:r>
                    <w:t xml:space="preserve"> </w:t>
                  </w:r>
                  <w:r>
                    <w:t xml:space="preserve">(seguimiento)</w:t>
                  </w:r>
                </w:p>
              </w:tc>
              <w:tc>
                <w:tcPr/>
                <w:p>
                  <w:pPr>
                    <w:pStyle w:val="Compact"/>
                    <w:jc w:val="both"/>
                    <w:jc w:val="center"/>
                    <w:spacing w:line="360" w:lineRule="auto"/>
                  </w:pPr>
                  <w:r>
                    <w:t xml:space="preserve">¿Son menos fiables las explicaciones cuando el modelo se equivoca?</w:t>
                  </w:r>
                </w:p>
              </w:tc>
              <w:tc>
                <w:tcPr/>
                <w:p>
                  <w:pPr>
                    <w:pStyle w:val="Compact"/>
                    <w:jc w:val="both"/>
                    <w:jc w:val="center"/>
                    <w:spacing w:line="360" w:lineRule="auto"/>
                  </w:pPr>
                  <w:r>
                    <w:t xml:space="preserve">Objetivo general</w:t>
                  </w:r>
                </w:p>
              </w:tc>
              <w:tc>
                <w:tcPr/>
                <w:p>
                  <w:pPr>
                    <w:pStyle w:val="Compact"/>
                    <w:jc w:val="both"/>
                    <w:jc w:val="center"/>
                    <w:spacing w:line="360" w:lineRule="auto"/>
                  </w:pPr>
                  <w:r>
                    <w:t xml:space="preserve">6</w:t>
                  </w:r>
                </w:p>
              </w:tc>
            </w:tr>
            <w:tr>
              <w:tc>
                <w:tcPr/>
                <w:p>
                  <w:pPr>
                    <w:pStyle w:val="Compact"/>
                    <w:jc w:val="both"/>
                    <w:jc w:val="center"/>
                    <w:spacing w:line="360" w:lineRule="auto"/>
                  </w:pPr>
                  <w:r>
                    <w:rPr>
                      <w:b/>
                      <w:bCs/>
                    </w:rPr>
                    <w:t xml:space="preserve">Estudio de Concordancia entre Explicadores</w:t>
                  </w:r>
                  <w:r>
                    <w:t xml:space="preserve"> </w:t>
                  </w:r>
                  <w:r>
                    <w:t xml:space="preserve">(seguimiento)</w:t>
                  </w:r>
                </w:p>
              </w:tc>
              <w:tc>
                <w:tcPr/>
                <w:p>
                  <w:pPr>
                    <w:pStyle w:val="Compact"/>
                    <w:jc w:val="both"/>
                    <w:jc w:val="center"/>
                    <w:spacing w:line="360" w:lineRule="auto"/>
                  </w:pPr>
                  <w:r>
                    <w:t xml:space="preserve">¿Cuánto coinciden SHAP y LIME al explicar la misma instancia?</w:t>
                  </w:r>
                </w:p>
              </w:tc>
              <w:tc>
                <w:tcPr/>
                <w:p>
                  <w:pPr>
                    <w:pStyle w:val="Compact"/>
                    <w:jc w:val="both"/>
                    <w:jc w:val="center"/>
                    <w:spacing w:line="360" w:lineRule="auto"/>
                  </w:pPr>
                  <w:r>
                    <w:t xml:space="preserve">Objetivo general</w:t>
                  </w:r>
                </w:p>
              </w:tc>
              <w:tc>
                <w:tcPr/>
                <w:p>
                  <w:pPr>
                    <w:pStyle w:val="Compact"/>
                    <w:jc w:val="both"/>
                    <w:jc w:val="center"/>
                    <w:spacing w:line="360" w:lineRule="auto"/>
                  </w:pPr>
                  <w:r>
                    <w:t xml:space="preserve">6</w:t>
                  </w:r>
                </w:p>
              </w:tc>
            </w:tr>
            <w:tr>
              <w:tc>
                <w:tcPr/>
                <w:p>
                  <w:pPr>
                    <w:pStyle w:val="Compact"/>
                    <w:jc w:val="both"/>
                    <w:jc w:val="center"/>
                    <w:spacing w:line="360" w:lineRule="auto"/>
                  </w:pPr>
                  <w:r>
                    <w:rPr>
                      <w:b/>
                      <w:bCs/>
                    </w:rPr>
                    <w:t xml:space="preserve">Estudio de Transferencia entre Conjuntos de Datos</w:t>
                  </w:r>
                  <w:r>
                    <w:t xml:space="preserve"> </w:t>
                  </w:r>
                  <w:r>
                    <w:t xml:space="preserve">(seguimiento)</w:t>
                  </w:r>
                </w:p>
              </w:tc>
              <w:tc>
                <w:tcPr/>
                <w:p>
                  <w:pPr>
                    <w:pStyle w:val="Compact"/>
                    <w:jc w:val="both"/>
                    <w:jc w:val="center"/>
                    <w:spacing w:line="360" w:lineRule="auto"/>
                  </w:pPr>
                  <w:r>
                    <w:t xml:space="preserve">¿Se mantiene el orden de los métodos al cambiar de conjunto de datos?</w:t>
                  </w:r>
                </w:p>
              </w:tc>
              <w:tc>
                <w:tcPr/>
                <w:p>
                  <w:pPr>
                    <w:pStyle w:val="Compact"/>
                    <w:jc w:val="both"/>
                    <w:jc w:val="center"/>
                    <w:spacing w:line="360" w:lineRule="auto"/>
                  </w:pPr>
                  <w:r>
                    <w:t xml:space="preserve">Objetivo general</w:t>
                  </w:r>
                </w:p>
              </w:tc>
              <w:tc>
                <w:tcPr/>
                <w:p>
                  <w:pPr>
                    <w:pStyle w:val="Compact"/>
                    <w:jc w:val="both"/>
                    <w:jc w:val="center"/>
                    <w:spacing w:line="360" w:lineRule="auto"/>
                  </w:pPr>
                  <w:r>
                    <w:t xml:space="preserve">6</w:t>
                  </w:r>
                </w:p>
              </w:tc>
            </w:tr>
          </w:tbl>
          <w:bookmarkEnd w:id="34"/>
          <w:p>
            <w:pPr>
              <w:spacing w:line="360" w:lineRule="auto"/>
              <w:jc w:val="both"/>
            </w:pPr>
          </w:p>
        </w:tc>
      </w:tr>
    </w:tbl>
    <w:p>
      <w:pPr>
        <w:pStyle w:val="Textoindependiente"/>
        <w:spacing w:line="360" w:lineRule="auto"/>
        <w:jc w:val="both"/>
      </w:pPr>
      <w:r>
        <w:t xml:space="preserve">Estos nombres sustituyen a las letras identificadoras (Estudios A, B y C)</w:t>
      </w:r>
      <w:r>
        <w:t xml:space="preserve"> </w:t>
      </w:r>
      <w:r>
        <w:t xml:space="preserve">empleadas en versiones previas del documento.</w:t>
      </w:r>
    </w:p>
    <w:p>
      <w:pPr>
        <w:pStyle w:val="Textoindependiente"/>
        <w:spacing w:line="360" w:lineRule="auto"/>
        <w:jc w:val="both"/>
      </w:pPr>
      <w:r>
        <w:t xml:space="preserve">Los tres estudios de seguimiento se realizaron después del plan confirmativo y</w:t>
      </w:r>
      <w:r>
        <w:t xml:space="preserve"> </w:t>
      </w:r>
      <w:r>
        <w:t xml:space="preserve">no añaden objetivos específicos ni hipótesis: se adscriben a la cláusula final</w:t>
      </w:r>
      <w:r>
        <w:t xml:space="preserve"> </w:t>
      </w:r>
      <w:r>
        <w:t xml:space="preserve">del objetivo general, que exige delimitar el alcance de validez de la evidencia</w:t>
      </w:r>
      <w:r>
        <w:t xml:space="preserve"> </w:t>
      </w:r>
      <w:r>
        <w:t xml:space="preserve">obtenida. Su estatuto se declara en §</w:t>
      </w:r>
      <w:hyperlink w:anchor="sec-seg-estatuto">
        <w:r>
          <w:rPr>
            <w:rStyle w:val="Hipervnculo"/>
          </w:rPr>
          <w:t xml:space="preserve">6.1</w:t>
        </w:r>
      </w:hyperlink>
      <w:r>
        <w:t xml:space="preserve">, y ninguno modifica la</w:t>
      </w:r>
      <w:r>
        <w:t xml:space="preserve"> </w:t>
      </w:r>
      <w:r>
        <w:t xml:space="preserve">resolución de H1–H3, P1 o P2.</w:t>
      </w:r>
    </w:p>
    <w:p>
      <w:pPr>
        <w:pStyle w:val="Textoindependiente"/>
        <w:spacing w:line="360" w:lineRule="auto"/>
        <w:jc w:val="both"/>
      </w:pPr>
      <w:r>
        <w:t xml:space="preserve">La</w:t>
      </w:r>
      <w:r>
        <w:t xml:space="preserve"> </w:t>
      </w:r>
      <w:hyperlink w:anchor="fig-mapa-tesis">
        <w:r>
          <w:rPr>
            <w:rStyle w:val="Hipervnculo"/>
          </w:rPr>
          <w:t xml:space="preserve">Figura 1.1</w:t>
        </w:r>
      </w:hyperlink>
      <w:r>
        <w:t xml:space="preserve"> </w:t>
      </w:r>
      <w:r>
        <w:t xml:space="preserve">reúne en una sola vista los estudios, el objetivo al que</w:t>
      </w:r>
      <w:r>
        <w:t xml:space="preserve"> </w:t>
      </w:r>
      <w:r>
        <w:t xml:space="preserve">responde cada uno, la hipótesis o proposición que contrasta, los capítulos en</w:t>
      </w:r>
      <w:r>
        <w:t xml:space="preserve"> </w:t>
      </w:r>
      <w:r>
        <w:t xml:space="preserve">que se desarrolla y su estatuto.</w:t>
      </w:r>
    </w:p>
    <w:tbl>
      <w:tblPr>
        <w:tblStyle w:val="Table"/>
        <w:tblW w:type="pct" w:w="5000"/>
        <w:jc w:val="center"/>
        <w:tblLayout w:type="fixed"/>
        <w:tblLook w:firstRow="0" w:lastRow="0" w:firstColumn="0" w:lastColumn="0" w:noHBand="0" w:noVBand="0" w:val="0000"/>
      </w:tblPr>
      <w:tblGrid>
        <w:gridCol w:w="7920"/>
      </w:tblGrid>
      <w:tr>
        <w:tc>
          <w:tcPr/>
          <w:bookmarkStart w:id="38" w:name="fig-mapa-tesis"/>
          <w:p>
            <w:pPr>
              <w:pStyle w:val="Compact"/>
              <w:jc w:val="center"/>
              <w:spacing w:line="360" w:lineRule="auto"/>
            </w:pPr>
            <w:r>
              <w:drawing>
                <ns1:inline>
                  <ns1:extent cx="5646420" cy="3734031"/>
                  <ns1:effectExtent b="0" l="0" r="0" t="0"/>
                  <ns1:docPr descr="" title="" id="36" name="Picture"/>
                  <ns2:graphic>
                    <ns2:graphicData uri="http://schemas.openxmlformats.org/drawingml/2006/picture">
                      <ns3:pic>
                        <ns3:nvPicPr>
                          <ns3:cNvPr descr="assets/figures/fig_mapa_tesis_es.png" id="37" name="Picture"/>
                          <ns3:cNvPicPr>
                            <ns2:picLocks noChangeArrowheads="1" noChangeAspect="1"/>
                          </ns3:cNvPicPr>
                        </ns3:nvPicPr>
                        <ns3:blipFill>
                          <ns2:blip ns4:embed="rId35"/>
                          <ns2:stretch>
                            <ns2:fillRect/>
                          </ns2:stretch>
                        </ns3:blipFill>
                        <ns3:spPr bwMode="auto">
                          <ns2:xfrm>
                            <ns2:off x="0" y="0"/>
                            <ns2:ext cx="5646420" cy="3734031"/>
                          </ns2:xfrm>
                          <ns2:prstGeom prst="rect">
                            <ns2:avLst/>
                          </ns2:prstGeom>
                          <ns2:noFill/>
                          <ns2:ln w="9525">
                            <ns2:noFill/>
                            <ns2:headEnd/>
                            <ns2:tailEnd/>
                          </ns2:ln>
                        </ns3:spPr>
                      </ns3:pic>
                    </ns2:graphicData>
                  </ns2:graphic>
                </ns1:inline>
              </w:drawing>
            </w:r>
          </w:p>
          <w:p>
            <w:pPr>
              <w:pStyle w:val="ImageCaption"/>
              <w:spacing w:before="200" w:line="360" w:lineRule="auto"/>
              <w:jc w:val="center"/>
            </w:pPr>
            <w:r>
              <w:t xml:space="preserve">Figura 1.1: Mapa de la tesis: estudios, objetivos, hipótesis o proposiciones y</w:t>
            </w:r>
            <w:r>
              <w:t xml:space="preserve"> </w:t>
            </w:r>
            <w:r>
              <w:t xml:space="preserve">capítulos, agrupados por estatuto. El plan confirmativo se fijó antes de la</w:t>
            </w:r>
            <w:r>
              <w:t xml:space="preserve"> </w:t>
            </w:r>
            <w:r>
              <w:t xml:space="preserve">ejecución; el estudio de fiabilidad inter-juez es exploratorio y así se</w:t>
            </w:r>
            <w:r>
              <w:t xml:space="preserve"> </w:t>
            </w:r>
            <w:r>
              <w:t xml:space="preserve">declara; los tres estudios de seguimiento son posteriores al plan y no añaden</w:t>
            </w:r>
            <w:r>
              <w:t xml:space="preserve"> </w:t>
            </w:r>
            <w:r>
              <w:t xml:space="preserve">objetivos ni hipótesis. Fuente: elaboración propia.</w:t>
            </w:r>
          </w:p>
          <w:bookmarkEnd w:id="38"/>
        </w:tc>
      </w:tr>
    </w:tbl>
    <w:bookmarkEnd w:id="39"/>
    <w:bookmarkStart w:id="40" w:name="hipótesis-o-proposiciones-de-trabajo"/>
    <w:p>
      <w:pPr>
        <w:pStyle w:val="Ttulo3"/>
        <w:spacing w:line="360" w:lineRule="auto"/>
        <w:jc w:val="both"/>
      </w:pPr>
      <w:r>
        <w:t xml:space="preserve">1.3.4 </w:t>
      </w:r>
      <w:r>
        <w:t xml:space="preserve">Hipótesis o proposiciones de trabajo</w:t>
      </w:r>
    </w:p>
    <w:p>
      <w:pPr>
        <w:pStyle w:val="FirstParagraph"/>
        <w:spacing w:line="360" w:lineRule="auto"/>
        <w:jc w:val="both"/>
      </w:pPr>
      <w:r>
        <w:t xml:space="preserve">Las hipótesis estadísticas formales se estructuran en torno a los tres ejes</w:t>
      </w:r>
      <w:r>
        <w:t xml:space="preserve"> </w:t>
      </w:r>
      <w:r>
        <w:t xml:space="preserve">confirmatorios de la investigación empírica (H1–H3), acompañados de una</w:t>
      </w:r>
      <w:r>
        <w:t xml:space="preserve"> </w:t>
      </w:r>
      <w:r>
        <w:t xml:space="preserve">proposición de reproducibilidad del protocolo (P1). A estas se añade una</w:t>
      </w:r>
      <w:r>
        <w:t xml:space="preserve"> </w:t>
      </w:r>
      <w:r>
        <w:t xml:space="preserve">proposición de carácter exploratorio (P2), cuyo estatuto diferenciado se declara</w:t>
      </w:r>
      <w:r>
        <w:t xml:space="preserve"> </w:t>
      </w:r>
      <w:r>
        <w:t xml:space="preserve">explícitamente al final de esta sección.</w:t>
      </w:r>
    </w:p>
    <w:p>
      <w:pPr>
        <w:pStyle w:val="Textoindependiente"/>
        <w:spacing w:line="360" w:lineRule="auto"/>
        <w:jc w:val="both"/>
      </w:pPr>
      <w:r>
        <w:rPr>
          <w:b/>
          <w:bCs/>
        </w:rPr>
        <w:t xml:space="preserve">H1 — Diferencias globales entre métodos (fidelidad)</w:t>
      </w:r>
    </w:p>
    <w:p>
      <w:pPr>
        <w:pStyle w:val="Textoindependiente"/>
        <w:spacing w:line="360" w:lineRule="auto"/>
        <w:jc w:val="both"/>
      </w:pPr>
      <ns5:oMath>
        <ns5:sSub>
          <ns5:e>
            <ns5:r>
              <ns5:t>H</ns5:t>
            </ns5:r>
          </ns5:e>
          <ns5:sub>
            <ns5:r>
              <ns5:t>0</ns5:t>
            </ns5:r>
            <ns5:r>
              <ns5:rPr>
                <ns5:sty ns5:val="p"/>
              </ns5:rPr>
              <ns5:t>,</ns5:t>
            </ns5:r>
            <ns5:r>
              <ns5:t>1</ns5:t>
            </ns5:r>
          </ns5:sub>
        </ns5:sSub>
      </ns5:oMath>
      <w:r>
        <w:t xml:space="preserve">: No existen diferencias significativas entre los métodos XAI en la</w:t>
      </w:r>
      <w:r>
        <w:t xml:space="preserve"> </w:t>
      </w:r>
      <w:r>
        <w:t xml:space="preserve">métrica de fidelidad bajo el diseño de bloques emparejados.</w:t>
      </w:r>
    </w:p>
    <w:p>
      <w:pPr>
        <w:pStyle w:val="Textoindependiente"/>
        <w:spacing w:line="360" w:lineRule="auto"/>
        <w:jc w:val="both"/>
      </w:pPr>
      <ns5:oMath>
        <ns5:sSub>
          <ns5:e>
            <ns5:r>
              <ns5:t>H</ns5:t>
            </ns5:r>
          </ns5:e>
          <ns5:sub>
            <ns5:r>
              <ns5:t>1</ns5:t>
            </ns5:r>
            <ns5:r>
              <ns5:rPr>
                <ns5:sty ns5:val="p"/>
              </ns5:rPr>
              <ns5:t>,</ns5:t>
            </ns5:r>
            <ns5:r>
              <ns5:t>1</ns5:t>
            </ns5:r>
          </ns5:sub>
        </ns5:sSub>
      </ns5:oMath>
      <w:r>
        <w:t xml:space="preserve">: Al menos un par de métodos difiere significativamente en fidelidad.</w:t>
      </w:r>
    </w:p>
    <w:p>
      <w:pPr>
        <w:pStyle w:val="Textoindependiente"/>
        <w:spacing w:line="360" w:lineRule="auto"/>
        <w:jc w:val="both"/>
      </w:pPr>
      <w:r>
        <w:rPr>
          <w:b/>
          <w:bCs/>
        </w:rPr>
        <w:t xml:space="preserve">H2 — Diferencias globales entre métodos (estabilidad)</w:t>
      </w:r>
    </w:p>
    <w:p>
      <w:pPr>
        <w:pStyle w:val="Textoindependiente"/>
        <w:spacing w:line="360" w:lineRule="auto"/>
        <w:jc w:val="both"/>
      </w:pPr>
      <ns5:oMath>
        <ns5:sSub>
          <ns5:e>
            <ns5:r>
              <ns5:t>H</ns5:t>
            </ns5:r>
          </ns5:e>
          <ns5:sub>
            <ns5:r>
              <ns5:t>0</ns5:t>
            </ns5:r>
            <ns5:r>
              <ns5:rPr>
                <ns5:sty ns5:val="p"/>
              </ns5:rPr>
              <ns5:t>,</ns5:t>
            </ns5:r>
            <ns5:r>
              <ns5:t>2</ns5:t>
            </ns5:r>
          </ns5:sub>
        </ns5:sSub>
      </ns5:oMath>
      <w:r>
        <w:t xml:space="preserve">: No existen diferencias significativas entre los métodos XAI en la</w:t>
      </w:r>
      <w:r>
        <w:t xml:space="preserve"> </w:t>
      </w:r>
      <w:r>
        <w:t xml:space="preserve">métrica de estabilidad bajo el diseño de bloques emparejados.</w:t>
      </w:r>
    </w:p>
    <w:p>
      <w:pPr>
        <w:pStyle w:val="Textoindependiente"/>
        <w:spacing w:line="360" w:lineRule="auto"/>
        <w:jc w:val="both"/>
      </w:pPr>
      <ns5:oMath>
        <ns5:sSub>
          <ns5:e>
            <ns5:r>
              <ns5:t>H</ns5:t>
            </ns5:r>
          </ns5:e>
          <ns5:sub>
            <ns5:r>
              <ns5:t>1</ns5:t>
            </ns5:r>
            <ns5:r>
              <ns5:rPr>
                <ns5:sty ns5:val="p"/>
              </ns5:rPr>
              <ns5:t>,</ns5:t>
            </ns5:r>
            <ns5:r>
              <ns5:t>2</ns5:t>
            </ns5:r>
          </ns5:sub>
        </ns5:sSub>
      </ns5:oMath>
      <w:r>
        <w:t xml:space="preserve">: Al menos un par de métodos difiere significativamente en estabilidad.</w:t>
      </w:r>
    </w:p>
    <w:p>
      <w:pPr>
        <w:pStyle w:val="Textoindependiente"/>
        <w:spacing w:line="360" w:lineRule="auto"/>
        <w:jc w:val="both"/>
      </w:pPr>
      <w:r>
        <w:rPr>
          <w:b/>
          <w:bCs/>
        </w:rPr>
        <w:t xml:space="preserve">H3 — Relación calidad-coste SHAP vs. LIME</w:t>
      </w:r>
    </w:p>
    <w:p>
      <w:pPr>
        <w:pStyle w:val="Textoindependiente"/>
        <w:spacing w:line="360" w:lineRule="auto"/>
        <w:jc w:val="both"/>
      </w:pPr>
      <ns5:oMath>
        <ns5:sSub>
          <ns5:e>
            <ns5:r>
              <ns5:t>H</ns5:t>
            </ns5:r>
          </ns5:e>
          <ns5:sub>
            <ns5:r>
              <ns5:t>0</ns5:t>
            </ns5:r>
            <ns5:r>
              <ns5:rPr>
                <ns5:sty ns5:val="p"/>
              </ns5:rPr>
              <ns5:t>,</ns5:t>
            </ns5:r>
            <ns5:r>
              <ns5:t>3</ns5:t>
            </ns5:r>
          </ns5:sub>
        </ns5:sSub>
      </ns5:oMath>
      <w:r>
        <w:t xml:space="preserve">: SHAP y LIME no difieren en las métricas de calidad ni en el coste</w:t>
      </w:r>
      <w:r>
        <w:t xml:space="preserve"> </w:t>
      </w:r>
      <w:r>
        <w:t xml:space="preserve">computacional sobre celdas pareadas.</w:t>
      </w:r>
    </w:p>
    <w:p>
      <w:pPr>
        <w:pStyle w:val="Textoindependiente"/>
        <w:spacing w:line="360" w:lineRule="auto"/>
        <w:jc w:val="both"/>
      </w:pPr>
      <ns5:oMath>
        <ns5:sSub>
          <ns5:e>
            <ns5:r>
              <ns5:t>H</ns5:t>
            </ns5:r>
          </ns5:e>
          <ns5:sub>
            <ns5:r>
              <ns5:t>1</ns5:t>
            </ns5:r>
            <ns5:r>
              <ns5:rPr>
                <ns5:sty ns5:val="p"/>
              </ns5:rPr>
              <ns5:t>,</ns5:t>
            </ns5:r>
            <ns5:r>
              <ns5:t>3</ns5:t>
            </ns5:r>
          </ns5:sub>
        </ns5:sSub>
      </ns5:oMath>
      <w:r>
        <w:t xml:space="preserve">: SHAP y LIME difieren significativamente en al menos una métrica de</w:t>
      </w:r>
      <w:r>
        <w:t xml:space="preserve"> </w:t>
      </w:r>
      <w:r>
        <w:t xml:space="preserve">calidad o en el coste computacional sobre celdas pareadas.</w:t>
      </w:r>
    </w:p>
    <w:p>
      <w:pPr>
        <w:pStyle w:val="Textoindependiente"/>
        <w:spacing w:line="360" w:lineRule="auto"/>
        <w:jc w:val="both"/>
      </w:pPr>
      <w:r>
        <w:rPr>
          <w:b/>
          <w:bCs/>
        </w:rPr>
        <w:t xml:space="preserve">P1 — Reproducibilidad del protocolo (proposición)</w:t>
      </w:r>
    </w:p>
    <w:p>
      <w:pPr>
        <w:pStyle w:val="Textoindependiente"/>
        <w:spacing w:line="360" w:lineRule="auto"/>
        <w:jc w:val="both"/>
      </w:pPr>
      <w:r>
        <w:t xml:space="preserve">El protocolo FOM-7 produce un coeficiente de variación (CV) inferior al 15% en</w:t>
      </w:r>
      <w:r>
        <w:t xml:space="preserve"> </w:t>
      </w:r>
      <w:r>
        <w:t xml:space="preserve">las métricas primarias bajo ejecuciones repetidas con semillas distintas en</w:t>
      </w:r>
      <w:r>
        <w:t xml:space="preserve"> </w:t>
      </w:r>
      <w:r>
        <w:t xml:space="preserve">condiciones de configuración idéntica, lo que constituye evidencia de</w:t>
      </w:r>
      <w:r>
        <w:t xml:space="preserve"> </w:t>
      </w:r>
      <w:r>
        <w:t xml:space="preserve">estabilidad operativa del benchmarking.</w:t>
      </w:r>
    </w:p>
    <w:p>
      <w:pPr>
        <w:pStyle w:val="Textoindependiente"/>
        <w:spacing w:line="360" w:lineRule="auto"/>
        <w:jc w:val="both"/>
      </w:pPr>
      <w:r>
        <w:t xml:space="preserve">Las hipótesis H1 y H2 se contrastan mediante la prueba de Friedman con bloques</w:t>
      </w:r>
      <w:r>
        <w:t xml:space="preserve"> </w:t>
      </w:r>
      <ns5:oMath>
        <ns5:r>
          <ns5:rPr>
            <ns5:sty ns5:val="p"/>
          </ns5:rPr>
          <ns5:t>(</ns5:t>
        </ns5:r>
        <ns5:r>
          <ns5:t>g</ns5:t>
        </ns5:r>
        <ns5:r>
          <ns5:rPr>
            <ns5:sty ns5:val="p"/>
          </ns5:rPr>
          <ns5:t>,</ns5:t>
        </ns5:r>
        <ns5:r>
          <ns5:t>n</ns5:t>
        </ns5:r>
        <ns5:r>
          <ns5:rPr>
            <ns5:sty ns5:val="p"/>
          </ns5:rPr>
          <ns5:t>)</ns5:t>
        </ns5:r>
      </ns5:oMath>
      <w:r>
        <w:t xml:space="preserve"> </w:t>
      </w:r>
      <w:r>
        <w:t xml:space="preserve">y localización</w:t>
      </w:r>
      <w:r>
        <w:t xml:space="preserve"> </w:t>
      </w:r>
      <w:r>
        <w:rPr>
          <w:i/>
          <w:iCs/>
        </w:rPr>
        <w:t xml:space="preserve">post-hoc</w:t>
      </w:r>
      <w:r>
        <w:t xml:space="preserve"> </w:t>
      </w:r>
      <w:r>
        <w:t xml:space="preserve">de Nemenyi. La hipótesis H3 se contrasta</w:t>
      </w:r>
      <w:r>
        <w:t xml:space="preserve"> </w:t>
      </w:r>
      <w:r>
        <w:t xml:space="preserve">mediante pruebas de Wilcoxon bilaterales pareadas sobre 75 celdas coincidentes</w:t>
      </w:r>
      <w:r>
        <w:t xml:space="preserve"> </w:t>
      </w:r>
      <w:r>
        <w:t xml:space="preserve">SHAP-LIME, con corrección de Holm-Bonferroni para multiplicidad</w:t>
      </w:r>
      <w:r>
        <w:t xml:space="preserve"> </w:t>
      </w:r>
      <w:r>
        <w:t xml:space="preserve">(Friedman 1937; Demšar 2006; Nemenyi 1963; Wilcoxon 1945)</w:t>
      </w:r>
      <w:r>
        <w:t xml:space="preserve">.</w:t>
      </w:r>
    </w:p>
    <w:p>
      <w:pPr>
        <w:pStyle w:val="Textoindependiente"/>
        <w:spacing w:line="360" w:lineRule="auto"/>
        <w:jc w:val="both"/>
      </w:pPr>
      <w:r>
        <w:rPr>
          <w:b/>
          <w:bCs/>
        </w:rPr>
        <w:t xml:space="preserve">P2 — Fiabilidad de los evaluadores semánticos (proposición exploratoria)</w:t>
      </w:r>
    </w:p>
    <w:p>
      <w:pPr>
        <w:pStyle w:val="Textoindependiente"/>
        <w:spacing w:line="360" w:lineRule="auto"/>
        <w:jc w:val="both"/>
      </w:pPr>
      <w:r>
        <w:t xml:space="preserve">Un conjunto de jueces basados en modelos de lenguaje, operando sobre una rúbrica</w:t>
      </w:r>
      <w:r>
        <w:t xml:space="preserve"> </w:t>
      </w:r>
      <w:r>
        <w:t xml:space="preserve">multidimensional sin especificación de destinatario ni criterio de corrección</w:t>
      </w:r>
      <w:r>
        <w:t xml:space="preserve"> </w:t>
      </w:r>
      <w:r>
        <w:t xml:space="preserve">verificable, alcanza una fiabilidad inter-juez igual o superior al umbral</w:t>
      </w:r>
      <w:r>
        <w:t xml:space="preserve"> </w:t>
      </w:r>
      <w:r>
        <w:t xml:space="preserve">convencionalmente aceptable de</w:t>
      </w:r>
      <w:r>
        <w:t xml:space="preserve"> </w:t>
      </w:r>
      <ns5:oMath>
        <ns5:r>
          <ns5:t>0.75</ns5:t>
        </ns5:r>
      </ns5:oMath>
      <w:r>
        <w:t xml:space="preserve"> </w:t>
      </w:r>
      <w:r>
        <w:t xml:space="preserve">(Koo y Li 2016)</w:t>
      </w:r>
      <w:r>
        <w:t xml:space="preserve">, medida mediante la correlación</w:t>
      </w:r>
      <w:r>
        <w:t xml:space="preserve"> </w:t>
      </w:r>
      <w:r>
        <w:t xml:space="preserve">intraclase y el</w:t>
      </w:r>
      <w:r>
        <w:t xml:space="preserve"> </w:t>
      </w:r>
      <ns5:oMath>
        <ns5:r>
          <ns5:t>α</ns5:t>
        </ns5:r>
      </ns5:oMath>
      <w:r>
        <w:t xml:space="preserve"> </w:t>
      </w:r>
      <w:r>
        <w:t xml:space="preserve">de Krippendorff</w:t>
      </w:r>
      <w:r>
        <w:t xml:space="preserve"> </w:t>
      </w:r>
      <w:r>
        <w:t xml:space="preserve">(Krippendorff 2018)</w:t>
      </w:r>
      <w:r>
        <w:t xml:space="preserve">. La proposición se</w:t>
      </w:r>
      <w:r>
        <w:t xml:space="preserve"> </w:t>
      </w:r>
      <w:r>
        <w:t xml:space="preserve">considera refutada si</w:t>
      </w:r>
      <w:r>
        <w:t xml:space="preserve"> </w:t>
      </w:r>
      <w:r>
        <w:t xml:space="preserve">alguna dimensión de la rúbrica queda por debajo de ese umbral.</w:t>
      </w:r>
    </w:p>
    <w:p>
      <w:pPr>
        <w:pStyle w:val="Textoindependiente"/>
        <w:spacing w:line="360" w:lineRule="auto"/>
        <w:jc w:val="both"/>
      </w:pPr>
      <w:r>
        <w:rPr>
          <w:b/>
          <w:bCs/>
        </w:rPr>
        <w:t xml:space="preserve">Estatuto epistémico diferenciado de P2.</w:t>
      </w:r>
      <w:r>
        <w:t xml:space="preserve"> </w:t>
      </w:r>
      <w:r>
        <w:t xml:space="preserve">P2 no forma parte del plan</w:t>
      </w:r>
      <w:r>
        <w:t xml:space="preserve"> </w:t>
      </w:r>
      <w:r>
        <w:t xml:space="preserve">inferencial congelado en la puerta 1 del protocolo FOM-7 y no comparte el</w:t>
      </w:r>
      <w:r>
        <w:t xml:space="preserve"> </w:t>
      </w:r>
      <w:r>
        <w:t xml:space="preserve">estatuto confirmativo de H1–H3 y P1. Se formuló con posterioridad, una vez que</w:t>
      </w:r>
      <w:r>
        <w:t xml:space="preserve"> </w:t>
      </w:r>
      <w:r>
        <w:t xml:space="preserve">la taxonomía del Capítulo 5 identificó la Brecha 3 —la evaluación semántica</w:t>
      </w:r>
      <w:r>
        <w:t xml:space="preserve"> </w:t>
      </w:r>
      <w:r>
        <w:t xml:space="preserve">crece más rápido que su base de validación empírica— y su función es calibrar</w:t>
      </w:r>
      <w:r>
        <w:t xml:space="preserve"> </w:t>
      </w:r>
      <w:r>
        <w:t xml:space="preserve">un</w:t>
      </w:r>
      <w:r>
        <w:t xml:space="preserve"> </w:t>
      </w:r>
      <w:r>
        <w:rPr>
          <w:i/>
          <w:iCs/>
        </w:rPr>
        <w:t xml:space="preserve">instrumento de medida</w:t>
      </w:r>
      <w:r>
        <w:t xml:space="preserve">, no evaluar los métodos explicadores. Esta</w:t>
      </w:r>
      <w:r>
        <w:t xml:space="preserve"> </w:t>
      </w:r>
      <w:r>
        <w:t xml:space="preserve">distinción se declara aquí de forma explícita, y no</w:t>
      </w:r>
      <w:r>
        <w:t xml:space="preserve"> </w:t>
      </w:r>
      <w:r>
        <w:rPr>
          <w:i/>
          <w:iCs/>
        </w:rPr>
        <w:t xml:space="preserve">a posteriori</w:t>
      </w:r>
      <w:r>
        <w:t xml:space="preserve">, porque el</w:t>
      </w:r>
      <w:r>
        <w:t xml:space="preserve"> </w:t>
      </w:r>
      <w:r>
        <w:t xml:space="preserve">propio protocolo que esta tesis propone exige que el alcance inferencial</w:t>
      </w:r>
      <w:r>
        <w:t xml:space="preserve"> </w:t>
      </w:r>
      <w:r>
        <w:t xml:space="preserve">admisible de cada afirmación sea declarado junto con la afirmación misma:</w:t>
      </w:r>
      <w:r>
        <w:t xml:space="preserve"> </w:t>
      </w:r>
      <w:r>
        <w:t xml:space="preserve">presentar P2 como si hubiera sido preespecificada junto a H1–H3 sería</w:t>
      </w:r>
      <w:r>
        <w:t xml:space="preserve"> </w:t>
      </w:r>
      <w:r>
        <w:t xml:space="preserve">precisamente el modo de fallo que la puerta 7 está diseñada para impedir. En</w:t>
      </w:r>
      <w:r>
        <w:t xml:space="preserve"> </w:t>
      </w:r>
      <w:r>
        <w:t xml:space="preserve">consecuencia, el resultado de P2 —cualquiera que sea— no modifica las</w:t>
      </w:r>
      <w:r>
        <w:t xml:space="preserve"> </w:t>
      </w:r>
      <w:r>
        <w:t xml:space="preserve">conclusiones confirmativas del Estudio Omnibus Multimétrico ni del Estudio</w:t>
      </w:r>
      <w:r>
        <w:t xml:space="preserve"> </w:t>
      </w:r>
      <w:r>
        <w:t xml:space="preserve">Pareado LIME–SHAP, y se reporta como evidencia de calibración del instrumento</w:t>
      </w:r>
      <w:r>
        <w:t xml:space="preserve"> </w:t>
      </w:r>
      <w:r>
        <w:t xml:space="preserve">semántico (Capítulos 3, 5, 6 y 7).</w:t>
      </w:r>
    </w:p>
    <w:bookmarkEnd w:id="40"/>
    <w:bookmarkEnd w:id="41"/>
    <w:bookmarkStart w:id="49" w:name="metodología-general-de-la-investigación"/>
    <w:p>
      <w:pPr>
        <w:pStyle w:val="Ttulo2"/>
        <w:spacing w:line="360" w:lineRule="auto"/>
        <w:jc w:val="both"/>
      </w:pPr>
      <w:r>
        <w:t xml:space="preserve">1.4 </w:t>
      </w:r>
      <w:r>
        <w:t xml:space="preserve">Metodología general de la investigación</w:t>
      </w:r>
    </w:p>
    <w:bookmarkStart w:id="42" w:name="enfoque"/>
    <w:p>
      <w:pPr>
        <w:pStyle w:val="Ttulo3"/>
        <w:spacing w:line="360" w:lineRule="auto"/>
        <w:jc w:val="both"/>
      </w:pPr>
      <w:r>
        <w:t xml:space="preserve">1.4.1 </w:t>
      </w:r>
      <w:r>
        <w:t xml:space="preserve">Enfoque</w:t>
      </w:r>
    </w:p>
    <w:p>
      <w:pPr>
        <w:pStyle w:val="FirstParagraph"/>
        <w:spacing w:line="360" w:lineRule="auto"/>
        <w:jc w:val="both"/>
      </w:pPr>
      <w:r>
        <w:t xml:space="preserve">Esta investigación adopta un enfoque cuantitativo-empírico con componente</w:t>
      </w:r>
      <w:r>
        <w:t xml:space="preserve"> </w:t>
      </w:r>
      <w:r>
        <w:t xml:space="preserve">teórico-taxonómico. El núcleo empírico del Estudio Omnibus Multimétrico y del</w:t>
      </w:r>
      <w:r>
        <w:t xml:space="preserve"> </w:t>
      </w:r>
      <w:r>
        <w:t xml:space="preserve">Estudio Pareado LIME–SHAP descansa en el análisis estadístico de métricas</w:t>
      </w:r>
      <w:r>
        <w:t xml:space="preserve"> </w:t>
      </w:r>
      <w:r>
        <w:t xml:space="preserve">computadas sobre experimentos controlados y reproducibles, siguiendo una</w:t>
      </w:r>
      <w:r>
        <w:t xml:space="preserve"> </w:t>
      </w:r>
      <w:r>
        <w:t xml:space="preserve">lógica hipotético-deductiva. El Estudio Taxonómico —que actúa como puente</w:t>
      </w:r>
      <w:r>
        <w:t xml:space="preserve"> </w:t>
      </w:r>
      <w:r>
        <w:t xml:space="preserve">conceptual integrador— adopta una metodología de revisión estructurada con</w:t>
      </w:r>
      <w:r>
        <w:t xml:space="preserve"> </w:t>
      </w:r>
      <w:r>
        <w:t xml:space="preserve">codificación explícita de dimensiones, siguiendo protocolos de síntesis</w:t>
      </w:r>
      <w:r>
        <w:t xml:space="preserve"> </w:t>
      </w:r>
      <w:r>
        <w:t xml:space="preserve">narrativa rigurosa</w:t>
      </w:r>
      <w:r>
        <w:t xml:space="preserve"> </w:t>
      </w:r>
      <w:r>
        <w:t xml:space="preserve">(Linardatos 2020; Gilpin 2018; Schwalbe 2023; Abdul Kadir et al. 2023)</w:t>
      </w:r>
      <w:r>
        <w:t xml:space="preserve">.</w:t>
      </w:r>
    </w:p>
    <w:bookmarkEnd w:id="42"/>
    <w:bookmarkStart w:id="43" w:name="tipo-de-investigación"/>
    <w:p>
      <w:pPr>
        <w:pStyle w:val="Ttulo3"/>
        <w:spacing w:line="360" w:lineRule="auto"/>
        <w:jc w:val="both"/>
      </w:pPr>
      <w:r>
        <w:t xml:space="preserve">1.4.2 </w:t>
      </w:r>
      <w:r>
        <w:t xml:space="preserve">Tipo de investigación</w:t>
      </w:r>
    </w:p>
    <w:p>
      <w:pPr>
        <w:pStyle w:val="FirstParagraph"/>
        <w:spacing w:line="360" w:lineRule="auto"/>
        <w:jc w:val="both"/>
      </w:pPr>
      <w:r>
        <w:t xml:space="preserve">El Estudio Omnibus Multimétrico y el Estudio Pareado LIME–SHAP corresponden a</w:t>
      </w:r>
      <w:r>
        <w:t xml:space="preserve"> </w:t>
      </w:r>
      <w:r>
        <w:t xml:space="preserve">investigación comparativa-experimental no intervencional: los métodos XAI son</w:t>
      </w:r>
      <w:r>
        <w:t xml:space="preserve"> </w:t>
      </w:r>
      <w:r>
        <w:t xml:space="preserve">los factores de tratamiento, los modelos predictivos son el contexto</w:t>
      </w:r>
      <w:r>
        <w:t xml:space="preserve"> </w:t>
      </w:r>
      <w:r>
        <w:t xml:space="preserve">experimental y las métricas de calidad son las variables de resultado. El</w:t>
      </w:r>
      <w:r>
        <w:t xml:space="preserve"> </w:t>
      </w:r>
      <w:r>
        <w:t xml:space="preserve">Estudio Taxonómico corresponde a una revisión sistemática estructurada con</w:t>
      </w:r>
      <w:r>
        <w:t xml:space="preserve"> </w:t>
      </w:r>
      <w:r>
        <w:t xml:space="preserve">propósito taxonómico y de síntesis de brechas de constructo en el campo de la</w:t>
      </w:r>
      <w:r>
        <w:t xml:space="preserve"> </w:t>
      </w:r>
      <w:r>
        <w:t xml:space="preserve">evaluación XAI.</w:t>
      </w:r>
    </w:p>
    <w:bookmarkEnd w:id="43"/>
    <w:bookmarkStart w:id="44" w:name="universo-y-contexto-experimental"/>
    <w:p>
      <w:pPr>
        <w:pStyle w:val="Ttulo3"/>
        <w:spacing w:line="360" w:lineRule="auto"/>
        <w:jc w:val="both"/>
      </w:pPr>
      <w:r>
        <w:t xml:space="preserve">1.4.3 </w:t>
      </w:r>
      <w:r>
        <w:t xml:space="preserve">Universo y contexto experimental</w:t>
      </w:r>
    </w:p>
    <w:p>
      <w:pPr>
        <w:pStyle w:val="FirstParagraph"/>
        <w:spacing w:line="360" w:lineRule="auto"/>
        <w:jc w:val="both"/>
      </w:pPr>
      <w:r>
        <w:t xml:space="preserve">El universo experimental está constituido por el conjunto de problemas de</w:t>
      </w:r>
      <w:r>
        <w:t xml:space="preserve"> </w:t>
      </w:r>
      <w:r>
        <w:t xml:space="preserve">clasificación tabular supervisada en los que es necesario generar explicaciones</w:t>
      </w:r>
      <w:r>
        <w:t xml:space="preserve"> </w:t>
      </w:r>
      <w:r>
        <w:rPr>
          <w:i/>
          <w:iCs/>
        </w:rPr>
        <w:t xml:space="preserve">post-hoc</w:t>
      </w:r>
      <w:r>
        <w:t xml:space="preserve"> </w:t>
      </w:r>
      <w:r>
        <w:t xml:space="preserve">locales mediante métodos agnósticos al modelo. El contexto operativo</w:t>
      </w:r>
      <w:r>
        <w:t xml:space="preserve"> </w:t>
      </w:r>
      <w:r>
        <w:t xml:space="preserve">se acota al conjunto de datos Adult (UCI Adult Income)</w:t>
      </w:r>
      <w:r>
        <w:t xml:space="preserve"> </w:t>
      </w:r>
      <w:r>
        <w:t xml:space="preserve">(Kohavi y Becker 1996)</w:t>
      </w:r>
      <w:r>
        <w:t xml:space="preserve">, que</w:t>
      </w:r>
      <w:r>
        <w:t xml:space="preserve"> </w:t>
      </w:r>
      <w:r>
        <w:t xml:space="preserve">contiene 48,842 instancias, 14 características (numéricas y categóricas) y una</w:t>
      </w:r>
      <w:r>
        <w:t xml:space="preserve"> </w:t>
      </w:r>
      <w:r>
        <w:t xml:space="preserve">variable binaria de predicción (ingreso anual superior o inferior a 50,000</w:t>
      </w:r>
      <w:r>
        <w:t xml:space="preserve"> </w:t>
      </w:r>
      <w:r>
        <w:t xml:space="preserve">USD). Este conjunto es ampliamente utilizado en estudios de benchmarking XAI,</w:t>
      </w:r>
      <w:r>
        <w:t xml:space="preserve"> </w:t>
      </w:r>
      <w:r>
        <w:t xml:space="preserve">lo que facilita la comparación externa de resultados y la verificación de</w:t>
      </w:r>
      <w:r>
        <w:t xml:space="preserve"> </w:t>
      </w:r>
      <w:r>
        <w:t xml:space="preserve">reproducibilidad</w:t>
      </w:r>
      <w:r>
        <w:t xml:space="preserve"> </w:t>
      </w:r>
      <w:r>
        <w:t xml:space="preserve">(Agarwal et al. 2022; Hedström et al. 2023; Canha et al. 2025)</w:t>
      </w:r>
      <w:r>
        <w:t xml:space="preserve">.</w:t>
      </w:r>
    </w:p>
    <w:bookmarkEnd w:id="44"/>
    <w:bookmarkStart w:id="45" w:name="Xdcd1be9d99c262f87a75615ad9164d40f630ac9"/>
    <w:p>
      <w:pPr>
        <w:pStyle w:val="Ttulo3"/>
        <w:spacing w:line="360" w:lineRule="auto"/>
        <w:jc w:val="both"/>
      </w:pPr>
      <w:r>
        <w:t xml:space="preserve">1.4.4 </w:t>
      </w:r>
      <w:r>
        <w:t xml:space="preserve">Muestra de datasets, modelos y métodos XAI</w:t>
      </w:r>
    </w:p>
    <w:p>
      <w:pPr>
        <w:pStyle w:val="FirstParagraph"/>
        <w:spacing w:line="360" w:lineRule="auto"/>
        <w:jc w:val="both"/>
      </w:pPr>
      <w:r>
        <w:t xml:space="preserve">El diseño experimental adopta una estructura factorial cruzada. Las familias de</w:t>
      </w:r>
      <w:r>
        <w:t xml:space="preserve"> </w:t>
      </w:r>
      <w:r>
        <w:t xml:space="preserve">modelos predictivos son: regresión logística (</w:t>
      </w:r>
      <w:r>
        <w:rPr>
          <w:rStyle w:val="VerbatimChar"/>
        </w:rPr>
        <w:t xml:space="preserve">logreg</w:t>
      </w:r>
      <w:r>
        <w:t xml:space="preserve">), bosque aleatorio</w:t>
      </w:r>
      <w:r>
        <w:t xml:space="preserve"> </w:t>
      </w:r>
      <w:r>
        <w:t xml:space="preserve">(</w:t>
      </w:r>
      <w:r>
        <w:rPr>
          <w:rStyle w:val="VerbatimChar"/>
        </w:rPr>
        <w:t xml:space="preserve">rf</w:t>
      </w:r>
      <w:r>
        <w:t xml:space="preserve">)</w:t>
      </w:r>
      <w:r>
        <w:t xml:space="preserve"> </w:t>
      </w:r>
      <w:r>
        <w:t xml:space="preserve">(Breiman 2001)</w:t>
      </w:r>
      <w:r>
        <w:t xml:space="preserve">,</w:t>
      </w:r>
      <w:r>
        <w:t xml:space="preserve"> </w:t>
      </w:r>
      <w:r>
        <w:rPr>
          <w:i/>
          <w:iCs/>
        </w:rPr>
        <w:t xml:space="preserve">gradient boosting</w:t>
      </w:r>
      <w:r>
        <w:t xml:space="preserve"> </w:t>
      </w:r>
      <w:r>
        <w:t xml:space="preserve">XGBoost (</w:t>
      </w:r>
      <w:r>
        <w:rPr>
          <w:rStyle w:val="VerbatimChar"/>
        </w:rPr>
        <w:t xml:space="preserve">xgb</w:t>
      </w:r>
      <w:r>
        <w:t xml:space="preserve">)</w:t>
      </w:r>
      <w:r>
        <w:t xml:space="preserve"> </w:t>
      </w:r>
      <w:r>
        <w:t xml:space="preserve">(Friedman 2001)</w:t>
      </w:r>
      <w:r>
        <w:t xml:space="preserve">, máquina de vectores</w:t>
      </w:r>
      <w:r>
        <w:t xml:space="preserve"> </w:t>
      </w:r>
      <w:r>
        <w:t xml:space="preserve">soporte (</w:t>
      </w:r>
      <w:r>
        <w:rPr>
          <w:rStyle w:val="VerbatimChar"/>
        </w:rPr>
        <w:t xml:space="preserve">svm</w:t>
      </w:r>
      <w:r>
        <w:t xml:space="preserve">) y perceptrón multicapa (</w:t>
      </w:r>
      <w:r>
        <w:rPr>
          <w:rStyle w:val="VerbatimChar"/>
        </w:rPr>
        <w:t xml:space="preserve">mlp</w:t>
      </w:r>
      <w:r>
        <w:t xml:space="preserve">). Los métodos de explicabilidad</w:t>
      </w:r>
      <w:r>
        <w:t xml:space="preserve"> </w:t>
      </w:r>
      <w:r>
        <w:t xml:space="preserve">evaluados son SHAP</w:t>
      </w:r>
      <w:r>
        <w:t xml:space="preserve"> </w:t>
      </w:r>
      <w:r>
        <w:t xml:space="preserve">(Lundberg 2017)</w:t>
      </w:r>
      <w:r>
        <w:t xml:space="preserve">, LIME</w:t>
      </w:r>
      <w:r>
        <w:t xml:space="preserve"> </w:t>
      </w:r>
      <w:r>
        <w:t xml:space="preserve">(Ribeiro 2016)</w:t>
      </w:r>
      <w:r>
        <w:t xml:space="preserve">, Anchors</w:t>
      </w:r>
      <w:r>
        <w:t xml:space="preserve"> </w:t>
      </w:r>
      <w:r>
        <w:t xml:space="preserve">(Ribeiro 2018)</w:t>
      </w:r>
      <w:r>
        <w:t xml:space="preserve"> </w:t>
      </w:r>
      <w:r>
        <w:t xml:space="preserve">y DiCE</w:t>
      </w:r>
      <w:r>
        <w:t xml:space="preserve"> </w:t>
      </w:r>
      <w:r>
        <w:t xml:space="preserve">(Mothilal 2020; Wachter 2017)</w:t>
      </w:r>
      <w:r>
        <w:t xml:space="preserve">. El tamaño de muestra por estrato se varía</w:t>
      </w:r>
      <w:r>
        <w:t xml:space="preserve"> </w:t>
      </w:r>
      <w:r>
        <w:t xml:space="preserve">en tres niveles:</w:t>
      </w:r>
      <w:r>
        <w:t xml:space="preserve"> </w:t>
      </w:r>
      <ns5:oMath>
        <ns5:r>
          <ns5:t>N</ns5:t>
        </ns5:r>
        <ns5:r>
          <ns5:rPr>
            <ns5:sty ns5:val="p"/>
          </ns5:rPr>
          <ns5:t>∈</ns5:t>
        </ns5:r>
        <ns5:r>
          <ns5:rPr>
            <ns5:sty ns5:val="p"/>
          </ns5:rPr>
          <ns5:t>{</ns5:t>
        </ns5:r>
        <ns5:r>
          <ns5:t>50</ns5:t>
        </ns5:r>
        <ns5:r>
          <ns5:rPr>
            <ns5:sty ns5:val="p"/>
          </ns5:rPr>
          <ns5:t>,</ns5:t>
        </ns5:r>
        <ns5:r>
          <ns5:t>100</ns5:t>
        </ns5:r>
        <ns5:r>
          <ns5:rPr>
            <ns5:sty ns5:val="p"/>
          </ns5:rPr>
          <ns5:t>,</ns5:t>
        </ns5:r>
        <ns5:r>
          <ns5:t>200</ns5:t>
        </ns5:r>
        <ns5:r>
          <ns5:rPr>
            <ns5:sty ns5:val="p"/>
          </ns5:rPr>
          <ns5:t>}</ns5:t>
        </ns5:r>
      </ns5:oMath>
      <w:r>
        <w:t xml:space="preserve">. Cada celda del diseño se replica con cinco semillas de</w:t>
      </w:r>
      <w:r>
        <w:t xml:space="preserve"> </w:t>
      </w:r>
      <w:r>
        <w:t xml:space="preserve">aleatoriedad:</w:t>
      </w:r>
      <w:r>
        <w:t xml:space="preserve"> </w:t>
      </w:r>
      <ns5:oMath>
        <ns5:r>
          <ns5:t>s</ns5:t>
        </ns5:r>
        <ns5:r>
          <ns5:rPr>
            <ns5:sty ns5:val="p"/>
          </ns5:rPr>
          <ns5:t>∈</ns5:t>
        </ns5:r>
        <ns5:r>
          <ns5:rPr>
            <ns5:sty ns5:val="p"/>
          </ns5:rPr>
          <ns5:t>{</ns5:t>
        </ns5:r>
        <ns5:r>
          <ns5:t>42</ns5:t>
        </ns5:r>
        <ns5:r>
          <ns5:rPr>
            <ns5:sty ns5:val="p"/>
          </ns5:rPr>
          <ns5:t>,</ns5:t>
        </ns5:r>
        <ns5:r>
          <ns5:t>123</ns5:t>
        </ns5:r>
        <ns5:r>
          <ns5:rPr>
            <ns5:sty ns5:val="p"/>
          </ns5:rPr>
          <ns5:t>,</ns5:t>
        </ns5:r>
        <ns5:r>
          <ns5:t>456</ns5:t>
        </ns5:r>
        <ns5:r>
          <ns5:rPr>
            <ns5:sty ns5:val="p"/>
          </ns5:rPr>
          <ns5:t>,</ns5:t>
        </ns5:r>
        <ns5:r>
          <ns5:t>789</ns5:t>
        </ns5:r>
        <ns5:r>
          <ns5:rPr>
            <ns5:sty ns5:val="p"/>
          </ns5:rPr>
          <ns5:t>,</ns5:t>
        </ns5:r>
        <ns5:r>
          <ns5:t>999</ns5:t>
        </ns5:r>
        <ns5:r>
          <ns5:rPr>
            <ns5:sty ns5:val="p"/>
          </ns5:rPr>
          <ns5:t>}</ns5:t>
        </ns5:r>
      </ns5:oMath>
      <w:r>
        <w:t xml:space="preserve">. El tamaño planificado del</w:t>
      </w:r>
      <w:r>
        <w:t xml:space="preserve"> </w:t>
      </w:r>
      <w:r>
        <w:t xml:space="preserve">benchmark primario (Estudio Omnibus Multimétrico) es</w:t>
      </w:r>
      <w:r>
        <w:t xml:space="preserve"> </w:t>
      </w:r>
      <ns5:oMath>
        <ns5:r>
          <ns5:t>5</ns5:t>
        </ns5:r>
        <ns5:r>
          <ns5:rPr>
            <ns5:sty ns5:val="p"/>
          </ns5:rPr>
          <ns5:t>×</ns5:t>
        </ns5:r>
        <ns5:r>
          <ns5:t>4</ns5:t>
        </ns5:r>
        <ns5:r>
          <ns5:rPr>
            <ns5:sty ns5:val="p"/>
          </ns5:rPr>
          <ns5:t>×</ns5:t>
        </ns5:r>
        <ns5:r>
          <ns5:t>5</ns5:t>
        </ns5:r>
        <ns5:r>
          <ns5:rPr>
            <ns5:sty ns5:val="p"/>
          </ns5:rPr>
          <ns5:t>×</ns5:t>
        </ns5:r>
        <ns5:r>
          <ns5:t>3</ns5:t>
        </ns5:r>
        <ns5:r>
          <ns5:rPr>
            <ns5:sty ns5:val="p"/>
          </ns5:rPr>
          <ns5:t>=</ns5:t>
        </ns5:r>
        <ns5:r>
          <ns5:t>300</ns5:t>
        </ns5:r>
      </ns5:oMath>
      <w:r>
        <w:t xml:space="preserve"> </w:t>
      </w:r>
      <w:r>
        <w:t xml:space="preserve">ejecuciones; el Estudio Pareado LIME–SHAP opera</w:t>
      </w:r>
      <w:r>
        <w:t xml:space="preserve"> </w:t>
      </w:r>
      <w:r>
        <w:t xml:space="preserve">sobre 75 celdas coincidentes.</w:t>
      </w:r>
    </w:p>
    <w:bookmarkEnd w:id="45"/>
    <w:bookmarkStart w:id="46" w:name="criterios-de-inclusión-y-exclusión"/>
    <w:p>
      <w:pPr>
        <w:pStyle w:val="Ttulo3"/>
        <w:spacing w:line="360" w:lineRule="auto"/>
        <w:jc w:val="both"/>
      </w:pPr>
      <w:r>
        <w:t xml:space="preserve">1.4.5 </w:t>
      </w:r>
      <w:r>
        <w:t xml:space="preserve">Criterios de inclusión y exclusión</w:t>
      </w:r>
    </w:p>
    <w:p>
      <w:pPr>
        <w:pStyle w:val="FirstParagraph"/>
        <w:spacing w:line="360" w:lineRule="auto"/>
        <w:jc w:val="both"/>
      </w:pPr>
      <w:r>
        <w:rPr>
          <w:b/>
          <w:bCs/>
        </w:rPr>
        <w:t xml:space="preserve">Criterios de inclusión:</w:t>
      </w:r>
    </w:p>
    <w:p>
      <w:pPr>
        <w:pStyle w:val="Compact"/>
        <w:numPr>
          <w:ilvl w:val="0"/>
          <w:numId w:val="1002"/>
        </w:numPr>
        <w:spacing w:line="360" w:lineRule="auto"/>
        <w:jc w:val="both"/>
      </w:pPr>
      <w:r>
        <w:t xml:space="preserve">Artefactos de resultado (</w:t>
      </w:r>
      <w:r>
        <w:rPr>
          <w:rStyle w:val="VerbatimChar"/>
        </w:rPr>
        <w:t xml:space="preserve">results.json</w:t>
      </w:r>
      <w:r>
        <w:t xml:space="preserve">) con esquema completo y valores</w:t>
      </w:r>
      <w:r>
        <w:t xml:space="preserve"> </w:t>
      </w:r>
      <w:r>
        <w:t xml:space="preserve">numéricos válidos en todas las métricas primarias.</w:t>
      </w:r>
    </w:p>
    <w:p>
      <w:pPr>
        <w:pStyle w:val="Compact"/>
        <w:numPr>
          <w:ilvl w:val="0"/>
          <w:numId w:val="1002"/>
        </w:numPr>
        <w:spacing w:line="360" w:lineRule="auto"/>
        <w:jc w:val="both"/>
      </w:pPr>
      <w:r>
        <w:t xml:space="preserve">Ejecuciones pertenecientes al benchmark primario de robustez (EXP2), cuya</w:t>
      </w:r>
      <w:r>
        <w:t xml:space="preserve"> </w:t>
      </w:r>
      <w:r>
        <w:t xml:space="preserve">configuración ha sido congelada antes del inicio de la inferencia</w:t>
      </w:r>
      <w:r>
        <w:t xml:space="preserve"> </w:t>
      </w:r>
      <w:r>
        <w:t xml:space="preserve">confirmativa.</w:t>
      </w:r>
    </w:p>
    <w:p>
      <w:pPr>
        <w:pStyle w:val="Compact"/>
        <w:numPr>
          <w:ilvl w:val="0"/>
          <w:numId w:val="1002"/>
        </w:numPr>
        <w:spacing w:line="360" w:lineRule="auto"/>
        <w:jc w:val="both"/>
      </w:pPr>
      <w:r>
        <w:t xml:space="preserve">Celdas para las que existen artefactos en ambos métodos comparados (SHAP y</w:t>
      </w:r>
      <w:r>
        <w:t xml:space="preserve"> </w:t>
      </w:r>
      <w:r>
        <w:t xml:space="preserve">LIME) para el Estudio Pareado LIME–SHAP.</w:t>
      </w:r>
    </w:p>
    <w:p>
      <w:pPr>
        <w:pStyle w:val="FirstParagraph"/>
        <w:spacing w:line="360" w:lineRule="auto"/>
        <w:jc w:val="both"/>
      </w:pPr>
      <w:r>
        <w:rPr>
          <w:b/>
          <w:bCs/>
        </w:rPr>
        <w:t xml:space="preserve">Criterios de exclusión:</w:t>
      </w:r>
    </w:p>
    <w:p>
      <w:pPr>
        <w:pStyle w:val="Compact"/>
        <w:numPr>
          <w:ilvl w:val="0"/>
          <w:numId w:val="1003"/>
        </w:numPr>
        <w:spacing w:line="360" w:lineRule="auto"/>
        <w:jc w:val="both"/>
      </w:pPr>
      <w:r>
        <w:t xml:space="preserve">Artefactos vacíos o con esquema incompatible detectados en la auditoría de</w:t>
      </w:r>
      <w:r>
        <w:t xml:space="preserve"> </w:t>
      </w:r>
      <w:r>
        <w:t xml:space="preserve">integridad (puerta 3 del protocolo FOM-7).</w:t>
      </w:r>
    </w:p>
    <w:p>
      <w:pPr>
        <w:pStyle w:val="Compact"/>
        <w:numPr>
          <w:ilvl w:val="0"/>
          <w:numId w:val="1003"/>
        </w:numPr>
        <w:spacing w:line="360" w:lineRule="auto"/>
        <w:jc w:val="both"/>
      </w:pPr>
      <w:r>
        <w:t xml:space="preserve">Ejecuciones pertenecientes a la fase de calibración (EXP1), que tienen rol de</w:t>
      </w:r>
      <w:r>
        <w:t xml:space="preserve"> </w:t>
      </w:r>
      <w:r>
        <w:t xml:space="preserve">reproducibilidad y no se emplean para inferencia confirmativa.</w:t>
      </w:r>
    </w:p>
    <w:p>
      <w:pPr>
        <w:pStyle w:val="Compact"/>
        <w:numPr>
          <w:ilvl w:val="0"/>
          <w:numId w:val="1003"/>
        </w:numPr>
        <w:spacing w:line="360" w:lineRule="auto"/>
        <w:jc w:val="both"/>
      </w:pPr>
      <w:r>
        <w:t xml:space="preserve">Reconstrucciones sintéticas de artefactos faltantes; únicamente se acepta como</w:t>
      </w:r>
      <w:r>
        <w:t xml:space="preserve"> </w:t>
      </w:r>
      <w:r>
        <w:t xml:space="preserve">excepción la superposición de recuperación documentada sobre las celdas</w:t>
      </w:r>
      <w:r>
        <w:t xml:space="preserve"> </w:t>
      </w:r>
      <w:r>
        <w:rPr>
          <w:rStyle w:val="VerbatimChar"/>
        </w:rPr>
        <w:t xml:space="preserve">mlp_shap</w:t>
      </w:r>
      <w:r>
        <w:t xml:space="preserve">/</w:t>
      </w:r>
      <w:r>
        <w:rPr>
          <w:rStyle w:val="VerbatimChar"/>
        </w:rPr>
        <w:t xml:space="preserve">svm_shap</w:t>
      </w:r>
      <w:r>
        <w:t xml:space="preserve">.</w:t>
      </w:r>
    </w:p>
    <w:bookmarkEnd w:id="46"/>
    <w:bookmarkStart w:id="47" w:name="variables-dimensiones-y-métricas"/>
    <w:p>
      <w:pPr>
        <w:pStyle w:val="Ttulo3"/>
        <w:spacing w:line="360" w:lineRule="auto"/>
        <w:jc w:val="both"/>
      </w:pPr>
      <w:r>
        <w:t xml:space="preserve">1.4.6 </w:t>
      </w:r>
      <w:r>
        <w:t xml:space="preserve">Variables, dimensiones y métricas</w:t>
      </w:r>
    </w:p>
    <w:p>
      <w:pPr>
        <w:pStyle w:val="FirstParagraph"/>
        <w:spacing w:line="360" w:lineRule="auto"/>
        <w:jc w:val="both"/>
      </w:pPr>
      <w:r>
        <w:t xml:space="preserve">Las</w:t>
      </w:r>
      <w:r>
        <w:t xml:space="preserve"> </w:t>
      </w:r>
      <w:r>
        <w:rPr>
          <w:b/>
          <w:bCs/>
        </w:rPr>
        <w:t xml:space="preserve">variables independientes</w:t>
      </w:r>
      <w:r>
        <w:t xml:space="preserve"> </w:t>
      </w:r>
      <w:r>
        <w:t xml:space="preserve">del diseño son: familia de modelo (</w:t>
      </w:r>
      <ns5:oMath>
        <ns5:r>
          <ns5:t>g</ns5:t>
        </ns5:r>
      </ns5:oMath>
      <w:r>
        <w:t xml:space="preserve">), método</w:t>
      </w:r>
      <w:r>
        <w:t xml:space="preserve"> </w:t>
      </w:r>
      <w:r>
        <w:t xml:space="preserve">XAI (</w:t>
      </w:r>
      <ns5:oMath>
        <ns5:r>
          <ns5:t>k</ns5:t>
        </ns5:r>
      </ns5:oMath>
      <w:r>
        <w:t xml:space="preserve">), semilla de aleatoriedad (</w:t>
      </w:r>
      <ns5:oMath>
        <ns5:r>
          <ns5:t>s</ns5:t>
        </ns5:r>
      </ns5:oMath>
      <w:r>
        <w:t xml:space="preserve">) y tamaño de muestra por estrato (</w:t>
      </w:r>
      <ns5:oMath>
        <ns5:r>
          <ns5:t>n</ns5:t>
        </ns5:r>
      </ns5:oMath>
      <w:r>
        <w:t xml:space="preserve">).</w:t>
      </w:r>
      <w:r>
        <w:t xml:space="preserve"> </w:t>
      </w:r>
      <w:r>
        <w:t xml:space="preserve">Las</w:t>
      </w:r>
      <w:r>
        <w:t xml:space="preserve"> </w:t>
      </w:r>
      <w:r>
        <w:rPr>
          <w:b/>
          <w:bCs/>
        </w:rPr>
        <w:t xml:space="preserve">variables dependientes</w:t>
      </w:r>
      <w:r>
        <w:t xml:space="preserve"> </w:t>
      </w:r>
      <w:r>
        <w:t xml:space="preserve">son cinco métricas primarias:</w:t>
      </w:r>
    </w:p>
    <w:p>
      <w:pPr>
        <w:pStyle w:val="Compact"/>
        <w:numPr>
          <w:ilvl w:val="0"/>
          <w:numId w:val="1004"/>
        </w:numPr>
        <w:spacing w:line="360" w:lineRule="auto"/>
        <w:jc w:val="both"/>
      </w:pPr>
      <w:r>
        <w:rPr>
          <w:b/>
          <w:bCs/>
        </w:rPr>
        <w:t xml:space="preserve">Fidelidad</w:t>
      </w:r>
      <w:r>
        <w:t xml:space="preserve">: correlación entre los pesos de importancia asignados por el</w:t>
      </w:r>
      <w:r>
        <w:t xml:space="preserve"> </w:t>
      </w:r>
      <w:r>
        <w:t xml:space="preserve">explicador y el efecto observado al enmascarar las características de mayor</w:t>
      </w:r>
      <w:r>
        <w:t xml:space="preserve"> </w:t>
      </w:r>
      <w:r>
        <w:t xml:space="preserve">peso (dirección: mayor es mejor).</w:t>
      </w:r>
    </w:p>
    <w:p>
      <w:pPr>
        <w:pStyle w:val="Compact"/>
        <w:numPr>
          <w:ilvl w:val="0"/>
          <w:numId w:val="1004"/>
        </w:numPr>
        <w:spacing w:line="360" w:lineRule="auto"/>
        <w:jc w:val="both"/>
      </w:pPr>
      <w:r>
        <w:rPr>
          <w:b/>
          <w:bCs/>
        </w:rPr>
        <w:t xml:space="preserve">Estabilidad</w:t>
      </w:r>
      <w:r>
        <w:t xml:space="preserve">: similitud coseno media entre explicaciones generadas sobre</w:t>
      </w:r>
      <w:r>
        <w:t xml:space="preserve"> </w:t>
      </w:r>
      <w:r>
        <w:t xml:space="preserve">instancias perturbadas con ruido gaussiano (dirección: mayor es mejor).</w:t>
      </w:r>
    </w:p>
    <w:p>
      <w:pPr>
        <w:pStyle w:val="Compact"/>
        <w:numPr>
          <w:ilvl w:val="0"/>
          <w:numId w:val="1004"/>
        </w:numPr>
        <w:spacing w:line="360" w:lineRule="auto"/>
        <w:jc w:val="both"/>
      </w:pPr>
      <w:r>
        <w:rPr>
          <w:b/>
          <w:bCs/>
        </w:rPr>
        <w:t xml:space="preserve">Parsimonia</w:t>
      </w:r>
      <w:r>
        <w:t xml:space="preserve"> </w:t>
      </w:r>
      <w:r>
        <w:t xml:space="preserve">(</w:t>
      </w:r>
      <w:r>
        <w:rPr>
          <w:i/>
          <w:iCs/>
        </w:rPr>
        <w:t xml:space="preserve">sparsity</w:t>
      </w:r>
      <w:r>
        <w:t xml:space="preserve">): proporción de características activas en la</w:t>
      </w:r>
      <w:r>
        <w:t xml:space="preserve"> </w:t>
      </w:r>
      <w:r>
        <w:t xml:space="preserve">explicación (dirección: menor es mejor).</w:t>
      </w:r>
    </w:p>
    <w:p>
      <w:pPr>
        <w:pStyle w:val="Compact"/>
        <w:numPr>
          <w:ilvl w:val="0"/>
          <w:numId w:val="1004"/>
        </w:numPr>
        <w:spacing w:line="360" w:lineRule="auto"/>
        <w:jc w:val="both"/>
      </w:pPr>
      <w:r>
        <w:rPr>
          <w:b/>
          <w:bCs/>
        </w:rPr>
        <w:t xml:space="preserve">Brecha de fidelidad</w:t>
      </w:r>
      <w:r>
        <w:t xml:space="preserve"> </w:t>
      </w:r>
      <w:r>
        <w:t xml:space="preserve">(</w:t>
      </w:r>
      <w:r>
        <w:rPr>
          <w:i/>
          <w:iCs/>
        </w:rPr>
        <w:t xml:space="preserve">faithfulness gap</w:t>
      </w:r>
      <w:r>
        <w:t xml:space="preserve">): diferencia en la salida del</w:t>
      </w:r>
      <w:r>
        <w:t xml:space="preserve"> </w:t>
      </w:r>
      <w:r>
        <w:t xml:space="preserve">modelo entre la instancia original y la instancia con las características</w:t>
      </w:r>
      <w:r>
        <w:t xml:space="preserve"> </w:t>
      </w:r>
      <w:r>
        <w:t xml:space="preserve">principales enmascaradas (dirección: mayor es mejor).</w:t>
      </w:r>
    </w:p>
    <w:p>
      <w:pPr>
        <w:pStyle w:val="Compact"/>
        <w:numPr>
          <w:ilvl w:val="0"/>
          <w:numId w:val="1004"/>
        </w:numPr>
        <w:spacing w:line="360" w:lineRule="auto"/>
        <w:jc w:val="both"/>
      </w:pPr>
      <w:r>
        <w:rPr>
          <w:b/>
          <w:bCs/>
        </w:rPr>
        <w:t xml:space="preserve">Coste computacional</w:t>
      </w:r>
      <w:r>
        <w:t xml:space="preserve">: tiempo de ejecución en milisegundos por instancia</w:t>
      </w:r>
      <w:r>
        <w:t xml:space="preserve"> </w:t>
      </w:r>
      <w:r>
        <w:t xml:space="preserve">(dirección: menor es mejor).</w:t>
      </w:r>
    </w:p>
    <w:p>
      <w:pPr>
        <w:pStyle w:val="FirstParagraph"/>
        <w:spacing w:line="360" w:lineRule="auto"/>
        <w:jc w:val="both"/>
      </w:pPr>
      <w:r>
        <w:t xml:space="preserve">La unidad de análisis inferencial es la ejecución agregada a nivel de bloque</w:t>
      </w:r>
      <w:r>
        <w:t xml:space="preserve"> </w:t>
      </w:r>
      <ns5:oMath>
        <ns5:r>
          <ns5:rPr>
            <ns5:sty ns5:val="p"/>
          </ns5:rPr>
          <ns5:t>(</ns5:t>
        </ns5:r>
        <ns5:r>
          <ns5:t>g</ns5:t>
        </ns5:r>
        <ns5:r>
          <ns5:rPr>
            <ns5:sty ns5:val="p"/>
          </ns5:rPr>
          <ns5:t>,</ns5:t>
        </ns5:r>
        <ns5:r>
          <ns5:t>n</ns5:t>
        </ns5:r>
        <ns5:r>
          <ns5:rPr>
            <ns5:sty ns5:val="p"/>
          </ns5:rPr>
          <ns5:t>)</ns5:t>
        </ns5:r>
      </ns5:oMath>
      <w:r>
        <w:t xml:space="preserve">, evitando la pseudorreplicación a nivel de instancia.</w:t>
      </w:r>
    </w:p>
    <w:p>
      <w:pPr>
        <w:pStyle w:val="Textoindependiente"/>
        <w:spacing w:line="360" w:lineRule="auto"/>
        <w:jc w:val="both"/>
      </w:pPr>
      <w:r>
        <w:t xml:space="preserve">La definición operativa de estas dimensiones y sus modos de medición sigue las</w:t>
      </w:r>
      <w:r>
        <w:t xml:space="preserve"> </w:t>
      </w:r>
      <w:r>
        <w:t xml:space="preserve">taxonomías y recomendaciones recientes de evaluación multi-métrica para XAI</w:t>
      </w:r>
      <w:r>
        <w:t xml:space="preserve"> </w:t>
      </w:r>
      <w:r>
        <w:t xml:space="preserve">(Abdul Kadir et al. 2023; Bhattacharya y Verbert 2024; Canha et al. 2025; Zheng et al. 2025)</w:t>
      </w:r>
      <w:r>
        <w:t xml:space="preserve">.</w:t>
      </w:r>
    </w:p>
    <w:bookmarkEnd w:id="47"/>
    <w:bookmarkStart w:id="48" w:name="estrategia-procedimental"/>
    <w:p>
      <w:pPr>
        <w:pStyle w:val="Ttulo3"/>
        <w:spacing w:line="360" w:lineRule="auto"/>
        <w:jc w:val="both"/>
      </w:pPr>
      <w:r>
        <w:t xml:space="preserve">1.4.7 </w:t>
      </w:r>
      <w:r>
        <w:t xml:space="preserve">Estrategia procedimental</w:t>
      </w:r>
    </w:p>
    <w:p>
      <w:pPr>
        <w:pStyle w:val="FirstParagraph"/>
        <w:spacing w:line="360" w:lineRule="auto"/>
        <w:jc w:val="both"/>
      </w:pPr>
      <w:r>
        <w:t xml:space="preserve">La estrategia procedimental se organiza en torno al protocolo FOM-7 (</w:t>
      </w:r>
      <w:r>
        <w:rPr>
          <w:i/>
          <w:iCs/>
        </w:rPr>
        <w:t xml:space="preserve">Framework</w:t>
      </w:r>
      <w:r>
        <w:rPr>
          <w:i/>
          <w:iCs/>
        </w:rPr>
        <w:t xml:space="preserve"> </w:t>
      </w:r>
      <w:r>
        <w:rPr>
          <w:i/>
          <w:iCs/>
        </w:rPr>
        <w:t xml:space="preserve">Operation Method</w:t>
      </w:r>
      <w:r>
        <w:t xml:space="preserve">, siete puertas), derivado de los requisitos de benchmarking</w:t>
      </w:r>
      <w:r>
        <w:t xml:space="preserve"> </w:t>
      </w:r>
      <w:r>
        <w:t xml:space="preserve">reproducible identificados en la literatura</w:t>
      </w:r>
      <w:r>
        <w:t xml:space="preserve"> </w:t>
      </w:r>
      <w:r>
        <w:t xml:space="preserve">(Canha et al. 2025; Agarwal et al. 2022; Hedström et al. 2023)</w:t>
      </w:r>
      <w:r>
        <w:t xml:space="preserve"> </w:t>
      </w:r>
      <w:r>
        <w:t xml:space="preserve">y de los modos de fallo observados durante la fase de calibración</w:t>
      </w:r>
      <w:r>
        <w:t xml:space="preserve"> </w:t>
      </w:r>
      <w:r>
        <w:t xml:space="preserve">piloto.</w:t>
      </w:r>
    </w:p>
    <w:p>
      <w:pPr>
        <w:pStyle w:val="Textoindependiente"/>
        <w:spacing w:line="360" w:lineRule="auto"/>
        <w:jc w:val="both"/>
      </w:pPr>
      <w:r>
        <w:t xml:space="preserve">Las siete puertas secuenciales son:</w:t>
      </w:r>
    </w:p>
    <w:p>
      <w:pPr>
        <w:pStyle w:val="Compact"/>
        <w:numPr>
          <w:ilvl w:val="0"/>
          <w:numId w:val="1005"/>
        </w:numPr>
        <w:spacing w:line="360" w:lineRule="auto"/>
        <w:jc w:val="both"/>
      </w:pPr>
      <w:r>
        <w:rPr>
          <w:b/>
          <w:bCs/>
        </w:rPr>
        <w:t xml:space="preserve">Congelación del protocolo</w:t>
      </w:r>
      <w:r>
        <w:t xml:space="preserve">: bloqueo de versiones de código,</w:t>
      </w:r>
      <w:r>
        <w:t xml:space="preserve"> </w:t>
      </w:r>
      <w:r>
        <w:t xml:space="preserve">configuraciones, factores y plan de inferencia antes de las ejecuciones</w:t>
      </w:r>
      <w:r>
        <w:t xml:space="preserve"> </w:t>
      </w:r>
      <w:r>
        <w:t xml:space="preserve">confirmativas.</w:t>
      </w:r>
    </w:p>
    <w:p>
      <w:pPr>
        <w:pStyle w:val="Compact"/>
        <w:numPr>
          <w:ilvl w:val="0"/>
          <w:numId w:val="1005"/>
        </w:numPr>
        <w:spacing w:line="360" w:lineRule="auto"/>
        <w:jc w:val="both"/>
      </w:pPr>
      <w:r>
        <w:rPr>
          <w:b/>
          <w:bCs/>
        </w:rPr>
        <w:t xml:space="preserve">Ejecución por lotes controlada</w:t>
      </w:r>
      <w:r>
        <w:t xml:space="preserve">: ejecución desde manifiestos declarativos</w:t>
      </w:r>
      <w:r>
        <w:t xml:space="preserve"> </w:t>
      </w:r>
      <w:r>
        <w:t xml:space="preserve">con semillas fijas y registro del contexto de tiempo de ejecución.</w:t>
      </w:r>
    </w:p>
    <w:p>
      <w:pPr>
        <w:pStyle w:val="Compact"/>
        <w:numPr>
          <w:ilvl w:val="0"/>
          <w:numId w:val="1005"/>
        </w:numPr>
        <w:spacing w:line="360" w:lineRule="auto"/>
        <w:jc w:val="both"/>
      </w:pPr>
      <w:r>
        <w:rPr>
          <w:b/>
          <w:bCs/>
        </w:rPr>
        <w:t xml:space="preserve">Auditoría de integridad de artefactos</w:t>
      </w:r>
      <w:r>
        <w:t xml:space="preserve">: detección y exclusión de salidas</w:t>
      </w:r>
      <w:r>
        <w:t xml:space="preserve"> </w:t>
      </w:r>
      <w:r>
        <w:t xml:space="preserve">malformadas, vacías o con esquema incompatible.</w:t>
      </w:r>
    </w:p>
    <w:p>
      <w:pPr>
        <w:pStyle w:val="Compact"/>
        <w:numPr>
          <w:ilvl w:val="0"/>
          <w:numId w:val="1005"/>
        </w:numPr>
        <w:spacing w:line="360" w:lineRule="auto"/>
        <w:jc w:val="both"/>
      </w:pPr>
      <w:r>
        <w:rPr>
          <w:b/>
          <w:bCs/>
        </w:rPr>
        <w:t xml:space="preserve">Armonización a tablas listas para el análisis</w:t>
      </w:r>
      <w:r>
        <w:t xml:space="preserve">: estandarización de claves</w:t>
      </w:r>
      <w:r>
        <w:t xml:space="preserve"> </w:t>
      </w:r>
      <w:r>
        <w:t xml:space="preserve">y campos de métricas en tablas de inferencia deterministas.</w:t>
      </w:r>
    </w:p>
    <w:p>
      <w:pPr>
        <w:pStyle w:val="Compact"/>
        <w:numPr>
          <w:ilvl w:val="0"/>
          <w:numId w:val="1005"/>
        </w:numPr>
        <w:spacing w:line="360" w:lineRule="auto"/>
        <w:jc w:val="both"/>
      </w:pPr>
      <w:r>
        <w:rPr>
          <w:b/>
          <w:bCs/>
        </w:rPr>
        <w:t xml:space="preserve">Exportación inferencial</w:t>
      </w:r>
      <w:r>
        <w:t xml:space="preserve">: generación determinista de tablas omnibus y de</w:t>
      </w:r>
      <w:r>
        <w:t xml:space="preserve"> </w:t>
      </w:r>
      <w:r>
        <w:t xml:space="preserve">pruebas pareadas a partir exclusivamente de entradas calificadas.</w:t>
      </w:r>
    </w:p>
    <w:p>
      <w:pPr>
        <w:pStyle w:val="Compact"/>
        <w:numPr>
          <w:ilvl w:val="0"/>
          <w:numId w:val="1005"/>
        </w:numPr>
        <w:spacing w:line="360" w:lineRule="auto"/>
        <w:jc w:val="both"/>
      </w:pPr>
      <w:r>
        <w:rPr>
          <w:b/>
          <w:bCs/>
        </w:rPr>
        <w:t xml:space="preserve">Perfilado de reproducibilidad</w:t>
      </w:r>
      <w:r>
        <w:t xml:space="preserve">: cuantificación de la dispersión entre</w:t>
      </w:r>
      <w:r>
        <w:t xml:space="preserve"> </w:t>
      </w:r>
      <w:r>
        <w:t xml:space="preserve">ejecuciones y del comportamiento del coeficiente de variación en</w:t>
      </w:r>
      <w:r>
        <w:t xml:space="preserve"> </w:t>
      </w:r>
      <w:r>
        <w:t xml:space="preserve">configuraciones replicadas.</w:t>
      </w:r>
    </w:p>
    <w:p>
      <w:pPr>
        <w:pStyle w:val="Compact"/>
        <w:numPr>
          <w:ilvl w:val="0"/>
          <w:numId w:val="1005"/>
        </w:numPr>
        <w:spacing w:line="360" w:lineRule="auto"/>
        <w:jc w:val="both"/>
      </w:pPr>
      <w:r>
        <w:rPr>
          <w:b/>
          <w:bCs/>
        </w:rPr>
        <w:t xml:space="preserve">Reporte con trazabilidad de afirmaciones</w:t>
      </w:r>
      <w:r>
        <w:t xml:space="preserve">: las afirmaciones inferenciales</w:t>
      </w:r>
      <w:r>
        <w:t xml:space="preserve"> </w:t>
      </w:r>
      <w:r>
        <w:t xml:space="preserve">solo se permiten cuando todas las puertas previas están satisfechas y son</w:t>
      </w:r>
      <w:r>
        <w:t xml:space="preserve"> </w:t>
      </w:r>
      <w:r>
        <w:t xml:space="preserve">trazables a artefactos fuente.</w:t>
      </w:r>
    </w:p>
    <w:p>
      <w:pPr>
        <w:pStyle w:val="FirstParagraph"/>
        <w:spacing w:line="360" w:lineRule="auto"/>
        <w:jc w:val="both"/>
      </w:pPr>
      <w:r>
        <w:t xml:space="preserve">Este capítulo ha establecido el problema doctoral, la pregunta de investigación,</w:t>
      </w:r>
      <w:r>
        <w:t xml:space="preserve"> </w:t>
      </w:r>
      <w:r>
        <w:t xml:space="preserve">los objetivos, las hipótesis y el diseño general que articula los estudios.</w:t>
      </w:r>
      <w:r>
        <w:t xml:space="preserve"> </w:t>
      </w:r>
      <w:r>
        <w:t xml:space="preserve">La consecuencia metodológica es que la tesis no puede limitarse a comparar</w:t>
      </w:r>
      <w:r>
        <w:t xml:space="preserve"> </w:t>
      </w:r>
      <w:r>
        <w:t xml:space="preserve">promedios de métodos XAI: debe justificar qué constructos se miden, bajo qué</w:t>
      </w:r>
      <w:r>
        <w:t xml:space="preserve"> </w:t>
      </w:r>
      <w:r>
        <w:t xml:space="preserve">condiciones y con qué alcance inferencial. El siguiente capítulo desarrolla ese</w:t>
      </w:r>
      <w:r>
        <w:t xml:space="preserve"> </w:t>
      </w:r>
      <w:r>
        <w:t xml:space="preserve">marco conceptual y convierte la necesidad empírica identificada aquí en una</w:t>
      </w:r>
      <w:r>
        <w:t xml:space="preserve"> </w:t>
      </w:r>
      <w:r>
        <w:t xml:space="preserve">brecha teórica que justifica FOM-7.</w:t>
      </w:r>
    </w:p>
    <w:p>
      <w:pPr>
        <w:pStyle w:val="Textoindependiente"/>
        <w:spacing w:line="360" w:lineRule="auto"/>
        <w:jc w:val="both"/>
      </w:pPr>
      <w:r>
        <w:t xml:space="preserve">La secuencia experimental distingue dos cohortes de evidencia con roles</w:t>
      </w:r>
      <w:r>
        <w:t xml:space="preserve"> </w:t>
      </w:r>
      <w:r>
        <w:t xml:space="preserve">diferenciados: la etapa de calibración y reproducibilidad (EXP1), destinada a la</w:t>
      </w:r>
      <w:r>
        <w:t xml:space="preserve"> </w:t>
      </w:r>
      <w:r>
        <w:t xml:space="preserve">verificación de implementación y al perfilado de dispersión; y el benchmark</w:t>
      </w:r>
      <w:r>
        <w:t xml:space="preserve"> </w:t>
      </w:r>
      <w:r>
        <w:t xml:space="preserve">primario de robustez (EXP2), destinado a la inferencia confirmativa. Esta</w:t>
      </w:r>
      <w:r>
        <w:t xml:space="preserve"> </w:t>
      </w:r>
      <w:r>
        <w:t xml:space="preserve">separación reduce la contaminación entre actividades exploratorias y</w:t>
      </w:r>
      <w:r>
        <w:t xml:space="preserve"> </w:t>
      </w:r>
      <w:r>
        <w:t xml:space="preserve">afirmaciones confirmativas, en línea con las recomendaciones de disciplina de</w:t>
      </w:r>
      <w:r>
        <w:t xml:space="preserve"> </w:t>
      </w:r>
      <w:r>
        <w:t xml:space="preserve">partición de evidencia discutidas en trabajos recientes sobre fidelidad de</w:t>
      </w:r>
      <w:r>
        <w:t xml:space="preserve"> </w:t>
      </w:r>
      <w:r>
        <w:t xml:space="preserve">evaluación</w:t>
      </w:r>
      <w:r>
        <w:t xml:space="preserve"> </w:t>
      </w:r>
      <w:r>
        <w:t xml:space="preserve">(Zheng et al. 2025)</w:t>
      </w:r>
      <w:r>
        <w:t xml:space="preserve">.</w:t>
      </w:r>
    </w:p>
    <w:bookmarkEnd w:id="48"/>
    <w:bookmarkEnd w:id="49"/>
    <w:bookmarkEnd w:id="50"/>
    <w:bookmarkStart w:id="99" w:name="X5df853d312351836bad75f10c25fdcfe7ebc358"/>
    <w:p>
      <w:pPr>
        <w:pStyle w:val="Ttulo1"/>
        <w:spacing w:line="360" w:lineRule="auto"/>
        <w:jc w:val="both"/>
      </w:pPr>
      <w:r>
        <w:t xml:space="preserve">Capítulo 2. </w:t>
      </w:r>
      <w:r>
        <w:t xml:space="preserve">Marco teórico específico / fundamentos conceptuales</w:t>
      </w:r>
    </w:p>
    <w:bookmarkStart w:id="51" w:name="propósito-del-capítulo"/>
    <w:p>
      <w:pPr>
        <w:pStyle w:val="Ttulo2"/>
        <w:spacing w:line="360" w:lineRule="auto"/>
        <w:jc w:val="both"/>
      </w:pPr>
      <w:r>
        <w:t xml:space="preserve">2.1 </w:t>
      </w:r>
      <w:r>
        <w:t xml:space="preserve">Propósito del capítulo</w:t>
      </w:r>
    </w:p>
    <w:p>
      <w:pPr>
        <w:pStyle w:val="FirstParagraph"/>
        <w:spacing w:line="360" w:lineRule="auto"/>
        <w:jc w:val="both"/>
      </w:pPr>
      <w:r>
        <w:t xml:space="preserve">Este capítulo establece el marco conceptual específico que sostiene la</w:t>
      </w:r>
      <w:r>
        <w:t xml:space="preserve"> </w:t>
      </w:r>
      <w:r>
        <w:t xml:space="preserve">propuesta FOM-7. Su función no es solamente definir la Inteligencia Artificial</w:t>
      </w:r>
      <w:r>
        <w:t xml:space="preserve"> </w:t>
      </w:r>
      <w:r>
        <w:t xml:space="preserve">Explicable (XAI), sino mostrar por qué la evaluación de explicaciones requiere</w:t>
      </w:r>
      <w:r>
        <w:t xml:space="preserve"> </w:t>
      </w:r>
      <w:r>
        <w:t xml:space="preserve">un protocolo operativo que conecte diseño experimental, calificación de</w:t>
      </w:r>
      <w:r>
        <w:t xml:space="preserve"> </w:t>
      </w:r>
      <w:r>
        <w:t xml:space="preserve">artefactos, selección de métricas, admisibilidad estadística, reproducibilidad y</w:t>
      </w:r>
      <w:r>
        <w:t xml:space="preserve"> </w:t>
      </w:r>
      <w:r>
        <w:t xml:space="preserve">trazabilidad de afirmaciones. La tesis parte de una observación central: la</w:t>
      </w:r>
      <w:r>
        <w:t xml:space="preserve"> </w:t>
      </w:r>
      <w:r>
        <w:t xml:space="preserve">literatura dispone de métodos de explicación maduros y de toolkits de</w:t>
      </w:r>
      <w:r>
        <w:t xml:space="preserve"> </w:t>
      </w:r>
      <w:r>
        <w:t xml:space="preserve">evaluación cada vez más sofisticados, pero aún persiste una brecha entre la</w:t>
      </w:r>
      <w:r>
        <w:t xml:space="preserve"> </w:t>
      </w:r>
      <w:r>
        <w:t xml:space="preserve">existencia de métricas y la construcción de evidencia doctoralmente defendible.</w:t>
      </w:r>
    </w:p>
    <w:p>
      <w:pPr>
        <w:pStyle w:val="Textoindependiente"/>
        <w:spacing w:line="360" w:lineRule="auto"/>
        <w:jc w:val="both"/>
      </w:pPr>
      <w:r>
        <w:t xml:space="preserve">En este sentido, el capítulo organiza la revisión en siete ejes. Primero,</w:t>
      </w:r>
      <w:r>
        <w:t xml:space="preserve"> </w:t>
      </w:r>
      <w:r>
        <w:t xml:space="preserve">reconstruye el desarrollo histórico desde modelos transparentes hacia</w:t>
      </w:r>
      <w:r>
        <w:t xml:space="preserve"> </w:t>
      </w:r>
      <w:r>
        <w:t xml:space="preserve">explicaciones post-hoc y enfoques human-centered. Segundo, fija distinciones</w:t>
      </w:r>
      <w:r>
        <w:t xml:space="preserve"> </w:t>
      </w:r>
      <w:r>
        <w:t xml:space="preserve">conceptuales indispensables para evitar sobreinterpretaciones. Tercero, examina</w:t>
      </w:r>
      <w:r>
        <w:t xml:space="preserve"> </w:t>
      </w:r>
      <w:r>
        <w:t xml:space="preserve">los cuatro métodos evaluados en esta tesis: LIME, SHAP, Anchors y DiCE. Cuarto,</w:t>
      </w:r>
      <w:r>
        <w:t xml:space="preserve"> </w:t>
      </w:r>
      <w:r>
        <w:t xml:space="preserve">analiza marcos de evaluación como Quantus, OpenXAI y la taxonomía de</w:t>
      </w:r>
      <w:r>
        <w:t xml:space="preserve"> </w:t>
      </w:r>
      <w:r>
        <w:t xml:space="preserve">evaluación propuesta por</w:t>
      </w:r>
      <w:r>
        <w:t xml:space="preserve"> </w:t>
      </w:r>
      <w:r>
        <w:t xml:space="preserve">Doshi-Velez (2017)</w:t>
      </w:r>
      <w:r>
        <w:t xml:space="preserve">. Quinto, sintetiza familias de</w:t>
      </w:r>
      <w:r>
        <w:t xml:space="preserve"> </w:t>
      </w:r>
      <w:r>
        <w:t xml:space="preserve">métricas y brechas de constructo. Sexto, vincula reproducibilidad y trazabilidad</w:t>
      </w:r>
      <w:r>
        <w:t xml:space="preserve"> </w:t>
      </w:r>
      <w:r>
        <w:t xml:space="preserve">con benchmarking XAI. Finalmente, formula la brecha crítica que justifica</w:t>
      </w:r>
      <w:r>
        <w:t xml:space="preserve"> </w:t>
      </w:r>
      <w:r>
        <w:t xml:space="preserve">FOM-7.</w:t>
      </w:r>
    </w:p>
    <w:bookmarkEnd w:id="51"/>
    <w:bookmarkStart w:id="60" w:name="Xe6760546a452d6306b93a783545f3c51ee07c22"/>
    <w:p>
      <w:pPr>
        <w:pStyle w:val="Ttulo2"/>
        <w:spacing w:line="360" w:lineRule="auto"/>
        <w:jc w:val="both"/>
      </w:pPr>
      <w:r>
        <w:t xml:space="preserve">2.2 </w:t>
      </w:r>
      <w:r>
        <w:t xml:space="preserve">Desarrollo histórico de la interpretabilidad y la XAI</w:t>
      </w:r>
    </w:p>
    <w:p>
      <w:pPr>
        <w:pStyle w:val="FirstParagraph"/>
        <w:spacing w:line="360" w:lineRule="auto"/>
        <w:jc w:val="both"/>
      </w:pPr>
      <w:r>
        <w:t xml:space="preserve">La interpretabilidad en aprendizaje automático no surge como una preocupación</w:t>
      </w:r>
      <w:r>
        <w:t xml:space="preserve"> </w:t>
      </w:r>
      <w:r>
        <w:t xml:space="preserve">posterior a los modelos modernos, sino como una condición histórica de muchos</w:t>
      </w:r>
      <w:r>
        <w:t xml:space="preserve"> </w:t>
      </w:r>
      <w:r>
        <w:t xml:space="preserve">modelos estadísticos y simbólicos. La regresión lineal, los árboles de decisión</w:t>
      </w:r>
      <w:r>
        <w:t xml:space="preserve"> </w:t>
      </w:r>
      <w:r>
        <w:t xml:space="preserve">pequeños, los sistemas basados en reglas y algunos modelos aditivos permiten</w:t>
      </w:r>
      <w:r>
        <w:t xml:space="preserve"> </w:t>
      </w:r>
      <w:r>
        <w:t xml:space="preserve">inspeccionar directamente los parámetros, reglas o relaciones que conducen a una</w:t>
      </w:r>
      <w:r>
        <w:t xml:space="preserve"> </w:t>
      </w:r>
      <w:r>
        <w:t xml:space="preserve">predicción. En estos casos, la transparencia forma parte de la arquitectura del</w:t>
      </w:r>
      <w:r>
        <w:t xml:space="preserve"> </w:t>
      </w:r>
      <w:r>
        <w:t xml:space="preserve">modelo: el analista puede seguir el mecanismo inferencial sin construir un</w:t>
      </w:r>
      <w:r>
        <w:t xml:space="preserve"> </w:t>
      </w:r>
      <w:r>
        <w:t xml:space="preserve">artefacto explicativo externo. Esta tradición se asocia con modelos</w:t>
      </w:r>
      <w:r>
        <w:t xml:space="preserve"> </w:t>
      </w:r>
      <w:r>
        <w:t xml:space="preserve">intrínsecamente interpretables</w:t>
      </w:r>
      <w:r>
        <w:t xml:space="preserve"> </w:t>
      </w:r>
      <w:r>
        <w:t xml:space="preserve">(Lipton 2018; Arrieta 2019)</w:t>
      </w:r>
      <w:r>
        <w:t xml:space="preserve">.</w:t>
      </w:r>
    </w:p>
    <w:p>
      <w:pPr>
        <w:pStyle w:val="Textoindependiente"/>
        <w:spacing w:line="360" w:lineRule="auto"/>
        <w:jc w:val="both"/>
      </w:pPr>
      <w:r>
        <w:t xml:space="preserve">El punto doctoralmente relevante es que la interpretabilidad inicial estaba</w:t>
      </w:r>
      <w:r>
        <w:t xml:space="preserve"> </w:t>
      </w:r>
      <w:r>
        <w:t xml:space="preserve">ligada a una relación directa entre representación, inferencia y comunicación.</w:t>
      </w:r>
      <w:r>
        <w:t xml:space="preserve"> </w:t>
      </w:r>
      <w:r>
        <w:t xml:space="preserve">Cuando un modelo lineal asigna coeficientes a variables observables, la</w:t>
      </w:r>
      <w:r>
        <w:t xml:space="preserve"> </w:t>
      </w:r>
      <w:r>
        <w:t xml:space="preserve">explicación puede apoyarse en el mismo lenguaje que el modelo utiliza para</w:t>
      </w:r>
      <w:r>
        <w:t xml:space="preserve"> </w:t>
      </w:r>
      <w:r>
        <w:t xml:space="preserve">predecir. Cuando un árbol de decisión pequeño separa casos mediante reglas, el</w:t>
      </w:r>
      <w:r>
        <w:t xml:space="preserve"> </w:t>
      </w:r>
      <w:r>
        <w:t xml:space="preserve">camino desde la raíz hasta una hoja puede funcionar como una narración de la</w:t>
      </w:r>
      <w:r>
        <w:t xml:space="preserve"> </w:t>
      </w:r>
      <w:r>
        <w:t xml:space="preserve">decisión. Esta cercanía entre mecanismo y explicación reduce la necesidad de un</w:t>
      </w:r>
      <w:r>
        <w:t xml:space="preserve"> </w:t>
      </w:r>
      <w:r>
        <w:t xml:space="preserve">segundo artefacto interpretativo. Sin embargo, también limita la clase de</w:t>
      </w:r>
      <w:r>
        <w:t xml:space="preserve"> </w:t>
      </w:r>
      <w:r>
        <w:t xml:space="preserve">patrones que el modelo puede capturar. La historia de la XAI se entiende mejor</w:t>
      </w:r>
      <w:r>
        <w:t xml:space="preserve"> </w:t>
      </w:r>
      <w:r>
        <w:t xml:space="preserve">como una tensión continua entre expresividad predictiva, transparencia</w:t>
      </w:r>
      <w:r>
        <w:t xml:space="preserve"> </w:t>
      </w:r>
      <w:r>
        <w:t xml:space="preserve">estructural y utilidad humana</w:t>
      </w:r>
      <w:r>
        <w:t xml:space="preserve"> </w:t>
      </w:r>
      <w:r>
        <w:t xml:space="preserve">(Arrieta 2019; Lipton 2018)</w:t>
      </w:r>
      <w:r>
        <w:t xml:space="preserve">.</w:t>
      </w:r>
    </w:p>
    <w:p>
      <w:pPr>
        <w:pStyle w:val="Textoindependiente"/>
        <w:spacing w:line="360" w:lineRule="auto"/>
        <w:jc w:val="both"/>
      </w:pPr>
      <w:r>
        <w:t xml:space="preserve">El desplazamiento hacia modelos de mayor capacidad predictiva modificó este</w:t>
      </w:r>
      <w:r>
        <w:t xml:space="preserve"> </w:t>
      </w:r>
      <w:r>
        <w:t xml:space="preserve">equilibrio. Los ensambles, los métodos kernel, las redes neuronales profundas y</w:t>
      </w:r>
      <w:r>
        <w:t xml:space="preserve"> </w:t>
      </w:r>
      <w:r>
        <w:t xml:space="preserve">otros modelos de alta dimensionalidad aumentaron la precisión en tareas</w:t>
      </w:r>
      <w:r>
        <w:t xml:space="preserve"> </w:t>
      </w:r>
      <w:r>
        <w:t xml:space="preserve">complejas, pero hicieron menos accesible la lógica interna de decisión. La</w:t>
      </w:r>
      <w:r>
        <w:t xml:space="preserve"> </w:t>
      </w:r>
      <w:r>
        <w:t xml:space="preserve">opacidad no implica necesariamente ausencia de estructura; implica que la</w:t>
      </w:r>
      <w:r>
        <w:t xml:space="preserve"> </w:t>
      </w:r>
      <w:r>
        <w:t xml:space="preserve">estructura aprendida no se presenta en una forma cognitivamente manejable para</w:t>
      </w:r>
      <w:r>
        <w:t xml:space="preserve"> </w:t>
      </w:r>
      <w:r>
        <w:t xml:space="preserve">un humano. Esta tensión entre rendimiento y comprensibilidad aparece de forma</w:t>
      </w:r>
      <w:r>
        <w:t xml:space="preserve"> </w:t>
      </w:r>
      <w:r>
        <w:t xml:space="preserve">recurrente en revisiones de XAI e interpretabilidad</w:t>
      </w:r>
      <w:r>
        <w:t xml:space="preserve"> </w:t>
      </w:r>
      <w:r>
        <w:t xml:space="preserve">(Arrieta 2019; Linardatos 2020; Canha et al. 2025)</w:t>
      </w:r>
      <w:r>
        <w:t xml:space="preserve">.</w:t>
      </w:r>
    </w:p>
    <w:p>
      <w:pPr>
        <w:pStyle w:val="Textoindependiente"/>
        <w:spacing w:line="360" w:lineRule="auto"/>
        <w:jc w:val="both"/>
      </w:pPr>
      <w:r>
        <w:t xml:space="preserve">Este desplazamiento no debe interpretarse como una oposición simple entre</w:t>
      </w:r>
      <w:r>
        <w:t xml:space="preserve"> </w:t>
      </w:r>
      <w:r>
        <w:t xml:space="preserve">modelos</w:t>
      </w:r>
      <w:r>
        <w:t xml:space="preserve"> </w:t>
      </w:r>
      <w:r>
        <w:t xml:space="preserve">“buenos pero opacos”</w:t>
      </w:r>
      <w:r>
        <w:t xml:space="preserve"> </w:t>
      </w:r>
      <w:r>
        <w:t xml:space="preserve">y modelos</w:t>
      </w:r>
      <w:r>
        <w:t xml:space="preserve"> </w:t>
      </w:r>
      <w:r>
        <w:t xml:space="preserve">“malos pero transparentes”</w:t>
      </w:r>
      <w:r>
        <w:t xml:space="preserve">. La literatura</w:t>
      </w:r>
      <w:r>
        <w:t xml:space="preserve"> </w:t>
      </w:r>
      <w:r>
        <w:t xml:space="preserve">crítica ha mostrado que la interpretabilidad es una noción plural: puede</w:t>
      </w:r>
      <w:r>
        <w:t xml:space="preserve"> </w:t>
      </w:r>
      <w:r>
        <w:t xml:space="preserve">referirse a simulabilidad, descomponibilidad, transparencia algorítmica,</w:t>
      </w:r>
      <w:r>
        <w:t xml:space="preserve"> </w:t>
      </w:r>
      <w:r>
        <w:t xml:space="preserve">explicaciones locales, explicaciones globales, visualizaciones, reglas,</w:t>
      </w:r>
      <w:r>
        <w:t xml:space="preserve"> </w:t>
      </w:r>
      <w:r>
        <w:t xml:space="preserve">atribuciones o ejemplos contrafactuales</w:t>
      </w:r>
      <w:r>
        <w:t xml:space="preserve"> </w:t>
      </w:r>
      <w:r>
        <w:t xml:space="preserve">(Lipton 2018; Arrieta 2019)</w:t>
      </w:r>
      <w:r>
        <w:t xml:space="preserve">. Por tanto,</w:t>
      </w:r>
      <w:r>
        <w:t xml:space="preserve"> </w:t>
      </w:r>
      <w:r>
        <w:t xml:space="preserve">un modelo no es interpretable o no interpretable en abstracto; lo es respecto a</w:t>
      </w:r>
      <w:r>
        <w:t xml:space="preserve"> </w:t>
      </w:r>
      <w:r>
        <w:t xml:space="preserve">un destinatario, una tarea, una escala de análisis y un criterio de éxito. Esta</w:t>
      </w:r>
      <w:r>
        <w:t xml:space="preserve"> </w:t>
      </w:r>
      <w:r>
        <w:t xml:space="preserve">observación será importante para FOM-7, porque impide convertir la evaluación</w:t>
      </w:r>
      <w:r>
        <w:t xml:space="preserve"> </w:t>
      </w:r>
      <w:r>
        <w:t xml:space="preserve">XAI en una competencia única donde todos los métodos se ordenan bajo una misma</w:t>
      </w:r>
      <w:r>
        <w:t xml:space="preserve"> </w:t>
      </w:r>
      <w:r>
        <w:t xml:space="preserve">noción de calidad.</w:t>
      </w:r>
    </w:p>
    <w:p>
      <w:pPr>
        <w:pStyle w:val="Textoindependiente"/>
        <w:spacing w:line="360" w:lineRule="auto"/>
        <w:jc w:val="both"/>
      </w:pPr>
      <w:r>
        <w:t xml:space="preserve">La expansión de modelos de caja negra también modificó la forma en que se</w:t>
      </w:r>
      <w:r>
        <w:t xml:space="preserve"> </w:t>
      </w:r>
      <w:r>
        <w:t xml:space="preserve">construyen responsabilidades epistémicas. En un modelo transparente, el analista</w:t>
      </w:r>
      <w:r>
        <w:t xml:space="preserve"> </w:t>
      </w:r>
      <w:r>
        <w:t xml:space="preserve">puede examinar directamente parte del mecanismo. En un modelo de caja negra, la</w:t>
      </w:r>
      <w:r>
        <w:t xml:space="preserve"> </w:t>
      </w:r>
      <w:r>
        <w:t xml:space="preserve">explicación se vuelve mediada: depende de consultas, perturbaciones, gradientes,</w:t>
      </w:r>
      <w:r>
        <w:t xml:space="preserve"> </w:t>
      </w:r>
      <w:r>
        <w:t xml:space="preserve">aproximaciones locales, reglas inducidas o contrafactuales generados. Esa</w:t>
      </w:r>
      <w:r>
        <w:t xml:space="preserve"> </w:t>
      </w:r>
      <w:r>
        <w:t xml:space="preserve">mediación introduce una pregunta adicional: no basta con saber si el predictor</w:t>
      </w:r>
      <w:r>
        <w:t xml:space="preserve"> </w:t>
      </w:r>
      <w:r>
        <w:t xml:space="preserve">funciona; debe evaluarse si el artefacto que lo explica es confiable bajo las</w:t>
      </w:r>
      <w:r>
        <w:t xml:space="preserve"> </w:t>
      </w:r>
      <w:r>
        <w:t xml:space="preserve">condiciones en que se usa. La XAI moderna nace, en buena medida, de esta</w:t>
      </w:r>
      <w:r>
        <w:t xml:space="preserve"> </w:t>
      </w:r>
      <w:r>
        <w:t xml:space="preserve">separación entre modelo predictivo y artefacto explicativo</w:t>
      </w:r>
      <w:r>
        <w:t xml:space="preserve"> </w:t>
      </w:r>
      <w:r>
        <w:t xml:space="preserve">(Linardatos 2020; Doshi-Velez 2017)</w:t>
      </w:r>
      <w:r>
        <w:t xml:space="preserve">.</w:t>
      </w:r>
    </w:p>
    <w:p>
      <w:pPr>
        <w:pStyle w:val="Textoindependiente"/>
        <w:spacing w:line="360" w:lineRule="auto"/>
        <w:jc w:val="both"/>
      </w:pPr>
      <w:r>
        <w:t xml:space="preserve">La respuesta metodológica dominante ha sido el desarrollo de explicaciones</w:t>
      </w:r>
      <w:r>
        <w:t xml:space="preserve"> </w:t>
      </w:r>
      <w:r>
        <w:t xml:space="preserve">post-hoc. En vez de exigir que el modelo predictivo sea transparente, se</w:t>
      </w:r>
      <w:r>
        <w:t xml:space="preserve"> </w:t>
      </w:r>
      <w:r>
        <w:t xml:space="preserve">construye un segundo artefacto que describe aspectos de su comportamiento. LIME</w:t>
      </w:r>
      <w:r>
        <w:t xml:space="preserve"> </w:t>
      </w:r>
      <w:r>
        <w:t xml:space="preserve">aproxima localmente la frontera de decisión mediante modelos sustitutos</w:t>
      </w:r>
      <w:r>
        <w:t xml:space="preserve"> </w:t>
      </w:r>
      <w:r>
        <w:t xml:space="preserve">simples</w:t>
      </w:r>
      <w:r>
        <w:t xml:space="preserve"> </w:t>
      </w:r>
      <w:r>
        <w:t xml:space="preserve">(Ribeiro 2016)</w:t>
      </w:r>
      <w:r>
        <w:t xml:space="preserve">. SHAP interpreta predicciones mediante atribuciones</w:t>
      </w:r>
      <w:r>
        <w:t xml:space="preserve"> </w:t>
      </w:r>
      <w:r>
        <w:t xml:space="preserve">aditivas inspiradas en el valor de Shapley</w:t>
      </w:r>
      <w:r>
        <w:t xml:space="preserve"> </w:t>
      </w:r>
      <w:r>
        <w:t xml:space="preserve">(Lundberg 2017)</w:t>
      </w:r>
      <w:r>
        <w:t xml:space="preserve">. Anchors produce</w:t>
      </w:r>
      <w:r>
        <w:t xml:space="preserve"> </w:t>
      </w:r>
      <w:r>
        <w:t xml:space="preserve">reglas de alta precisión que buscan condiciones suficientes para una predicción</w:t>
      </w:r>
      <w:r>
        <w:t xml:space="preserve"> </w:t>
      </w:r>
      <w:r>
        <w:t xml:space="preserve">local</w:t>
      </w:r>
      <w:r>
        <w:t xml:space="preserve"> </w:t>
      </w:r>
      <w:r>
        <w:t xml:space="preserve">(Ribeiro 2018)</w:t>
      </w:r>
      <w:r>
        <w:t xml:space="preserve">. DiCE desplaza el foco hacia explicaciones</w:t>
      </w:r>
      <w:r>
        <w:t xml:space="preserve"> </w:t>
      </w:r>
      <w:r>
        <w:t xml:space="preserve">contrafactuales: cambios alternativos que permitirían obtener una decisión</w:t>
      </w:r>
      <w:r>
        <w:t xml:space="preserve"> </w:t>
      </w:r>
      <w:r>
        <w:t xml:space="preserve">diferente</w:t>
      </w:r>
      <w:r>
        <w:t xml:space="preserve"> </w:t>
      </w:r>
      <w:r>
        <w:t xml:space="preserve">(Mothilal 2020)</w:t>
      </w:r>
      <w:r>
        <w:t xml:space="preserve">. Estos métodos no explican el modelo en el mismo</w:t>
      </w:r>
      <w:r>
        <w:t xml:space="preserve"> </w:t>
      </w:r>
      <w:r>
        <w:t xml:space="preserve">sentido; producen objetos explicativos distintos, con supuestos y criterios de</w:t>
      </w:r>
      <w:r>
        <w:t xml:space="preserve"> </w:t>
      </w:r>
      <w:r>
        <w:t xml:space="preserve">evaluación diferentes.</w:t>
      </w:r>
    </w:p>
    <w:p>
      <w:pPr>
        <w:pStyle w:val="Textoindependiente"/>
        <w:spacing w:line="360" w:lineRule="auto"/>
        <w:jc w:val="both"/>
      </w:pPr>
      <w:r>
        <w:t xml:space="preserve">La alternativa a explicar</w:t>
      </w:r>
      <w:r>
        <w:t xml:space="preserve"> </w:t>
      </w:r>
      <w:r>
        <w:rPr>
          <w:i/>
          <w:iCs/>
        </w:rPr>
        <w:t xml:space="preserve">a posteriori</w:t>
      </w:r>
      <w:r>
        <w:t xml:space="preserve"> </w:t>
      </w:r>
      <w:r>
        <w:t xml:space="preserve">es diseñar modelos intrínsecamente</w:t>
      </w:r>
      <w:r>
        <w:t xml:space="preserve"> </w:t>
      </w:r>
      <w:r>
        <w:t xml:space="preserve">interpretables. Esta posición ha sido defendida con fuerza para decisiones de</w:t>
      </w:r>
      <w:r>
        <w:t xml:space="preserve"> </w:t>
      </w:r>
      <w:r>
        <w:t xml:space="preserve">alto riesgo, argumentando que la explicación post-hoc de una caja negra no</w:t>
      </w:r>
      <w:r>
        <w:t xml:space="preserve"> </w:t>
      </w:r>
      <w:r>
        <w:t xml:space="preserve">sustituye a un modelo comprensible por construcción</w:t>
      </w:r>
      <w:r>
        <w:t xml:space="preserve"> </w:t>
      </w:r>
      <w:r>
        <w:t xml:space="preserve">(Rudin 2019)</w:t>
      </w:r>
      <w:r>
        <w:t xml:space="preserve">, y se ha</w:t>
      </w:r>
      <w:r>
        <w:t xml:space="preserve"> </w:t>
      </w:r>
      <w:r>
        <w:t xml:space="preserve">materializado en arquitecturas que incorporan la interpretabilidad como</w:t>
      </w:r>
      <w:r>
        <w:t xml:space="preserve"> </w:t>
      </w:r>
      <w:r>
        <w:t xml:space="preserve">restricción de diseño: modelos con cuello de botella conceptual</w:t>
      </w:r>
      <w:r>
        <w:t xml:space="preserve"> </w:t>
      </w:r>
      <w:r>
        <w:t xml:space="preserve">(Koh et al. 2020)</w:t>
      </w:r>
      <w:r>
        <w:t xml:space="preserve">,</w:t>
      </w:r>
      <w:r>
        <w:t xml:space="preserve"> </w:t>
      </w:r>
      <w:r>
        <w:t xml:space="preserve">redes con características monótonas</w:t>
      </w:r>
      <w:r>
        <w:t xml:space="preserve"> </w:t>
      </w:r>
      <w:r>
        <w:t xml:space="preserve">(Nguyen y Martinez 2019)</w:t>
      </w:r>
      <w:r>
        <w:t xml:space="preserve">, arquitecturas prototípicas</w:t>
      </w:r>
      <w:r>
        <w:t xml:space="preserve"> </w:t>
      </w:r>
      <w:r>
        <w:t xml:space="preserve">(Hess y Ditzler 2023)</w:t>
      </w:r>
      <w:r>
        <w:t xml:space="preserve"> </w:t>
      </w:r>
      <w:r>
        <w:t xml:space="preserve">o representaciones funcionales explícitas</w:t>
      </w:r>
      <w:r>
        <w:t xml:space="preserve"> </w:t>
      </w:r>
      <w:r>
        <w:t xml:space="preserve">(Liu et al. 2024)</w:t>
      </w:r>
      <w:r>
        <w:t xml:space="preserve">. En paralelo,</w:t>
      </w:r>
      <w:r>
        <w:t xml:space="preserve"> </w:t>
      </w:r>
      <w:r>
        <w:t xml:space="preserve">una línea formal explora la explicabilidad basada en lógica, con garantías de</w:t>
      </w:r>
      <w:r>
        <w:t xml:space="preserve"> </w:t>
      </w:r>
      <w:r>
        <w:t xml:space="preserve">corrección de las que carecen los métodos aproximados</w:t>
      </w:r>
      <w:r>
        <w:t xml:space="preserve"> </w:t>
      </w:r>
      <w:r>
        <w:t xml:space="preserve">(Marques-Silva 2024)</w:t>
      </w:r>
      <w:r>
        <w:t xml:space="preserve">. Esta</w:t>
      </w:r>
      <w:r>
        <w:t xml:space="preserve"> </w:t>
      </w:r>
      <w:r>
        <w:t xml:space="preserve">tesis no adopta esa vía —su objeto son explicadores agnósticos aplicados a</w:t>
      </w:r>
      <w:r>
        <w:t xml:space="preserve"> </w:t>
      </w:r>
      <w:r>
        <w:t xml:space="preserve">modelos ya entrenados— pero la frontera importa para interpretar sus resultados:</w:t>
      </w:r>
      <w:r>
        <w:t xml:space="preserve"> </w:t>
      </w:r>
      <w:r>
        <w:t xml:space="preserve">la crítica de fondo, que las explicaciones aproximadas pueden ser plausibles sin</w:t>
      </w:r>
      <w:r>
        <w:t xml:space="preserve"> </w:t>
      </w:r>
      <w:r>
        <w:t xml:space="preserve">ser fieles, es exactamente la que motiva medir fidelidad en lugar de suponerla.</w:t>
      </w:r>
      <w:r>
        <w:t xml:space="preserve"> </w:t>
      </w:r>
      <w:r>
        <w:t xml:space="preserve">Advertencias equivalentes se han formulado sobre el uso de mecanismos internos</w:t>
      </w:r>
      <w:r>
        <w:t xml:space="preserve"> </w:t>
      </w:r>
      <w:r>
        <w:t xml:space="preserve">del modelo, como la atención, en calidad de explicación</w:t>
      </w:r>
      <w:r>
        <w:t xml:space="preserve"> </w:t>
      </w:r>
      <w:r>
        <w:t xml:space="preserve">(Bastings y Filippova 2020)</w:t>
      </w:r>
      <w:r>
        <w:t xml:space="preserve">.</w:t>
      </w:r>
    </w:p>
    <w:p>
      <w:pPr>
        <w:pStyle w:val="Textoindependiente"/>
        <w:spacing w:line="360" w:lineRule="auto"/>
        <w:jc w:val="both"/>
      </w:pPr>
      <w:r>
        <w:t xml:space="preserve">La categoría post-hoc, sin embargo, cubre familias heterogéneas. Las</w:t>
      </w:r>
      <w:r>
        <w:t xml:space="preserve"> </w:t>
      </w:r>
      <w:r>
        <w:t xml:space="preserve">atribuciones asignan importancia a características; las reglas buscan</w:t>
      </w:r>
      <w:r>
        <w:t xml:space="preserve"> </w:t>
      </w:r>
      <w:r>
        <w:t xml:space="preserve">condiciones suficientes o patrones comprensibles; los sustitutos locales</w:t>
      </w:r>
      <w:r>
        <w:t xml:space="preserve"> </w:t>
      </w:r>
      <w:r>
        <w:t xml:space="preserve">aproximan el comportamiento del modelo en un vecindario; los contrafactuales</w:t>
      </w:r>
      <w:r>
        <w:t xml:space="preserve"> </w:t>
      </w:r>
      <w:r>
        <w:t xml:space="preserve">describen alternativas que cambiarían una decisión; las visualizaciones</w:t>
      </w:r>
      <w:r>
        <w:t xml:space="preserve"> </w:t>
      </w:r>
      <w:r>
        <w:t xml:space="preserve">representan patrones agregados o activaciones —como las curvas de expectativa</w:t>
      </w:r>
      <w:r>
        <w:t xml:space="preserve"> </w:t>
      </w:r>
      <w:r>
        <w:t xml:space="preserve">condicional individual</w:t>
      </w:r>
      <w:r>
        <w:t xml:space="preserve"> </w:t>
      </w:r>
      <w:r>
        <w:t xml:space="preserve">(Goldstein 2014)</w:t>
      </w:r>
      <w:r>
        <w:t xml:space="preserve"> </w:t>
      </w:r>
      <w:r>
        <w:t xml:space="preserve">o los gráficos de efectos locales</w:t>
      </w:r>
      <w:r>
        <w:t xml:space="preserve"> </w:t>
      </w:r>
      <w:r>
        <w:t xml:space="preserve">acumulados</w:t>
      </w:r>
      <w:r>
        <w:t xml:space="preserve"> </w:t>
      </w:r>
      <w:r>
        <w:t xml:space="preserve">(Apley 2020)</w:t>
      </w:r>
      <w:r>
        <w:t xml:space="preserve">, que describen el efecto marginal de una característica</w:t>
      </w:r>
      <w:r>
        <w:t xml:space="preserve"> </w:t>
      </w:r>
      <w:r>
        <w:t xml:space="preserve">sobre el conjunto de datos en lugar de atribuir importancia a una predicción</w:t>
      </w:r>
      <w:r>
        <w:t xml:space="preserve"> </w:t>
      </w:r>
      <w:r>
        <w:t xml:space="preserve">concreta—. Esta pluralidad es una fortaleza</w:t>
      </w:r>
      <w:r>
        <w:t xml:space="preserve"> </w:t>
      </w:r>
      <w:r>
        <w:t xml:space="preserve">del campo, porque permite adaptar la explicación a objetivos distintos. Pero</w:t>
      </w:r>
      <w:r>
        <w:t xml:space="preserve"> </w:t>
      </w:r>
      <w:r>
        <w:t xml:space="preserve">también es una fuente de dificultad evaluativa: una métrica apropiada para</w:t>
      </w:r>
      <w:r>
        <w:t xml:space="preserve"> </w:t>
      </w:r>
      <w:r>
        <w:t xml:space="preserve">atribuciones no necesariamente evalúa bien reglas, y una métrica orientada a</w:t>
      </w:r>
      <w:r>
        <w:t xml:space="preserve"> </w:t>
      </w:r>
      <w:r>
        <w:t xml:space="preserve">validez contrafactual no necesariamente mide fidelidad local de un sustituto</w:t>
      </w:r>
      <w:r>
        <w:t xml:space="preserve"> </w:t>
      </w:r>
      <w:r>
        <w:t xml:space="preserve">(Arrieta 2019; Hedström et al. 2023)</w:t>
      </w:r>
      <w:r>
        <w:t xml:space="preserve">. Esta tesis acota su evaluación a explicaciones</w:t>
      </w:r>
      <w:r>
        <w:t xml:space="preserve"> </w:t>
      </w:r>
      <w:r>
        <w:t xml:space="preserve">locales por instancia, de modo que las familias de visualización global antes</w:t>
      </w:r>
      <w:r>
        <w:t xml:space="preserve"> </w:t>
      </w:r>
      <w:r>
        <w:t xml:space="preserve">citadas quedan fuera de su alcance experimental.</w:t>
      </w:r>
    </w:p>
    <w:p>
      <w:pPr>
        <w:pStyle w:val="Textoindependiente"/>
        <w:spacing w:line="360" w:lineRule="auto"/>
        <w:jc w:val="both"/>
      </w:pPr>
      <w:r>
        <w:t xml:space="preserve">La literatura también distingue métodos agnósticos y específicos del modelo</w:t>
      </w:r>
      <w:r>
        <w:t xml:space="preserve"> </w:t>
      </w:r>
      <w:r>
        <w:t xml:space="preserve">(Arrieta 2019; Linardatos 2020)</w:t>
      </w:r>
      <w:r>
        <w:t xml:space="preserve">. Los métodos agnósticos tratan al predictor</w:t>
      </w:r>
      <w:r>
        <w:t xml:space="preserve"> </w:t>
      </w:r>
      <w:r>
        <w:t xml:space="preserve">como una caja negra y solo requieren consultar entradas y salidas. Esta</w:t>
      </w:r>
      <w:r>
        <w:t xml:space="preserve"> </w:t>
      </w:r>
      <w:r>
        <w:t xml:space="preserve">propiedad permite aplicar un mismo explicador a diversos clasificadores, pero</w:t>
      </w:r>
      <w:r>
        <w:t xml:space="preserve"> </w:t>
      </w:r>
      <w:r>
        <w:t xml:space="preserve">introduce riesgos: el explicador puede capturar regularidades de las consultas</w:t>
      </w:r>
      <w:r>
        <w:t xml:space="preserve"> </w:t>
      </w:r>
      <w:r>
        <w:t xml:space="preserve">realizadas, no necesariamente el mecanismo interno del modelo. Los métodos</w:t>
      </w:r>
      <w:r>
        <w:t xml:space="preserve"> </w:t>
      </w:r>
      <w:r>
        <w:t xml:space="preserve">específicos aprovechan propiedades internas de familias concretas de modelos,</w:t>
      </w:r>
      <w:r>
        <w:t xml:space="preserve"> </w:t>
      </w:r>
      <w:r>
        <w:t xml:space="preserve">por ejemplo estructuras de árboles o gradientes en redes neuronales. La tensión</w:t>
      </w:r>
      <w:r>
        <w:t xml:space="preserve"> </w:t>
      </w:r>
      <w:r>
        <w:t xml:space="preserve">entre generalidad y fidelidad es una de las razones por las que la evaluación</w:t>
      </w:r>
      <w:r>
        <w:t xml:space="preserve"> </w:t>
      </w:r>
      <w:r>
        <w:t xml:space="preserve">XAI no puede reducirse a una sola métrica</w:t>
      </w:r>
      <w:r>
        <w:t xml:space="preserve"> </w:t>
      </w:r>
      <w:r>
        <w:t xml:space="preserve">(Doshi-Velez 2017; Hedström et al. 2023)</w:t>
      </w:r>
      <w:r>
        <w:t xml:space="preserve">.</w:t>
      </w:r>
    </w:p>
    <w:p>
      <w:pPr>
        <w:pStyle w:val="Textoindependiente"/>
        <w:spacing w:line="360" w:lineRule="auto"/>
        <w:jc w:val="both"/>
      </w:pPr>
      <w:r>
        <w:t xml:space="preserve">Esta distinción histórica es especialmente importante para la tesis porque los</w:t>
      </w:r>
      <w:r>
        <w:t xml:space="preserve"> </w:t>
      </w:r>
      <w:r>
        <w:t xml:space="preserve">métodos agnósticos suelen ganar en portabilidad experimental. Un mismo pipeline</w:t>
      </w:r>
      <w:r>
        <w:t xml:space="preserve"> </w:t>
      </w:r>
      <w:r>
        <w:t xml:space="preserve">puede aplicarse a clasificadores distintos, lo que facilita el benchmarking.</w:t>
      </w:r>
      <w:r>
        <w:t xml:space="preserve"> </w:t>
      </w:r>
      <w:r>
        <w:t xml:space="preserve">Pero esa portabilidad no elimina la necesidad de controles: si el explicador</w:t>
      </w:r>
      <w:r>
        <w:t xml:space="preserve"> </w:t>
      </w:r>
      <w:r>
        <w:t xml:space="preserve">solo observa entradas y salidas, su conocimiento del modelo es indirecto y</w:t>
      </w:r>
      <w:r>
        <w:t xml:space="preserve"> </w:t>
      </w:r>
      <w:r>
        <w:t xml:space="preserve">dependiente de la muestra consultada. En cambio, los métodos específicos pueden</w:t>
      </w:r>
      <w:r>
        <w:t xml:space="preserve"> </w:t>
      </w:r>
      <w:r>
        <w:t xml:space="preserve">explotar información interna para mejorar eficiencia o precisión, aunque pagan</w:t>
      </w:r>
      <w:r>
        <w:t xml:space="preserve"> </w:t>
      </w:r>
      <w:r>
        <w:t xml:space="preserve">el precio de una menor generalidad. FOM-7 debe mantener visible esta relación:</w:t>
      </w:r>
      <w:r>
        <w:t xml:space="preserve"> </w:t>
      </w:r>
      <w:r>
        <w:t xml:space="preserve">no comparar solamente valores métricos, sino interpretar esos valores según el</w:t>
      </w:r>
      <w:r>
        <w:t xml:space="preserve"> </w:t>
      </w:r>
      <w:r>
        <w:t xml:space="preserve">tipo de acceso que cada explicador tiene al modelo</w:t>
      </w:r>
      <w:r>
        <w:t xml:space="preserve"> </w:t>
      </w:r>
      <w:r>
        <w:t xml:space="preserve">(Arrieta 2019; Linardatos 2020)</w:t>
      </w:r>
      <w:r>
        <w:t xml:space="preserve">.</w:t>
      </w:r>
    </w:p>
    <w:p>
      <w:pPr>
        <w:pStyle w:val="Textoindependiente"/>
        <w:spacing w:line="360" w:lineRule="auto"/>
        <w:jc w:val="both"/>
      </w:pPr>
      <w:r>
        <w:t xml:space="preserve">La</w:t>
      </w:r>
      <w:r>
        <w:t xml:space="preserve"> </w:t>
      </w:r>
      <w:hyperlink w:anchor="fig-local-global">
        <w:r>
          <w:rPr>
            <w:rStyle w:val="Hipervnculo"/>
          </w:rPr>
          <w:t xml:space="preserve">Figura 2.1</w:t>
        </w:r>
      </w:hyperlink>
      <w:r>
        <w:t xml:space="preserve"> </w:t>
      </w:r>
      <w:r>
        <w:t xml:space="preserve">ilustra la diferencia de alcance que se describe a</w:t>
      </w:r>
      <w:r>
        <w:t xml:space="preserve"> </w:t>
      </w:r>
      <w:r>
        <w:t xml:space="preserve">continuación.</w:t>
      </w:r>
    </w:p>
    <w:tbl>
      <w:tblPr>
        <w:tblStyle w:val="Table"/>
        <w:tblW w:type="pct" w:w="5000"/>
        <w:jc w:val="center"/>
        <w:tblLayout w:type="fixed"/>
        <w:tblLook w:firstRow="0" w:lastRow="0" w:firstColumn="0" w:lastColumn="0" w:noHBand="0" w:noVBand="0" w:val="0000"/>
      </w:tblPr>
      <w:tblGrid>
        <w:gridCol w:w="7920"/>
      </w:tblGrid>
      <w:tr>
        <w:tc>
          <w:tcPr/>
          <w:bookmarkStart w:id="55" w:name="fig-local-global"/>
          <w:p>
            <w:pPr>
              <w:pStyle w:val="Compact"/>
              <w:jc w:val="center"/>
              <w:spacing w:line="360" w:lineRule="auto"/>
            </w:pPr>
            <w:r>
              <w:drawing>
                <ns1:inline>
                  <ns1:extent cx="5228414" cy="3388928"/>
                  <ns1:effectExtent b="0" l="0" r="0" t="0"/>
                  <ns1:docPr descr="" title="" id="53" name="Picture"/>
                  <ns2:graphic>
                    <ns2:graphicData uri="http://schemas.openxmlformats.org/drawingml/2006/picture">
                      <ns3:pic>
                        <ns3:nvPicPr>
                          <ns3:cNvPr descr="assets/figures/fig_d3_local_global_es.png" id="54" name="Picture"/>
                          <ns3:cNvPicPr>
                            <ns2:picLocks noChangeArrowheads="1" noChangeAspect="1"/>
                          </ns3:cNvPicPr>
                        </ns3:nvPicPr>
                        <ns3:blipFill>
                          <ns2:blip ns4:embed="rId52"/>
                          <ns2:stretch>
                            <ns2:fillRect/>
                          </ns2:stretch>
                        </ns3:blipFill>
                        <ns3:spPr bwMode="auto">
                          <ns2:xfrm>
                            <ns2:off x="0" y="0"/>
                            <ns2:ext cx="5228414" cy="3388928"/>
                          </ns2:xfrm>
                          <ns2:prstGeom prst="rect">
                            <ns2:avLst/>
                          </ns2:prstGeom>
                          <ns2:noFill/>
                          <ns2:ln w="9525">
                            <ns2:noFill/>
                            <ns2:headEnd/>
                            <ns2:tailEnd/>
                          </ns2:ln>
                        </ns3:spPr>
                      </ns3:pic>
                    </ns2:graphicData>
                  </ns2:graphic>
                </ns1:inline>
              </w:drawing>
            </w:r>
          </w:p>
          <w:p>
            <w:pPr>
              <w:pStyle w:val="ImageCaption"/>
              <w:spacing w:before="200" w:line="360" w:lineRule="auto"/>
              <w:jc w:val="center"/>
            </w:pPr>
            <w:r>
              <w:t xml:space="preserve">Figura 2.1: Alcance local y alcance global de una explicación. A la izquierda, la</w:t>
            </w:r>
            <w:r>
              <w:t xml:space="preserve"> </w:t>
            </w:r>
            <w:r>
              <w:t xml:space="preserve">aproximación local describe el comportamiento del modelo alrededor de una</w:t>
            </w:r>
            <w:r>
              <w:t xml:space="preserve"> </w:t>
            </w:r>
            <w:r>
              <w:t xml:space="preserve">instancia; a la derecha, un resumen global agrega la importancia de las</w:t>
            </w:r>
            <w:r>
              <w:t xml:space="preserve"> </w:t>
            </w:r>
            <w:r>
              <w:t xml:space="preserve">características sobre una población. Ilustración esquemática con datos</w:t>
            </w:r>
            <w:r>
              <w:t xml:space="preserve"> </w:t>
            </w:r>
            <w:r>
              <w:t xml:space="preserve">simulados. Fuente: elaboración propia.</w:t>
            </w:r>
          </w:p>
          <w:bookmarkEnd w:id="55"/>
        </w:tc>
      </w:tr>
    </w:tbl>
    <w:p>
      <w:pPr>
        <w:pStyle w:val="Textoindependiente"/>
        <w:spacing w:line="360" w:lineRule="auto"/>
        <w:jc w:val="both"/>
      </w:pPr>
      <w:r>
        <w:t xml:space="preserve">Otra distinción histórica relevante es la diferencia entre explicaciones</w:t>
      </w:r>
      <w:r>
        <w:t xml:space="preserve"> </w:t>
      </w:r>
      <w:r>
        <w:t xml:space="preserve">locales y globales</w:t>
      </w:r>
      <w:r>
        <w:t xml:space="preserve"> </w:t>
      </w:r>
      <w:r>
        <w:t xml:space="preserve">(Arrieta 2019; Linardatos 2020)</w:t>
      </w:r>
      <w:r>
        <w:t xml:space="preserve">. Una explicación local</w:t>
      </w:r>
      <w:r>
        <w:t xml:space="preserve"> </w:t>
      </w:r>
      <w:r>
        <w:t xml:space="preserve">describe el comportamiento del modelo alrededor de una instancia o decisión</w:t>
      </w:r>
      <w:r>
        <w:t xml:space="preserve"> </w:t>
      </w:r>
      <w:r>
        <w:t xml:space="preserve">particular. Una explicación global intenta describir patrones generales del</w:t>
      </w:r>
      <w:r>
        <w:t xml:space="preserve"> </w:t>
      </w:r>
      <w:r>
        <w:t xml:space="preserve">modelo en el dominio completo o en regiones amplias del espacio de entrada.</w:t>
      </w:r>
      <w:r>
        <w:t xml:space="preserve"> </w:t>
      </w:r>
      <w:r>
        <w:t xml:space="preserve">LIME, SHAP y Anchors suelen emplearse en configuraciones locales, aunque pueden</w:t>
      </w:r>
      <w:r>
        <w:t xml:space="preserve"> </w:t>
      </w:r>
      <w:r>
        <w:t xml:space="preserve">agregarse para obtener resúmenes globales</w:t>
      </w:r>
      <w:r>
        <w:t xml:space="preserve"> </w:t>
      </w:r>
      <w:r>
        <w:t xml:space="preserve">(Ribeiro 2016, 2018; Lundberg 2017)</w:t>
      </w:r>
      <w:r>
        <w:t xml:space="preserve">. Esta agregación, sin embargo, no elimina el problema conceptual:</w:t>
      </w:r>
      <w:r>
        <w:t xml:space="preserve"> </w:t>
      </w:r>
      <w:r>
        <w:t xml:space="preserve">una colección de explicaciones locales no equivale automáticamente a una teoría</w:t>
      </w:r>
      <w:r>
        <w:t xml:space="preserve"> </w:t>
      </w:r>
      <w:r>
        <w:t xml:space="preserve">global del modelo.</w:t>
      </w:r>
    </w:p>
    <w:p>
      <w:pPr>
        <w:pStyle w:val="Textoindependiente"/>
        <w:spacing w:line="360" w:lineRule="auto"/>
        <w:jc w:val="both"/>
      </w:pPr>
      <w:r>
        <w:t xml:space="preserve">El nivel local resulta atractivo porque muchas decisiones de alto impacto se</w:t>
      </w:r>
      <w:r>
        <w:t xml:space="preserve"> </w:t>
      </w:r>
      <w:r>
        <w:t xml:space="preserve">formulan caso por caso: por qué se rechazó una solicitud, por qué una instancia</w:t>
      </w:r>
      <w:r>
        <w:t xml:space="preserve"> </w:t>
      </w:r>
      <w:r>
        <w:t xml:space="preserve">fue clasificada como riesgosa, por qué un modelo asignó una etiqueta. Sin</w:t>
      </w:r>
      <w:r>
        <w:t xml:space="preserve"> </w:t>
      </w:r>
      <w:r>
        <w:t xml:space="preserve">embargo, una explicación local tiene un alcance limitado por definición. Puede</w:t>
      </w:r>
      <w:r>
        <w:t xml:space="preserve"> </w:t>
      </w:r>
      <w:r>
        <w:t xml:space="preserve">ser válida alrededor de una instancia y no describir otras regiones del espacio</w:t>
      </w:r>
      <w:r>
        <w:t xml:space="preserve"> </w:t>
      </w:r>
      <w:r>
        <w:t xml:space="preserve">de datos. La explicación global, por su parte, promete una visión más amplia,</w:t>
      </w:r>
      <w:r>
        <w:t xml:space="preserve"> </w:t>
      </w:r>
      <w:r>
        <w:t xml:space="preserve">pero puede ocultar heterogeneidad local o subgrupos con comportamientos</w:t>
      </w:r>
      <w:r>
        <w:t xml:space="preserve"> </w:t>
      </w:r>
      <w:r>
        <w:t xml:space="preserve">distintos. Este problema conecta directamente con la trazabilidad de claims: una</w:t>
      </w:r>
      <w:r>
        <w:t xml:space="preserve"> </w:t>
      </w:r>
      <w:r>
        <w:t xml:space="preserve">afirmación local no debe presentarse como global, y una tendencia global no debe</w:t>
      </w:r>
      <w:r>
        <w:t xml:space="preserve"> </w:t>
      </w:r>
      <w:r>
        <w:t xml:space="preserve">usarse para justificar decisiones individuales sin evidencia adicional</w:t>
      </w:r>
      <w:r>
        <w:t xml:space="preserve"> </w:t>
      </w:r>
      <w:r>
        <w:t xml:space="preserve">(Doshi-Velez 2017; Hedström et al. 2023)</w:t>
      </w:r>
      <w:r>
        <w:t xml:space="preserve">.</w:t>
      </w:r>
    </w:p>
    <w:p>
      <w:pPr>
        <w:pStyle w:val="Textoindependiente"/>
        <w:spacing w:line="360" w:lineRule="auto"/>
        <w:jc w:val="both"/>
      </w:pPr>
      <w:r>
        <w:t xml:space="preserve">Finalmente, el campo ha incorporado una orientación human-centered. La pregunta</w:t>
      </w:r>
      <w:r>
        <w:t xml:space="preserve"> </w:t>
      </w:r>
      <w:r>
        <w:t xml:space="preserve">ya no es solo si una explicación se parece al comportamiento del modelo, sino si</w:t>
      </w:r>
      <w:r>
        <w:t xml:space="preserve"> </w:t>
      </w:r>
      <w:r>
        <w:t xml:space="preserve">apoya una tarea humana concreta sin inducir confianza injustificada. Esta</w:t>
      </w:r>
      <w:r>
        <w:t xml:space="preserve"> </w:t>
      </w:r>
      <w:r>
        <w:t xml:space="preserve">perspectiva enfatiza destinatarios, contexto de uso, carga cognitiva,</w:t>
      </w:r>
      <w:r>
        <w:t xml:space="preserve"> </w:t>
      </w:r>
      <w:r>
        <w:t xml:space="preserve">calibración de confianza y utilidad para la toma de decisiones</w:t>
      </w:r>
      <w:r>
        <w:t xml:space="preserve"> </w:t>
      </w:r>
      <w:r>
        <w:t xml:space="preserve">(Hoffman et al. 2023; Mohseni et al. 2021)</w:t>
      </w:r>
      <w:r>
        <w:t xml:space="preserve">. Para esta tesis, esta evolución histórica es clave: FOM-7 no se</w:t>
      </w:r>
      <w:r>
        <w:t xml:space="preserve"> </w:t>
      </w:r>
      <w:r>
        <w:t xml:space="preserve">justifica por la ausencia de explicaciones, sino por la necesidad de evaluar</w:t>
      </w:r>
      <w:r>
        <w:t xml:space="preserve"> </w:t>
      </w:r>
      <w:r>
        <w:t xml:space="preserve">explicaciones como artefactos técnicos, estadísticos y comunicables.</w:t>
      </w:r>
    </w:p>
    <w:p>
      <w:pPr>
        <w:pStyle w:val="Textoindependiente"/>
        <w:spacing w:line="360" w:lineRule="auto"/>
        <w:jc w:val="both"/>
      </w:pPr>
      <w:r>
        <w:t xml:space="preserve">La orientación human-centered introduce una corrección necesaria al entusiasmo</w:t>
      </w:r>
      <w:r>
        <w:t xml:space="preserve"> </w:t>
      </w:r>
      <w:r>
        <w:t xml:space="preserve">puramente algorítmico. Una explicación no circula en el vacío: aparece en una</w:t>
      </w:r>
      <w:r>
        <w:t xml:space="preserve"> </w:t>
      </w:r>
      <w:r>
        <w:t xml:space="preserve">interfaz, ante un usuario con objetivos concretos, bajo restricciones de tiempo,</w:t>
      </w:r>
      <w:r>
        <w:t xml:space="preserve"> </w:t>
      </w:r>
      <w:r>
        <w:t xml:space="preserve">con ciertos conocimientos previos y con riesgos de confianza excesiva o</w:t>
      </w:r>
      <w:r>
        <w:t xml:space="preserve"> </w:t>
      </w:r>
      <w:r>
        <w:t xml:space="preserve">desconfianza injustificada.</w:t>
      </w:r>
      <w:r>
        <w:t xml:space="preserve"> </w:t>
      </w:r>
      <w:r>
        <w:t xml:space="preserve">Mohseni et al. (2021)</w:t>
      </w:r>
      <w:r>
        <w:t xml:space="preserve"> </w:t>
      </w:r>
      <w:r>
        <w:t xml:space="preserve">proponen pensar el diseño y la</w:t>
      </w:r>
      <w:r>
        <w:t xml:space="preserve"> </w:t>
      </w:r>
      <w:r>
        <w:t xml:space="preserve">evaluación de XAI como una relación entre objetivos, grupos de usuarios y</w:t>
      </w:r>
      <w:r>
        <w:t xml:space="preserve"> </w:t>
      </w:r>
      <w:r>
        <w:t xml:space="preserve">métodos de evaluación.</w:t>
      </w:r>
      <w:r>
        <w:t xml:space="preserve"> </w:t>
      </w:r>
      <w:r>
        <w:t xml:space="preserve">Hoffman et al. (2023)</w:t>
      </w:r>
      <w:r>
        <w:t xml:space="preserve">, desde una perspectiva psicológica,</w:t>
      </w:r>
      <w:r>
        <w:t xml:space="preserve"> </w:t>
      </w:r>
      <w:r>
        <w:t xml:space="preserve">insisten en que el valor de una explicación depende de cómo apoya comprensión,</w:t>
      </w:r>
      <w:r>
        <w:t xml:space="preserve"> </w:t>
      </w:r>
      <w:r>
        <w:t xml:space="preserve">calibración y acción. Esto no convierte a la presente tesis en un estudio de</w:t>
      </w:r>
      <w:r>
        <w:t xml:space="preserve"> </w:t>
      </w:r>
      <w:r>
        <w:t xml:space="preserve">usuarios, pero sí obliga a delimitar el tipo de evidencia producida: FOM-7</w:t>
      </w:r>
      <w:r>
        <w:t xml:space="preserve"> </w:t>
      </w:r>
      <w:r>
        <w:t xml:space="preserve">evalúa propiedades técnicas y reproducibles de explicaciones post-hoc, y deja</w:t>
      </w:r>
      <w:r>
        <w:t xml:space="preserve"> </w:t>
      </w:r>
      <w:r>
        <w:t xml:space="preserve">claros los límites de inferir utilidad humana directa a partir de métricas</w:t>
      </w:r>
      <w:r>
        <w:t xml:space="preserve"> </w:t>
      </w:r>
      <w:r>
        <w:t xml:space="preserve">computacionales.</w:t>
      </w:r>
    </w:p>
    <w:p>
      <w:pPr>
        <w:pStyle w:val="Textoindependiente"/>
        <w:spacing w:line="360" w:lineRule="auto"/>
        <w:jc w:val="both"/>
      </w:pPr>
      <w:r>
        <w:t xml:space="preserve">Así, el desarrollo histórico de la XAI puede leerse como una serie de</w:t>
      </w:r>
      <w:r>
        <w:t xml:space="preserve"> </w:t>
      </w:r>
      <w:r>
        <w:t xml:space="preserve">desplazamientos: de transparencia intrínseca a explicación post-hoc; de modelos</w:t>
      </w:r>
      <w:r>
        <w:t xml:space="preserve"> </w:t>
      </w:r>
      <w:r>
        <w:t xml:space="preserve">simples a modelos de alta capacidad; de descripciones globales a explicaciones</w:t>
      </w:r>
      <w:r>
        <w:t xml:space="preserve"> </w:t>
      </w:r>
      <w:r>
        <w:t xml:space="preserve">locales; de evaluaciones cualitativas a toolkits métricos; y de una mirada</w:t>
      </w:r>
      <w:r>
        <w:t xml:space="preserve"> </w:t>
      </w:r>
      <w:r>
        <w:t xml:space="preserve">centrada en el algoritmo a una mirada que incluye usuarios, contexto y</w:t>
      </w:r>
      <w:r>
        <w:t xml:space="preserve"> </w:t>
      </w:r>
      <w:r>
        <w:t xml:space="preserve">responsabilidad. La contribución de FOM-7 se ubica después de esos</w:t>
      </w:r>
      <w:r>
        <w:t xml:space="preserve"> </w:t>
      </w:r>
      <w:r>
        <w:t xml:space="preserve">desplazamientos. No regresa nostálgicamente a modelos simples ni promete una</w:t>
      </w:r>
      <w:r>
        <w:t xml:space="preserve"> </w:t>
      </w:r>
      <w:r>
        <w:t xml:space="preserve">explicación universal. Propone gobernar la evaluación de explicaciones en un</w:t>
      </w:r>
      <w:r>
        <w:t xml:space="preserve"> </w:t>
      </w:r>
      <w:r>
        <w:t xml:space="preserve">escenario donde los objetos explicativos son plurales, los criterios son</w:t>
      </w:r>
      <w:r>
        <w:t xml:space="preserve"> </w:t>
      </w:r>
      <w:r>
        <w:t xml:space="preserve">multidimensionales y las conclusiones deben ser rastreables</w:t>
      </w:r>
      <w:r>
        <w:t xml:space="preserve"> </w:t>
      </w:r>
      <w:r>
        <w:t xml:space="preserve">(Doshi-Velez 2017; Hedström et al. 2023; Nauta et al. 2023)</w:t>
      </w:r>
      <w:r>
        <w:t xml:space="preserve">.</w:t>
      </w:r>
    </w:p>
    <w:p>
      <w:pPr>
        <w:pStyle w:val="Textoindependiente"/>
        <w:spacing w:line="360" w:lineRule="auto"/>
        <w:jc w:val="both"/>
      </w:pPr>
      <w:r>
        <w:t xml:space="preserve">La</w:t>
      </w:r>
      <w:r>
        <w:t xml:space="preserve"> </w:t>
      </w:r>
      <w:hyperlink w:anchor="fig-modelos-posthoc">
        <w:r>
          <w:rPr>
            <w:rStyle w:val="Hipervnculo"/>
          </w:rPr>
          <w:t xml:space="preserve">Figura 2.2</w:t>
        </w:r>
      </w:hyperlink>
      <w:r>
        <w:t xml:space="preserve"> </w:t>
      </w:r>
      <w:r>
        <w:t xml:space="preserve">sintetiza ese desplazamiento: de los modelos</w:t>
      </w:r>
      <w:r>
        <w:t xml:space="preserve"> </w:t>
      </w:r>
      <w:r>
        <w:t xml:space="preserve">interpretables por diseño a las cajas negras, y de estas a la explicación</w:t>
      </w:r>
      <w:r>
        <w:t xml:space="preserve"> </w:t>
      </w:r>
      <w:r>
        <w:t xml:space="preserve">post-hoc, agnóstica o específica del modelo.</w:t>
      </w:r>
    </w:p>
    <w:tbl>
      <w:tblPr>
        <w:tblStyle w:val="Table"/>
        <w:tblW w:type="pct" w:w="5000"/>
        <w:jc w:val="center"/>
        <w:tblLayout w:type="fixed"/>
        <w:tblLook w:firstRow="0" w:lastRow="0" w:firstColumn="0" w:lastColumn="0" w:noHBand="0" w:noVBand="0" w:val="0000"/>
      </w:tblPr>
      <w:tblGrid>
        <w:gridCol w:w="7920"/>
      </w:tblGrid>
      <w:tr>
        <w:tc>
          <w:tcPr/>
          <w:bookmarkStart w:id="59" w:name="fig-modelos-posthoc"/>
          <w:p>
            <w:pPr>
              <w:pStyle w:val="Compact"/>
              <w:jc w:val="center"/>
              <w:spacing w:line="360" w:lineRule="auto"/>
            </w:pPr>
            <w:r>
              <w:drawing>
                <ns1:inline>
                  <ns1:extent cx="5228414" cy="3820940"/>
                  <ns1:effectExtent b="0" l="0" r="0" t="0"/>
                  <ns1:docPr descr="" title="" id="57" name="Picture"/>
                  <ns2:graphic>
                    <ns2:graphicData uri="http://schemas.openxmlformats.org/drawingml/2006/picture">
                      <ns3:pic>
                        <ns3:nvPicPr>
                          <ns3:cNvPr descr="assets/figures/fig_d2_modelos_es.png" id="58" name="Picture"/>
                          <ns3:cNvPicPr>
                            <ns2:picLocks noChangeArrowheads="1" noChangeAspect="1"/>
                          </ns3:cNvPicPr>
                        </ns3:nvPicPr>
                        <ns3:blipFill>
                          <ns2:blip ns4:embed="rId56"/>
                          <ns2:stretch>
                            <ns2:fillRect/>
                          </ns2:stretch>
                        </ns3:blipFill>
                        <ns3:spPr bwMode="auto">
                          <ns2:xfrm>
                            <ns2:off x="0" y="0"/>
                            <ns2:ext cx="5228414" cy="3820940"/>
                          </ns2:xfrm>
                          <ns2:prstGeom prst="rect">
                            <ns2:avLst/>
                          </ns2:prstGeom>
                          <ns2:noFill/>
                          <ns2:ln w="9525">
                            <ns2:noFill/>
                            <ns2:headEnd/>
                            <ns2:tailEnd/>
                          </ns2:ln>
                        </ns3:spPr>
                      </ns3:pic>
                    </ns2:graphicData>
                  </ns2:graphic>
                </ns1:inline>
              </w:drawing>
            </w:r>
          </w:p>
          <w:p>
            <w:pPr>
              <w:pStyle w:val="ImageCaption"/>
              <w:spacing w:before="200" w:line="360" w:lineRule="auto"/>
              <w:jc w:val="center"/>
            </w:pPr>
            <w:r>
              <w:t xml:space="preserve">Figura 2.2: Del modelo interpretable por diseño a la explicación post-hoc. La</w:t>
            </w:r>
            <w:r>
              <w:t xml:space="preserve"> </w:t>
            </w:r>
            <w:r>
              <w:t xml:space="preserve">explicación post-hoc es una aproximación sometida a prueba, no una</w:t>
            </w:r>
            <w:r>
              <w:t xml:space="preserve"> </w:t>
            </w:r>
            <w:r>
              <w:t xml:space="preserve">transparencia recuperada; los cuatro métodos evaluados en esta tesis son</w:t>
            </w:r>
            <w:r>
              <w:t xml:space="preserve"> </w:t>
            </w:r>
            <w:r>
              <w:t xml:space="preserve">agnósticos al modelo. Fuente: elaboración propia a partir de</w:t>
            </w:r>
            <w:r>
              <w:t xml:space="preserve"> </w:t>
            </w:r>
            <w:r>
              <w:t xml:space="preserve">Rudin (2022)</w:t>
            </w:r>
            <w:r>
              <w:t xml:space="preserve"> </w:t>
            </w:r>
            <w:r>
              <w:t xml:space="preserve">y</w:t>
            </w:r>
            <w:r>
              <w:t xml:space="preserve"> </w:t>
            </w:r>
            <w:r>
              <w:t xml:space="preserve">Marcinkevičs (2023)</w:t>
            </w:r>
            <w:r>
              <w:t xml:space="preserve">.</w:t>
            </w:r>
          </w:p>
          <w:bookmarkEnd w:id="59"/>
        </w:tc>
      </w:tr>
    </w:tbl>
    <w:bookmarkEnd w:id="60"/>
    <w:bookmarkStart w:id="65" w:name="distinciones-conceptuales-fundamentales"/>
    <w:p>
      <w:pPr>
        <w:pStyle w:val="Ttulo2"/>
        <w:spacing w:line="360" w:lineRule="auto"/>
        <w:jc w:val="both"/>
      </w:pPr>
      <w:r>
        <w:t xml:space="preserve">2.3 </w:t>
      </w:r>
      <w:r>
        <w:t xml:space="preserve">Distinciones conceptuales fundamentales</w:t>
      </w:r>
    </w:p>
    <w:p>
      <w:pPr>
        <w:pStyle w:val="FirstParagraph"/>
        <w:spacing w:line="360" w:lineRule="auto"/>
        <w:jc w:val="both"/>
      </w:pPr>
      <w:r>
        <w:t xml:space="preserve">La literatura XAI utiliza con frecuencia términos cercanos como</w:t>
      </w:r>
      <w:r>
        <w:t xml:space="preserve"> </w:t>
      </w:r>
      <w:r>
        <w:t xml:space="preserve">interpretabilidad, explicabilidad, transparencia, fidelidad, plausibilidad,</w:t>
      </w:r>
      <w:r>
        <w:t xml:space="preserve"> </w:t>
      </w:r>
      <w:r>
        <w:t xml:space="preserve">robustez y utilidad. Sin una delimitación conceptual, estos términos pueden</w:t>
      </w:r>
      <w:r>
        <w:t xml:space="preserve"> </w:t>
      </w:r>
      <w:r>
        <w:t xml:space="preserve">producir inferencias demasiado amplias. Un resultado alto en una métrica de</w:t>
      </w:r>
      <w:r>
        <w:t xml:space="preserve"> </w:t>
      </w:r>
      <w:r>
        <w:t xml:space="preserve">estabilidad, por ejemplo, no prueba que una explicación sea causalmente correcta</w:t>
      </w:r>
      <w:r>
        <w:t xml:space="preserve"> </w:t>
      </w:r>
      <w:r>
        <w:t xml:space="preserve">ni que sea útil para un usuario experto. Por ello, la tesis adopta distinciones</w:t>
      </w:r>
      <w:r>
        <w:t xml:space="preserve"> </w:t>
      </w:r>
      <w:r>
        <w:t xml:space="preserve">operativas que protegen la validez de las afirmaciones</w:t>
      </w:r>
      <w:r>
        <w:t xml:space="preserve"> </w:t>
      </w:r>
      <w:r>
        <w:t xml:space="preserve">(Lipton 2018; Doshi-Velez 2017; Nauta et al. 2023)</w:t>
      </w:r>
      <w:r>
        <w:t xml:space="preserve">.</w:t>
      </w:r>
    </w:p>
    <w:p>
      <w:pPr>
        <w:pStyle w:val="Textoindependiente"/>
        <w:spacing w:line="360" w:lineRule="auto"/>
        <w:jc w:val="both"/>
      </w:pPr>
      <w:r>
        <w:t xml:space="preserve">Estas distinciones cumplen una función metodológica, no solamente terminológica.</w:t>
      </w:r>
      <w:r>
        <w:t xml:space="preserve"> </w:t>
      </w:r>
      <w:r>
        <w:t xml:space="preserve">En una tesis doctoral, los conceptos deben controlar el alcance de las</w:t>
      </w:r>
      <w:r>
        <w:t xml:space="preserve"> </w:t>
      </w:r>
      <w:r>
        <w:t xml:space="preserve">conclusiones. Si se afirma que un explicador es</w:t>
      </w:r>
      <w:r>
        <w:t xml:space="preserve"> </w:t>
      </w:r>
      <w:r>
        <w:t xml:space="preserve">“mejor”</w:t>
      </w:r>
      <w:r>
        <w:t xml:space="preserve">, debe indicarse mejor</w:t>
      </w:r>
      <w:r>
        <w:t xml:space="preserve"> </w:t>
      </w:r>
      <w:r>
        <w:t xml:space="preserve">respecto a qué propiedad: fidelidad, estabilidad, robustez, complejidad, coste,</w:t>
      </w:r>
      <w:r>
        <w:t xml:space="preserve"> </w:t>
      </w:r>
      <w:r>
        <w:t xml:space="preserve">accionabilidad o utilidad para un usuario. Si se afirma que una explicación es</w:t>
      </w:r>
      <w:r>
        <w:t xml:space="preserve"> </w:t>
      </w:r>
      <w:r>
        <w:t xml:space="preserve">“correcta”</w:t>
      </w:r>
      <w:r>
        <w:t xml:space="preserve">, debe aclararse si la corrección se refiere al comportamiento</w:t>
      </w:r>
      <w:r>
        <w:t xml:space="preserve"> </w:t>
      </w:r>
      <w:r>
        <w:t xml:space="preserve">observable del modelo, a una estructura causal del dominio, a la aceptabilidad</w:t>
      </w:r>
      <w:r>
        <w:t xml:space="preserve"> </w:t>
      </w:r>
      <w:r>
        <w:t xml:space="preserve">humana de la narrativa o a la consistencia con una métrica. El valor de estas</w:t>
      </w:r>
      <w:r>
        <w:t xml:space="preserve"> </w:t>
      </w:r>
      <w:r>
        <w:t xml:space="preserve">distinciones es evitar que un resultado empírico local se transforme en una</w:t>
      </w:r>
      <w:r>
        <w:t xml:space="preserve"> </w:t>
      </w:r>
      <w:r>
        <w:t xml:space="preserve">afirmación teórica excesiva</w:t>
      </w:r>
      <w:r>
        <w:t xml:space="preserve"> </w:t>
      </w:r>
      <w:r>
        <w:t xml:space="preserve">(Doshi-Velez 2017; Lipton 2018)</w:t>
      </w:r>
      <w:r>
        <w:t xml:space="preserve">.</w:t>
      </w:r>
    </w:p>
    <w:p>
      <w:pPr>
        <w:pStyle w:val="Textoindependiente"/>
        <w:spacing w:line="360" w:lineRule="auto"/>
        <w:jc w:val="both"/>
      </w:pPr>
      <w:r>
        <w:t xml:space="preserve">La</w:t>
      </w:r>
      <w:r>
        <w:t xml:space="preserve"> </w:t>
      </w:r>
      <w:hyperlink w:anchor="fig-conceptos">
        <w:r>
          <w:rPr>
            <w:rStyle w:val="Hipervnculo"/>
          </w:rPr>
          <w:t xml:space="preserve">Figura 2.3</w:t>
        </w:r>
      </w:hyperlink>
      <w:r>
        <w:t xml:space="preserve"> </w:t>
      </w:r>
      <w:r>
        <w:t xml:space="preserve">resume las tres nociones que este apartado distingue y lo</w:t>
      </w:r>
      <w:r>
        <w:t xml:space="preserve"> </w:t>
      </w:r>
      <w:r>
        <w:t xml:space="preserve">que ninguna de ellas garantiza por sí sola.</w:t>
      </w:r>
    </w:p>
    <w:tbl>
      <w:tblPr>
        <w:tblStyle w:val="Table"/>
        <w:tblW w:type="pct" w:w="5000"/>
        <w:jc w:val="center"/>
        <w:tblLayout w:type="fixed"/>
        <w:tblLook w:firstRow="0" w:lastRow="0" w:firstColumn="0" w:lastColumn="0" w:noHBand="0" w:noVBand="0" w:val="0000"/>
      </w:tblPr>
      <w:tblGrid>
        <w:gridCol w:w="7920"/>
      </w:tblGrid>
      <w:tr>
        <w:tc>
          <w:tcPr/>
          <w:bookmarkStart w:id="64" w:name="fig-conceptos"/>
          <w:p>
            <w:pPr>
              <w:pStyle w:val="Compact"/>
              <w:jc w:val="center"/>
              <w:spacing w:line="360" w:lineRule="auto"/>
            </w:pPr>
            <w:r>
              <w:drawing>
                <ns1:inline>
                  <ns1:extent cx="5228414" cy="3857577"/>
                  <ns1:effectExtent b="0" l="0" r="0" t="0"/>
                  <ns1:docPr descr="" title="" id="62" name="Picture"/>
                  <ns2:graphic>
                    <ns2:graphicData uri="http://schemas.openxmlformats.org/drawingml/2006/picture">
                      <ns3:pic>
                        <ns3:nvPicPr>
                          <ns3:cNvPr descr="assets/figures/fig_d1_conceptos_es.png" id="63" name="Picture"/>
                          <ns3:cNvPicPr>
                            <ns2:picLocks noChangeArrowheads="1" noChangeAspect="1"/>
                          </ns3:cNvPicPr>
                        </ns3:nvPicPr>
                        <ns3:blipFill>
                          <ns2:blip ns4:embed="rId61"/>
                          <ns2:stretch>
                            <ns2:fillRect/>
                          </ns2:stretch>
                        </ns3:blipFill>
                        <ns3:spPr bwMode="auto">
                          <ns2:xfrm>
                            <ns2:off x="0" y="0"/>
                            <ns2:ext cx="5228414" cy="3857577"/>
                          </ns2:xfrm>
                          <ns2:prstGeom prst="rect">
                            <ns2:avLst/>
                          </ns2:prstGeom>
                          <ns2:noFill/>
                          <ns2:ln w="9525">
                            <ns2:noFill/>
                            <ns2:headEnd/>
                            <ns2:tailEnd/>
                          </ns2:ln>
                        </ns3:spPr>
                      </ns3:pic>
                    </ns2:graphicData>
                  </ns2:graphic>
                </ns1:inline>
              </w:drawing>
            </w:r>
          </w:p>
          <w:p>
            <w:pPr>
              <w:pStyle w:val="ImageCaption"/>
              <w:spacing w:before="200" w:line="360" w:lineRule="auto"/>
              <w:jc w:val="center"/>
            </w:pPr>
            <w:r>
              <w:t xml:space="preserve">Figura 2.3: Transparencia, interpretabilidad y explicabilidad: tres nociones</w:t>
            </w:r>
            <w:r>
              <w:t xml:space="preserve"> </w:t>
            </w:r>
            <w:r>
              <w:t xml:space="preserve">distintas, con lo que cada una no garantiza. Fuente: elaboración propia a</w:t>
            </w:r>
            <w:r>
              <w:t xml:space="preserve"> </w:t>
            </w:r>
            <w:r>
              <w:t xml:space="preserve">partir de</w:t>
            </w:r>
            <w:r>
              <w:t xml:space="preserve"> </w:t>
            </w:r>
            <w:r>
              <w:t xml:space="preserve">Lipton (2018)</w:t>
            </w:r>
            <w:r>
              <w:t xml:space="preserve"> </w:t>
            </w:r>
            <w:r>
              <w:t xml:space="preserve">y</w:t>
            </w:r>
            <w:r>
              <w:t xml:space="preserve"> </w:t>
            </w:r>
            <w:r>
              <w:t xml:space="preserve">Linardatos (2020)</w:t>
            </w:r>
            <w:r>
              <w:t xml:space="preserve">.</w:t>
            </w:r>
          </w:p>
          <w:bookmarkEnd w:id="64"/>
        </w:tc>
      </w:tr>
    </w:tbl>
    <w:p>
      <w:pPr>
        <w:pStyle w:val="Textoindependiente"/>
        <w:spacing w:line="360" w:lineRule="auto"/>
        <w:jc w:val="both"/>
      </w:pPr>
      <w:r>
        <w:t xml:space="preserve">La primera distinción separa interpretabilidad y explicabilidad. La</w:t>
      </w:r>
      <w:r>
        <w:t xml:space="preserve"> </w:t>
      </w:r>
      <w:r>
        <w:t xml:space="preserve">interpretabilidad se asocia con la posibilidad de comprender la estructura o</w:t>
      </w:r>
      <w:r>
        <w:t xml:space="preserve"> </w:t>
      </w:r>
      <w:r>
        <w:t xml:space="preserve">mecánica de un modelo. En modelos transparentes, esta comprensión puede</w:t>
      </w:r>
      <w:r>
        <w:t xml:space="preserve"> </w:t>
      </w:r>
      <w:r>
        <w:t xml:space="preserve">derivarse directamente del objeto predictivo. La explicabilidad, en cambio,</w:t>
      </w:r>
      <w:r>
        <w:t xml:space="preserve"> </w:t>
      </w:r>
      <w:r>
        <w:t xml:space="preserve">puede entenderse como la producción de razones, artefactos o representaciones</w:t>
      </w:r>
      <w:r>
        <w:t xml:space="preserve"> </w:t>
      </w:r>
      <w:r>
        <w:t xml:space="preserve">que hacen comprensible una predicción para un destinatario.</w:t>
      </w:r>
      <w:r>
        <w:t xml:space="preserve"> </w:t>
      </w:r>
      <w:r>
        <w:t xml:space="preserve">Linardatos (2020)</w:t>
      </w:r>
      <w:r>
        <w:t xml:space="preserve"> </w:t>
      </w:r>
      <w:r>
        <w:t xml:space="preserve">presentan esta diferencia como parte del vocabulario central de los métodos de</w:t>
      </w:r>
      <w:r>
        <w:t xml:space="preserve"> </w:t>
      </w:r>
      <w:r>
        <w:t xml:space="preserve">interpretabilidad en aprendizaje automático. Para esta tesis, la distinción</w:t>
      </w:r>
      <w:r>
        <w:t xml:space="preserve"> </w:t>
      </w:r>
      <w:r>
        <w:t xml:space="preserve">permite evaluar explicadores post-hoc sin tratarlos como si fueran equivalentes</w:t>
      </w:r>
      <w:r>
        <w:t xml:space="preserve"> </w:t>
      </w:r>
      <w:r>
        <w:t xml:space="preserve">a modelos transparentes.</w:t>
      </w:r>
    </w:p>
    <w:p>
      <w:pPr>
        <w:pStyle w:val="Textoindependiente"/>
        <w:spacing w:line="360" w:lineRule="auto"/>
        <w:jc w:val="both"/>
      </w:pPr>
      <w:r>
        <w:t xml:space="preserve">La interpretabilidad puede entenderse como una propiedad relacional: algo es</w:t>
      </w:r>
      <w:r>
        <w:t xml:space="preserve"> </w:t>
      </w:r>
      <w:r>
        <w:t xml:space="preserve">interpretable para alguien, con cierto conocimiento, respecto a una tarea y en</w:t>
      </w:r>
      <w:r>
        <w:t xml:space="preserve"> </w:t>
      </w:r>
      <w:r>
        <w:t xml:space="preserve">un nivel determinado de detalle. Esta lectura coincide con advertencias críticas</w:t>
      </w:r>
      <w:r>
        <w:t xml:space="preserve"> </w:t>
      </w:r>
      <w:r>
        <w:t xml:space="preserve">de la literatura: el término</w:t>
      </w:r>
      <w:r>
        <w:t xml:space="preserve"> </w:t>
      </w:r>
      <w:r>
        <w:t xml:space="preserve">“interpretable”</w:t>
      </w:r>
      <w:r>
        <w:t xml:space="preserve"> </w:t>
      </w:r>
      <w:r>
        <w:t xml:space="preserve">puede volverse ambiguo si no se</w:t>
      </w:r>
      <w:r>
        <w:t xml:space="preserve"> </w:t>
      </w:r>
      <w:r>
        <w:t xml:space="preserve">explicita qué aspecto del sistema se vuelve comprensible</w:t>
      </w:r>
      <w:r>
        <w:t xml:space="preserve"> </w:t>
      </w:r>
      <w:r>
        <w:t xml:space="preserve">(Lipton 2018)</w:t>
      </w:r>
      <w:r>
        <w:t xml:space="preserve">. La</w:t>
      </w:r>
      <w:r>
        <w:t xml:space="preserve"> </w:t>
      </w:r>
      <w:r>
        <w:t xml:space="preserve">explicabilidad, en cambio, suele remitir al proceso de producir una explicación</w:t>
      </w:r>
      <w:r>
        <w:t xml:space="preserve"> </w:t>
      </w:r>
      <w:r>
        <w:t xml:space="preserve">utilizable. Esta tesis adopta una posición operacional: evalúa artefactos</w:t>
      </w:r>
      <w:r>
        <w:t xml:space="preserve"> </w:t>
      </w:r>
      <w:r>
        <w:t xml:space="preserve">explicativos generados por métodos concretos, no la interpretabilidad total del</w:t>
      </w:r>
      <w:r>
        <w:t xml:space="preserve"> </w:t>
      </w:r>
      <w:r>
        <w:t xml:space="preserve">sistema sociotécnico. Esa delimitación es deliberada y evita prometer más de lo</w:t>
      </w:r>
      <w:r>
        <w:t xml:space="preserve"> </w:t>
      </w:r>
      <w:r>
        <w:t xml:space="preserve">que el experimento puede sostener.</w:t>
      </w:r>
    </w:p>
    <w:p>
      <w:pPr>
        <w:pStyle w:val="Textoindependiente"/>
        <w:spacing w:line="360" w:lineRule="auto"/>
        <w:jc w:val="both"/>
      </w:pPr>
      <w:r>
        <w:t xml:space="preserve">La segunda distinción separa transparencia y explicación. Un modelo transparente</w:t>
      </w:r>
      <w:r>
        <w:t xml:space="preserve"> </w:t>
      </w:r>
      <w:r>
        <w:t xml:space="preserve">expone su lógica interna de forma relativamente directa; una explicación puede</w:t>
      </w:r>
      <w:r>
        <w:t xml:space="preserve"> </w:t>
      </w:r>
      <w:r>
        <w:t xml:space="preserve">ser una aproximación, simplificación, regla local, atribución o contrafactual</w:t>
      </w:r>
      <w:r>
        <w:t xml:space="preserve"> </w:t>
      </w:r>
      <w:r>
        <w:t xml:space="preserve">generado después de entrenar el modelo. La transparencia pertenece al modelo; la</w:t>
      </w:r>
      <w:r>
        <w:t xml:space="preserve"> </w:t>
      </w:r>
      <w:r>
        <w:t xml:space="preserve">explicación pertenece al ecosistema de interpretación. Esta diferencia es</w:t>
      </w:r>
      <w:r>
        <w:t xml:space="preserve"> </w:t>
      </w:r>
      <w:r>
        <w:t xml:space="preserve">importante porque una explicación puede ser comprensible y aun así no reflejar</w:t>
      </w:r>
      <w:r>
        <w:t xml:space="preserve"> </w:t>
      </w:r>
      <w:r>
        <w:t xml:space="preserve">con precisión el mecanismo decisional</w:t>
      </w:r>
      <w:r>
        <w:t xml:space="preserve"> </w:t>
      </w:r>
      <w:r>
        <w:t xml:space="preserve">(Arrieta 2019; Linardatos 2020)</w:t>
      </w:r>
      <w:r>
        <w:t xml:space="preserve">.</w:t>
      </w:r>
    </w:p>
    <w:p>
      <w:pPr>
        <w:pStyle w:val="Textoindependiente"/>
        <w:spacing w:line="360" w:lineRule="auto"/>
        <w:jc w:val="both"/>
      </w:pPr>
      <w:r>
        <w:t xml:space="preserve">La transparencia tampoco es un valor absoluto. Un modelo puede ser transparente</w:t>
      </w:r>
      <w:r>
        <w:t xml:space="preserve"> </w:t>
      </w:r>
      <w:r>
        <w:t xml:space="preserve">en su forma matemática y aun así difícil de comprender si contiene miles de</w:t>
      </w:r>
      <w:r>
        <w:t xml:space="preserve"> </w:t>
      </w:r>
      <w:r>
        <w:t xml:space="preserve">variables, interacciones o reglas. De forma inversa, una explicación post-hoc</w:t>
      </w:r>
      <w:r>
        <w:t xml:space="preserve"> </w:t>
      </w:r>
      <w:r>
        <w:t xml:space="preserve">puede ser muy legible y, sin embargo, alejarse del mecanismo real. La</w:t>
      </w:r>
      <w:r>
        <w:t xml:space="preserve"> </w:t>
      </w:r>
      <w:r>
        <w:t xml:space="preserve">transparencia se refiere a la accesibilidad del objeto predictivo; la</w:t>
      </w:r>
      <w:r>
        <w:t xml:space="preserve"> </w:t>
      </w:r>
      <w:r>
        <w:t xml:space="preserve">explicación se refiere al artefacto construido para hacerlo inteligible. Esta</w:t>
      </w:r>
      <w:r>
        <w:t xml:space="preserve"> </w:t>
      </w:r>
      <w:r>
        <w:t xml:space="preserve">diferencia tiene consecuencias para el benchmarking: no se debe evaluar una</w:t>
      </w:r>
      <w:r>
        <w:t xml:space="preserve"> </w:t>
      </w:r>
      <w:r>
        <w:t xml:space="preserve">explicación post-hoc como si ofreciera acceso directo al interior del modelo,</w:t>
      </w:r>
      <w:r>
        <w:t xml:space="preserve"> </w:t>
      </w:r>
      <w:r>
        <w:t xml:space="preserve">sino como una representación cuya fidelidad y estabilidad deben probarse bajo</w:t>
      </w:r>
      <w:r>
        <w:t xml:space="preserve"> </w:t>
      </w:r>
      <w:r>
        <w:t xml:space="preserve">condiciones específicas</w:t>
      </w:r>
      <w:r>
        <w:t xml:space="preserve"> </w:t>
      </w:r>
      <w:r>
        <w:t xml:space="preserve">(Arrieta 2019; Linardatos 2020)</w:t>
      </w:r>
      <w:r>
        <w:t xml:space="preserve">.</w:t>
      </w:r>
    </w:p>
    <w:p>
      <w:pPr>
        <w:pStyle w:val="Textoindependiente"/>
        <w:spacing w:line="360" w:lineRule="auto"/>
        <w:jc w:val="both"/>
      </w:pPr>
      <w:r>
        <w:t xml:space="preserve">La tercera distinción separa fidelidad y faithfulness. En esta tesis,</w:t>
      </w:r>
      <w:r>
        <w:t xml:space="preserve"> </w:t>
      </w:r>
      <w:r>
        <w:t xml:space="preserve">fidelidad se refiere al grado en que el artefacto explicativo reproduce o</w:t>
      </w:r>
      <w:r>
        <w:t xml:space="preserve"> </w:t>
      </w:r>
      <w:r>
        <w:t xml:space="preserve">aproxima el comportamiento observable del modelo bajo condiciones definidas. La</w:t>
      </w:r>
      <w:r>
        <w:t xml:space="preserve"> </w:t>
      </w:r>
      <w:r>
        <w:t xml:space="preserve">faithfulness, o fehaciencia, apunta a una exigencia más fuerte: que la</w:t>
      </w:r>
      <w:r>
        <w:t xml:space="preserve"> </w:t>
      </w:r>
      <w:r>
        <w:t xml:space="preserve">explicación represente aspectos relevantes del verdadero proceso decisional. Una</w:t>
      </w:r>
      <w:r>
        <w:t xml:space="preserve"> </w:t>
      </w:r>
      <w:r>
        <w:t xml:space="preserve">explicación puede tener alta fidelidad local en un vecindario muestreado y aún</w:t>
      </w:r>
      <w:r>
        <w:t xml:space="preserve"> </w:t>
      </w:r>
      <w:r>
        <w:t xml:space="preserve">así no capturar la lógica que el modelo utiliza en regiones no observadas o ante</w:t>
      </w:r>
      <w:r>
        <w:t xml:space="preserve"> </w:t>
      </w:r>
      <w:r>
        <w:t xml:space="preserve">perturbaciones fuera de distribución</w:t>
      </w:r>
      <w:r>
        <w:t xml:space="preserve"> </w:t>
      </w:r>
      <w:r>
        <w:t xml:space="preserve">(Zheng et al. 2025)</w:t>
      </w:r>
      <w:r>
        <w:t xml:space="preserve">.</w:t>
      </w:r>
    </w:p>
    <w:p>
      <w:pPr>
        <w:pStyle w:val="Textoindependiente"/>
        <w:spacing w:line="360" w:lineRule="auto"/>
        <w:jc w:val="both"/>
      </w:pPr>
      <w:r>
        <w:t xml:space="preserve">La diferencia es sutil pero central. La fidelidad puede evaluarse mediante</w:t>
      </w:r>
      <w:r>
        <w:t xml:space="preserve"> </w:t>
      </w:r>
      <w:r>
        <w:t xml:space="preserve">comparaciones observables: si el sustituto predice de forma similar al modelo de</w:t>
      </w:r>
      <w:r>
        <w:t xml:space="preserve"> </w:t>
      </w:r>
      <w:r>
        <w:t xml:space="preserve">caja negra en las instancias evaluadas, se obtiene evidencia de acuerdo local o</w:t>
      </w:r>
      <w:r>
        <w:t xml:space="preserve"> </w:t>
      </w:r>
      <w:r>
        <w:t xml:space="preserve">global. La faithfulness exige una correspondencia más profunda entre la</w:t>
      </w:r>
      <w:r>
        <w:t xml:space="preserve"> </w:t>
      </w:r>
      <w:r>
        <w:t xml:space="preserve">explicación y los factores que realmente gobiernan la decisión. En modelos</w:t>
      </w:r>
      <w:r>
        <w:t xml:space="preserve"> </w:t>
      </w:r>
      <w:r>
        <w:t xml:space="preserve">complejos, esta correspondencia suele ser difícil de demostrar de forma directa.</w:t>
      </w:r>
      <w:r>
        <w:t xml:space="preserve"> </w:t>
      </w:r>
      <w:r>
        <w:t xml:space="preserve">Por ello, FOM-7 trata la fidelidad como un constructo medible y la faithfulness</w:t>
      </w:r>
      <w:r>
        <w:t xml:space="preserve"> </w:t>
      </w:r>
      <w:r>
        <w:t xml:space="preserve">como una aspiración interpretativa que requiere cautela. El protocolo no debe</w:t>
      </w:r>
      <w:r>
        <w:t xml:space="preserve"> </w:t>
      </w:r>
      <w:r>
        <w:t xml:space="preserve">convertir una métrica de acuerdo en una afirmación fuerte sobre verdad causal.</w:t>
      </w:r>
    </w:p>
    <w:p>
      <w:pPr>
        <w:pStyle w:val="Textoindependiente"/>
        <w:spacing w:line="360" w:lineRule="auto"/>
        <w:jc w:val="both"/>
      </w:pPr>
      <w:r>
        <w:t xml:space="preserve">La cuarta distinción separa plausibilidad y corrección. Una explicación</w:t>
      </w:r>
      <w:r>
        <w:t xml:space="preserve"> </w:t>
      </w:r>
      <w:r>
        <w:t xml:space="preserve">plausible coincide con expectativas humanas, conocimiento de dominio o patrones</w:t>
      </w:r>
      <w:r>
        <w:t xml:space="preserve"> </w:t>
      </w:r>
      <w:r>
        <w:t xml:space="preserve">narrativamente convincentes. Pero la plausibilidad no garantiza corrección. Esta</w:t>
      </w:r>
      <w:r>
        <w:t xml:space="preserve"> </w:t>
      </w:r>
      <w:r>
        <w:t xml:space="preserve">distinción es especialmente delicada en XAI porque explicaciones persuasivas</w:t>
      </w:r>
      <w:r>
        <w:t xml:space="preserve"> </w:t>
      </w:r>
      <w:r>
        <w:t xml:space="preserve">pueden aumentar confianza aún cuando no sean técnicamente adecuadas. La</w:t>
      </w:r>
      <w:r>
        <w:t xml:space="preserve"> </w:t>
      </w:r>
      <w:r>
        <w:t xml:space="preserve">literatura crítica sobre interpretabilidad advierte que el campo debe evitar</w:t>
      </w:r>
      <w:r>
        <w:t xml:space="preserve"> </w:t>
      </w:r>
      <w:r>
        <w:t xml:space="preserve">confundir comprensibilidad con verdad del mecanismo</w:t>
      </w:r>
      <w:r>
        <w:t xml:space="preserve"> </w:t>
      </w:r>
      <w:r>
        <w:t xml:space="preserve">(Lipton 2018; Hoffman et al. 2023)</w:t>
      </w:r>
      <w:r>
        <w:t xml:space="preserve">.</w:t>
      </w:r>
    </w:p>
    <w:p>
      <w:pPr>
        <w:pStyle w:val="Textoindependiente"/>
        <w:spacing w:line="360" w:lineRule="auto"/>
        <w:jc w:val="both"/>
      </w:pPr>
      <w:r>
        <w:t xml:space="preserve">Esta distinción protege especialmente contra explicaciones persuasivas. En</w:t>
      </w:r>
      <w:r>
        <w:t xml:space="preserve"> </w:t>
      </w:r>
      <w:r>
        <w:t xml:space="preserve">entornos de decisión, una explicación que</w:t>
      </w:r>
      <w:r>
        <w:t xml:space="preserve"> </w:t>
      </w:r>
      <w:r>
        <w:t xml:space="preserve">“suena razonable”</w:t>
      </w:r>
      <w:r>
        <w:t xml:space="preserve"> </w:t>
      </w:r>
      <w:r>
        <w:t xml:space="preserve">puede aumentar la</w:t>
      </w:r>
      <w:r>
        <w:t xml:space="preserve"> </w:t>
      </w:r>
      <w:r>
        <w:t xml:space="preserve">confianza del usuario, incluso si el modelo usó patrones espurios o si el</w:t>
      </w:r>
      <w:r>
        <w:t xml:space="preserve"> </w:t>
      </w:r>
      <w:r>
        <w:t xml:space="preserve">explicador produjo una aproximación inestable. La plausibilidad pertenece al</w:t>
      </w:r>
      <w:r>
        <w:t xml:space="preserve"> </w:t>
      </w:r>
      <w:r>
        <w:t xml:space="preserve">encuentro entre explicación y expectativas humanas; la corrección pertenece a la</w:t>
      </w:r>
      <w:r>
        <w:t xml:space="preserve"> </w:t>
      </w:r>
      <w:r>
        <w:t xml:space="preserve">relación entre explicación, modelo y dominio. Ambas propiedades pueden coincidir,</w:t>
      </w:r>
      <w:r>
        <w:t xml:space="preserve"> </w:t>
      </w:r>
      <w:r>
        <w:t xml:space="preserve">pero no deben fusionarse. En la práctica, esta tesis puede medir propiedades</w:t>
      </w:r>
      <w:r>
        <w:t xml:space="preserve"> </w:t>
      </w:r>
      <w:r>
        <w:t xml:space="preserve">computacionales y discutir plausibilidad semántica con cautela, pero no puede</w:t>
      </w:r>
      <w:r>
        <w:t xml:space="preserve"> </w:t>
      </w:r>
      <w:r>
        <w:t xml:space="preserve">afirmar corrección humana o causal sin evidencia específica de ese tipo</w:t>
      </w:r>
      <w:r>
        <w:t xml:space="preserve"> </w:t>
      </w:r>
      <w:r>
        <w:t xml:space="preserve">(Mohseni et al. 2021; Hoffman et al. 2023)</w:t>
      </w:r>
      <w:r>
        <w:t xml:space="preserve">.</w:t>
      </w:r>
    </w:p>
    <w:p>
      <w:pPr>
        <w:pStyle w:val="Textoindependiente"/>
        <w:spacing w:line="360" w:lineRule="auto"/>
        <w:jc w:val="both"/>
      </w:pPr>
      <w:r>
        <w:t xml:space="preserve">La quinta distinción separa robustez y estabilidad. La estabilidad evalúa si</w:t>
      </w:r>
      <w:r>
        <w:t xml:space="preserve"> </w:t>
      </w:r>
      <w:r>
        <w:t xml:space="preserve">pequeños cambios en la entrada, que no modifican la predicción, producen</w:t>
      </w:r>
      <w:r>
        <w:t xml:space="preserve"> </w:t>
      </w:r>
      <w:r>
        <w:t xml:space="preserve">explicaciones similares. La robustez evalúa la resistencia del explicador ante</w:t>
      </w:r>
      <w:r>
        <w:t xml:space="preserve"> </w:t>
      </w:r>
      <w:r>
        <w:t xml:space="preserve">cambios más agresivos, distribuciones atípicas, ataques o condiciones de</w:t>
      </w:r>
      <w:r>
        <w:t xml:space="preserve"> </w:t>
      </w:r>
      <w:r>
        <w:t xml:space="preserve">despliegue no ideales. Esta tesis usa ambas nociones como constructos</w:t>
      </w:r>
      <w:r>
        <w:t xml:space="preserve"> </w:t>
      </w:r>
      <w:r>
        <w:t xml:space="preserve">relacionados pero no intercambiables. Una explicación puede ser estable ante</w:t>
      </w:r>
      <w:r>
        <w:t xml:space="preserve"> </w:t>
      </w:r>
      <w:r>
        <w:t xml:space="preserve">ruido leve y frágil ante casos fuera de distribución</w:t>
      </w:r>
      <w:r>
        <w:t xml:space="preserve"> </w:t>
      </w:r>
      <w:r>
        <w:t xml:space="preserve">(Zheng et al. 2025; Burger et al. 2023)</w:t>
      </w:r>
      <w:r>
        <w:t xml:space="preserve">.</w:t>
      </w:r>
    </w:p>
    <w:p>
      <w:pPr>
        <w:pStyle w:val="Textoindependiente"/>
        <w:spacing w:line="360" w:lineRule="auto"/>
        <w:jc w:val="both"/>
      </w:pPr>
      <w:r>
        <w:t xml:space="preserve">La estabilidad es especialmente importante para comparaciones locales. Si dos</w:t>
      </w:r>
      <w:r>
        <w:t xml:space="preserve"> </w:t>
      </w:r>
      <w:r>
        <w:t xml:space="preserve">instancias casi idénticas reciben explicaciones radicalmente distintas, el</w:t>
      </w:r>
      <w:r>
        <w:t xml:space="preserve"> </w:t>
      </w:r>
      <w:r>
        <w:t xml:space="preserve">explicador puede fallar como instrumento de análisis, aunque el modelo predictivo</w:t>
      </w:r>
      <w:r>
        <w:t xml:space="preserve"> </w:t>
      </w:r>
      <w:r>
        <w:t xml:space="preserve">sea estable. La robustez amplía el foco hacia condiciones más exigentes: cambios</w:t>
      </w:r>
      <w:r>
        <w:t xml:space="preserve"> </w:t>
      </w:r>
      <w:r>
        <w:t xml:space="preserve">de distribución, perturbaciones adversarias, datos atípicos o supuestos</w:t>
      </w:r>
      <w:r>
        <w:t xml:space="preserve"> </w:t>
      </w:r>
      <w:r>
        <w:t xml:space="preserve">violados. La evaluación XAI necesita ambas dimensiones porque responden a</w:t>
      </w:r>
      <w:r>
        <w:t xml:space="preserve"> </w:t>
      </w:r>
      <w:r>
        <w:t xml:space="preserve">preguntas distintas. La estabilidad pregunta por consistencia en proximidad; la</w:t>
      </w:r>
      <w:r>
        <w:t xml:space="preserve"> </w:t>
      </w:r>
      <w:r>
        <w:t xml:space="preserve">robustez pregunta por resistencia ante condiciones que ponen a prueba el método.</w:t>
      </w:r>
      <w:r>
        <w:t xml:space="preserve"> </w:t>
      </w:r>
      <w:r>
        <w:t xml:space="preserve">FOM-7 debe reportar estas dimensiones como parte de un perfil, no como sinonimos</w:t>
      </w:r>
      <w:r>
        <w:t xml:space="preserve"> </w:t>
      </w:r>
      <w:r>
        <w:t xml:space="preserve">(Hedström et al. 2023; Zheng et al. 2025)</w:t>
      </w:r>
      <w:r>
        <w:t xml:space="preserve">.</w:t>
      </w:r>
    </w:p>
    <w:p>
      <w:pPr>
        <w:pStyle w:val="Textoindependiente"/>
        <w:spacing w:line="360" w:lineRule="auto"/>
        <w:jc w:val="both"/>
      </w:pPr>
      <w:r>
        <w:t xml:space="preserve">La sexta distinción separa utilidad de la explicación y verdad de la</w:t>
      </w:r>
      <w:r>
        <w:t xml:space="preserve"> </w:t>
      </w:r>
      <w:r>
        <w:t xml:space="preserve">explicación. Una explicación puede ser útil para depurar, comunicar o seleccionar</w:t>
      </w:r>
      <w:r>
        <w:t xml:space="preserve"> </w:t>
      </w:r>
      <w:r>
        <w:t xml:space="preserve">instancias sin demostrar que captura causalmente el funcionamiento del modelo.</w:t>
      </w:r>
      <w:r>
        <w:t xml:space="preserve"> </w:t>
      </w:r>
      <w:r>
        <w:t xml:space="preserve">De forma inversa, una explicación técnicamente rigurosa puede no ser útil para</w:t>
      </w:r>
      <w:r>
        <w:t xml:space="preserve"> </w:t>
      </w:r>
      <w:r>
        <w:t xml:space="preserve">un usuario no experto si excede su contexto cognitivo. Esta separación permite</w:t>
      </w:r>
      <w:r>
        <w:t xml:space="preserve"> </w:t>
      </w:r>
      <w:r>
        <w:t xml:space="preserve">ubicar las métricas de FOM-7: no pretenden agotar la verdad semántica de una</w:t>
      </w:r>
      <w:r>
        <w:t xml:space="preserve"> </w:t>
      </w:r>
      <w:r>
        <w:t xml:space="preserve">explicación, sino establecer evidencia operacional sobre propiedades medibles y</w:t>
      </w:r>
      <w:r>
        <w:t xml:space="preserve"> </w:t>
      </w:r>
      <w:r>
        <w:t xml:space="preserve">trazables.</w:t>
      </w:r>
    </w:p>
    <w:p>
      <w:pPr>
        <w:pStyle w:val="Textoindependiente"/>
        <w:spacing w:line="360" w:lineRule="auto"/>
        <w:jc w:val="both"/>
      </w:pPr>
      <w:r>
        <w:t xml:space="preserve">La utilidad depende del uso. Un científico de datos puede necesitar una</w:t>
      </w:r>
      <w:r>
        <w:t xml:space="preserve"> </w:t>
      </w:r>
      <w:r>
        <w:t xml:space="preserve">explicación para depurar variables, un experto de dominio para contrastar una</w:t>
      </w:r>
      <w:r>
        <w:t xml:space="preserve"> </w:t>
      </w:r>
      <w:r>
        <w:t xml:space="preserve">hipótesis, un regulador para auditar una decisión y un usuario final para</w:t>
      </w:r>
      <w:r>
        <w:t xml:space="preserve"> </w:t>
      </w:r>
      <w:r>
        <w:t xml:space="preserve">comprender opciones. La misma explicación puede ser adecuada para un grupo y</w:t>
      </w:r>
      <w:r>
        <w:t xml:space="preserve"> </w:t>
      </w:r>
      <w:r>
        <w:t xml:space="preserve">deficiente para otro. Esta es una de las razones por las que la literatura</w:t>
      </w:r>
      <w:r>
        <w:t xml:space="preserve"> </w:t>
      </w:r>
      <w:r>
        <w:t xml:space="preserve">human-centered insiste en conectar objetivos, usuarios y métodos de evaluación</w:t>
      </w:r>
      <w:r>
        <w:t xml:space="preserve"> </w:t>
      </w:r>
      <w:r>
        <w:t xml:space="preserve">(Mohseni et al. 2021; Hoffman et al. 2023)</w:t>
      </w:r>
      <w:r>
        <w:t xml:space="preserve">. En esta tesis, la utilidad se interpreta de forma</w:t>
      </w:r>
      <w:r>
        <w:t xml:space="preserve"> </w:t>
      </w:r>
      <w:r>
        <w:t xml:space="preserve">limitada: una explicación es útil para el protocolo si permite construir</w:t>
      </w:r>
      <w:r>
        <w:t xml:space="preserve"> </w:t>
      </w:r>
      <w:r>
        <w:t xml:space="preserve">evidencia comparativa, reproducible y trazable sobre métodos post-hoc. Otras</w:t>
      </w:r>
      <w:r>
        <w:t xml:space="preserve"> </w:t>
      </w:r>
      <w:r>
        <w:t xml:space="preserve">formas de utilidad, como satisfacción de usuario o mejora de decisiones humanas,</w:t>
      </w:r>
      <w:r>
        <w:t xml:space="preserve"> </w:t>
      </w:r>
      <w:r>
        <w:t xml:space="preserve">quedan fuera del alcance empírico principal.</w:t>
      </w:r>
    </w:p>
    <w:p>
      <w:pPr>
        <w:pStyle w:val="Textoindependiente"/>
        <w:spacing w:line="360" w:lineRule="auto"/>
        <w:jc w:val="both"/>
      </w:pPr>
      <w:r>
        <w:t xml:space="preserve">En conjunto, estas distinciones convierten el marco teórico en una defensa de</w:t>
      </w:r>
      <w:r>
        <w:t xml:space="preserve"> </w:t>
      </w:r>
      <w:r>
        <w:t xml:space="preserve">la prudencia inferencial. La tesis no busca demostrar que un explicador es</w:t>
      </w:r>
      <w:r>
        <w:t xml:space="preserve"> </w:t>
      </w:r>
      <w:r>
        <w:t xml:space="preserve">universalmente superior, ni que una métrica representa la verdad completa de una</w:t>
      </w:r>
      <w:r>
        <w:t xml:space="preserve"> </w:t>
      </w:r>
      <w:r>
        <w:t xml:space="preserve">explicación. Busca producir afirmaciones condicionadas: bajo este diseño, con</w:t>
      </w:r>
      <w:r>
        <w:t xml:space="preserve"> </w:t>
      </w:r>
      <w:r>
        <w:t xml:space="preserve">estos artefactos, estas métricas y estos criterios estadísticos, se observan</w:t>
      </w:r>
      <w:r>
        <w:t xml:space="preserve"> </w:t>
      </w:r>
      <w:r>
        <w:t xml:space="preserve">determinadas propiedades comparativas. Esta forma de razonamiento es menos</w:t>
      </w:r>
      <w:r>
        <w:t xml:space="preserve"> </w:t>
      </w:r>
      <w:r>
        <w:t xml:space="preserve">espectacular que un ranking absoluto, pero es mucho más defendible al nivel de</w:t>
      </w:r>
      <w:r>
        <w:t xml:space="preserve"> </w:t>
      </w:r>
      <w:r>
        <w:t xml:space="preserve">un doctorado. Precisamente por eso la arquitectura FOM-7 exige trazabilidad de</w:t>
      </w:r>
      <w:r>
        <w:t xml:space="preserve"> </w:t>
      </w:r>
      <w:r>
        <w:t xml:space="preserve">claims: cada conclusión debe indicar qué constructo evalúa, qué evidencia la</w:t>
      </w:r>
      <w:r>
        <w:t xml:space="preserve"> </w:t>
      </w:r>
      <w:r>
        <w:t xml:space="preserve">sostiene y qué límites conserva.</w:t>
      </w:r>
    </w:p>
    <w:bookmarkEnd w:id="65"/>
    <w:bookmarkStart w:id="86" w:name="Xa854bcdfe02171eee67e88340a3233edf48569f"/>
    <w:p>
      <w:pPr>
        <w:pStyle w:val="Ttulo2"/>
        <w:spacing w:line="360" w:lineRule="auto"/>
        <w:jc w:val="both"/>
      </w:pPr>
      <w:r>
        <w:t xml:space="preserve">2.4 </w:t>
      </w:r>
      <w:r>
        <w:t xml:space="preserve">Métodos de explicación evaluados en esta tesis</w:t>
      </w:r>
    </w:p>
    <w:p>
      <w:pPr>
        <w:pStyle w:val="FirstParagraph"/>
        <w:spacing w:line="360" w:lineRule="auto"/>
        <w:jc w:val="both"/>
      </w:pPr>
      <w:r>
        <w:t xml:space="preserve">Los cuatro métodos evaluados no producen el mismo tipo de objeto. La</w:t>
      </w:r>
      <w:r>
        <w:t xml:space="preserve"> </w:t>
      </w:r>
      <w:hyperlink w:anchor="fig-objetos-explicativos">
        <w:r>
          <w:rPr>
            <w:rStyle w:val="Hipervnculo"/>
          </w:rPr>
          <w:t xml:space="preserve">Figura 2.4</w:t>
        </w:r>
      </w:hyperlink>
      <w:r>
        <w:t xml:space="preserve"> </w:t>
      </w:r>
      <w:r>
        <w:t xml:space="preserve">muestra un mismo caso explicado como atribución, como</w:t>
      </w:r>
      <w:r>
        <w:t xml:space="preserve"> </w:t>
      </w:r>
      <w:r>
        <w:t xml:space="preserve">regla, como contrafactual y mediante ejemplos: cada forma responde a una</w:t>
      </w:r>
      <w:r>
        <w:t xml:space="preserve"> </w:t>
      </w:r>
      <w:r>
        <w:t xml:space="preserve">pregunta distinta, y por eso una métrica diseñada para atribuciones no mide lo</w:t>
      </w:r>
      <w:r>
        <w:t xml:space="preserve"> </w:t>
      </w:r>
      <w:r>
        <w:t xml:space="preserve">que una regla o un contrafactual pretenden ofrecer.</w:t>
      </w:r>
    </w:p>
    <w:tbl>
      <w:tblPr>
        <w:tblStyle w:val="Table"/>
        <w:tblW w:type="pct" w:w="5000"/>
        <w:jc w:val="center"/>
        <w:tblLayout w:type="fixed"/>
        <w:tblLook w:firstRow="0" w:lastRow="0" w:firstColumn="0" w:lastColumn="0" w:noHBand="0" w:noVBand="0" w:val="0000"/>
      </w:tblPr>
      <w:tblGrid>
        <w:gridCol w:w="7920"/>
      </w:tblGrid>
      <w:tr>
        <w:tc>
          <w:tcPr/>
          <w:bookmarkStart w:id="69" w:name="fig-objetos-explicativos"/>
          <w:p>
            <w:pPr>
              <w:pStyle w:val="Compact"/>
              <w:jc w:val="center"/>
              <w:spacing w:line="360" w:lineRule="auto"/>
            </w:pPr>
            <w:r>
              <w:drawing>
                <ns1:inline>
                  <ns1:extent cx="5228414" cy="4759764"/>
                  <ns1:effectExtent b="0" l="0" r="0" t="0"/>
                  <ns1:docPr descr="" title="" id="67" name="Picture"/>
                  <ns2:graphic>
                    <ns2:graphicData uri="http://schemas.openxmlformats.org/drawingml/2006/picture">
                      <ns3:pic>
                        <ns3:nvPicPr>
                          <ns3:cNvPr descr="assets/figures/fig_d4_objetos_explicativos_es.png" id="68" name="Picture"/>
                          <ns3:cNvPicPr>
                            <ns2:picLocks noChangeArrowheads="1" noChangeAspect="1"/>
                          </ns3:cNvPicPr>
                        </ns3:nvPicPr>
                        <ns3:blipFill>
                          <ns2:blip ns4:embed="rId66"/>
                          <ns2:stretch>
                            <ns2:fillRect/>
                          </ns2:stretch>
                        </ns3:blipFill>
                        <ns3:spPr bwMode="auto">
                          <ns2:xfrm>
                            <ns2:off x="0" y="0"/>
                            <ns2:ext cx="5228414" cy="4759764"/>
                          </ns2:xfrm>
                          <ns2:prstGeom prst="rect">
                            <ns2:avLst/>
                          </ns2:prstGeom>
                          <ns2:noFill/>
                          <ns2:ln w="9525">
                            <ns2:noFill/>
                            <ns2:headEnd/>
                            <ns2:tailEnd/>
                          </ns2:ln>
                        </ns3:spPr>
                      </ns3:pic>
                    </ns2:graphicData>
                  </ns2:graphic>
                </ns1:inline>
              </w:drawing>
            </w:r>
          </w:p>
          <w:p>
            <w:pPr>
              <w:pStyle w:val="ImageCaption"/>
              <w:spacing w:before="200" w:line="360" w:lineRule="auto"/>
              <w:jc w:val="center"/>
            </w:pPr>
            <w:r>
              <w:t xml:space="preserve">Figura 2.4: Un mismo caso explicado mediante cuatro objetos explicativos:</w:t>
            </w:r>
            <w:r>
              <w:t xml:space="preserve"> </w:t>
            </w:r>
            <w:r>
              <w:t xml:space="preserve">atribución (LIME, SHAP), regla (Anchors), contrafactual (DiCE) y ejemplos</w:t>
            </w:r>
            <w:r>
              <w:t xml:space="preserve"> </w:t>
            </w:r>
            <w:r>
              <w:t xml:space="preserve">similares. El caso, los valores y las explicaciones son ilustrativos; no son</w:t>
            </w:r>
            <w:r>
              <w:t xml:space="preserve"> </w:t>
            </w:r>
            <w:r>
              <w:t xml:space="preserve">resultados del estudio. Fuente: elaboración propia a partir de</w:t>
            </w:r>
            <w:r>
              <w:t xml:space="preserve"> </w:t>
            </w:r>
            <w:r>
              <w:t xml:space="preserve">Ribeiro (2016)</w:t>
            </w:r>
            <w:r>
              <w:t xml:space="preserve">,</w:t>
            </w:r>
            <w:r>
              <w:t xml:space="preserve"> </w:t>
            </w:r>
            <w:r>
              <w:t xml:space="preserve">Lundberg (2017)</w:t>
            </w:r>
            <w:r>
              <w:t xml:space="preserve">,</w:t>
            </w:r>
            <w:r>
              <w:t xml:space="preserve"> </w:t>
            </w:r>
            <w:r>
              <w:t xml:space="preserve">Ribeiro (2018)</w:t>
            </w:r>
            <w:r>
              <w:t xml:space="preserve"> </w:t>
            </w:r>
            <w:r>
              <w:t xml:space="preserve">y</w:t>
            </w:r>
            <w:r>
              <w:t xml:space="preserve"> </w:t>
            </w:r>
            <w:r>
              <w:t xml:space="preserve">Mothilal (2020)</w:t>
            </w:r>
            <w:r>
              <w:t xml:space="preserve">.</w:t>
            </w:r>
          </w:p>
          <w:bookmarkEnd w:id="69"/>
        </w:tc>
      </w:tr>
    </w:tbl>
    <w:bookmarkStart w:id="74" w:name="Xbbcfa782e2d35f160f8750f56befcd9ee8cf14e"/>
    <w:p>
      <w:pPr>
        <w:pStyle w:val="Ttulo3"/>
        <w:spacing w:line="360" w:lineRule="auto"/>
        <w:jc w:val="both"/>
      </w:pPr>
      <w:r>
        <w:t xml:space="preserve">2.4.1 </w:t>
      </w:r>
      <w:r>
        <w:t xml:space="preserve">LIME: sustitutos locales, muestreo e inestabilidad</w:t>
      </w:r>
    </w:p>
    <w:p>
      <w:pPr>
        <w:pStyle w:val="FirstParagraph"/>
        <w:spacing w:line="360" w:lineRule="auto"/>
        <w:jc w:val="both"/>
      </w:pPr>
      <w:r>
        <w:t xml:space="preserve">LIME propone explicar predicciones individuales aproximando localmente el modelo</w:t>
      </w:r>
      <w:r>
        <w:t xml:space="preserve"> </w:t>
      </w:r>
      <w:r>
        <w:t xml:space="preserve">de caja negra con un modelo interpretable, usualmente lineal</w:t>
      </w:r>
      <w:r>
        <w:t xml:space="preserve"> </w:t>
      </w:r>
      <w:r>
        <w:t xml:space="preserve">(Ribeiro 2016)</w:t>
      </w:r>
      <w:r>
        <w:t xml:space="preserve">. Su</w:t>
      </w:r>
      <w:r>
        <w:t xml:space="preserve"> </w:t>
      </w:r>
      <w:r>
        <w:t xml:space="preserve">intuición es poderosa: aunque el modelo global sea complejo, una región cercana</w:t>
      </w:r>
      <w:r>
        <w:t xml:space="preserve"> </w:t>
      </w:r>
      <w:r>
        <w:t xml:space="preserve">a una instancia puede ser aproximada por una frontera más simple. Para construir</w:t>
      </w:r>
      <w:r>
        <w:t xml:space="preserve"> </w:t>
      </w:r>
      <w:r>
        <w:t xml:space="preserve">esta aproximación, el método genera perturbaciones alrededor de la instancia,</w:t>
      </w:r>
      <w:r>
        <w:t xml:space="preserve"> </w:t>
      </w:r>
      <w:r>
        <w:t xml:space="preserve">consulta el modelo original y ajusta un sustituto ponderado por proximidad. La</w:t>
      </w:r>
      <w:r>
        <w:t xml:space="preserve"> </w:t>
      </w:r>
      <w:r>
        <w:t xml:space="preserve">explicación resultante identifica características con mayor influencia local.</w:t>
      </w:r>
    </w:p>
    <w:p>
      <w:pPr>
        <w:pStyle w:val="Textoindependiente"/>
        <w:spacing w:line="360" w:lineRule="auto"/>
        <w:jc w:val="both"/>
      </w:pPr>
      <w:r>
        <w:t xml:space="preserve">Esta lógica convierte a LIME en un método flexible y agnóstico. Puede aplicarse</w:t>
      </w:r>
      <w:r>
        <w:t xml:space="preserve"> </w:t>
      </w:r>
      <w:r>
        <w:t xml:space="preserve">a clasificadores diversos y produce salidas comprensibles para usuarios</w:t>
      </w:r>
      <w:r>
        <w:t xml:space="preserve"> </w:t>
      </w:r>
      <w:r>
        <w:t xml:space="preserve">técnicos. Sin embargo, su fuerza también es una fuente de riesgo. La explicación</w:t>
      </w:r>
      <w:r>
        <w:t xml:space="preserve"> </w:t>
      </w:r>
      <w:r>
        <w:t xml:space="preserve">depende del esquema de muestreo, de la definición de vecindario, del kernel de</w:t>
      </w:r>
      <w:r>
        <w:t xml:space="preserve"> </w:t>
      </w:r>
      <w:r>
        <w:t xml:space="preserve">proximidad, del número de perturbaciones y del modelo interpretable elegido. Si</w:t>
      </w:r>
      <w:r>
        <w:t xml:space="preserve"> </w:t>
      </w:r>
      <w:r>
        <w:t xml:space="preserve">estos elementos cambian, la explicación puede variar de forma sustancial. Por</w:t>
      </w:r>
      <w:r>
        <w:t xml:space="preserve"> </w:t>
      </w:r>
      <w:r>
        <w:t xml:space="preserve">ello, la estabilidad de LIME debe evaluarse explicitamente, no asumirse como una</w:t>
      </w:r>
      <w:r>
        <w:t xml:space="preserve"> </w:t>
      </w:r>
      <w:r>
        <w:t xml:space="preserve">propiedad garantizada</w:t>
      </w:r>
      <w:r>
        <w:t xml:space="preserve"> </w:t>
      </w:r>
      <w:r>
        <w:t xml:space="preserve">(Burger et al. 2023)</w:t>
      </w:r>
      <w:r>
        <w:t xml:space="preserve">.</w:t>
      </w:r>
    </w:p>
    <w:p>
      <w:pPr>
        <w:pStyle w:val="Textoindependiente"/>
        <w:spacing w:line="360" w:lineRule="auto"/>
        <w:jc w:val="both"/>
      </w:pPr>
      <w:r>
        <w:t xml:space="preserve">En el marco de esta tesis, LIME representa la familia de explicaciones por</w:t>
      </w:r>
      <w:r>
        <w:t xml:space="preserve"> </w:t>
      </w:r>
      <w:r>
        <w:t xml:space="preserve">sustitución local. Su evaluación debe considerar fidelidad local, estabilidad,</w:t>
      </w:r>
      <w:r>
        <w:t xml:space="preserve"> </w:t>
      </w:r>
      <w:r>
        <w:t xml:space="preserve">coste computacional y sensibilidad al muestreo. No es suficiente afirmar que una</w:t>
      </w:r>
      <w:r>
        <w:t xml:space="preserve"> </w:t>
      </w:r>
      <w:r>
        <w:t xml:space="preserve">explicación LIME es interpretable porque sea lineal; debe demostrarse que el</w:t>
      </w:r>
      <w:r>
        <w:t xml:space="preserve"> </w:t>
      </w:r>
      <w:r>
        <w:t xml:space="preserve">sustituto es una aproximación adecuada bajo condiciones experimentales</w:t>
      </w:r>
      <w:r>
        <w:t xml:space="preserve"> </w:t>
      </w:r>
      <w:r>
        <w:t xml:space="preserve">controladas</w:t>
      </w:r>
      <w:r>
        <w:t xml:space="preserve"> </w:t>
      </w:r>
      <w:r>
        <w:t xml:space="preserve">(Ribeiro 2016; Guidotti et al. 2018)</w:t>
      </w:r>
      <w:r>
        <w:t xml:space="preserve">.</w:t>
      </w:r>
    </w:p>
    <w:p>
      <w:pPr>
        <w:pStyle w:val="Textoindependiente"/>
        <w:spacing w:line="360" w:lineRule="auto"/>
        <w:jc w:val="both"/>
      </w:pPr>
      <w:r>
        <w:t xml:space="preserve">La literatura posterior ha mostrado que esta exigencia no es secundaria. LIME</w:t>
      </w:r>
      <w:r>
        <w:t xml:space="preserve"> </w:t>
      </w:r>
      <w:r>
        <w:t xml:space="preserve">puede ser una herramienta poderosa para comunicar patrones locales, pero su</w:t>
      </w:r>
      <w:r>
        <w:t xml:space="preserve"> </w:t>
      </w:r>
      <w:r>
        <w:t xml:space="preserve">salida no es independiente del proceso que genera el vecindario artificial. En</w:t>
      </w:r>
      <w:r>
        <w:t xml:space="preserve"> </w:t>
      </w:r>
      <w:r>
        <w:t xml:space="preserve">términos de evaluación, esto significa que el experimento no solo compara</w:t>
      </w:r>
      <w:r>
        <w:t xml:space="preserve"> </w:t>
      </w:r>
      <w:r>
        <w:t xml:space="preserve">“LIME”</w:t>
      </w:r>
      <w:r>
        <w:t xml:space="preserve"> </w:t>
      </w:r>
      <w:r>
        <w:t xml:space="preserve">como etiqueta, sino una configuración concreta de LIME: estrategia de</w:t>
      </w:r>
      <w:r>
        <w:t xml:space="preserve"> </w:t>
      </w:r>
      <w:r>
        <w:t xml:space="preserve">perturbación, kernel, número de muestras, selección de variables y modelo</w:t>
      </w:r>
      <w:r>
        <w:t xml:space="preserve"> </w:t>
      </w:r>
      <w:r>
        <w:t xml:space="preserve">sustituto. Si esos elementos no se congelan y documentan, la explicación deja de</w:t>
      </w:r>
      <w:r>
        <w:t xml:space="preserve"> </w:t>
      </w:r>
      <w:r>
        <w:t xml:space="preserve">ser un artefacto reproducible y se convierte en una realizacion contingente del</w:t>
      </w:r>
      <w:r>
        <w:t xml:space="preserve"> </w:t>
      </w:r>
      <w:r>
        <w:t xml:space="preserve">pipeline. Este punto conecta con la crítica más amplia a las explicaciones</w:t>
      </w:r>
      <w:r>
        <w:t xml:space="preserve"> </w:t>
      </w:r>
      <w:r>
        <w:t xml:space="preserve">post-hoc: su aparente simplicidad puede ocultar supuestos fuertes sobre la</w:t>
      </w:r>
      <w:r>
        <w:t xml:space="preserve"> </w:t>
      </w:r>
      <w:r>
        <w:t xml:space="preserve">región local que se está aproximando</w:t>
      </w:r>
      <w:r>
        <w:t xml:space="preserve"> </w:t>
      </w:r>
      <w:r>
        <w:t xml:space="preserve">(Guidotti et al. 2018; Carvalho et al. 2019)</w:t>
      </w:r>
      <w:r>
        <w:t xml:space="preserve">.</w:t>
      </w:r>
    </w:p>
    <w:p>
      <w:pPr>
        <w:pStyle w:val="Textoindependiente"/>
        <w:spacing w:line="360" w:lineRule="auto"/>
        <w:jc w:val="both"/>
      </w:pPr>
      <w:r>
        <w:t xml:space="preserve">Además, la estabilidad de LIME no debe confundirse con su plausibilidad visual.</w:t>
      </w:r>
      <w:r>
        <w:t xml:space="preserve"> </w:t>
      </w:r>
      <w:r>
        <w:t xml:space="preserve">Una explicación puede seleccionar variables intuitivas y aun así variar ante</w:t>
      </w:r>
      <w:r>
        <w:t xml:space="preserve"> </w:t>
      </w:r>
      <w:r>
        <w:t xml:space="preserve">perturbaciones pequeñas, cambios de semilla o modificaciones en la muestra de</w:t>
      </w:r>
      <w:r>
        <w:t xml:space="preserve"> </w:t>
      </w:r>
      <w:r>
        <w:t xml:space="preserve">consulta. Estudios sobre confiabilidad de LIME y ataques a explicadores</w:t>
      </w:r>
      <w:r>
        <w:t xml:space="preserve"> </w:t>
      </w:r>
      <w:r>
        <w:t xml:space="preserve">post-hoc muestran que la frágilidad puede tener consecuencias epistémicas</w:t>
      </w:r>
      <w:r>
        <w:t xml:space="preserve"> </w:t>
      </w:r>
      <w:r>
        <w:t xml:space="preserve">importantes: el usuario puede recibir una narrativa convincente sin saber que</w:t>
      </w:r>
      <w:r>
        <w:t xml:space="preserve"> </w:t>
      </w:r>
      <w:r>
        <w:t xml:space="preserve">otra ejecución razonable produciría una narrativa distinta</w:t>
      </w:r>
      <w:r>
        <w:t xml:space="preserve"> </w:t>
      </w:r>
      <w:r>
        <w:t xml:space="preserve">(Burger et al. 2023; Slack et al. 2020)</w:t>
      </w:r>
      <w:r>
        <w:t xml:space="preserve">. Por ello, FOM-7 debe tratar LIME como un caso ejemplar de método</w:t>
      </w:r>
      <w:r>
        <w:t xml:space="preserve"> </w:t>
      </w:r>
      <w:r>
        <w:t xml:space="preserve">agnóstico con alta utilidad comunicativa, pero que requiere controles de</w:t>
      </w:r>
      <w:r>
        <w:t xml:space="preserve"> </w:t>
      </w:r>
      <w:r>
        <w:t xml:space="preserve">estabilidad, trazabilidad de parámetros y delimitación estricta del alcance</w:t>
      </w:r>
      <w:r>
        <w:t xml:space="preserve"> </w:t>
      </w:r>
      <w:r>
        <w:t xml:space="preserve">local.</w:t>
      </w:r>
    </w:p>
    <w:p>
      <w:pPr>
        <w:pStyle w:val="Textoindependiente"/>
        <w:spacing w:line="360" w:lineRule="auto"/>
        <w:jc w:val="both"/>
      </w:pPr>
      <w:r>
        <w:t xml:space="preserve">La</w:t>
      </w:r>
      <w:r>
        <w:t xml:space="preserve"> </w:t>
      </w:r>
      <w:hyperlink w:anchor="fig-lime-geometria">
        <w:r>
          <w:rPr>
            <w:rStyle w:val="Hipervnculo"/>
          </w:rPr>
          <w:t xml:space="preserve">Figura 2.5</w:t>
        </w:r>
      </w:hyperlink>
      <w:r>
        <w:t xml:space="preserve"> </w:t>
      </w:r>
      <w:r>
        <w:t xml:space="preserve">representa las dos ideas de este apartado: el sustituto</w:t>
      </w:r>
      <w:r>
        <w:t xml:space="preserve"> </w:t>
      </w:r>
      <w:r>
        <w:t xml:space="preserve">lineal ajustado en un vecindario ponderado y el riesgo de que las perturbaciones</w:t>
      </w:r>
      <w:r>
        <w:t xml:space="preserve"> </w:t>
      </w:r>
      <w:r>
        <w:t xml:space="preserve">caigan fuera de la distribución de los datos.</w:t>
      </w:r>
    </w:p>
    <w:tbl>
      <w:tblPr>
        <w:tblStyle w:val="Table"/>
        <w:tblW w:type="pct" w:w="5000"/>
        <w:jc w:val="center"/>
        <w:tblLayout w:type="fixed"/>
        <w:tblLook w:firstRow="0" w:lastRow="0" w:firstColumn="0" w:lastColumn="0" w:noHBand="0" w:noVBand="0" w:val="0000"/>
      </w:tblPr>
      <w:tblGrid>
        <w:gridCol w:w="7920"/>
      </w:tblGrid>
      <w:tr>
        <w:tc>
          <w:tcPr/>
          <w:bookmarkStart w:id="73" w:name="fig-lime-geometria"/>
          <w:p>
            <w:pPr>
              <w:pStyle w:val="Compact"/>
              <w:jc w:val="center"/>
              <w:spacing w:line="360" w:lineRule="auto"/>
            </w:pPr>
            <w:r>
              <w:drawing>
                <ns1:inline>
                  <ns1:extent cx="5228414" cy="3028663"/>
                  <ns1:effectExtent b="0" l="0" r="0" t="0"/>
                  <ns1:docPr descr="" title="" id="71" name="Picture"/>
                  <ns2:graphic>
                    <ns2:graphicData uri="http://schemas.openxmlformats.org/drawingml/2006/picture">
                      <ns3:pic>
                        <ns3:nvPicPr>
                          <ns3:cNvPr descr="assets/figures/fig_d9_lime_geometria_es.png" id="72" name="Picture"/>
                          <ns3:cNvPicPr>
                            <ns2:picLocks noChangeArrowheads="1" noChangeAspect="1"/>
                          </ns3:cNvPicPr>
                        </ns3:nvPicPr>
                        <ns3:blipFill>
                          <ns2:blip ns4:embed="rId70"/>
                          <ns2:stretch>
                            <ns2:fillRect/>
                          </ns2:stretch>
                        </ns3:blipFill>
                        <ns3:spPr bwMode="auto">
                          <ns2:xfrm>
                            <ns2:off x="0" y="0"/>
                            <ns2:ext cx="5228414" cy="3028663"/>
                          </ns2:xfrm>
                          <ns2:prstGeom prst="rect">
                            <ns2:avLst/>
                          </ns2:prstGeom>
                          <ns2:noFill/>
                          <ns2:ln w="9525">
                            <ns2:noFill/>
                            <ns2:headEnd/>
                            <ns2:tailEnd/>
                          </ns2:ln>
                        </ns3:spPr>
                      </ns3:pic>
                    </ns2:graphicData>
                  </ns2:graphic>
                </ns1:inline>
              </w:drawing>
            </w:r>
          </w:p>
          <w:p>
            <w:pPr>
              <w:pStyle w:val="ImageCaption"/>
              <w:spacing w:before="200" w:line="360" w:lineRule="auto"/>
              <w:jc w:val="center"/>
            </w:pPr>
            <w:r>
              <w:t xml:space="preserve">Figura 2.5: Geometría de LIME. A la izquierda, el núcleo de proximidad pondera las</w:t>
            </w:r>
            <w:r>
              <w:t xml:space="preserve"> </w:t>
            </w:r>
            <w:r>
              <w:t xml:space="preserve">muestras perturbadas y el sustituto lineal aproxima la frontera del modelo</w:t>
            </w:r>
            <w:r>
              <w:t xml:space="preserve"> </w:t>
            </w:r>
            <w:r>
              <w:t xml:space="preserve">cerca de la instancia. A la derecha, una perturbación independiente de</w:t>
            </w:r>
            <w:r>
              <w:t xml:space="preserve"> </w:t>
            </w:r>
            <w:r>
              <w:t xml:space="preserve">características correlacionadas puede producir casos fuera de la</w:t>
            </w:r>
            <w:r>
              <w:t xml:space="preserve"> </w:t>
            </w:r>
            <w:r>
              <w:t xml:space="preserve">distribución. Ilustración esquemática con datos simulados. Fuente:</w:t>
            </w:r>
            <w:r>
              <w:t xml:space="preserve"> </w:t>
            </w:r>
            <w:r>
              <w:t xml:space="preserve">elaboración propia a partir de</w:t>
            </w:r>
            <w:r>
              <w:t xml:space="preserve"> </w:t>
            </w:r>
            <w:r>
              <w:t xml:space="preserve">Ribeiro (2016)</w:t>
            </w:r>
            <w:r>
              <w:t xml:space="preserve">.</w:t>
            </w:r>
          </w:p>
          <w:bookmarkEnd w:id="73"/>
        </w:tc>
      </w:tr>
    </w:tbl>
    <w:bookmarkEnd w:id="74"/>
    <w:bookmarkStart w:id="79" w:name="X187de0a2f0f332efaa60a19888eaffd7cc2e7b5"/>
    <w:p>
      <w:pPr>
        <w:pStyle w:val="Ttulo3"/>
        <w:spacing w:line="360" w:lineRule="auto"/>
        <w:jc w:val="both"/>
      </w:pPr>
      <w:r>
        <w:t xml:space="preserve">2.4.2 </w:t>
      </w:r>
      <w:r>
        <w:t xml:space="preserve">SHAP: valores de Shapley y atribución aditiva</w:t>
      </w:r>
    </w:p>
    <w:p>
      <w:pPr>
        <w:pStyle w:val="FirstParagraph"/>
        <w:spacing w:line="360" w:lineRule="auto"/>
        <w:jc w:val="both"/>
      </w:pPr>
      <w:r>
        <w:t xml:space="preserve">SHAP conecta métodos de atribución de características con fundamentos de teoría</w:t>
      </w:r>
      <w:r>
        <w:t xml:space="preserve"> </w:t>
      </w:r>
      <w:r>
        <w:t xml:space="preserve">de juegos, especialmente el valor de Shapley</w:t>
      </w:r>
      <w:r>
        <w:t xml:space="preserve"> </w:t>
      </w:r>
      <w:r>
        <w:t xml:space="preserve">(Shapley 1952)</w:t>
      </w:r>
      <w:r>
        <w:t xml:space="preserve">, formulado</w:t>
      </w:r>
      <w:r>
        <w:t xml:space="preserve"> </w:t>
      </w:r>
      <w:r>
        <w:t xml:space="preserve">originalmente para repartir de forma única la ganancia de un juego cooperativo</w:t>
      </w:r>
      <w:r>
        <w:t xml:space="preserve"> </w:t>
      </w:r>
      <w:r>
        <w:t xml:space="preserve">entre sus participantes y trasladado por</w:t>
      </w:r>
      <w:r>
        <w:t xml:space="preserve"> </w:t>
      </w:r>
      <w:r>
        <w:t xml:space="preserve">Lundberg (2017)</w:t>
      </w:r>
      <w:r>
        <w:t xml:space="preserve"> </w:t>
      </w:r>
      <w:r>
        <w:t xml:space="preserve">al problema de atribuir</w:t>
      </w:r>
      <w:r>
        <w:t xml:space="preserve"> </w:t>
      </w:r>
      <w:r>
        <w:t xml:space="preserve">importancia entre características. La predicción se</w:t>
      </w:r>
      <w:r>
        <w:t xml:space="preserve"> </w:t>
      </w:r>
      <w:r>
        <w:t xml:space="preserve">expresa como una suma de contribuciones atribuibles a cada característica, bajo</w:t>
      </w:r>
      <w:r>
        <w:t xml:space="preserve"> </w:t>
      </w:r>
      <w:r>
        <w:t xml:space="preserve">un conjunto de propiedades deseables para explicaciones aditivas.</w:t>
      </w:r>
    </w:p>
    <w:p>
      <w:pPr>
        <w:pStyle w:val="Textoindependiente"/>
        <w:spacing w:line="360" w:lineRule="auto"/>
        <w:jc w:val="both"/>
      </w:pPr>
      <w:r>
        <w:t xml:space="preserve">El coste de calcular exactamente el valor de Shapley crece de forma exponencial</w:t>
      </w:r>
      <w:r>
        <w:t xml:space="preserve"> </w:t>
      </w:r>
      <w:r>
        <w:t xml:space="preserve">con el número de características, de modo que su uso práctico descansa en</w:t>
      </w:r>
      <w:r>
        <w:t xml:space="preserve"> </w:t>
      </w:r>
      <w:r>
        <w:t xml:space="preserve">estimadores muestrales cuyas garantías han sido estudiadas de forma específica</w:t>
      </w:r>
      <w:r>
        <w:t xml:space="preserve"> </w:t>
      </w:r>
      <w:r>
        <w:t xml:space="preserve">(Mitchell et al. 2022)</w:t>
      </w:r>
      <w:r>
        <w:t xml:space="preserve">, y su complejidad computacional se ha caracterizado también para</w:t>
      </w:r>
      <w:r>
        <w:t xml:space="preserve"> </w:t>
      </w:r>
      <w:r>
        <w:t xml:space="preserve">familias de funciones concretas</w:t>
      </w:r>
      <w:r>
        <w:t xml:space="preserve"> </w:t>
      </w:r>
      <w:r>
        <w:t xml:space="preserve">(Karmakar et al. 2024)</w:t>
      </w:r>
      <w:r>
        <w:t xml:space="preserve">. La formulación aditiva original</w:t>
      </w:r>
      <w:r>
        <w:t xml:space="preserve"> </w:t>
      </w:r>
      <w:r>
        <w:t xml:space="preserve">tiene además límites conocidos que han motivado extensiones: no captura</w:t>
      </w:r>
      <w:r>
        <w:t xml:space="preserve"> </w:t>
      </w:r>
      <w:r>
        <w:t xml:space="preserve">interacciones entre características, lo que ha dado lugar a índices de</w:t>
      </w:r>
      <w:r>
        <w:t xml:space="preserve"> </w:t>
      </w:r>
      <w:r>
        <w:t xml:space="preserve">interacción con garantías de fidelidad</w:t>
      </w:r>
      <w:r>
        <w:t xml:space="preserve"> </w:t>
      </w:r>
      <w:r>
        <w:t xml:space="preserve">(Tsai et al. 2023)</w:t>
      </w:r>
      <w:r>
        <w:t xml:space="preserve">; asume independencia entre</w:t>
      </w:r>
      <w:r>
        <w:t xml:space="preserve"> </w:t>
      </w:r>
      <w:r>
        <w:t xml:space="preserve">características, supuesto que se viola en datos tabulares reales y que ha</w:t>
      </w:r>
      <w:r>
        <w:t xml:space="preserve"> </w:t>
      </w:r>
      <w:r>
        <w:t xml:space="preserve">motivado estimadores sensibles a la dependencia</w:t>
      </w:r>
      <w:r>
        <w:t xml:space="preserve"> </w:t>
      </w:r>
      <w:r>
        <w:t xml:space="preserve">(Olsen et al. 2022)</w:t>
      </w:r>
      <w:r>
        <w:t xml:space="preserve">; y se ha extendido</w:t>
      </w:r>
      <w:r>
        <w:t xml:space="preserve"> </w:t>
      </w:r>
      <w:r>
        <w:t xml:space="preserve">recientemente a escenarios multimodales</w:t>
      </w:r>
      <w:r>
        <w:t xml:space="preserve"> </w:t>
      </w:r>
      <w:r>
        <w:t xml:space="preserve">(Wang y Wang 2025)</w:t>
      </w:r>
      <w:r>
        <w:t xml:space="preserve">. Esta familia de trabajos es</w:t>
      </w:r>
      <w:r>
        <w:t xml:space="preserve"> </w:t>
      </w:r>
      <w:r>
        <w:t xml:space="preserve">relevante para el Capítulo 3 porque delimita qué significa exactamente «SHAP» en</w:t>
      </w:r>
      <w:r>
        <w:t xml:space="preserve"> </w:t>
      </w:r>
      <w:r>
        <w:t xml:space="preserve">un experimento: la etiqueta cubre estimadores distintos con supuestos distintos.</w:t>
      </w:r>
      <w:r>
        <w:t xml:space="preserve"> </w:t>
      </w:r>
      <w:r>
        <w:t xml:space="preserve">Una preocupación análoga por la dependencia entre características subyace a las</w:t>
      </w:r>
      <w:r>
        <w:t xml:space="preserve"> </w:t>
      </w:r>
      <w:r>
        <w:t xml:space="preserve">medidas de importancia por permutación, cuya interpretación exige razonar sobre</w:t>
      </w:r>
      <w:r>
        <w:t xml:space="preserve"> </w:t>
      </w:r>
      <w:r>
        <w:t xml:space="preserve">clases enteras de modelos y no sobre un único ajuste</w:t>
      </w:r>
      <w:r>
        <w:t xml:space="preserve"> </w:t>
      </w:r>
      <w:r>
        <w:t xml:space="preserve">(Fisher et al. 2019)</w:t>
      </w:r>
      <w:r>
        <w:t xml:space="preserve">. Esta base</w:t>
      </w:r>
      <w:r>
        <w:t xml:space="preserve"> </w:t>
      </w:r>
      <w:r>
        <w:t xml:space="preserve">formal ha convertido a SHAP en uno de los enfoques más influyentes para</w:t>
      </w:r>
      <w:r>
        <w:t xml:space="preserve"> </w:t>
      </w:r>
      <w:r>
        <w:t xml:space="preserve">interpretar modelos complejos.</w:t>
      </w:r>
    </w:p>
    <w:p>
      <w:pPr>
        <w:pStyle w:val="Textoindependiente"/>
        <w:spacing w:line="360" w:lineRule="auto"/>
        <w:jc w:val="both"/>
      </w:pPr>
      <w:r>
        <w:t xml:space="preserve">La fortaleza de SHAP está en su marco unificado: diferentes aproximaciones</w:t>
      </w:r>
      <w:r>
        <w:t xml:space="preserve"> </w:t>
      </w:r>
      <w:r>
        <w:t xml:space="preserve">pueden entenderse como miembros de una familia de modelos explicativos</w:t>
      </w:r>
      <w:r>
        <w:t xml:space="preserve"> </w:t>
      </w:r>
      <w:r>
        <w:t xml:space="preserve">aditivos. TreeSHAP aprovecha la estructura de modelos basados en árboles para</w:t>
      </w:r>
      <w:r>
        <w:t xml:space="preserve"> </w:t>
      </w:r>
      <w:r>
        <w:t xml:space="preserve">calcular atribuciones de forma más eficiente. KernelSHAP, en cambio, opera de</w:t>
      </w:r>
      <w:r>
        <w:t xml:space="preserve"> </w:t>
      </w:r>
      <w:r>
        <w:t xml:space="preserve">manera más general pero puede requerir numerosas evaluaciones del modelo,</w:t>
      </w:r>
      <w:r>
        <w:t xml:space="preserve"> </w:t>
      </w:r>
      <w:r>
        <w:t xml:space="preserve">generando costes computacionales elevados. Esta diferencia ilustra una tensión</w:t>
      </w:r>
      <w:r>
        <w:t xml:space="preserve"> </w:t>
      </w:r>
      <w:r>
        <w:t xml:space="preserve">recurrente: mayor generalidad suele implicar mayor coste o dependencia de</w:t>
      </w:r>
      <w:r>
        <w:t xml:space="preserve"> </w:t>
      </w:r>
      <w:r>
        <w:t xml:space="preserve">aproximaciones.</w:t>
      </w:r>
    </w:p>
    <w:p>
      <w:pPr>
        <w:pStyle w:val="Textoindependiente"/>
        <w:spacing w:line="360" w:lineRule="auto"/>
        <w:jc w:val="both"/>
      </w:pPr>
      <w:r>
        <w:t xml:space="preserve">SHAP también exige decisiones metodológicas que afectan la interpretación: el</w:t>
      </w:r>
      <w:r>
        <w:t xml:space="preserve"> </w:t>
      </w:r>
      <w:r>
        <w:t xml:space="preserve">conjunto de referencia, el tratamiento de dependencias entre características y</w:t>
      </w:r>
      <w:r>
        <w:t xml:space="preserve"> </w:t>
      </w:r>
      <w:r>
        <w:t xml:space="preserve">la forma de estimar contribuciones marginales. Por ello, la tesis no interpreta</w:t>
      </w:r>
      <w:r>
        <w:t xml:space="preserve"> </w:t>
      </w:r>
      <w:r>
        <w:t xml:space="preserve">valores SHAP como verdades causales automaticas. Los trata como atribuciones</w:t>
      </w:r>
      <w:r>
        <w:t xml:space="preserve"> </w:t>
      </w:r>
      <w:r>
        <w:t xml:space="preserve">operacionales cuya calidad debe contrastarse mediante métricas de fidelidad,</w:t>
      </w:r>
      <w:r>
        <w:t xml:space="preserve"> </w:t>
      </w:r>
      <w:r>
        <w:t xml:space="preserve">estabilidad, complejidad y coste.</w:t>
      </w:r>
    </w:p>
    <w:p>
      <w:pPr>
        <w:pStyle w:val="Textoindependiente"/>
        <w:spacing w:line="360" w:lineRule="auto"/>
        <w:jc w:val="both"/>
      </w:pPr>
      <w:r>
        <w:t xml:space="preserve">El carácter formal de SHAP puede inducir una lectura excesivamente fuerte si no</w:t>
      </w:r>
      <w:r>
        <w:t xml:space="preserve"> </w:t>
      </w:r>
      <w:r>
        <w:t xml:space="preserve">se separa fundamento matemático de uso empírico. El valor de Shapley aporta una</w:t>
      </w:r>
      <w:r>
        <w:t xml:space="preserve"> </w:t>
      </w:r>
      <w:r>
        <w:t xml:space="preserve">justificación axiomática para repartir una contribución entre jugadores o</w:t>
      </w:r>
      <w:r>
        <w:t xml:space="preserve"> </w:t>
      </w:r>
      <w:r>
        <w:t xml:space="preserve">características, pero la aplicación a modelos predictivos requiere definir una</w:t>
      </w:r>
      <w:r>
        <w:t xml:space="preserve"> </w:t>
      </w:r>
      <w:r>
        <w:t xml:space="preserve">distribución de referencia y una forma de simular presencia o ausencia de</w:t>
      </w:r>
      <w:r>
        <w:t xml:space="preserve"> </w:t>
      </w:r>
      <w:r>
        <w:t xml:space="preserve">características. En datos reales, especialmente cuando existen dependencias</w:t>
      </w:r>
      <w:r>
        <w:t xml:space="preserve"> </w:t>
      </w:r>
      <w:r>
        <w:t xml:space="preserve">entre variables, estas decisiones afectan el significado de la atribución. Por</w:t>
      </w:r>
      <w:r>
        <w:t xml:space="preserve"> </w:t>
      </w:r>
      <w:r>
        <w:t xml:space="preserve">eso, una tabla de valores SHAP no debe presentarse como una descomposición</w:t>
      </w:r>
      <w:r>
        <w:t xml:space="preserve"> </w:t>
      </w:r>
      <w:r>
        <w:t xml:space="preserve">causal directa de la predicción; debe presentarse como una atribución bajo</w:t>
      </w:r>
      <w:r>
        <w:t xml:space="preserve"> </w:t>
      </w:r>
      <w:r>
        <w:t xml:space="preserve">supuestos operacionales específicos</w:t>
      </w:r>
      <w:r>
        <w:t xml:space="preserve"> </w:t>
      </w:r>
      <w:r>
        <w:t xml:space="preserve">(Lundberg 2017; Carvalho et al. 2019)</w:t>
      </w:r>
      <w:r>
        <w:t xml:space="preserve">.</w:t>
      </w:r>
    </w:p>
    <w:p>
      <w:pPr>
        <w:pStyle w:val="Textoindependiente"/>
        <w:spacing w:line="360" w:lineRule="auto"/>
        <w:jc w:val="both"/>
      </w:pPr>
      <w:r>
        <w:t xml:space="preserve">La diferencia entre KernelSHAP y TreeSHAP también es relevante para el diseño</w:t>
      </w:r>
      <w:r>
        <w:t xml:space="preserve"> </w:t>
      </w:r>
      <w:r>
        <w:t xml:space="preserve">experimental. KernelSHAP conserva una orientación agnóstica, pero puede exigir</w:t>
      </w:r>
      <w:r>
        <w:t xml:space="preserve"> </w:t>
      </w:r>
      <w:r>
        <w:t xml:space="preserve">un número elevado de consultas al modelo. TreeSHAP aprovecha la estructura de</w:t>
      </w:r>
      <w:r>
        <w:t xml:space="preserve"> </w:t>
      </w:r>
      <w:r>
        <w:t xml:space="preserve">árboles para reducir coste y mejorar factibilidad en familias concretas de</w:t>
      </w:r>
      <w:r>
        <w:t xml:space="preserve"> </w:t>
      </w:r>
      <w:r>
        <w:t xml:space="preserve">modelos. Esta diferencia muestra que</w:t>
      </w:r>
      <w:r>
        <w:t xml:space="preserve"> </w:t>
      </w:r>
      <w:r>
        <w:t xml:space="preserve">“usar SHAP”</w:t>
      </w:r>
      <w:r>
        <w:t xml:space="preserve"> </w:t>
      </w:r>
      <w:r>
        <w:t xml:space="preserve">no describe por sí mismo una</w:t>
      </w:r>
      <w:r>
        <w:t xml:space="preserve"> </w:t>
      </w:r>
      <w:r>
        <w:t xml:space="preserve">condición experimental suficiente. Se debe específicar variante, modelo base,</w:t>
      </w:r>
      <w:r>
        <w:t xml:space="preserve"> </w:t>
      </w:r>
      <w:r>
        <w:t xml:space="preserve">conjunto de referencia, estrategia de aproximación y coste de cómputo. La</w:t>
      </w:r>
      <w:r>
        <w:t xml:space="preserve"> </w:t>
      </w:r>
      <w:r>
        <w:t xml:space="preserve">literatura teórica sobre la tractabilidad de SHAP refuerza esta precaución:</w:t>
      </w:r>
      <w:r>
        <w:t xml:space="preserve"> </w:t>
      </w:r>
      <w:r>
        <w:t xml:space="preserve">calcular explicaciones exactas puede ser difícil o inviable en clases amplias de</w:t>
      </w:r>
      <w:r>
        <w:t xml:space="preserve"> </w:t>
      </w:r>
      <w:r>
        <w:t xml:space="preserve">modelos, por lo que la evaluación debe registrar cuando se trabaja con</w:t>
      </w:r>
      <w:r>
        <w:t xml:space="preserve"> </w:t>
      </w:r>
      <w:r>
        <w:t xml:space="preserve">aproximaciones y qué compromisos introducen</w:t>
      </w:r>
      <w:r>
        <w:t xml:space="preserve"> </w:t>
      </w:r>
      <w:r>
        <w:t xml:space="preserve">(Van den Broeck et al. 2022)</w:t>
      </w:r>
      <w:r>
        <w:t xml:space="preserve">.</w:t>
      </w:r>
    </w:p>
    <w:p>
      <w:pPr>
        <w:pStyle w:val="Textoindependiente"/>
        <w:spacing w:line="360" w:lineRule="auto"/>
        <w:jc w:val="both"/>
      </w:pPr>
      <w:r>
        <w:t xml:space="preserve">SHAP ocupa asi una posición doble en la tesis. Por un lado, es un referente</w:t>
      </w:r>
      <w:r>
        <w:t xml:space="preserve"> </w:t>
      </w:r>
      <w:r>
        <w:t xml:space="preserve">indispensable por su formalizacion de la atribución aditiva y su adopcion en</w:t>
      </w:r>
      <w:r>
        <w:t xml:space="preserve"> </w:t>
      </w:r>
      <w:r>
        <w:t xml:space="preserve">investigación aplicada. Por otro lado, es un ejemplo de que una base formal no</w:t>
      </w:r>
      <w:r>
        <w:t xml:space="preserve"> </w:t>
      </w:r>
      <w:r>
        <w:t xml:space="preserve">elimina la necesidad de gobernanza experimental. FOM-7 debe evitar comparar SHAP</w:t>
      </w:r>
      <w:r>
        <w:t xml:space="preserve"> </w:t>
      </w:r>
      <w:r>
        <w:t xml:space="preserve">con LIME o Anchors como si todos produjeran explicaciones del mismo tipo. En</w:t>
      </w:r>
      <w:r>
        <w:t xml:space="preserve"> </w:t>
      </w:r>
      <w:r>
        <w:t xml:space="preserve">SHAP, el objeto central es una asignación de contribuciones; en LIME, una</w:t>
      </w:r>
      <w:r>
        <w:t xml:space="preserve"> </w:t>
      </w:r>
      <w:r>
        <w:t xml:space="preserve">aproximación local; en Anchors, una regla; en DiCE, una alternativa</w:t>
      </w:r>
      <w:r>
        <w:t xml:space="preserve"> </w:t>
      </w:r>
      <w:r>
        <w:t xml:space="preserve">contrafactual. Esta heterogeneidad exige métricas diferenciadas y afirmaciones</w:t>
      </w:r>
      <w:r>
        <w:t xml:space="preserve"> </w:t>
      </w:r>
      <w:r>
        <w:t xml:space="preserve">cuidadosamente acotadas</w:t>
      </w:r>
      <w:r>
        <w:t xml:space="preserve"> </w:t>
      </w:r>
      <w:r>
        <w:t xml:space="preserve">(Guidotti et al. 2018; Nauta et al. 2023)</w:t>
      </w:r>
      <w:r>
        <w:t xml:space="preserve">.</w:t>
      </w:r>
    </w:p>
    <w:p>
      <w:pPr>
        <w:pStyle w:val="Textoindependiente"/>
        <w:spacing w:line="360" w:lineRule="auto"/>
        <w:jc w:val="both"/>
      </w:pPr>
      <w:r>
        <w:t xml:space="preserve">La</w:t>
      </w:r>
      <w:r>
        <w:t xml:space="preserve"> </w:t>
      </w:r>
      <w:hyperlink w:anchor="fig-shap-coaliciones">
        <w:r>
          <w:rPr>
            <w:rStyle w:val="Hipervnculo"/>
          </w:rPr>
          <w:t xml:space="preserve">Figura 2.6</w:t>
        </w:r>
      </w:hyperlink>
      <w:r>
        <w:t xml:space="preserve"> </w:t>
      </w:r>
      <w:r>
        <w:t xml:space="preserve">resume los tres elementos del cálculo: las coaliciones</w:t>
      </w:r>
      <w:r>
        <w:t xml:space="preserve"> </w:t>
      </w:r>
      <w:r>
        <w:t xml:space="preserve">de características, la ponderación de cada tamaño de coalición y la</w:t>
      </w:r>
      <w:r>
        <w:t xml:space="preserve"> </w:t>
      </w:r>
      <w:r>
        <w:t xml:space="preserve">descomposición aditiva de la predicción.</w:t>
      </w:r>
    </w:p>
    <w:tbl>
      <w:tblPr>
        <w:tblStyle w:val="Table"/>
        <w:tblW w:type="pct" w:w="5000"/>
        <w:jc w:val="center"/>
        <w:tblLayout w:type="fixed"/>
        <w:tblLook w:firstRow="0" w:lastRow="0" w:firstColumn="0" w:lastColumn="0" w:noHBand="0" w:noVBand="0" w:val="0000"/>
      </w:tblPr>
      <w:tblGrid>
        <w:gridCol w:w="7920"/>
      </w:tblGrid>
      <w:tr>
        <w:tc>
          <w:tcPr/>
          <w:bookmarkStart w:id="78" w:name="fig-shap-coaliciones"/>
          <w:p>
            <w:pPr>
              <w:pStyle w:val="Compact"/>
              <w:jc w:val="center"/>
              <w:spacing w:line="360" w:lineRule="auto"/>
            </w:pPr>
            <w:r>
              <w:drawing>
                <ns1:inline>
                  <ns1:extent cx="5228414" cy="3100411"/>
                  <ns1:effectExtent b="0" l="0" r="0" t="0"/>
                  <ns1:docPr descr="" title="" id="76" name="Picture"/>
                  <ns2:graphic>
                    <ns2:graphicData uri="http://schemas.openxmlformats.org/drawingml/2006/picture">
                      <ns3:pic>
                        <ns3:nvPicPr>
                          <ns3:cNvPr descr="assets/figures/fig_d10_shap_coaliciones_es.png" id="77" name="Picture"/>
                          <ns3:cNvPicPr>
                            <ns2:picLocks noChangeArrowheads="1" noChangeAspect="1"/>
                          </ns3:cNvPicPr>
                        </ns3:nvPicPr>
                        <ns3:blipFill>
                          <ns2:blip ns4:embed="rId75"/>
                          <ns2:stretch>
                            <ns2:fillRect/>
                          </ns2:stretch>
                        </ns3:blipFill>
                        <ns3:spPr bwMode="auto">
                          <ns2:xfrm>
                            <ns2:off x="0" y="0"/>
                            <ns2:ext cx="5228414" cy="3100411"/>
                          </ns2:xfrm>
                          <ns2:prstGeom prst="rect">
                            <ns2:avLst/>
                          </ns2:prstGeom>
                          <ns2:noFill/>
                          <ns2:ln w="9525">
                            <ns2:noFill/>
                            <ns2:headEnd/>
                            <ns2:tailEnd/>
                          </ns2:ln>
                        </ns3:spPr>
                      </ns3:pic>
                    </ns2:graphicData>
                  </ns2:graphic>
                </ns1:inline>
              </w:drawing>
            </w:r>
          </w:p>
          <w:p>
            <w:pPr>
              <w:pStyle w:val="ImageCaption"/>
              <w:spacing w:before="200" w:line="360" w:lineRule="auto"/>
              <w:jc w:val="center"/>
            </w:pPr>
            <w:r>
              <w:t xml:space="preserve">Figura 2.6: Elementos de SHAP: retículo de coaliciones, núcleo de ponderación según</w:t>
            </w:r>
            <w:r>
              <w:t xml:space="preserve"> </w:t>
            </w:r>
            <w:r>
              <w:t xml:space="preserve">el tamaño de la coalición y descomposición aditiva de la predicción desde el</w:t>
            </w:r>
            <w:r>
              <w:t xml:space="preserve"> </w:t>
            </w:r>
            <w:r>
              <w:t xml:space="preserve">valor base. Ilustración esquemática; los valores no son resultados del</w:t>
            </w:r>
            <w:r>
              <w:t xml:space="preserve"> </w:t>
            </w:r>
            <w:r>
              <w:t xml:space="preserve">estudio. Fuente: elaboración propia a partir de</w:t>
            </w:r>
            <w:r>
              <w:t xml:space="preserve"> </w:t>
            </w:r>
            <w:r>
              <w:t xml:space="preserve">Lundberg (2017)</w:t>
            </w:r>
            <w:r>
              <w:t xml:space="preserve">.</w:t>
            </w:r>
          </w:p>
          <w:bookmarkEnd w:id="78"/>
        </w:tc>
      </w:tr>
    </w:tbl>
    <w:bookmarkEnd w:id="79"/>
    <w:bookmarkStart w:id="80" w:name="X029215b3a63b0848a75a7aa70454b1144c0f31f"/>
    <w:p>
      <w:pPr>
        <w:pStyle w:val="Ttulo3"/>
        <w:spacing w:line="360" w:lineRule="auto"/>
        <w:jc w:val="both"/>
      </w:pPr>
      <w:r>
        <w:t xml:space="preserve">2.4.3 </w:t>
      </w:r>
      <w:r>
        <w:t xml:space="preserve">Anchors: reglas de alta precisión y límites de cobertura</w:t>
      </w:r>
    </w:p>
    <w:p>
      <w:pPr>
        <w:pStyle w:val="FirstParagraph"/>
        <w:spacing w:line="360" w:lineRule="auto"/>
        <w:jc w:val="both"/>
      </w:pPr>
      <w:r>
        <w:t xml:space="preserve">Anchors propone explicaciones en forma de reglas locales de alta precisión</w:t>
      </w:r>
      <w:r>
        <w:t xml:space="preserve"> </w:t>
      </w:r>
      <w:r>
        <w:t xml:space="preserve">(Ribeiro 2018)</w:t>
      </w:r>
      <w:r>
        <w:t xml:space="preserve">, continuando una tradición que había explorado ya las reglas como</w:t>
      </w:r>
      <w:r>
        <w:t xml:space="preserve"> </w:t>
      </w:r>
      <w:r>
        <w:t xml:space="preserve">formato explicativo mediante ensembles de reglas ajustados sobre el modelo</w:t>
      </w:r>
      <w:r>
        <w:t xml:space="preserve"> </w:t>
      </w:r>
      <w:r>
        <w:t xml:space="preserve">predictivo</w:t>
      </w:r>
      <w:r>
        <w:t xml:space="preserve"> </w:t>
      </w:r>
      <w:r>
        <w:t xml:space="preserve">(Friedman 2008)</w:t>
      </w:r>
      <w:r>
        <w:t xml:space="preserve">. En vez de asignar pesos a características, busca condiciones</w:t>
      </w:r>
      <w:r>
        <w:t xml:space="preserve"> </w:t>
      </w:r>
      <w:r>
        <w:t xml:space="preserve">que, cuando se cumplen, hacen que el modelo mantenga una predicción con alta</w:t>
      </w:r>
      <w:r>
        <w:t xml:space="preserve"> </w:t>
      </w:r>
      <w:r>
        <w:t xml:space="preserve">probabilidad. La promesa de Anchors es comunicativa: una regla del tipo</w:t>
      </w:r>
      <w:r>
        <w:t xml:space="preserve"> </w:t>
      </w:r>
      <w:r>
        <w:t xml:space="preserve">“si se</w:t>
      </w:r>
      <w:r>
        <w:t xml:space="preserve"> </w:t>
      </w:r>
      <w:r>
        <w:t xml:space="preserve">cumplen estas condiciones, la predicción se mantiene”</w:t>
      </w:r>
      <w:r>
        <w:t xml:space="preserve"> </w:t>
      </w:r>
      <w:r>
        <w:t xml:space="preserve">puede ser más accionable</w:t>
      </w:r>
      <w:r>
        <w:t xml:space="preserve"> </w:t>
      </w:r>
      <w:r>
        <w:t xml:space="preserve">que una lista de pesos.</w:t>
      </w:r>
    </w:p>
    <w:p>
      <w:pPr>
        <w:pStyle w:val="Textoindependiente"/>
        <w:spacing w:line="360" w:lineRule="auto"/>
        <w:jc w:val="both"/>
      </w:pPr>
      <w:r>
        <w:t xml:space="preserve">La precisión de una regla, sin embargo, debe interpretarse junto con su</w:t>
      </w:r>
      <w:r>
        <w:t xml:space="preserve"> </w:t>
      </w:r>
      <w:r>
        <w:t xml:space="preserve">cobertura. Una regla extremadamente específica puede alcanzar alta precisión</w:t>
      </w:r>
      <w:r>
        <w:t xml:space="preserve"> </w:t>
      </w:r>
      <w:r>
        <w:t xml:space="preserve">porque aplica a muy pocos casos. Una regla más general puede cubrir una región</w:t>
      </w:r>
      <w:r>
        <w:t xml:space="preserve"> </w:t>
      </w:r>
      <w:r>
        <w:t xml:space="preserve">amplia, pero perder precisión. Esta tensión convierte a Anchors en un caso</w:t>
      </w:r>
      <w:r>
        <w:t xml:space="preserve"> </w:t>
      </w:r>
      <w:r>
        <w:t xml:space="preserve">fundamental para la evaluación multinivel: una métrica aislada puede favorecer</w:t>
      </w:r>
      <w:r>
        <w:t xml:space="preserve"> </w:t>
      </w:r>
      <w:r>
        <w:t xml:space="preserve">reglas aparentemente excelentes que no son útiles fuera de un subconjunto</w:t>
      </w:r>
      <w:r>
        <w:t xml:space="preserve"> </w:t>
      </w:r>
      <w:r>
        <w:t xml:space="preserve">limitado.</w:t>
      </w:r>
    </w:p>
    <w:p>
      <w:pPr>
        <w:pStyle w:val="Textoindependiente"/>
        <w:spacing w:line="360" w:lineRule="auto"/>
        <w:jc w:val="both"/>
      </w:pPr>
      <w:r>
        <w:t xml:space="preserve">Para FOM-7, Anchors representa explicaciones basadas en condiciones suficientes</w:t>
      </w:r>
      <w:r>
        <w:t xml:space="preserve"> </w:t>
      </w:r>
      <w:r>
        <w:t xml:space="preserve">aproximadas. Su evaluación debe separar precisión local, cobertura,</w:t>
      </w:r>
      <w:r>
        <w:t xml:space="preserve"> </w:t>
      </w:r>
      <w:r>
        <w:t xml:space="preserve">complejidad de regla y reproducibilidad. Esta separación evita comparar Anchors</w:t>
      </w:r>
      <w:r>
        <w:t xml:space="preserve"> </w:t>
      </w:r>
      <w:r>
        <w:t xml:space="preserve">con LIME o SHAP como si todos produjeran el mismo tipo de evidencia.</w:t>
      </w:r>
    </w:p>
    <w:p>
      <w:pPr>
        <w:pStyle w:val="Textoindependiente"/>
        <w:spacing w:line="360" w:lineRule="auto"/>
        <w:jc w:val="both"/>
      </w:pPr>
      <w:r>
        <w:t xml:space="preserve">La contribución conceptual de Anchors es introducir una forma de explicación que</w:t>
      </w:r>
      <w:r>
        <w:t xml:space="preserve"> </w:t>
      </w:r>
      <w:r>
        <w:t xml:space="preserve">se aproxima al razonamiento por condiciones: una predicción se mantiene cuando</w:t>
      </w:r>
      <w:r>
        <w:t xml:space="preserve"> </w:t>
      </w:r>
      <w:r>
        <w:t xml:space="preserve">ciertas premisas se conservan. Esta estructura puede ser más legible que una</w:t>
      </w:r>
      <w:r>
        <w:t xml:space="preserve"> </w:t>
      </w:r>
      <w:r>
        <w:t xml:space="preserve">lista de pesos, especialmente cuando la explicación se comunica a personas que</w:t>
      </w:r>
      <w:r>
        <w:t xml:space="preserve"> </w:t>
      </w:r>
      <w:r>
        <w:t xml:space="preserve">razonan mediante reglas o excepciones. Sin embargo, la legibilidad no resuelve</w:t>
      </w:r>
      <w:r>
        <w:t xml:space="preserve"> </w:t>
      </w:r>
      <w:r>
        <w:t xml:space="preserve">el problema de validez. Una regla de alta precisión puede estar anclada en una</w:t>
      </w:r>
      <w:r>
        <w:t xml:space="preserve"> </w:t>
      </w:r>
      <w:r>
        <w:t xml:space="preserve">región pequena del espacio de datos; una regla de mayor cobertura puede perder</w:t>
      </w:r>
      <w:r>
        <w:t xml:space="preserve"> </w:t>
      </w:r>
      <w:r>
        <w:t xml:space="preserve">garantias locales. Por tanto, precisión y cobertura deben reportarse juntas, y</w:t>
      </w:r>
      <w:r>
        <w:t xml:space="preserve"> </w:t>
      </w:r>
      <w:r>
        <w:t xml:space="preserve">ninguna debe convertirse por sí sola en sinonimo de calidad explicativa</w:t>
      </w:r>
      <w:r>
        <w:t xml:space="preserve"> </w:t>
      </w:r>
      <w:r>
        <w:t xml:space="preserve">(Ribeiro 2018; Guidotti et al. 2018)</w:t>
      </w:r>
      <w:r>
        <w:t xml:space="preserve">.</w:t>
      </w:r>
    </w:p>
    <w:p>
      <w:pPr>
        <w:pStyle w:val="Textoindependiente"/>
        <w:spacing w:line="360" w:lineRule="auto"/>
        <w:jc w:val="both"/>
      </w:pPr>
      <w:r>
        <w:t xml:space="preserve">Anchors también muestra por qué la evaluación debe atender al formato de salida.</w:t>
      </w:r>
      <w:r>
        <w:t xml:space="preserve"> </w:t>
      </w:r>
      <w:r>
        <w:t xml:space="preserve">Una regla tiene cardinalidad, condiciones, umbrales y cobertura; una atribución</w:t>
      </w:r>
      <w:r>
        <w:t xml:space="preserve"> </w:t>
      </w:r>
      <w:r>
        <w:t xml:space="preserve">tiene pesos; un contrafactual tiene distancia, factibilidad y validez. Si el</w:t>
      </w:r>
      <w:r>
        <w:t xml:space="preserve"> </w:t>
      </w:r>
      <w:r>
        <w:t xml:space="preserve">benchmark traduce todos esos objetos a una sola escala, corre el riesgo de</w:t>
      </w:r>
      <w:r>
        <w:t xml:space="preserve"> </w:t>
      </w:r>
      <w:r>
        <w:t xml:space="preserve">medir más la conveniencia de la métrica que la calidad del método. Para FOM-7,</w:t>
      </w:r>
      <w:r>
        <w:t xml:space="preserve"> </w:t>
      </w:r>
      <w:r>
        <w:t xml:space="preserve">Anchors cumple entonces una función teórica: obliga a reconocer que las métricas</w:t>
      </w:r>
      <w:r>
        <w:t xml:space="preserve"> </w:t>
      </w:r>
      <w:r>
        <w:t xml:space="preserve">deben estar alineadas con el tipo de explicación. La tesis no debe preguntar</w:t>
      </w:r>
      <w:r>
        <w:t xml:space="preserve"> </w:t>
      </w:r>
      <w:r>
        <w:t xml:space="preserve">solo</w:t>
      </w:r>
      <w:r>
        <w:t xml:space="preserve"> </w:t>
      </w:r>
      <w:r>
        <w:t xml:space="preserve">“qué método gana”</w:t>
      </w:r>
      <w:r>
        <w:t xml:space="preserve">, sino</w:t>
      </w:r>
      <w:r>
        <w:t xml:space="preserve"> </w:t>
      </w:r>
      <w:r>
        <w:t xml:space="preserve">“qué propiedad de qué objeto explicativo se está</w:t>
      </w:r>
      <w:r>
        <w:t xml:space="preserve"> </w:t>
      </w:r>
      <w:r>
        <w:t xml:space="preserve">evaluando bajo qué condiciones”</w:t>
      </w:r>
      <w:r>
        <w:t xml:space="preserve"> </w:t>
      </w:r>
      <w:r>
        <w:t xml:space="preserve">(Carvalho et al. 2019; Nauta et al. 2023)</w:t>
      </w:r>
      <w:r>
        <w:t xml:space="preserve">.</w:t>
      </w:r>
    </w:p>
    <w:bookmarkEnd w:id="80"/>
    <w:bookmarkStart w:id="85" w:name="Xd196f32f12fd1cc1850af93995e5a1615dfcb83"/>
    <w:p>
      <w:pPr>
        <w:pStyle w:val="Ttulo3"/>
        <w:spacing w:line="360" w:lineRule="auto"/>
        <w:jc w:val="both"/>
      </w:pPr>
      <w:r>
        <w:t xml:space="preserve">2.4.4 </w:t>
      </w:r>
      <w:r>
        <w:t xml:space="preserve">DiCE: contrafactuales, accionabilidad y validez</w:t>
      </w:r>
    </w:p>
    <w:p>
      <w:pPr>
        <w:pStyle w:val="FirstParagraph"/>
        <w:spacing w:line="360" w:lineRule="auto"/>
        <w:jc w:val="both"/>
      </w:pPr>
      <w:r>
        <w:t xml:space="preserve">DiCE introduce explicaciones contrafactuales diversas, orientadas a mostrar</w:t>
      </w:r>
      <w:r>
        <w:t xml:space="preserve"> </w:t>
      </w:r>
      <w:r>
        <w:t xml:space="preserve">cambios plausibles que podrían alterar la decisión de un modelo</w:t>
      </w:r>
      <w:r>
        <w:t xml:space="preserve"> </w:t>
      </w:r>
      <w:r>
        <w:t xml:space="preserve">(Mothilal 2020)</w:t>
      </w:r>
      <w:r>
        <w:t xml:space="preserve">.</w:t>
      </w:r>
      <w:r>
        <w:t xml:space="preserve"> </w:t>
      </w:r>
      <w:r>
        <w:t xml:space="preserve">Su pregunta no es</w:t>
      </w:r>
      <w:r>
        <w:t xml:space="preserve"> </w:t>
      </w:r>
      <w:r>
        <w:t xml:space="preserve">“qué características contribuyeron más a esta predicción”</w:t>
      </w:r>
      <w:r>
        <w:t xml:space="preserve">,</w:t>
      </w:r>
      <w:r>
        <w:t xml:space="preserve"> </w:t>
      </w:r>
      <w:r>
        <w:t xml:space="preserve">sino</w:t>
      </w:r>
      <w:r>
        <w:t xml:space="preserve"> </w:t>
      </w:r>
      <w:r>
        <w:t xml:space="preserve">“qué tendría que cambiar para obtener otro resultado”</w:t>
      </w:r>
      <w:r>
        <w:t xml:space="preserve">. Esta diferencia</w:t>
      </w:r>
      <w:r>
        <w:t xml:space="preserve"> </w:t>
      </w:r>
      <w:r>
        <w:t xml:space="preserve">ubica a DiCE en una familia explicativa distinta, especialmente relevante para</w:t>
      </w:r>
      <w:r>
        <w:t xml:space="preserve"> </w:t>
      </w:r>
      <w:r>
        <w:t xml:space="preserve">escenarios donde el usuario necesita comprender alternativas de acción.</w:t>
      </w:r>
    </w:p>
    <w:p>
      <w:pPr>
        <w:pStyle w:val="Textoindependiente"/>
        <w:spacing w:line="360" w:lineRule="auto"/>
        <w:jc w:val="both"/>
      </w:pPr>
      <w:r>
        <w:t xml:space="preserve">La evaluación de contrafactuales exige criterios adicionales. Un contrafactual</w:t>
      </w:r>
      <w:r>
        <w:t xml:space="preserve"> </w:t>
      </w:r>
      <w:r>
        <w:t xml:space="preserve">debe ser válido respecto al modelo, cercano a la instancia original, diverso</w:t>
      </w:r>
      <w:r>
        <w:t xml:space="preserve"> </w:t>
      </w:r>
      <w:r>
        <w:t xml:space="preserve">respecto a otras alternativas y, en muchos dominios, accionable. La</w:t>
      </w:r>
      <w:r>
        <w:t xml:space="preserve"> </w:t>
      </w:r>
      <w:r>
        <w:t xml:space="preserve">accionabilidad impone restricciones semánticas: no todas las características</w:t>
      </w:r>
      <w:r>
        <w:t xml:space="preserve"> </w:t>
      </w:r>
      <w:r>
        <w:t xml:space="preserve">pueden modificarse, y no todos los cambios matemáticamente cercanos son</w:t>
      </w:r>
      <w:r>
        <w:t xml:space="preserve"> </w:t>
      </w:r>
      <w:r>
        <w:t xml:space="preserve">realistas. Por ello, una métrica de fidelidad tradicional puede ser insuficiente</w:t>
      </w:r>
      <w:r>
        <w:t xml:space="preserve"> </w:t>
      </w:r>
      <w:r>
        <w:t xml:space="preserve">para evaluar DiCE si no se acompaña de criterios de plausibilidad,</w:t>
      </w:r>
      <w:r>
        <w:t xml:space="preserve"> </w:t>
      </w:r>
      <w:r>
        <w:t xml:space="preserve">factibilidad y coherencia con el dominio</w:t>
      </w:r>
      <w:r>
        <w:t xml:space="preserve"> </w:t>
      </w:r>
      <w:r>
        <w:t xml:space="preserve">(Mothilal 2020; Karimi et al. 2022)</w:t>
      </w:r>
      <w:r>
        <w:t xml:space="preserve">.</w:t>
      </w:r>
    </w:p>
    <w:p>
      <w:pPr>
        <w:pStyle w:val="Textoindependiente"/>
        <w:spacing w:line="360" w:lineRule="auto"/>
        <w:jc w:val="both"/>
      </w:pPr>
      <w:r>
        <w:t xml:space="preserve">En esta tesis, DiCE permite mostrar que FOM-7 no debe forzar una métrica única</w:t>
      </w:r>
      <w:r>
        <w:t xml:space="preserve"> </w:t>
      </w:r>
      <w:r>
        <w:t xml:space="preserve">sobre objetos explicativos heterogéneos. Las explicaciones contrafactuales</w:t>
      </w:r>
      <w:r>
        <w:t xml:space="preserve"> </w:t>
      </w:r>
      <w:r>
        <w:t xml:space="preserve">requieren una lectura propia dentro del protocolo, especialmente cuando se</w:t>
      </w:r>
      <w:r>
        <w:t xml:space="preserve"> </w:t>
      </w:r>
      <w:r>
        <w:t xml:space="preserve">discuten utilidad, sensibilidad y trazabilidad de afirmaciones.</w:t>
      </w:r>
    </w:p>
    <w:p>
      <w:pPr>
        <w:pStyle w:val="Textoindependiente"/>
        <w:spacing w:line="360" w:lineRule="auto"/>
        <w:jc w:val="both"/>
      </w:pPr>
      <w:r>
        <w:t xml:space="preserve">La familia contrafactual amplía la XAI hacia preguntas de recourse y acción.</w:t>
      </w:r>
      <w:r>
        <w:t xml:space="preserve"> </w:t>
      </w:r>
      <w:r>
        <w:t xml:space="preserve">Mientras LIME o SHAP suelen describir por qué una decisión fue tomada en</w:t>
      </w:r>
      <w:r>
        <w:t xml:space="preserve"> </w:t>
      </w:r>
      <w:r>
        <w:t xml:space="preserve">términos de contribuciones o aproximaciones, el contrafactual pregunta que</w:t>
      </w:r>
      <w:r>
        <w:t xml:space="preserve"> </w:t>
      </w:r>
      <w:r>
        <w:t xml:space="preserve">alternativas podrían cambiar el resultado. Esta orientación es atractiva en</w:t>
      </w:r>
      <w:r>
        <w:t xml:space="preserve"> </w:t>
      </w:r>
      <w:r>
        <w:t xml:space="preserve">dominios de decisión porque conecta explicación con posibilidad de intervencion.</w:t>
      </w:r>
      <w:r>
        <w:t xml:space="preserve"> </w:t>
      </w:r>
      <w:r>
        <w:t xml:space="preserve">Sin embargo, también introduce exigencias más fuertes: los cambios sugeridos</w:t>
      </w:r>
      <w:r>
        <w:t xml:space="preserve"> </w:t>
      </w:r>
      <w:r>
        <w:t xml:space="preserve">deben ser posibles, coherentes con restricciones del dominio y no meramente</w:t>
      </w:r>
      <w:r>
        <w:t xml:space="preserve"> </w:t>
      </w:r>
      <w:r>
        <w:t xml:space="preserve">artefactos matemáticos cercanos en el espacio de variables. La literatura sobre</w:t>
      </w:r>
      <w:r>
        <w:t xml:space="preserve"> </w:t>
      </w:r>
      <w:r>
        <w:t xml:space="preserve">recourse enfatiza precisamente que una recomendación consecuencial debe evaluar</w:t>
      </w:r>
      <w:r>
        <w:t xml:space="preserve"> </w:t>
      </w:r>
      <w:r>
        <w:t xml:space="preserve">factibilidad, accionabilidad y consecuencias, no solo inversión de etiqueta</w:t>
      </w:r>
      <w:r>
        <w:t xml:space="preserve"> </w:t>
      </w:r>
      <w:r>
        <w:t xml:space="preserve">(Karimi et al. 2022)</w:t>
      </w:r>
      <w:r>
        <w:t xml:space="preserve">.</w:t>
      </w:r>
    </w:p>
    <w:p>
      <w:pPr>
        <w:pStyle w:val="Textoindependiente"/>
        <w:spacing w:line="360" w:lineRule="auto"/>
        <w:jc w:val="both"/>
      </w:pPr>
      <w:r>
        <w:t xml:space="preserve">DiCE aporta diversidad de alternativas contrafactuales, pero diversidad no</w:t>
      </w:r>
      <w:r>
        <w:t xml:space="preserve"> </w:t>
      </w:r>
      <w:r>
        <w:t xml:space="preserve">equivale automáticamente a accionabilidad. Un conjunto de contrafactuales puede</w:t>
      </w:r>
      <w:r>
        <w:t xml:space="preserve"> </w:t>
      </w:r>
      <w:r>
        <w:t xml:space="preserve">ser diverso en distancia matemática y aun así incluir cambios imposibles para</w:t>
      </w:r>
      <w:r>
        <w:t xml:space="preserve"> </w:t>
      </w:r>
      <w:r>
        <w:t xml:space="preserve">una persona o incoherentes con relaciones del dominio. FACE aborda esta</w:t>
      </w:r>
      <w:r>
        <w:t xml:space="preserve"> </w:t>
      </w:r>
      <w:r>
        <w:t xml:space="preserve">preocupación al enfatizar contrafactuales factibles y accionables en regiones</w:t>
      </w:r>
      <w:r>
        <w:t xml:space="preserve"> </w:t>
      </w:r>
      <w:r>
        <w:t xml:space="preserve">conectadas por datos observados</w:t>
      </w:r>
      <w:r>
        <w:t xml:space="preserve"> </w:t>
      </w:r>
      <w:r>
        <w:t xml:space="preserve">(Poyiadzi et al. 2020)</w:t>
      </w:r>
      <w:r>
        <w:t xml:space="preserve">. A la vez, las críticas sobre</w:t>
      </w:r>
      <w:r>
        <w:t xml:space="preserve"> </w:t>
      </w:r>
      <w:r>
        <w:t xml:space="preserve">contrafactuales post-hoc advierten que una explicación puede ser injustificada</w:t>
      </w:r>
      <w:r>
        <w:t xml:space="preserve"> </w:t>
      </w:r>
      <w:r>
        <w:t xml:space="preserve">si se apoya en regiones poco plausibles o si no respeta la estructura local del</w:t>
      </w:r>
      <w:r>
        <w:t xml:space="preserve"> </w:t>
      </w:r>
      <w:r>
        <w:t xml:space="preserve">problema</w:t>
      </w:r>
      <w:r>
        <w:t xml:space="preserve"> </w:t>
      </w:r>
      <w:r>
        <w:t xml:space="preserve">(Laugel et al. 2019)</w:t>
      </w:r>
      <w:r>
        <w:t xml:space="preserve">. Para FOM-7, esta tensión exige que DiCE sea evaluado</w:t>
      </w:r>
      <w:r>
        <w:t xml:space="preserve"> </w:t>
      </w:r>
      <w:r>
        <w:t xml:space="preserve">con criterios propios: validez de cambio de salida, proximidad, diversidad,</w:t>
      </w:r>
      <w:r>
        <w:t xml:space="preserve"> </w:t>
      </w:r>
      <w:r>
        <w:t xml:space="preserve">factibilidad, accionabilidad y límites de inferencia.</w:t>
      </w:r>
    </w:p>
    <w:p>
      <w:pPr>
        <w:pStyle w:val="Textoindependiente"/>
        <w:spacing w:line="360" w:lineRule="auto"/>
        <w:jc w:val="both"/>
      </w:pPr>
      <w:r>
        <w:t xml:space="preserve">El papel de los contrafactuales en la tesis no es demostrar que el usuario</w:t>
      </w:r>
      <w:r>
        <w:t xml:space="preserve"> </w:t>
      </w:r>
      <w:r>
        <w:t xml:space="preserve">puede ejecutar realmente la acción sugerida en cualquier dominio. El alcance es</w:t>
      </w:r>
      <w:r>
        <w:t xml:space="preserve"> </w:t>
      </w:r>
      <w:r>
        <w:t xml:space="preserve">más prudente: examinar si el método produce artefactos que cumplen criterios</w:t>
      </w:r>
      <w:r>
        <w:t xml:space="preserve"> </w:t>
      </w:r>
      <w:r>
        <w:t xml:space="preserve">operacionales definidos y si esos criterios son trazables. Esta distinción es</w:t>
      </w:r>
      <w:r>
        <w:t xml:space="preserve"> </w:t>
      </w:r>
      <w:r>
        <w:t xml:space="preserve">importante porque la accionabilidad plena suele requerir conocimiento causal,</w:t>
      </w:r>
      <w:r>
        <w:t xml:space="preserve"> </w:t>
      </w:r>
      <w:r>
        <w:t xml:space="preserve">normativo y contextual que excede un benchmark puramente computacional. FOM-7</w:t>
      </w:r>
      <w:r>
        <w:t xml:space="preserve"> </w:t>
      </w:r>
      <w:r>
        <w:t xml:space="preserve">puede registrar la distancia entre validez para el modelo y accionabilidad para</w:t>
      </w:r>
      <w:r>
        <w:t xml:space="preserve"> </w:t>
      </w:r>
      <w:r>
        <w:t xml:space="preserve">la persona, y esa distancia es justamente una de las brechas que una revisión</w:t>
      </w:r>
      <w:r>
        <w:t xml:space="preserve"> </w:t>
      </w:r>
      <w:r>
        <w:t xml:space="preserve">doctoral debe hacer visible</w:t>
      </w:r>
      <w:r>
        <w:t xml:space="preserve"> </w:t>
      </w:r>
      <w:r>
        <w:t xml:space="preserve">(Langer et al. 2021; Karimi et al. 2022)</w:t>
      </w:r>
      <w:r>
        <w:t xml:space="preserve">.</w:t>
      </w:r>
    </w:p>
    <w:p>
      <w:pPr>
        <w:pStyle w:val="Textoindependiente"/>
        <w:spacing w:line="360" w:lineRule="auto"/>
        <w:jc w:val="both"/>
      </w:pPr>
      <w:r>
        <w:t xml:space="preserve">La</w:t>
      </w:r>
      <w:r>
        <w:t xml:space="preserve"> </w:t>
      </w:r>
      <w:hyperlink w:anchor="fig-anchors-dice">
        <w:r>
          <w:rPr>
            <w:rStyle w:val="Hipervnculo"/>
          </w:rPr>
          <w:t xml:space="preserve">Figura 2.7</w:t>
        </w:r>
      </w:hyperlink>
      <w:r>
        <w:t xml:space="preserve"> </w:t>
      </w:r>
      <w:r>
        <w:t xml:space="preserve">contrasta los dos objetos que no son atribuciones: la</w:t>
      </w:r>
      <w:r>
        <w:t xml:space="preserve"> </w:t>
      </w:r>
      <w:r>
        <w:t xml:space="preserve">regla de Anchors, que delimita una región donde la predicción se mantiene, y los</w:t>
      </w:r>
      <w:r>
        <w:t xml:space="preserve"> </w:t>
      </w:r>
      <w:r>
        <w:t xml:space="preserve">contrafactuales de DiCE, que proponen cambios para cruzar la frontera de</w:t>
      </w:r>
      <w:r>
        <w:t xml:space="preserve"> </w:t>
      </w:r>
      <w:r>
        <w:t xml:space="preserve">decisión.</w:t>
      </w:r>
    </w:p>
    <w:tbl>
      <w:tblPr>
        <w:tblStyle w:val="Table"/>
        <w:tblW w:type="pct" w:w="5000"/>
        <w:jc w:val="center"/>
        <w:tblLayout w:type="fixed"/>
        <w:tblLook w:firstRow="0" w:lastRow="0" w:firstColumn="0" w:lastColumn="0" w:noHBand="0" w:noVBand="0" w:val="0000"/>
      </w:tblPr>
      <w:tblGrid>
        <w:gridCol w:w="7920"/>
      </w:tblGrid>
      <w:tr>
        <w:tc>
          <w:tcPr/>
          <w:bookmarkStart w:id="84" w:name="fig-anchors-dice"/>
          <w:p>
            <w:pPr>
              <w:pStyle w:val="Compact"/>
              <w:jc w:val="center"/>
              <w:spacing w:line="360" w:lineRule="auto"/>
            </w:pPr>
            <w:r>
              <w:drawing>
                <ns1:inline>
                  <ns1:extent cx="5228414" cy="3028663"/>
                  <ns1:effectExtent b="0" l="0" r="0" t="0"/>
                  <ns1:docPr descr="" title="" id="82" name="Picture"/>
                  <ns2:graphic>
                    <ns2:graphicData uri="http://schemas.openxmlformats.org/drawingml/2006/picture">
                      <ns3:pic>
                        <ns3:nvPicPr>
                          <ns3:cNvPr descr="assets/figures/fig_d11_anchors_dice_es.png" id="83" name="Picture"/>
                          <ns3:cNvPicPr>
                            <ns2:picLocks noChangeArrowheads="1" noChangeAspect="1"/>
                          </ns3:cNvPicPr>
                        </ns3:nvPicPr>
                        <ns3:blipFill>
                          <ns2:blip ns4:embed="rId81"/>
                          <ns2:stretch>
                            <ns2:fillRect/>
                          </ns2:stretch>
                        </ns3:blipFill>
                        <ns3:spPr bwMode="auto">
                          <ns2:xfrm>
                            <ns2:off x="0" y="0"/>
                            <ns2:ext cx="5228414" cy="3028663"/>
                          </ns2:xfrm>
                          <ns2:prstGeom prst="rect">
                            <ns2:avLst/>
                          </ns2:prstGeom>
                          <ns2:noFill/>
                          <ns2:ln w="9525">
                            <ns2:noFill/>
                            <ns2:headEnd/>
                            <ns2:tailEnd/>
                          </ns2:ln>
                        </ns3:spPr>
                      </ns3:pic>
                    </ns2:graphicData>
                  </ns2:graphic>
                </ns1:inline>
              </w:drawing>
            </w:r>
          </w:p>
          <w:p>
            <w:pPr>
              <w:pStyle w:val="ImageCaption"/>
              <w:spacing w:before="200" w:line="360" w:lineRule="auto"/>
              <w:jc w:val="center"/>
            </w:pPr>
            <w:r>
              <w:t xml:space="preserve">Figura 2.7: Anchors y DiCE. A la izquierda, una regla delimita una región del espacio</w:t>
            </w:r>
            <w:r>
              <w:t xml:space="preserve"> </w:t>
            </w:r>
            <w:r>
              <w:t xml:space="preserve">de características en la que la predicción se mantiene con alta precisión, a</w:t>
            </w:r>
            <w:r>
              <w:t xml:space="preserve"> </w:t>
            </w:r>
            <w:r>
              <w:t xml:space="preserve">costa de cubrir solo una parte de los casos. A la derecha, los</w:t>
            </w:r>
            <w:r>
              <w:t xml:space="preserve"> </w:t>
            </w:r>
            <w:r>
              <w:t xml:space="preserve">contrafactuales buscan cambios próximos y diversos que alteren la predicción,</w:t>
            </w:r>
            <w:r>
              <w:t xml:space="preserve"> </w:t>
            </w:r>
            <w:r>
              <w:t xml:space="preserve">sin modificar las variables declaradas inmutables. Ilustración esquemática</w:t>
            </w:r>
            <w:r>
              <w:t xml:space="preserve"> </w:t>
            </w:r>
            <w:r>
              <w:t xml:space="preserve">con datos simulados. Fuente: elaboración propia a partir de</w:t>
            </w:r>
            <w:r>
              <w:t xml:space="preserve"> </w:t>
            </w:r>
            <w:r>
              <w:t xml:space="preserve">Ribeiro (2018)</w:t>
            </w:r>
            <w:r>
              <w:t xml:space="preserve"> </w:t>
            </w:r>
            <w:r>
              <w:t xml:space="preserve">y</w:t>
            </w:r>
            <w:r>
              <w:t xml:space="preserve"> </w:t>
            </w:r>
            <w:r>
              <w:t xml:space="preserve">Mothilal (2020)</w:t>
            </w:r>
            <w:r>
              <w:t xml:space="preserve">.</w:t>
            </w:r>
          </w:p>
          <w:bookmarkEnd w:id="84"/>
        </w:tc>
      </w:tr>
    </w:tbl>
    <w:bookmarkEnd w:id="85"/>
    <w:bookmarkEnd w:id="86"/>
    <w:bookmarkStart w:id="94" w:name="marcos-y-protocolos-de-evaluación-xai"/>
    <w:p>
      <w:pPr>
        <w:pStyle w:val="Ttulo2"/>
        <w:spacing w:line="360" w:lineRule="auto"/>
        <w:jc w:val="both"/>
      </w:pPr>
      <w:r>
        <w:t xml:space="preserve">2.5 </w:t>
      </w:r>
      <w:r>
        <w:t xml:space="preserve">Marcos y protocolos de evaluación XAI</w:t>
      </w:r>
    </w:p>
    <w:p>
      <w:pPr>
        <w:pStyle w:val="FirstParagraph"/>
        <w:spacing w:line="360" w:lineRule="auto"/>
        <w:jc w:val="both"/>
      </w:pPr>
      <w:r>
        <w:t xml:space="preserve">La última década ha producido, junto a los toolkits ya citados, un conjunto</w:t>
      </w:r>
      <w:r>
        <w:t xml:space="preserve"> </w:t>
      </w:r>
      <w:r>
        <w:t xml:space="preserve">creciente de marcos y bancos de prueba orientados específicamente a</w:t>
      </w:r>
      <w:r>
        <w:t xml:space="preserve"> </w:t>
      </w:r>
      <w:r>
        <w:rPr>
          <w:i/>
          <w:iCs/>
        </w:rPr>
        <w:t xml:space="preserve">evaluar</w:t>
      </w:r>
      <w:r>
        <w:t xml:space="preserve"> </w:t>
      </w:r>
      <w:r>
        <w:t xml:space="preserve">explicaciones en lugar de generarlas. Los trabajos recientes incluyen bancos de</w:t>
      </w:r>
      <w:r>
        <w:t xml:space="preserve"> </w:t>
      </w:r>
      <w:r>
        <w:t xml:space="preserve">prueba multi-métrica de propósito general</w:t>
      </w:r>
      <w:r>
        <w:t xml:space="preserve"> </w:t>
      </w:r>
      <w:r>
        <w:t xml:space="preserve">(Sithakoul et al. 2024)</w:t>
      </w:r>
      <w:r>
        <w:t xml:space="preserve">, revisiones y</w:t>
      </w:r>
      <w:r>
        <w:t xml:space="preserve"> </w:t>
      </w:r>
      <w:r>
        <w:t xml:space="preserve">taxonomías de métricas de evaluación</w:t>
      </w:r>
      <w:r>
        <w:t xml:space="preserve"> </w:t>
      </w:r>
      <w:r>
        <w:t xml:space="preserve">(Kadir et al. 2023)</w:t>
      </w:r>
      <w:r>
        <w:t xml:space="preserve">, protocolos para dominios</w:t>
      </w:r>
      <w:r>
        <w:t xml:space="preserve"> </w:t>
      </w:r>
      <w:r>
        <w:t xml:space="preserve">concretos como las redes neuronales sobre grafos</w:t>
      </w:r>
      <w:r>
        <w:t xml:space="preserve"> </w:t>
      </w:r>
      <w:r>
        <w:t xml:space="preserve">(Agarwal et al. 2023; Proszewska et al. 2025)</w:t>
      </w:r>
      <w:r>
        <w:t xml:space="preserve"> </w:t>
      </w:r>
      <w:r>
        <w:t xml:space="preserve">o la detección de contenido sintético</w:t>
      </w:r>
      <w:r>
        <w:t xml:space="preserve"> </w:t>
      </w:r>
      <w:r>
        <w:t xml:space="preserve">(Tsigos et al. 2024)</w:t>
      </w:r>
      <w:r>
        <w:t xml:space="preserve">, evaluaciones centradas en la</w:t>
      </w:r>
      <w:r>
        <w:t xml:space="preserve"> </w:t>
      </w:r>
      <w:r>
        <w:t xml:space="preserve">representación visual de las atribuciones</w:t>
      </w:r>
      <w:r>
        <w:t xml:space="preserve"> </w:t>
      </w:r>
      <w:r>
        <w:t xml:space="preserve">(Cunha y Barbosa 2024)</w:t>
      </w:r>
      <w:r>
        <w:t xml:space="preserve">, estudios que miden la</w:t>
      </w:r>
      <w:r>
        <w:t xml:space="preserve"> </w:t>
      </w:r>
      <w:r>
        <w:t xml:space="preserve">interpretabilidad percibida del propio artefacto explicativo</w:t>
      </w:r>
      <w:r>
        <w:t xml:space="preserve"> </w:t>
      </w:r>
      <w:r>
        <w:t xml:space="preserve">(Morrison et al. 2023)</w:t>
      </w:r>
      <w:r>
        <w:t xml:space="preserve">, y</w:t>
      </w:r>
      <w:r>
        <w:t xml:space="preserve"> </w:t>
      </w:r>
      <w:r>
        <w:t xml:space="preserve">pruebas de robustez de las explicaciones frente a ejemplos adversarios</w:t>
      </w:r>
      <w:r>
        <w:t xml:space="preserve"> </w:t>
      </w:r>
      <w:r>
        <w:t xml:space="preserve">(Kumagai et al. 2023)</w:t>
      </w:r>
      <w:r>
        <w:t xml:space="preserve">. A ellos se suman las bibliotecas que instrumentan la generación y</w:t>
      </w:r>
      <w:r>
        <w:t xml:space="preserve"> </w:t>
      </w:r>
      <w:r>
        <w:t xml:space="preserve">el análisis de explicaciones de forma reproducible</w:t>
      </w:r>
      <w:r>
        <w:t xml:space="preserve"> </w:t>
      </w:r>
      <w:r>
        <w:t xml:space="preserve">(Li et al. 2022)</w:t>
      </w:r>
      <w:r>
        <w:t xml:space="preserve">, los tutoriales</w:t>
      </w:r>
      <w:r>
        <w:t xml:space="preserve"> </w:t>
      </w:r>
      <w:r>
        <w:t xml:space="preserve">metodológicos que consolidan buenas prácticas de aplicación</w:t>
      </w:r>
      <w:r>
        <w:t xml:space="preserve"> </w:t>
      </w:r>
      <w:r>
        <w:t xml:space="preserve">(Bennetot et al. 2024)</w:t>
      </w:r>
      <w:r>
        <w:t xml:space="preserve"> </w:t>
      </w:r>
      <w:r>
        <w:t xml:space="preserve">y las</w:t>
      </w:r>
      <w:r>
        <w:t xml:space="preserve"> </w:t>
      </w:r>
      <w:r>
        <w:t xml:space="preserve">propuestas que desplazan la evaluación desde la atribución por característica</w:t>
      </w:r>
      <w:r>
        <w:t xml:space="preserve"> </w:t>
      </w:r>
      <w:r>
        <w:t xml:space="preserve">hacia conceptos de alto nivel definidos por el usuario</w:t>
      </w:r>
      <w:r>
        <w:t xml:space="preserve"> </w:t>
      </w:r>
      <w:r>
        <w:t xml:space="preserve">(Kim et al. 2018)</w:t>
      </w:r>
      <w:r>
        <w:t xml:space="preserve">. El panorama</w:t>
      </w:r>
      <w:r>
        <w:t xml:space="preserve"> </w:t>
      </w:r>
      <w:r>
        <w:t xml:space="preserve">resultante confirma la premisa de esta tesis: existe abundancia de instrumentos</w:t>
      </w:r>
      <w:r>
        <w:t xml:space="preserve"> </w:t>
      </w:r>
      <w:r>
        <w:t xml:space="preserve">de medida y escasez de protocolos que gobiernen su uso.</w:t>
      </w:r>
    </w:p>
    <w:p>
      <w:pPr>
        <w:pStyle w:val="Textoindependiente"/>
        <w:spacing w:line="360" w:lineRule="auto"/>
        <w:jc w:val="both"/>
      </w:pPr>
      <w:r>
        <w:t xml:space="preserve">La evaluación de interpretabilidad requiere distinguir niveles de evidencia.</w:t>
      </w:r>
      <w:r>
        <w:t xml:space="preserve"> </w:t>
      </w:r>
      <w:r>
        <w:t xml:space="preserve">Doshi-Velez (2017)</w:t>
      </w:r>
      <w:r>
        <w:t xml:space="preserve"> </w:t>
      </w:r>
      <w:r>
        <w:t xml:space="preserve">proponen una taxonomía influyente: evaluación</w:t>
      </w:r>
      <w:r>
        <w:t xml:space="preserve"> </w:t>
      </w:r>
      <w:r>
        <w:t xml:space="preserve">application-grounded, human-grounded y functionally-grounded. La primera evalúa</w:t>
      </w:r>
      <w:r>
        <w:t xml:space="preserve"> </w:t>
      </w:r>
      <w:r>
        <w:t xml:space="preserve">explicaciones en tareas reales con usuarios y dominios específicos. La segunda</w:t>
      </w:r>
      <w:r>
        <w:t xml:space="preserve"> </w:t>
      </w:r>
      <w:r>
        <w:t xml:space="preserve">usa tareas simplificadas con humanos para estudiar propiedades generales de la</w:t>
      </w:r>
      <w:r>
        <w:t xml:space="preserve"> </w:t>
      </w:r>
      <w:r>
        <w:t xml:space="preserve">explicación. La tercera reemplaza la evaluación humana por proxies formales o</w:t>
      </w:r>
      <w:r>
        <w:t xml:space="preserve"> </w:t>
      </w:r>
      <w:r>
        <w:t xml:space="preserve">computacionales cuando existe una razón teórica para hacerlo. Esta distinción</w:t>
      </w:r>
      <w:r>
        <w:t xml:space="preserve"> </w:t>
      </w:r>
      <w:r>
        <w:t xml:space="preserve">es esencial para FOM-7, porque la presente tesis se ubica principalmente en una</w:t>
      </w:r>
      <w:r>
        <w:t xml:space="preserve"> </w:t>
      </w:r>
      <w:r>
        <w:t xml:space="preserve">evaluación functionally-grounded con aspiraciones de trazabilidad hacia</w:t>
      </w:r>
      <w:r>
        <w:t xml:space="preserve"> </w:t>
      </w:r>
      <w:r>
        <w:t xml:space="preserve">afirmaciones técnicas.</w:t>
      </w:r>
    </w:p>
    <w:p>
      <w:pPr>
        <w:pStyle w:val="Textoindependiente"/>
        <w:spacing w:line="360" w:lineRule="auto"/>
        <w:jc w:val="both"/>
      </w:pPr>
      <w:r>
        <w:t xml:space="preserve">La distinción entre estos niveles evita una confusión frecuente: evaluar una</w:t>
      </w:r>
      <w:r>
        <w:t xml:space="preserve"> </w:t>
      </w:r>
      <w:r>
        <w:t xml:space="preserve">explicación con una métrica computacional no equivale a demostrar que mejora la</w:t>
      </w:r>
      <w:r>
        <w:t xml:space="preserve"> </w:t>
      </w:r>
      <w:r>
        <w:t xml:space="preserve">decisión humana. Los estudios human-grounded muestran que la relación entre</w:t>
      </w:r>
      <w:r>
        <w:t xml:space="preserve"> </w:t>
      </w:r>
      <w:r>
        <w:t xml:space="preserve">formato explicativo y comportamiento del usuario es empírica, no deducible solo</w:t>
      </w:r>
      <w:r>
        <w:t xml:space="preserve"> </w:t>
      </w:r>
      <w:r>
        <w:t xml:space="preserve">de la elegancia del método. Por ejemplo, evaluar si ciertas explicaciones ayudan</w:t>
      </w:r>
      <w:r>
        <w:t xml:space="preserve"> </w:t>
      </w:r>
      <w:r>
        <w:t xml:space="preserve">a usuarios a predecir el comportamiento del modelo pertenece a una pregunta</w:t>
      </w:r>
      <w:r>
        <w:t xml:space="preserve"> </w:t>
      </w:r>
      <w:r>
        <w:t xml:space="preserve">distinta de medir fidelidad o estabilidad en un benchmark</w:t>
      </w:r>
      <w:r>
        <w:t xml:space="preserve"> </w:t>
      </w:r>
      <w:r>
        <w:t xml:space="preserve">(Hase y Bansal 2020)</w:t>
      </w:r>
      <w:r>
        <w:t xml:space="preserve">. Del</w:t>
      </w:r>
      <w:r>
        <w:t xml:space="preserve"> </w:t>
      </w:r>
      <w:r>
        <w:t xml:space="preserve">mismo modo, los estudios con científicos de datos muestran que las herramientas</w:t>
      </w:r>
      <w:r>
        <w:t xml:space="preserve"> </w:t>
      </w:r>
      <w:r>
        <w:t xml:space="preserve">de interpretabilidad se insertan en practicas de depuración, validación y</w:t>
      </w:r>
      <w:r>
        <w:t xml:space="preserve"> </w:t>
      </w:r>
      <w:r>
        <w:t xml:space="preserve">comunicación que no se reducen a una puntuación única</w:t>
      </w:r>
      <w:r>
        <w:t xml:space="preserve"> </w:t>
      </w:r>
      <w:r>
        <w:t xml:space="preserve">(Kaur et al. 2020)</w:t>
      </w:r>
      <w:r>
        <w:t xml:space="preserve">. Por ello,</w:t>
      </w:r>
      <w:r>
        <w:t xml:space="preserve"> </w:t>
      </w:r>
      <w:r>
        <w:t xml:space="preserve">FOM-7 debe afirmar con precisión que produce evidencia functionally-grounded y</w:t>
      </w:r>
      <w:r>
        <w:t xml:space="preserve"> </w:t>
      </w:r>
      <w:r>
        <w:t xml:space="preserve">no evidencia application-grounded.</w:t>
      </w:r>
    </w:p>
    <w:p>
      <w:pPr>
        <w:pStyle w:val="Textoindependiente"/>
        <w:spacing w:line="360" w:lineRule="auto"/>
        <w:jc w:val="both"/>
      </w:pPr>
      <w:r>
        <w:t xml:space="preserve">La</w:t>
      </w:r>
      <w:r>
        <w:t xml:space="preserve"> </w:t>
      </w:r>
      <w:hyperlink w:anchor="fig-niveles-evaluacion">
        <w:r>
          <w:rPr>
            <w:rStyle w:val="Hipervnculo"/>
          </w:rPr>
          <w:t xml:space="preserve">Figura 2.8</w:t>
        </w:r>
      </w:hyperlink>
      <w:r>
        <w:t xml:space="preserve"> </w:t>
      </w:r>
      <w:r>
        <w:t xml:space="preserve">sitúa el nivel en que opera esta tesis: la</w:t>
      </w:r>
      <w:r>
        <w:t xml:space="preserve"> </w:t>
      </w:r>
      <w:r>
        <w:t xml:space="preserve">evaluación funcionalmente fundamentada, que gana control y reproducibilidad a</w:t>
      </w:r>
      <w:r>
        <w:t xml:space="preserve"> </w:t>
      </w:r>
      <w:r>
        <w:t xml:space="preserve">costa de realismo.</w:t>
      </w:r>
    </w:p>
    <w:tbl>
      <w:tblPr>
        <w:tblStyle w:val="Table"/>
        <w:tblW w:type="pct" w:w="5000"/>
        <w:jc w:val="center"/>
        <w:tblLayout w:type="fixed"/>
        <w:tblLook w:firstRow="0" w:lastRow="0" w:firstColumn="0" w:lastColumn="0" w:noHBand="0" w:noVBand="0" w:val="0000"/>
      </w:tblPr>
      <w:tblGrid>
        <w:gridCol w:w="7920"/>
      </w:tblGrid>
      <w:tr>
        <w:tc>
          <w:tcPr/>
          <w:bookmarkStart w:id="90" w:name="fig-niveles-evaluacion"/>
          <w:p>
            <w:pPr>
              <w:pStyle w:val="Compact"/>
              <w:jc w:val="center"/>
              <w:spacing w:line="360" w:lineRule="auto"/>
            </w:pPr>
            <w:r>
              <w:drawing>
                <ns1:inline>
                  <ns1:extent cx="5052060" cy="2995834"/>
                  <ns1:effectExtent b="0" l="0" r="0" t="0"/>
                  <ns1:docPr descr="" title="" id="88" name="Picture"/>
                  <ns2:graphic>
                    <ns2:graphicData uri="http://schemas.openxmlformats.org/drawingml/2006/picture">
                      <ns3:pic>
                        <ns3:nvPicPr>
                          <ns3:cNvPr descr="assets/figures/fig_d6_niveles_evaluacion_es.png" id="89" name="Picture"/>
                          <ns3:cNvPicPr>
                            <ns2:picLocks noChangeArrowheads="1" noChangeAspect="1"/>
                          </ns3:cNvPicPr>
                        </ns3:nvPicPr>
                        <ns3:blipFill>
                          <ns2:blip ns4:embed="rId87"/>
                          <ns2:stretch>
                            <ns2:fillRect/>
                          </ns2:stretch>
                        </ns3:blipFill>
                        <ns3:spPr bwMode="auto">
                          <ns2:xfrm>
                            <ns2:off x="0" y="0"/>
                            <ns2:ext cx="5052060" cy="2995834"/>
                          </ns2:xfrm>
                          <ns2:prstGeom prst="rect">
                            <ns2:avLst/>
                          </ns2:prstGeom>
                          <ns2:noFill/>
                          <ns2:ln w="9525">
                            <ns2:noFill/>
                            <ns2:headEnd/>
                            <ns2:tailEnd/>
                          </ns2:ln>
                        </ns3:spPr>
                      </ns3:pic>
                    </ns2:graphicData>
                  </ns2:graphic>
                </ns1:inline>
              </w:drawing>
            </w:r>
          </w:p>
          <w:p>
            <w:pPr>
              <w:pStyle w:val="ImageCaption"/>
              <w:spacing w:before="200" w:line="360" w:lineRule="auto"/>
              <w:jc w:val="center"/>
            </w:pPr>
            <w:r>
              <w:t xml:space="preserve">Figura 2.8: Niveles de evaluación de la explicabilidad y posición de FOM-7. Ningún</w:t>
            </w:r>
            <w:r>
              <w:t xml:space="preserve"> </w:t>
            </w:r>
            <w:r>
              <w:t xml:space="preserve">nivel domina en todos los casos: cada uno responde a preguntas distintas.</w:t>
            </w:r>
            <w:r>
              <w:t xml:space="preserve"> </w:t>
            </w:r>
            <w:r>
              <w:t xml:space="preserve">Fuente: adaptada de</w:t>
            </w:r>
            <w:r>
              <w:t xml:space="preserve"> </w:t>
            </w:r>
            <w:r>
              <w:t xml:space="preserve">Doshi-Velez (2017)</w:t>
            </w:r>
            <w:r>
              <w:t xml:space="preserve">.</w:t>
            </w:r>
          </w:p>
          <w:bookmarkEnd w:id="90"/>
        </w:tc>
      </w:tr>
    </w:tbl>
    <w:p>
      <w:pPr>
        <w:pStyle w:val="Textoindependiente"/>
        <w:spacing w:line="360" w:lineRule="auto"/>
        <w:jc w:val="both"/>
      </w:pPr>
      <w:r>
        <w:t xml:space="preserve">Quantus responde a la necesidad de evaluar explicaciones mediante un toolkit</w:t>
      </w:r>
      <w:r>
        <w:t xml:space="preserve"> </w:t>
      </w:r>
      <w:r>
        <w:t xml:space="preserve">que agrupa métricas y facilita comparaciones sistemáticas</w:t>
      </w:r>
      <w:r>
        <w:t xml:space="preserve"> </w:t>
      </w:r>
      <w:r>
        <w:t xml:space="preserve">(Hedström et al. 2023)</w:t>
      </w:r>
      <w:r>
        <w:t xml:space="preserve">.</w:t>
      </w:r>
      <w:r>
        <w:t xml:space="preserve"> </w:t>
      </w:r>
      <w:r>
        <w:t xml:space="preserve">Su contribución es importante porque reduce friccion tecnica, ordena familias de</w:t>
      </w:r>
      <w:r>
        <w:t xml:space="preserve"> </w:t>
      </w:r>
      <w:r>
        <w:t xml:space="preserve">métricas y promueve evaluaciones más reproducibles. No obstante, un toolkit no</w:t>
      </w:r>
      <w:r>
        <w:t xml:space="preserve"> </w:t>
      </w:r>
      <w:r>
        <w:t xml:space="preserve">resuelve por sí solo el problema de gobernanza del protocolo. Antes de ejecutar</w:t>
      </w:r>
      <w:r>
        <w:t xml:space="preserve"> </w:t>
      </w:r>
      <w:r>
        <w:t xml:space="preserve">métricas deben definirse artefactos, condiciones experimentales, filtros de</w:t>
      </w:r>
      <w:r>
        <w:t xml:space="preserve"> </w:t>
      </w:r>
      <w:r>
        <w:t xml:space="preserve">admisibilidad, estructura de reporte y reglas para convertir resultados en</w:t>
      </w:r>
      <w:r>
        <w:t xml:space="preserve"> </w:t>
      </w:r>
      <w:r>
        <w:t xml:space="preserve">afirmaciones defendibles.</w:t>
      </w:r>
    </w:p>
    <w:p>
      <w:pPr>
        <w:pStyle w:val="Textoindependiente"/>
        <w:spacing w:line="360" w:lineRule="auto"/>
        <w:jc w:val="both"/>
      </w:pPr>
      <w:r>
        <w:t xml:space="preserve">OpenXAI avanza en una direccion complementaria al proponer una plataforma de</w:t>
      </w:r>
      <w:r>
        <w:t xml:space="preserve"> </w:t>
      </w:r>
      <w:r>
        <w:t xml:space="preserve">evaluación transparente para explicaciones post-hoc</w:t>
      </w:r>
      <w:r>
        <w:t xml:space="preserve"> </w:t>
      </w:r>
      <w:r>
        <w:t xml:space="preserve">(Agarwal et al. 2022)</w:t>
      </w:r>
      <w:r>
        <w:t xml:space="preserve">. Su aporte</w:t>
      </w:r>
      <w:r>
        <w:t xml:space="preserve"> </w:t>
      </w:r>
      <w:r>
        <w:t xml:space="preserve">esta en hacer comparables métodos y condiciones de benchmarking. Para esta</w:t>
      </w:r>
      <w:r>
        <w:t xml:space="preserve"> </w:t>
      </w:r>
      <w:r>
        <w:t xml:space="preserve">tesis, OpenXAI funciona como referente directo: confirma que el problema de</w:t>
      </w:r>
      <w:r>
        <w:t xml:space="preserve"> </w:t>
      </w:r>
      <w:r>
        <w:t xml:space="preserve">estandarización es reconocido por la comunidad, pero también permite delimitar</w:t>
      </w:r>
      <w:r>
        <w:t xml:space="preserve"> </w:t>
      </w:r>
      <w:r>
        <w:t xml:space="preserve">la contribución de FOM-7. FOM-7 no pretende reemplazar estos marcos; busca</w:t>
      </w:r>
      <w:r>
        <w:t xml:space="preserve"> </w:t>
      </w:r>
      <w:r>
        <w:t xml:space="preserve">operacionalizar el camino desde el diseño experimental hasta la trazabilidad de</w:t>
      </w:r>
      <w:r>
        <w:t xml:space="preserve"> </w:t>
      </w:r>
      <w:r>
        <w:t xml:space="preserve">conclusiones en el contexto empírico de la tesis.</w:t>
      </w:r>
    </w:p>
    <w:p>
      <w:pPr>
        <w:pStyle w:val="Textoindependiente"/>
        <w:spacing w:line="360" w:lineRule="auto"/>
        <w:jc w:val="both"/>
      </w:pPr>
      <w:r>
        <w:t xml:space="preserve">La revisión sistemática de evaluación XAI refuerza este posiciónamiento.</w:t>
      </w:r>
      <w:r>
        <w:t xml:space="preserve"> </w:t>
      </w:r>
      <w:r>
        <w:t xml:space="preserve">Nauta et al. (2023)</w:t>
      </w:r>
      <w:r>
        <w:t xml:space="preserve"> </w:t>
      </w:r>
      <w:r>
        <w:t xml:space="preserve">describen un desplazamiento necesario desde evidencia anecdótica</w:t>
      </w:r>
      <w:r>
        <w:t xml:space="preserve"> </w:t>
      </w:r>
      <w:r>
        <w:t xml:space="preserve">hacia métodos cuantitativos de evaluación, pero ese desplazamiento no resuelve</w:t>
      </w:r>
      <w:r>
        <w:t xml:space="preserve"> </w:t>
      </w:r>
      <w:r>
        <w:t xml:space="preserve">por sí solo la relación entre métrica, constructo y claim. La evaluación puede</w:t>
      </w:r>
      <w:r>
        <w:t xml:space="preserve"> </w:t>
      </w:r>
      <w:r>
        <w:t xml:space="preserve">ser cuantitativa y aun así estar mal alineada si la métrica mide una propiedad</w:t>
      </w:r>
      <w:r>
        <w:t xml:space="preserve"> </w:t>
      </w:r>
      <w:r>
        <w:t xml:space="preserve">distinta a la afirmación. Los sanity checks para métricas de saliencia apuntan a</w:t>
      </w:r>
      <w:r>
        <w:t xml:space="preserve"> </w:t>
      </w:r>
      <w:r>
        <w:t xml:space="preserve">un problema similar: no basta con evaluar explicaciones; también deben</w:t>
      </w:r>
      <w:r>
        <w:t xml:space="preserve"> </w:t>
      </w:r>
      <w:r>
        <w:t xml:space="preserve">examinarse las métricas usadas para evaluarlas</w:t>
      </w:r>
      <w:r>
        <w:t xml:space="preserve"> </w:t>
      </w:r>
      <w:r>
        <w:t xml:space="preserve">(Tomsett et al. 2020)</w:t>
      </w:r>
      <w:r>
        <w:t xml:space="preserve">. Esta idea es</w:t>
      </w:r>
      <w:r>
        <w:t xml:space="preserve"> </w:t>
      </w:r>
      <w:r>
        <w:t xml:space="preserve">central para FOM-7, porque la tesis no puede tratar las métricas como</w:t>
      </w:r>
      <w:r>
        <w:t xml:space="preserve"> </w:t>
      </w:r>
      <w:r>
        <w:t xml:space="preserve">instrumentos neutrales. Debe documentar qué mide cada métrica, bajo qué</w:t>
      </w:r>
      <w:r>
        <w:t xml:space="preserve"> </w:t>
      </w:r>
      <w:r>
        <w:t xml:space="preserve">supuestos, y qué afirmaciones permite sostener.</w:t>
      </w:r>
    </w:p>
    <w:p>
      <w:pPr>
        <w:pStyle w:val="Textoindependiente"/>
        <w:spacing w:line="360" w:lineRule="auto"/>
        <w:jc w:val="both"/>
      </w:pPr>
      <w:r>
        <w:t xml:space="preserve">Los marcos existentes ofrecen piezas importantes del problema. Quantus facilita</w:t>
      </w:r>
      <w:r>
        <w:t xml:space="preserve"> </w:t>
      </w:r>
      <w:r>
        <w:t xml:space="preserve">la implementación sistemática de métricas; OpenXAI promueve comparabilidad y</w:t>
      </w:r>
      <w:r>
        <w:t xml:space="preserve"> </w:t>
      </w:r>
      <w:r>
        <w:t xml:space="preserve">transparencia de benchmark; las taxonomías de evaluación distinguen niveles de</w:t>
      </w:r>
      <w:r>
        <w:t xml:space="preserve"> </w:t>
      </w:r>
      <w:r>
        <w:t xml:space="preserve">evidencia; los estudios human-centered muestran que la utilidad depende de</w:t>
      </w:r>
      <w:r>
        <w:t xml:space="preserve"> </w:t>
      </w:r>
      <w:r>
        <w:t xml:space="preserve">usuarios y tareas</w:t>
      </w:r>
      <w:r>
        <w:t xml:space="preserve"> </w:t>
      </w:r>
      <w:r>
        <w:t xml:space="preserve">(Doshi-Velez 2017; Hedström et al. 2023; Agarwal et al. 2022; Rong et al. 2024)</w:t>
      </w:r>
      <w:r>
        <w:t xml:space="preserve">. FOM-7 se ubica entre estas piezas como una capa de integración</w:t>
      </w:r>
      <w:r>
        <w:t xml:space="preserve"> </w:t>
      </w:r>
      <w:r>
        <w:t xml:space="preserve">operativa. Su pregunta no es solamente</w:t>
      </w:r>
      <w:r>
        <w:t xml:space="preserve"> </w:t>
      </w:r>
      <w:r>
        <w:t xml:space="preserve">“qué métrica ejecutar”</w:t>
      </w:r>
      <w:r>
        <w:t xml:space="preserve">, sino cómo</w:t>
      </w:r>
      <w:r>
        <w:t xml:space="preserve"> </w:t>
      </w:r>
      <w:r>
        <w:t xml:space="preserve">asegurar que cada resultado métricamente calculado pueda transformarse en una</w:t>
      </w:r>
      <w:r>
        <w:t xml:space="preserve"> </w:t>
      </w:r>
      <w:r>
        <w:t xml:space="preserve">afirmación doctoralmente admisible, con artefactos calificados y límites de</w:t>
      </w:r>
      <w:r>
        <w:t xml:space="preserve"> </w:t>
      </w:r>
      <w:r>
        <w:t xml:space="preserve">alcance explícitos.</w:t>
      </w:r>
    </w:p>
    <w:p>
      <w:pPr>
        <w:pStyle w:val="Textoindependiente"/>
        <w:spacing w:line="360" w:lineRule="auto"/>
        <w:jc w:val="both"/>
      </w:pPr>
      <w:r>
        <w:t xml:space="preserve">La Tabla</w:t>
      </w:r>
      <w:r>
        <w:t xml:space="preserve"> </w:t>
      </w:r>
      <w:hyperlink w:anchor="tbl-framework-comparison">
        <w:r>
          <w:rPr>
            <w:rStyle w:val="Hipervnculo"/>
          </w:rPr>
          <w:t xml:space="preserve">2.1</w:t>
        </w:r>
      </w:hyperlink>
      <w:r>
        <w:t xml:space="preserve"> </w:t>
      </w:r>
      <w:r>
        <w:t xml:space="preserve">compara los marcos de evaluación más</w:t>
      </w:r>
      <w:r>
        <w:t xml:space="preserve"> </w:t>
      </w:r>
      <w:r>
        <w:t xml:space="preserve">relevantes para la tesis según cuatro dimensiones: la cobertura de métricas</w:t>
      </w:r>
      <w:r>
        <w:t xml:space="preserve"> </w:t>
      </w:r>
      <w:r>
        <w:t xml:space="preserve">ofrecida, el soporte a la reproducibilidad experimental, la presencia de un</w:t>
      </w:r>
      <w:r>
        <w:t xml:space="preserve"> </w:t>
      </w:r>
      <w:r>
        <w:t xml:space="preserve">protocolo de gobernanza secuencial y el tipo de evaluación predominante.</w:t>
      </w:r>
    </w:p>
    <w:tbl>
      <w:tblPr>
        <w:tblStyle w:val="Table"/>
        <w:tblW w:type="pct" w:w="5000"/>
        <w:jc w:val="center"/>
        <w:tblLayout w:type="fixed"/>
        <w:tblLook w:firstRow="0" w:lastRow="0" w:firstColumn="0" w:lastColumn="0" w:noHBand="0" w:noVBand="0" w:val="0000"/>
      </w:tblPr>
      <w:tblGrid>
        <w:gridCol w:w="7920"/>
      </w:tblGrid>
      <w:tr>
        <w:tc>
          <w:tcPr/>
          <w:bookmarkStart w:id="91" w:name="tbl-framework-comparison"/>
          <w:p>
            <w:pPr>
              <w:pStyle w:val="ImageCaption"/>
              <w:spacing w:before="200" w:line="360" w:lineRule="auto"/>
              <w:jc w:val="center"/>
            </w:pPr>
            <w:r>
              <w:t xml:space="preserve">Tabla 2.1: Comparación de marcos de evaluación XAI según cobertura, reproducibilidad, gobernanza y tipo de evaluación.</w:t>
            </w:r>
          </w:p>
          <w:tbl>
            <w:tblPr>
              <w:tblStyle w:val="Table"/>
              <w:tblW w:type="pct" w:w="500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both"/>
                    <w:jc w:val="center"/>
                    <w:spacing w:line="360" w:lineRule="auto"/>
                  </w:pPr>
                  <w:r>
                    <w:rPr>
                      <w:bCs/>
                      <w:b/>
                    </w:rPr>
                    <w:t xml:space="preserve">Marco / protocolo</w:t>
                  </w:r>
                </w:p>
              </w:tc>
              <w:tc>
                <w:tcPr/>
                <w:p>
                  <w:pPr>
                    <w:pStyle w:val="Compact"/>
                    <w:jc w:val="both"/>
                    <w:jc w:val="center"/>
                    <w:spacing w:line="360" w:lineRule="auto"/>
                  </w:pPr>
                  <w:r>
                    <w:rPr>
                      <w:bCs/>
                      <w:b/>
                    </w:rPr>
                    <w:t xml:space="preserve">Cobertura de métricas</w:t>
                  </w:r>
                </w:p>
              </w:tc>
              <w:tc>
                <w:tcPr/>
                <w:p>
                  <w:pPr>
                    <w:pStyle w:val="Compact"/>
                    <w:jc w:val="both"/>
                    <w:jc w:val="center"/>
                    <w:spacing w:line="360" w:lineRule="auto"/>
                  </w:pPr>
                  <w:r>
                    <w:rPr>
                      <w:bCs/>
                      <w:b/>
                    </w:rPr>
                    <w:t xml:space="preserve">Soporte a reproducibilidad</w:t>
                  </w:r>
                </w:p>
              </w:tc>
              <w:tc>
                <w:tcPr/>
                <w:p>
                  <w:pPr>
                    <w:pStyle w:val="Compact"/>
                    <w:jc w:val="both"/>
                    <w:jc w:val="center"/>
                    <w:spacing w:line="360" w:lineRule="auto"/>
                  </w:pPr>
                  <w:r>
                    <w:rPr>
                      <w:bCs/>
                      <w:b/>
                    </w:rPr>
                    <w:t xml:space="preserve">Protocolo de gobernanza</w:t>
                  </w:r>
                </w:p>
              </w:tc>
              <w:tc>
                <w:tcPr/>
                <w:p>
                  <w:pPr>
                    <w:pStyle w:val="Compact"/>
                    <w:jc w:val="both"/>
                    <w:jc w:val="center"/>
                    <w:spacing w:line="360" w:lineRule="auto"/>
                  </w:pPr>
                  <w:r>
                    <w:rPr>
                      <w:bCs/>
                      <w:b/>
                    </w:rPr>
                    <w:t xml:space="preserve">Tipo de evaluación predominante</w:t>
                  </w:r>
                </w:p>
              </w:tc>
            </w:tr>
            <w:tr>
              <w:tc>
                <w:tcPr/>
                <w:p>
                  <w:pPr>
                    <w:pStyle w:val="Compact"/>
                    <w:jc w:val="both"/>
                    <w:jc w:val="center"/>
                    <w:spacing w:line="360" w:lineRule="auto"/>
                  </w:pPr>
                  <w:r>
                    <w:rPr>
                      <w:b/>
                      <w:bCs/>
                    </w:rPr>
                    <w:t xml:space="preserve">Quantus</w:t>
                  </w:r>
                  <w:r>
                    <w:t xml:space="preserve"> </w:t>
                  </w:r>
                  <w:r>
                    <w:t xml:space="preserve">(Hedström et al. 2023)</w:t>
                  </w:r>
                </w:p>
              </w:tc>
              <w:tc>
                <w:tcPr/>
                <w:p>
                  <w:pPr>
                    <w:pStyle w:val="Compact"/>
                    <w:jc w:val="both"/>
                    <w:jc w:val="center"/>
                    <w:spacing w:line="360" w:lineRule="auto"/>
                  </w:pPr>
                  <w:r>
                    <w:t xml:space="preserve">Alta: 20+ métricas implementadas (fidelidad, robustez, complejidad, localidad, aleatoriedad)</w:t>
                  </w:r>
                </w:p>
              </w:tc>
              <w:tc>
                <w:tcPr/>
                <w:p>
                  <w:pPr>
                    <w:pStyle w:val="Compact"/>
                    <w:jc w:val="both"/>
                    <w:jc w:val="center"/>
                    <w:spacing w:line="360" w:lineRule="auto"/>
                  </w:pPr>
                  <w:r>
                    <w:t xml:space="preserve">Moderado: versiones fijadas, pero sin protocolo de calificación de artefactos</w:t>
                  </w:r>
                </w:p>
              </w:tc>
              <w:tc>
                <w:tcPr/>
                <w:p>
                  <w:pPr>
                    <w:pStyle w:val="Compact"/>
                    <w:jc w:val="both"/>
                    <w:jc w:val="center"/>
                    <w:spacing w:line="360" w:lineRule="auto"/>
                  </w:pPr>
                  <w:r>
                    <w:t xml:space="preserve">Ninguno: uso ad-hoc por el investigador</w:t>
                  </w:r>
                </w:p>
              </w:tc>
              <w:tc>
                <w:tcPr/>
                <w:p>
                  <w:pPr>
                    <w:pStyle w:val="Compact"/>
                    <w:jc w:val="both"/>
                    <w:jc w:val="center"/>
                    <w:spacing w:line="360" w:lineRule="auto"/>
                  </w:pPr>
                  <w:r>
                    <w:t xml:space="preserve">Functionally-grounded; sin capa inferencial integrada</w:t>
                  </w:r>
                </w:p>
              </w:tc>
            </w:tr>
            <w:tr>
              <w:tc>
                <w:tcPr/>
                <w:p>
                  <w:pPr>
                    <w:pStyle w:val="Compact"/>
                    <w:jc w:val="both"/>
                    <w:jc w:val="center"/>
                    <w:spacing w:line="360" w:lineRule="auto"/>
                  </w:pPr>
                  <w:r>
                    <w:rPr>
                      <w:b/>
                      <w:bCs/>
                    </w:rPr>
                    <w:t xml:space="preserve">OpenXAI</w:t>
                  </w:r>
                  <w:r>
                    <w:t xml:space="preserve"> </w:t>
                  </w:r>
                  <w:r>
                    <w:t xml:space="preserve">(Agarwal et al. 2022)</w:t>
                  </w:r>
                </w:p>
              </w:tc>
              <w:tc>
                <w:tcPr/>
                <w:p>
                  <w:pPr>
                    <w:pStyle w:val="Compact"/>
                    <w:jc w:val="both"/>
                    <w:jc w:val="center"/>
                    <w:spacing w:line="360" w:lineRule="auto"/>
                  </w:pPr>
                  <w:r>
                    <w:t xml:space="preserve">Alta: cubre fidelidad, estabilidad, fairness; incluye ground-truth sintético</w:t>
                  </w:r>
                </w:p>
              </w:tc>
              <w:tc>
                <w:tcPr/>
                <w:p>
                  <w:pPr>
                    <w:pStyle w:val="Compact"/>
                    <w:jc w:val="both"/>
                    <w:jc w:val="center"/>
                    <w:spacing w:line="360" w:lineRule="auto"/>
                  </w:pPr>
                  <w:r>
                    <w:t xml:space="preserve">Moderado: plataforma y conjuntos estandarizados; sin control de semillas declarativo</w:t>
                  </w:r>
                </w:p>
              </w:tc>
              <w:tc>
                <w:tcPr/>
                <w:p>
                  <w:pPr>
                    <w:pStyle w:val="Compact"/>
                    <w:jc w:val="both"/>
                    <w:jc w:val="center"/>
                    <w:spacing w:line="360" w:lineRule="auto"/>
                  </w:pPr>
                  <w:r>
                    <w:t xml:space="preserve">Ninguno: comparabilidad por convención, no por protocolo</w:t>
                  </w:r>
                </w:p>
              </w:tc>
              <w:tc>
                <w:tcPr/>
                <w:p>
                  <w:pPr>
                    <w:pStyle w:val="Compact"/>
                    <w:jc w:val="both"/>
                    <w:jc w:val="center"/>
                    <w:spacing w:line="360" w:lineRule="auto"/>
                  </w:pPr>
                  <w:r>
                    <w:t xml:space="preserve">Functionally-grounded + comparación con ground-truth</w:t>
                  </w:r>
                </w:p>
              </w:tc>
            </w:tr>
            <w:tr>
              <w:tc>
                <w:tcPr/>
                <w:p>
                  <w:pPr>
                    <w:pStyle w:val="Compact"/>
                    <w:jc w:val="both"/>
                    <w:jc w:val="center"/>
                    <w:spacing w:line="360" w:lineRule="auto"/>
                  </w:pPr>
                  <w:r>
                    <w:rPr>
                      <w:b/>
                      <w:bCs/>
                    </w:rPr>
                    <w:t xml:space="preserve">Encuesta Nauta et al.</w:t>
                  </w:r>
                  <w:r>
                    <w:t xml:space="preserve"> </w:t>
                  </w:r>
                  <w:r>
                    <w:t xml:space="preserve">(Nauta et al. 2023)</w:t>
                  </w:r>
                </w:p>
              </w:tc>
              <w:tc>
                <w:tcPr/>
                <w:p>
                  <w:pPr>
                    <w:pStyle w:val="Compact"/>
                    <w:jc w:val="both"/>
                    <w:jc w:val="center"/>
                    <w:spacing w:line="360" w:lineRule="auto"/>
                  </w:pPr>
                  <w:r>
                    <w:t xml:space="preserve">Muy alta: revisión de 30 propiedades de evaluación; incluye nivel de usuario y tarea</w:t>
                  </w:r>
                </w:p>
              </w:tc>
              <w:tc>
                <w:tcPr/>
                <w:p>
                  <w:pPr>
                    <w:pStyle w:val="Compact"/>
                    <w:jc w:val="both"/>
                    <w:jc w:val="center"/>
                    <w:spacing w:line="360" w:lineRule="auto"/>
                  </w:pPr>
                  <w:r>
                    <w:t xml:space="preserve">Bajo: documento de revisión, sin implementación de pipeline</w:t>
                  </w:r>
                </w:p>
              </w:tc>
              <w:tc>
                <w:tcPr/>
                <w:p>
                  <w:pPr>
                    <w:pStyle w:val="Compact"/>
                    <w:jc w:val="both"/>
                    <w:jc w:val="center"/>
                    <w:spacing w:line="360" w:lineRule="auto"/>
                  </w:pPr>
                  <w:r>
                    <w:t xml:space="preserve">Ninguno: marco conceptual, no operativo</w:t>
                  </w:r>
                </w:p>
              </w:tc>
              <w:tc>
                <w:tcPr/>
                <w:p>
                  <w:pPr>
                    <w:pStyle w:val="Compact"/>
                    <w:jc w:val="both"/>
                    <w:jc w:val="center"/>
                    <w:spacing w:line="360" w:lineRule="auto"/>
                  </w:pPr>
                  <w:r>
                    <w:t xml:space="preserve">Múltiple: application, human y functionally-grounded</w:t>
                  </w:r>
                </w:p>
              </w:tc>
            </w:tr>
            <w:tr>
              <w:tc>
                <w:tcPr/>
                <w:p>
                  <w:pPr>
                    <w:pStyle w:val="Compact"/>
                    <w:jc w:val="both"/>
                    <w:jc w:val="center"/>
                    <w:spacing w:line="360" w:lineRule="auto"/>
                  </w:pPr>
                  <w:r>
                    <w:rPr>
                      <w:b/>
                      <w:bCs/>
                    </w:rPr>
                    <w:t xml:space="preserve">CARLA</w:t>
                  </w:r>
                  <w:r>
                    <w:t xml:space="preserve"> </w:t>
                  </w:r>
                  <w:r>
                    <w:t xml:space="preserve">(Pawlicki et al. 2024)</w:t>
                  </w:r>
                </w:p>
              </w:tc>
              <w:tc>
                <w:tcPr/>
                <w:p>
                  <w:pPr>
                    <w:pStyle w:val="Compact"/>
                    <w:jc w:val="both"/>
                    <w:jc w:val="center"/>
                    <w:spacing w:line="360" w:lineRule="auto"/>
                  </w:pPr>
                  <w:r>
                    <w:t xml:space="preserve">Moderada: orientada a contrafactuales y recourse; cubre validez, proximidad, diversidad</w:t>
                  </w:r>
                </w:p>
              </w:tc>
              <w:tc>
                <w:tcPr/>
                <w:p>
                  <w:pPr>
                    <w:pStyle w:val="Compact"/>
                    <w:jc w:val="both"/>
                    <w:jc w:val="center"/>
                    <w:spacing w:line="360" w:lineRule="auto"/>
                  </w:pPr>
                  <w:r>
                    <w:t xml:space="preserve">Moderado: librería de benchmarking, configuraciones documentadas</w:t>
                  </w:r>
                </w:p>
              </w:tc>
              <w:tc>
                <w:tcPr/>
                <w:p>
                  <w:pPr>
                    <w:pStyle w:val="Compact"/>
                    <w:jc w:val="both"/>
                    <w:jc w:val="center"/>
                    <w:spacing w:line="360" w:lineRule="auto"/>
                  </w:pPr>
                  <w:r>
                    <w:t xml:space="preserve">Ninguno: librería sin protocolo de admisibilidad</w:t>
                  </w:r>
                </w:p>
              </w:tc>
              <w:tc>
                <w:tcPr/>
                <w:p>
                  <w:pPr>
                    <w:pStyle w:val="Compact"/>
                    <w:jc w:val="both"/>
                    <w:jc w:val="center"/>
                    <w:spacing w:line="360" w:lineRule="auto"/>
                  </w:pPr>
                  <w:r>
                    <w:t xml:space="preserve">Functionally-grounded + counterfactual-specific</w:t>
                  </w:r>
                </w:p>
              </w:tc>
            </w:tr>
            <w:tr>
              <w:tc>
                <w:tcPr/>
                <w:p>
                  <w:pPr>
                    <w:pStyle w:val="Compact"/>
                    <w:jc w:val="both"/>
                    <w:jc w:val="center"/>
                    <w:spacing w:line="360" w:lineRule="auto"/>
                  </w:pPr>
                  <w:r>
                    <w:rPr>
                      <w:b/>
                      <w:bCs/>
                    </w:rPr>
                    <w:t xml:space="preserve">FOM-7</w:t>
                  </w:r>
                  <w:r>
                    <w:t xml:space="preserve"> </w:t>
                  </w:r>
                  <w:r>
                    <w:t xml:space="preserve">(esta tesis)</w:t>
                  </w:r>
                </w:p>
              </w:tc>
              <w:tc>
                <w:tcPr/>
                <w:p>
                  <w:pPr>
                    <w:pStyle w:val="Compact"/>
                    <w:jc w:val="both"/>
                    <w:jc w:val="center"/>
                    <w:spacing w:line="360" w:lineRule="auto"/>
                  </w:pPr>
                  <w:r>
                    <w:t xml:space="preserve">Moderada: cinco métricas primarias operacionalizadas; extensible por diseño</w:t>
                  </w:r>
                </w:p>
              </w:tc>
              <w:tc>
                <w:tcPr/>
                <w:p>
                  <w:pPr>
                    <w:pStyle w:val="Compact"/>
                    <w:jc w:val="both"/>
                    <w:jc w:val="center"/>
                    <w:spacing w:line="360" w:lineRule="auto"/>
                  </w:pPr>
                  <w:r>
                    <w:t xml:space="preserve">Alto: manifiestos YAML, semillas declarativas, artefactos calificados, DOI Zenodo</w:t>
                  </w:r>
                </w:p>
              </w:tc>
              <w:tc>
                <w:tcPr/>
                <w:p>
                  <w:pPr>
                    <w:pStyle w:val="Compact"/>
                    <w:jc w:val="both"/>
                    <w:jc w:val="center"/>
                    <w:spacing w:line="360" w:lineRule="auto"/>
                  </w:pPr>
                  <w:r>
                    <w:t xml:space="preserve">Sí: siete puertas secuenciales con criterios de admisibilidad y falla explícitos</w:t>
                  </w:r>
                </w:p>
              </w:tc>
              <w:tc>
                <w:tcPr/>
                <w:p>
                  <w:pPr>
                    <w:pStyle w:val="Compact"/>
                    <w:jc w:val="both"/>
                    <w:jc w:val="center"/>
                    <w:spacing w:line="360" w:lineRule="auto"/>
                  </w:pPr>
                  <w:r>
                    <w:t xml:space="preserve">Functionally-grounded con admisibilidad estadística integrada</w:t>
                  </w:r>
                </w:p>
              </w:tc>
            </w:tr>
          </w:tbl>
          <w:bookmarkEnd w:id="91"/>
          <w:p>
            <w:pPr>
              <w:spacing w:line="360" w:lineRule="auto"/>
              <w:jc w:val="both"/>
            </w:pPr>
          </w:p>
        </w:tc>
      </w:tr>
    </w:tbl>
    <w:p>
      <w:pPr>
        <w:pStyle w:val="Textoindependiente"/>
        <w:spacing w:line="360" w:lineRule="auto"/>
        <w:jc w:val="both"/>
      </w:pPr>
      <w:r>
        <w:t xml:space="preserve">Esta comparación muestra que los marcos existentes cubren bien la dimensión de</w:t>
      </w:r>
      <w:r>
        <w:t xml:space="preserve"> </w:t>
      </w:r>
      <w:r>
        <w:t xml:space="preserve">cobertura de métricas (Quantus, OpenXAI) o la dimensión conceptual (Nauta et</w:t>
      </w:r>
      <w:r>
        <w:t xml:space="preserve"> </w:t>
      </w:r>
      <w:r>
        <w:t xml:space="preserve">al.), pero ninguno integra un protocolo de gobernanza secuencial que garantice</w:t>
      </w:r>
      <w:r>
        <w:t xml:space="preserve"> </w:t>
      </w:r>
      <w:r>
        <w:t xml:space="preserve">que cada paso del ciclo de evidencia —desde la congelación del diseño hasta la</w:t>
      </w:r>
      <w:r>
        <w:t xml:space="preserve"> </w:t>
      </w:r>
      <w:r>
        <w:t xml:space="preserve">trazabilidad de afirmaciones— esté regulado por criterios de admisibilidad</w:t>
      </w:r>
      <w:r>
        <w:t xml:space="preserve"> </w:t>
      </w:r>
      <w:r>
        <w:t xml:space="preserve">explícitos. Esa integración es precisamente la contribución diferenciadora de</w:t>
      </w:r>
      <w:r>
        <w:t xml:space="preserve"> </w:t>
      </w:r>
      <w:r>
        <w:t xml:space="preserve">FOM-7 respecto a los marcos enumerados.</w:t>
      </w:r>
    </w:p>
    <w:p>
      <w:pPr>
        <w:pStyle w:val="Textoindependiente"/>
        <w:spacing w:line="360" w:lineRule="auto"/>
        <w:jc w:val="both"/>
      </w:pPr>
      <w:r>
        <w:t xml:space="preserve">En dominios de alta responsabilidad, como salud, esta distinción se vuelve aún</w:t>
      </w:r>
      <w:r>
        <w:t xml:space="preserve"> </w:t>
      </w:r>
      <w:r>
        <w:t xml:space="preserve">más visible: las revisiones de XAI médico muestran que la explicabilidad debe</w:t>
      </w:r>
      <w:r>
        <w:t xml:space="preserve"> </w:t>
      </w:r>
      <w:r>
        <w:t xml:space="preserve">relacionarse con confianza, validación, responsabilidad y restricciones del</w:t>
      </w:r>
      <w:r>
        <w:t xml:space="preserve"> </w:t>
      </w:r>
      <w:r>
        <w:t xml:space="preserve">contexto de uso, no solo con la disponibilidad de una visualización o una lista</w:t>
      </w:r>
      <w:r>
        <w:t xml:space="preserve"> </w:t>
      </w:r>
      <w:r>
        <w:t xml:space="preserve">de importancias</w:t>
      </w:r>
      <w:r>
        <w:t xml:space="preserve"> </w:t>
      </w:r>
      <w:r>
        <w:t xml:space="preserve">(Tjoa y Guan 2021)</w:t>
      </w:r>
      <w:r>
        <w:t xml:space="preserve">. Aunque esta tesis no se limita al dominio médico,</w:t>
      </w:r>
      <w:r>
        <w:t xml:space="preserve"> </w:t>
      </w:r>
      <w:r>
        <w:t xml:space="preserve">ese tipo de literatura refuerza la necesidad de separar utilidad contextual,</w:t>
      </w:r>
      <w:r>
        <w:t xml:space="preserve"> </w:t>
      </w:r>
      <w:r>
        <w:t xml:space="preserve">evidencia computacional y admisibilidad de claims.</w:t>
      </w:r>
    </w:p>
    <w:p>
      <w:pPr>
        <w:pStyle w:val="Textoindependiente"/>
        <w:spacing w:line="360" w:lineRule="auto"/>
        <w:jc w:val="both"/>
      </w:pPr>
      <w:r>
        <w:t xml:space="preserve">La literatura reciente sobre métricas XAI insiste en que la evaluación</w:t>
      </w:r>
      <w:r>
        <w:t xml:space="preserve"> </w:t>
      </w:r>
      <w:r>
        <w:t xml:space="preserve">unidimensional es insuficiente</w:t>
      </w:r>
      <w:r>
        <w:t xml:space="preserve"> </w:t>
      </w:r>
      <w:r>
        <w:t xml:space="preserve">(Abdul Kadir et al. 2023; Pawlicki et al. 2024)</w:t>
      </w:r>
      <w:r>
        <w:t xml:space="preserve">. Fidelidad,</w:t>
      </w:r>
      <w:r>
        <w:t xml:space="preserve"> </w:t>
      </w:r>
      <w:r>
        <w:t xml:space="preserve">estabilidad, robustez, complejidad, coste y utilidad capturan constructos</w:t>
      </w:r>
      <w:r>
        <w:t xml:space="preserve"> </w:t>
      </w:r>
      <w:r>
        <w:t xml:space="preserve">diferentes. Un método puede ser rápido y estable, pero poco fiel; otro puede ser</w:t>
      </w:r>
      <w:r>
        <w:t xml:space="preserve"> </w:t>
      </w:r>
      <w:r>
        <w:t xml:space="preserve">fiel y costoso; otro puede ser comprensible pero frágil ante perturbaciones. La</w:t>
      </w:r>
      <w:r>
        <w:t xml:space="preserve"> </w:t>
      </w:r>
      <w:r>
        <w:t xml:space="preserve">consecuencia metodológica es clara: la tesis debe reportar perfiles de</w:t>
      </w:r>
      <w:r>
        <w:t xml:space="preserve"> </w:t>
      </w:r>
      <w:r>
        <w:t xml:space="preserve">desempeño, no rankings absolutos simplificados.</w:t>
      </w:r>
    </w:p>
    <w:p>
      <w:pPr>
        <w:pStyle w:val="Textoindependiente"/>
        <w:spacing w:line="360" w:lineRule="auto"/>
        <w:jc w:val="both"/>
      </w:pPr>
      <w:r>
        <w:t xml:space="preserve">La perspectiva human-centered refuerza la misma conclusión desde otro ángulo.</w:t>
      </w:r>
      <w:r>
        <w:t xml:space="preserve"> </w:t>
      </w:r>
      <w:r>
        <w:t xml:space="preserve">No hay una explicación universalmente adecuada para todos los usuarios, tareas y</w:t>
      </w:r>
      <w:r>
        <w:t xml:space="preserve"> </w:t>
      </w:r>
      <w:r>
        <w:t xml:space="preserve">contextos. Las revisiones y estudios de usuarios muestran que la explicación</w:t>
      </w:r>
      <w:r>
        <w:t xml:space="preserve"> </w:t>
      </w:r>
      <w:r>
        <w:t xml:space="preserve">puede servir para depurar modelos, justificar decisiones, calibrar confianza,</w:t>
      </w:r>
      <w:r>
        <w:t xml:space="preserve"> </w:t>
      </w:r>
      <w:r>
        <w:t xml:space="preserve">enseñar comportamiento del sistema, identificar errores o apoyar acción</w:t>
      </w:r>
      <w:r>
        <w:t xml:space="preserve"> </w:t>
      </w:r>
      <w:r>
        <w:t xml:space="preserve">(Miller 2019; Abdul et al. 2018; Langer et al. 2021; Sokol y Flach 2020; Rong et al. 2024)</w:t>
      </w:r>
      <w:r>
        <w:t xml:space="preserve">. Cada finalidad</w:t>
      </w:r>
      <w:r>
        <w:t xml:space="preserve"> </w:t>
      </w:r>
      <w:r>
        <w:t xml:space="preserve">demanda criterios distintos. Por ello, FOM-7 no debe usar la palabra</w:t>
      </w:r>
      <w:r>
        <w:t xml:space="preserve"> </w:t>
      </w:r>
      <w:r>
        <w:t xml:space="preserve">“mejor”</w:t>
      </w:r>
      <w:r>
        <w:t xml:space="preserve"> </w:t>
      </w:r>
      <w:r>
        <w:t xml:space="preserve">sin</w:t>
      </w:r>
      <w:r>
        <w:t xml:space="preserve"> </w:t>
      </w:r>
      <w:r>
        <w:t xml:space="preserve">calificador. Debe hablar de mejor fidelidad local, mayor estabilidad bajo una</w:t>
      </w:r>
      <w:r>
        <w:t xml:space="preserve"> </w:t>
      </w:r>
      <w:r>
        <w:t xml:space="preserve">perturbación definida, menor coste computacional, mayor cobertura de regla o</w:t>
      </w:r>
      <w:r>
        <w:t xml:space="preserve"> </w:t>
      </w:r>
      <w:r>
        <w:t xml:space="preserve">mayor satisfacción de un criterio contrafactual. Esta disciplina semántica es</w:t>
      </w:r>
      <w:r>
        <w:t xml:space="preserve"> </w:t>
      </w:r>
      <w:r>
        <w:t xml:space="preserve">parte del aporte teórico del protocolo.</w:t>
      </w:r>
    </w:p>
    <w:bookmarkStart w:id="92" w:name="X900f39c64f84f209bdf33df61ada6c5cfa8ef2d"/>
    <w:p>
      <w:pPr>
        <w:pStyle w:val="Ttulo3"/>
        <w:spacing w:line="360" w:lineRule="auto"/>
        <w:jc w:val="both"/>
      </w:pPr>
      <w:r>
        <w:t xml:space="preserve">2.5.1 </w:t>
      </w:r>
      <w:r>
        <w:t xml:space="preserve">Evaluación human-centered: usuarios, tareas y calidad explicativa</w:t>
      </w:r>
    </w:p>
    <w:p>
      <w:pPr>
        <w:pStyle w:val="FirstParagraph"/>
        <w:spacing w:line="360" w:lineRule="auto"/>
        <w:jc w:val="both"/>
      </w:pPr>
      <w:r>
        <w:t xml:space="preserve">Esta rama ha alcanzado en los últimos años una madurez propia, con agendas</w:t>
      </w:r>
      <w:r>
        <w:t xml:space="preserve"> </w:t>
      </w:r>
      <w:r>
        <w:t xml:space="preserve">explícitas de consolidación</w:t>
      </w:r>
      <w:r>
        <w:t xml:space="preserve"> </w:t>
      </w:r>
      <w:r>
        <w:t xml:space="preserve">(Ehsan et al. 2023)</w:t>
      </w:r>
      <w:r>
        <w:t xml:space="preserve"> </w:t>
      </w:r>
      <w:r>
        <w:t xml:space="preserve">y revisiones críticas que cuestionan los</w:t>
      </w:r>
      <w:r>
        <w:t xml:space="preserve"> </w:t>
      </w:r>
      <w:r>
        <w:t xml:space="preserve">supuestos dominantes del campo</w:t>
      </w:r>
      <w:r>
        <w:t xml:space="preserve"> </w:t>
      </w:r>
      <w:r>
        <w:t xml:space="preserve">(Ehsan y Riedl 2024)</w:t>
      </w:r>
      <w:r>
        <w:t xml:space="preserve">. La investigación reciente muestra</w:t>
      </w:r>
      <w:r>
        <w:t xml:space="preserve"> </w:t>
      </w:r>
      <w:r>
        <w:t xml:space="preserve">que la calidad percibida de una explicación depende de variables que ninguna</w:t>
      </w:r>
      <w:r>
        <w:t xml:space="preserve"> </w:t>
      </w:r>
      <w:r>
        <w:t xml:space="preserve">métrica computacional recoge: las características y el nivel de experiencia del</w:t>
      </w:r>
      <w:r>
        <w:t xml:space="preserve"> </w:t>
      </w:r>
      <w:r>
        <w:t xml:space="preserve">destinatario</w:t>
      </w:r>
      <w:r>
        <w:t xml:space="preserve"> </w:t>
      </w:r>
      <w:r>
        <w:t xml:space="preserve">(Nimmo et al. 2024)</w:t>
      </w:r>
      <w:r>
        <w:t xml:space="preserve">, el contexto cultural desde el que se interpreta</w:t>
      </w:r>
      <w:r>
        <w:t xml:space="preserve"> </w:t>
      </w:r>
      <w:r>
        <w:t xml:space="preserve">(Peters y Carman 2024)</w:t>
      </w:r>
      <w:r>
        <w:t xml:space="preserve">, el diseño de la interfaz que la presenta</w:t>
      </w:r>
      <w:r>
        <w:t xml:space="preserve"> </w:t>
      </w:r>
      <w:r>
        <w:t xml:space="preserve">(Bhat y Long 2024; Alkhateeb y Solaiman 2025)</w:t>
      </w:r>
      <w:r>
        <w:t xml:space="preserve">, e incluso su materialización física en artefactos tangibles</w:t>
      </w:r>
      <w:r>
        <w:t xml:space="preserve"> </w:t>
      </w:r>
      <w:r>
        <w:t xml:space="preserve">(Colley et al. 2023)</w:t>
      </w:r>
      <w:r>
        <w:t xml:space="preserve">. La transparencia y la explicabilidad se han estudiado también como</w:t>
      </w:r>
      <w:r>
        <w:t xml:space="preserve"> </w:t>
      </w:r>
      <w:r>
        <w:t xml:space="preserve">antecedentes de la confianza calibrada</w:t>
      </w:r>
      <w:r>
        <w:t xml:space="preserve"> </w:t>
      </w:r>
      <w:r>
        <w:t xml:space="preserve">(Kim 2024)</w:t>
      </w:r>
      <w:r>
        <w:t xml:space="preserve"> </w:t>
      </w:r>
      <w:r>
        <w:t xml:space="preserve">y como práctica organizativa</w:t>
      </w:r>
      <w:r>
        <w:t xml:space="preserve"> </w:t>
      </w:r>
      <w:r>
        <w:t xml:space="preserve">más que como propiedad técnica</w:t>
      </w:r>
      <w:r>
        <w:t xml:space="preserve"> </w:t>
      </w:r>
      <w:r>
        <w:t xml:space="preserve">(Ramachandram et al. 2025)</w:t>
      </w:r>
      <w:r>
        <w:t xml:space="preserve">, mientras que otros trabajos</w:t>
      </w:r>
      <w:r>
        <w:t xml:space="preserve"> </w:t>
      </w:r>
      <w:r>
        <w:t xml:space="preserve">documentan las contrapartidas que impone perseguir explicabilidad</w:t>
      </w:r>
      <w:r>
        <w:t xml:space="preserve"> </w:t>
      </w:r>
      <w:r>
        <w:t xml:space="preserve">(Brown y Hawe 2024)</w:t>
      </w:r>
      <w:r>
        <w:t xml:space="preserve"> </w:t>
      </w:r>
      <w:r>
        <w:t xml:space="preserve">e incluso el coste reputacional que puede acarrear el uso declarado</w:t>
      </w:r>
      <w:r>
        <w:t xml:space="preserve"> </w:t>
      </w:r>
      <w:r>
        <w:t xml:space="preserve">de IA</w:t>
      </w:r>
      <w:r>
        <w:t xml:space="preserve"> </w:t>
      </w:r>
      <w:r>
        <w:t xml:space="preserve">(Reif et al. 2025)</w:t>
      </w:r>
      <w:r>
        <w:t xml:space="preserve">. A ello se añade una literatura sobre las implicaciones éticas</w:t>
      </w:r>
      <w:r>
        <w:t xml:space="preserve"> </w:t>
      </w:r>
      <w:r>
        <w:t xml:space="preserve">del campo</w:t>
      </w:r>
      <w:r>
        <w:t xml:space="preserve"> </w:t>
      </w:r>
      <w:r>
        <w:t xml:space="preserve">(Nannini et al. 2024; Vainio-Pekka et al. 2023)</w:t>
      </w:r>
      <w:r>
        <w:t xml:space="preserve"> </w:t>
      </w:r>
      <w:r>
        <w:t xml:space="preserve">y sobre la distancia entre la</w:t>
      </w:r>
      <w:r>
        <w:t xml:space="preserve"> </w:t>
      </w:r>
      <w:r>
        <w:t xml:space="preserve">inteligencia de la máquina y la comprensión humana</w:t>
      </w:r>
      <w:r>
        <w:t xml:space="preserve"> </w:t>
      </w:r>
      <w:r>
        <w:t xml:space="preserve">(Choudhari et al. 2025)</w:t>
      </w:r>
      <w:r>
        <w:t xml:space="preserve">.</w:t>
      </w:r>
    </w:p>
    <w:p>
      <w:pPr>
        <w:pStyle w:val="Textoindependiente"/>
        <w:spacing w:line="360" w:lineRule="auto"/>
        <w:jc w:val="both"/>
      </w:pPr>
      <w:r>
        <w:t xml:space="preserve">La evaluación human-centered constituye una rama de la XAI que parte de una</w:t>
      </w:r>
      <w:r>
        <w:t xml:space="preserve"> </w:t>
      </w:r>
      <w:r>
        <w:t xml:space="preserve">premisa metodológica distinta: la calidad de una explicación no puede medirse</w:t>
      </w:r>
      <w:r>
        <w:t xml:space="preserve"> </w:t>
      </w:r>
      <w:r>
        <w:t xml:space="preserve">solo con proxies computacionales, sino que depende de su efecto sobre el</w:t>
      </w:r>
      <w:r>
        <w:t xml:space="preserve"> </w:t>
      </w:r>
      <w:r>
        <w:t xml:space="preserve">entendimiento, la confianza, la calibración y la acción de personas concretas</w:t>
      </w:r>
      <w:r>
        <w:t xml:space="preserve"> </w:t>
      </w:r>
      <w:r>
        <w:t xml:space="preserve">(Doshi-Velez 2017; Miller 2019)</w:t>
      </w:r>
      <w:r>
        <w:t xml:space="preserve">. Esta premisa enlaza con una línea previa que ya</w:t>
      </w:r>
      <w:r>
        <w:t xml:space="preserve"> </w:t>
      </w:r>
      <w:r>
        <w:t xml:space="preserve">situaba a la persona como participante activo del ciclo de aprendizaje, y no como</w:t>
      </w:r>
      <w:r>
        <w:t xml:space="preserve"> </w:t>
      </w:r>
      <w:r>
        <w:t xml:space="preserve">receptor pasivo de su salida</w:t>
      </w:r>
      <w:r>
        <w:t xml:space="preserve"> </w:t>
      </w:r>
      <w:r>
        <w:t xml:space="preserve">(Amershi 2014)</w:t>
      </w:r>
      <w:r>
        <w:t xml:space="preserve">. Esta perspectiva no invalida la evaluación</w:t>
      </w:r>
      <w:r>
        <w:t xml:space="preserve"> </w:t>
      </w:r>
      <w:r>
        <w:t xml:space="preserve">functionally-grounded, sino que la complementa al señalar que las métricas</w:t>
      </w:r>
      <w:r>
        <w:t xml:space="preserve"> </w:t>
      </w:r>
      <w:r>
        <w:t xml:space="preserve">automáticas responden a preguntas distintas a las que responden los usuarios.</w:t>
      </w:r>
    </w:p>
    <w:p>
      <w:pPr>
        <w:pStyle w:val="Textoindependiente"/>
        <w:spacing w:line="360" w:lineRule="auto"/>
        <w:jc w:val="both"/>
      </w:pPr>
      <w:r>
        <w:t xml:space="preserve">Miller (2019)</w:t>
      </w:r>
      <w:r>
        <w:t xml:space="preserve"> </w:t>
      </w:r>
      <w:r>
        <w:t xml:space="preserve">revisa la literatura sobre explicación en ciencias cognitivas y</w:t>
      </w:r>
      <w:r>
        <w:t xml:space="preserve"> </w:t>
      </w:r>
      <w:r>
        <w:t xml:space="preserve">sociales e identifica un conjunto de propiedades empíricamente validadas sobre</w:t>
      </w:r>
      <w:r>
        <w:t xml:space="preserve"> </w:t>
      </w:r>
      <w:r>
        <w:t xml:space="preserve">qué hace útil una explicación para los humanos. Las explicaciones son</w:t>
      </w:r>
      <w:r>
        <w:t xml:space="preserve"> </w:t>
      </w:r>
      <w:r>
        <w:t xml:space="preserve">contrastivas (respondemos a</w:t>
      </w:r>
      <w:r>
        <w:t xml:space="preserve"> </w:t>
      </w:r>
      <w:r>
        <w:t xml:space="preserve">“¿por qué P y no Q?”</w:t>
      </w:r>
      <w:r>
        <w:t xml:space="preserve"> </w:t>
      </w:r>
      <w:r>
        <w:t xml:space="preserve">mejor que a</w:t>
      </w:r>
      <w:r>
        <w:t xml:space="preserve"> </w:t>
      </w:r>
      <w:r>
        <w:t xml:space="preserve">“¿por qué P?”</w:t>
      </w:r>
      <w:r>
        <w:t xml:space="preserve">),</w:t>
      </w:r>
      <w:r>
        <w:t xml:space="preserve"> </w:t>
      </w:r>
      <w:r>
        <w:t xml:space="preserve">selectivas (preferimos explicaciones que citan pocas causas), sociales (el valor</w:t>
      </w:r>
      <w:r>
        <w:t xml:space="preserve"> </w:t>
      </w:r>
      <w:r>
        <w:t xml:space="preserve">de una explicación depende del destinatario y del diálogo) y dependientes del</w:t>
      </w:r>
      <w:r>
        <w:t xml:space="preserve"> </w:t>
      </w:r>
      <w:r>
        <w:t xml:space="preserve">contexto de uso. Estas propiedades no están capturadas por métricas como fidelidad</w:t>
      </w:r>
      <w:r>
        <w:t xml:space="preserve"> </w:t>
      </w:r>
      <w:r>
        <w:t xml:space="preserve">o estabilidad, que son agnósticas al destinatario. La consecuencia metodológica</w:t>
      </w:r>
      <w:r>
        <w:t xml:space="preserve"> </w:t>
      </w:r>
      <w:r>
        <w:t xml:space="preserve">es clara: una tesis que produce evidencia functionally-grounded debe reconocer</w:t>
      </w:r>
      <w:r>
        <w:t xml:space="preserve"> </w:t>
      </w:r>
      <w:r>
        <w:t xml:space="preserve">explícitamente que no puede derivar inferencias sobre comprensión humana o</w:t>
      </w:r>
      <w:r>
        <w:t xml:space="preserve"> </w:t>
      </w:r>
      <w:r>
        <w:t xml:space="preserve">utilidad en tarea.</w:t>
      </w:r>
    </w:p>
    <w:p>
      <w:pPr>
        <w:pStyle w:val="Textoindependiente"/>
        <w:spacing w:line="360" w:lineRule="auto"/>
        <w:jc w:val="both"/>
      </w:pPr>
      <w:r>
        <w:t xml:space="preserve">El problema de calibración de confianza ha recibido atención creciente</w:t>
      </w:r>
      <w:r>
        <w:t xml:space="preserve"> </w:t>
      </w:r>
      <w:r>
        <w:t xml:space="preserve">(Hoffman et al. 2023; Kaur et al. 2020)</w:t>
      </w:r>
      <w:r>
        <w:t xml:space="preserve">. Estudios con científicos de datos muestran que las</w:t>
      </w:r>
      <w:r>
        <w:t xml:space="preserve"> </w:t>
      </w:r>
      <w:r>
        <w:t xml:space="preserve">herramientas de XAI pueden inducir exceso de confianza: los usuarios tienden a</w:t>
      </w:r>
      <w:r>
        <w:t xml:space="preserve"> </w:t>
      </w:r>
      <w:r>
        <w:t xml:space="preserve">aceptar explicaciones visualmente atractivas sin verificar su validez técnica</w:t>
      </w:r>
      <w:r>
        <w:t xml:space="preserve"> </w:t>
      </w:r>
      <w:r>
        <w:t xml:space="preserve">(Kaur et al. 2020)</w:t>
      </w:r>
      <w:r>
        <w:t xml:space="preserve">. Este fenómeno es especialmente problemático en explicaciones LIME,</w:t>
      </w:r>
      <w:r>
        <w:t xml:space="preserve"> </w:t>
      </w:r>
      <w:r>
        <w:t xml:space="preserve">donde el sustituto local puede parecer coherente —una lista de importancias</w:t>
      </w:r>
      <w:r>
        <w:t xml:space="preserve"> </w:t>
      </w:r>
      <w:r>
        <w:t xml:space="preserve">lineales— aunque sea inestable o de baja fidelidad. La literatura de evaluación</w:t>
      </w:r>
      <w:r>
        <w:t xml:space="preserve"> </w:t>
      </w:r>
      <w:r>
        <w:t xml:space="preserve">human-centered sugiere que medir confianza calibrada (si la confianza del usuario</w:t>
      </w:r>
      <w:r>
        <w:t xml:space="preserve"> </w:t>
      </w:r>
      <w:r>
        <w:t xml:space="preserve">en el modelo aumenta cuando la explicación es fiable y disminuye cuando no lo</w:t>
      </w:r>
      <w:r>
        <w:t xml:space="preserve"> </w:t>
      </w:r>
      <w:r>
        <w:t xml:space="preserve">es) es un criterio de calidad distinto e irreductible a los criterios</w:t>
      </w:r>
      <w:r>
        <w:t xml:space="preserve"> </w:t>
      </w:r>
      <w:r>
        <w:t xml:space="preserve">computacionales</w:t>
      </w:r>
      <w:r>
        <w:t xml:space="preserve"> </w:t>
      </w:r>
      <w:r>
        <w:t xml:space="preserve">(Hoffman et al. 2023)</w:t>
      </w:r>
      <w:r>
        <w:t xml:space="preserve">.</w:t>
      </w:r>
    </w:p>
    <w:p>
      <w:pPr>
        <w:pStyle w:val="Textoindependiente"/>
        <w:spacing w:line="360" w:lineRule="auto"/>
        <w:jc w:val="both"/>
      </w:pPr>
      <w:r>
        <w:t xml:space="preserve">Hase y Bansal (2020)</w:t>
      </w:r>
      <w:r>
        <w:t xml:space="preserve"> </w:t>
      </w:r>
      <w:r>
        <w:t xml:space="preserve">evalúan directamente la relación entre explicaciones y comprensión del</w:t>
      </w:r>
      <w:r>
        <w:t xml:space="preserve"> </w:t>
      </w:r>
      <w:r>
        <w:t xml:space="preserve">modelo por parte de usuarios. Sus experimentos muestran que explicaciones con</w:t>
      </w:r>
      <w:r>
        <w:t xml:space="preserve"> </w:t>
      </w:r>
      <w:r>
        <w:t xml:space="preserve">mayor fidelidad no siempre producen mejor comprensión: los usuarios pueden</w:t>
      </w:r>
      <w:r>
        <w:t xml:space="preserve"> </w:t>
      </w:r>
      <w:r>
        <w:t xml:space="preserve">modelar mejor el comportamiento del clasificador con explicaciones simples y</w:t>
      </w:r>
      <w:r>
        <w:t xml:space="preserve"> </w:t>
      </w:r>
      <w:r>
        <w:t xml:space="preserve">ligeramente imprecisas que con atribuciones técnicamente más exactas pero</w:t>
      </w:r>
      <w:r>
        <w:t xml:space="preserve"> </w:t>
      </w:r>
      <w:r>
        <w:t xml:space="preserve">cognitivamente costosas. Esta disociación —fidelidad técnica y comprensión</w:t>
      </w:r>
      <w:r>
        <w:t xml:space="preserve"> </w:t>
      </w:r>
      <w:r>
        <w:t xml:space="preserve">humana no alineadas— es una de las razones por las que la taxonomía de este</w:t>
      </w:r>
      <w:r>
        <w:t xml:space="preserve"> </w:t>
      </w:r>
      <w:r>
        <w:t xml:space="preserve">trabajo distingue el eje de contexto de tarea y señala que el contexto de</w:t>
      </w:r>
      <w:r>
        <w:t xml:space="preserve"> </w:t>
      </w:r>
      <w:r>
        <w:t xml:space="preserve">“soporte a usuario final”</w:t>
      </w:r>
      <w:r>
        <w:t xml:space="preserve"> </w:t>
      </w:r>
      <w:r>
        <w:t xml:space="preserve">requiere criterios propios.</w:t>
      </w:r>
    </w:p>
    <w:p>
      <w:pPr>
        <w:pStyle w:val="Textoindependiente"/>
        <w:spacing w:line="360" w:lineRule="auto"/>
        <w:jc w:val="both"/>
      </w:pPr>
      <w:r>
        <w:t xml:space="preserve">Bhattacharya y Verbert (2024)</w:t>
      </w:r>
      <w:r>
        <w:t xml:space="preserve"> </w:t>
      </w:r>
      <w:r>
        <w:t xml:space="preserve">y</w:t>
      </w:r>
      <w:r>
        <w:t xml:space="preserve"> </w:t>
      </w:r>
      <w:r>
        <w:t xml:space="preserve">Rong et al. (2024)</w:t>
      </w:r>
      <w:r>
        <w:t xml:space="preserve"> </w:t>
      </w:r>
      <w:r>
        <w:t xml:space="preserve">contribuyen revisiones sistemáticas de la</w:t>
      </w:r>
      <w:r>
        <w:t xml:space="preserve"> </w:t>
      </w:r>
      <w:r>
        <w:t xml:space="preserve">literatura sobre XAI human-centered que convergen en recomendar el uso de</w:t>
      </w:r>
      <w:r>
        <w:t xml:space="preserve"> </w:t>
      </w:r>
      <w:r>
        <w:t xml:space="preserve">escalas normalizadas para medir comprehensibilidad entre sistemas, la separación</w:t>
      </w:r>
      <w:r>
        <w:t xml:space="preserve"> </w:t>
      </w:r>
      <w:r>
        <w:t xml:space="preserve">entre satisfacción de usuario y utilidad en tarea, y la necesidad de reportar</w:t>
      </w:r>
      <w:r>
        <w:t xml:space="preserve"> </w:t>
      </w:r>
      <w:r>
        <w:t xml:space="preserve">características del usuario (experto, no experto, dominio) como covariables de</w:t>
      </w:r>
      <w:r>
        <w:t xml:space="preserve"> </w:t>
      </w:r>
      <w:r>
        <w:t xml:space="preserve">los estudios. Estos estudios refuerzan la pertinencia de que la presente tesis</w:t>
      </w:r>
      <w:r>
        <w:t xml:space="preserve"> </w:t>
      </w:r>
      <w:r>
        <w:t xml:space="preserve">declare explícitamente sus límites: FOM-7 opera en el dominio de la evaluación</w:t>
      </w:r>
      <w:r>
        <w:t xml:space="preserve"> </w:t>
      </w:r>
      <w:r>
        <w:t xml:space="preserve">functionally-grounded y cualquier extensión a evaluación human-centered</w:t>
      </w:r>
      <w:r>
        <w:t xml:space="preserve"> </w:t>
      </w:r>
      <w:r>
        <w:t xml:space="preserve">requeriría un protocolo propio con participantes, tareas, escalas y análisis de</w:t>
      </w:r>
      <w:r>
        <w:t xml:space="preserve"> </w:t>
      </w:r>
      <w:r>
        <w:t xml:space="preserve">fiabilidad interrater.</w:t>
      </w:r>
    </w:p>
    <w:p>
      <w:pPr>
        <w:pStyle w:val="Textoindependiente"/>
        <w:spacing w:line="360" w:lineRule="auto"/>
        <w:jc w:val="both"/>
      </w:pPr>
      <w:r>
        <w:t xml:space="preserve">La ausencia de evaluación human-centered no es una omisión inadvertida de esta</w:t>
      </w:r>
      <w:r>
        <w:t xml:space="preserve"> </w:t>
      </w:r>
      <w:r>
        <w:t xml:space="preserve">tesis; es una delimitación metodológica explícita y defendible. La taxonomía del</w:t>
      </w:r>
      <w:r>
        <w:t xml:space="preserve"> </w:t>
      </w:r>
      <w:r>
        <w:t xml:space="preserve">Capítulo 5 localiza con precisión qué cuadrantes del espacio de evaluación XAI</w:t>
      </w:r>
      <w:r>
        <w:t xml:space="preserve"> </w:t>
      </w:r>
      <w:r>
        <w:t xml:space="preserve">cubre el benchmark y cuáles no, lo que convierte la limitación en información</w:t>
      </w:r>
      <w:r>
        <w:t xml:space="preserve"> </w:t>
      </w:r>
      <w:r>
        <w:t xml:space="preserve">científica estructurada y evita sobreinterpretar los resultados empíricos.</w:t>
      </w:r>
    </w:p>
    <w:bookmarkEnd w:id="92"/>
    <w:bookmarkStart w:id="93" w:name="Xcb28a5da8e0ee4c37a7111d109b1f7262846e3e"/>
    <w:p>
      <w:pPr>
        <w:pStyle w:val="Ttulo3"/>
        <w:spacing w:line="360" w:lineRule="auto"/>
        <w:jc w:val="both"/>
      </w:pPr>
      <w:r>
        <w:t xml:space="preserve">2.5.2 </w:t>
      </w:r>
      <w:r>
        <w:t xml:space="preserve">Reproducibilidad en XAI: crisis, causas y respuestas</w:t>
      </w:r>
    </w:p>
    <w:p>
      <w:pPr>
        <w:pStyle w:val="FirstParagraph"/>
        <w:spacing w:line="360" w:lineRule="auto"/>
        <w:jc w:val="both"/>
      </w:pPr>
      <w:r>
        <w:t xml:space="preserve">La reproducibilidad es una condición de validez científica, no un detalle</w:t>
      </w:r>
      <w:r>
        <w:t xml:space="preserve"> </w:t>
      </w:r>
      <w:r>
        <w:t xml:space="preserve">técnico. En aprendizaje automático, la crisis de reproducibilidad ha sido</w:t>
      </w:r>
      <w:r>
        <w:t xml:space="preserve"> </w:t>
      </w:r>
      <w:r>
        <w:t xml:space="preserve">documentada tanto en investigación fundamental</w:t>
      </w:r>
      <w:r>
        <w:t xml:space="preserve"> </w:t>
      </w:r>
      <w:r>
        <w:t xml:space="preserve">(Hutson 2018)</w:t>
      </w:r>
      <w:r>
        <w:t xml:space="preserve"> </w:t>
      </w:r>
      <w:r>
        <w:t xml:space="preserve">como en evaluación</w:t>
      </w:r>
      <w:r>
        <w:t xml:space="preserve"> </w:t>
      </w:r>
      <w:r>
        <w:t xml:space="preserve">XAI</w:t>
      </w:r>
      <w:r>
        <w:t xml:space="preserve"> </w:t>
      </w:r>
      <w:r>
        <w:t xml:space="preserve">(Pawlicki et al. 2024; Canha et al. 2025)</w:t>
      </w:r>
      <w:r>
        <w:t xml:space="preserve">. En el contexto de XAI, la reproducibilidad</w:t>
      </w:r>
      <w:r>
        <w:t xml:space="preserve"> </w:t>
      </w:r>
      <w:r>
        <w:t xml:space="preserve">tiene una dimensión adicional: no solo deben reproducirse las predicciones del</w:t>
      </w:r>
      <w:r>
        <w:t xml:space="preserve"> </w:t>
      </w:r>
      <w:r>
        <w:t xml:space="preserve">modelo, sino también los artefactos explicativos, las métricas calculadas sobre</w:t>
      </w:r>
      <w:r>
        <w:t xml:space="preserve"> </w:t>
      </w:r>
      <w:r>
        <w:t xml:space="preserve">ellos y las conclusiones inferenciales derivadas. Esta cadena de reproducibilidad</w:t>
      </w:r>
      <w:r>
        <w:t xml:space="preserve"> </w:t>
      </w:r>
      <w:r>
        <w:t xml:space="preserve">es más frágil que la del modelo base porque introduce más puntos de variación:</w:t>
      </w:r>
      <w:r>
        <w:t xml:space="preserve"> </w:t>
      </w:r>
      <w:r>
        <w:t xml:space="preserve">semillas del explicador, estrategias de muestreo, conjuntos de referencia,</w:t>
      </w:r>
      <w:r>
        <w:t xml:space="preserve"> </w:t>
      </w:r>
      <w:r>
        <w:t xml:space="preserve">umbrales de reglas, y parámetros de métricas.</w:t>
      </w:r>
    </w:p>
    <w:p>
      <w:pPr>
        <w:pStyle w:val="Textoindependiente"/>
        <w:spacing w:line="360" w:lineRule="auto"/>
        <w:jc w:val="both"/>
      </w:pPr>
      <w:r>
        <w:t xml:space="preserve">La literatura identifica al menos cinco fuentes de irreproducibilidad específicas</w:t>
      </w:r>
      <w:r>
        <w:t xml:space="preserve"> </w:t>
      </w:r>
      <w:r>
        <w:t xml:space="preserve">de los benchmarks XAI. Primera, la</w:t>
      </w:r>
      <w:r>
        <w:t xml:space="preserve"> </w:t>
      </w:r>
      <w:r>
        <w:rPr>
          <w:b/>
          <w:bCs/>
        </w:rPr>
        <w:t xml:space="preserve">sensibilidad a hiperparámetros no declarados</w:t>
      </w:r>
      <w:r>
        <w:t xml:space="preserve">:</w:t>
      </w:r>
      <w:r>
        <w:t xml:space="preserve"> </w:t>
      </w:r>
      <w:r>
        <w:t xml:space="preserve">LIME sin declarar</w:t>
      </w:r>
      <w:r>
        <w:t xml:space="preserve"> </w:t>
      </w:r>
      <w:r>
        <w:rPr>
          <w:rStyle w:val="VerbatimChar"/>
        </w:rPr>
        <w:t xml:space="preserve">num_samples</w:t>
      </w:r>
      <w:r>
        <w:t xml:space="preserve">,</w:t>
      </w:r>
      <w:r>
        <w:t xml:space="preserve"> </w:t>
      </w:r>
      <w:r>
        <w:rPr>
          <w:rStyle w:val="VerbatimChar"/>
        </w:rPr>
        <w:t xml:space="preserve">kernel_width</w:t>
      </w:r>
      <w:r>
        <w:t xml:space="preserve"> </w:t>
      </w:r>
      <w:r>
        <w:t xml:space="preserve">y</w:t>
      </w:r>
      <w:r>
        <w:t xml:space="preserve"> </w:t>
      </w:r>
      <w:r>
        <w:rPr>
          <w:rStyle w:val="VerbatimChar"/>
        </w:rPr>
        <w:t xml:space="preserve">discretize_continuous</w:t>
      </w:r>
      <w:r>
        <w:t xml:space="preserve"> </w:t>
      </w:r>
      <w:r>
        <w:t xml:space="preserve">puede</w:t>
      </w:r>
      <w:r>
        <w:t xml:space="preserve"> </w:t>
      </w:r>
      <w:r>
        <w:t xml:space="preserve">producir explicaciones sustancialmente distintas entre estudios que usan</w:t>
      </w:r>
      <w:r>
        <w:t xml:space="preserve"> </w:t>
      </w:r>
      <w:r>
        <w:t xml:space="preserve">“LIME”</w:t>
      </w:r>
      <w:r>
        <w:t xml:space="preserve"> </w:t>
      </w:r>
      <w:r>
        <w:t xml:space="preserve">como etiqueta sin especificar configuración</w:t>
      </w:r>
      <w:r>
        <w:t xml:space="preserve"> </w:t>
      </w:r>
      <w:r>
        <w:t xml:space="preserve">(Burger et al. 2023; Slack et al. 2020)</w:t>
      </w:r>
      <w:r>
        <w:t xml:space="preserve">. Segunda,</w:t>
      </w:r>
      <w:r>
        <w:t xml:space="preserve"> </w:t>
      </w:r>
      <w:r>
        <w:t xml:space="preserve">la</w:t>
      </w:r>
      <w:r>
        <w:t xml:space="preserve"> </w:t>
      </w:r>
      <w:r>
        <w:rPr>
          <w:b/>
          <w:bCs/>
        </w:rPr>
        <w:t xml:space="preserve">dependencia de semillas aleatorias</w:t>
      </w:r>
      <w:r>
        <w:t xml:space="preserve">: los explicadores estocásticos como</w:t>
      </w:r>
      <w:r>
        <w:t xml:space="preserve"> </w:t>
      </w:r>
      <w:r>
        <w:t xml:space="preserve">LIME y DiCE producen resultados distintos con semillas distintas, lo que requiere</w:t>
      </w:r>
      <w:r>
        <w:t xml:space="preserve"> </w:t>
      </w:r>
      <w:r>
        <w:t xml:space="preserve">múltiples réplicas y análisis de varianza por semilla para distinguir señal de</w:t>
      </w:r>
      <w:r>
        <w:t xml:space="preserve"> </w:t>
      </w:r>
      <w:r>
        <w:t xml:space="preserve">ruido</w:t>
      </w:r>
      <w:r>
        <w:t xml:space="preserve"> </w:t>
      </w:r>
      <w:r>
        <w:t xml:space="preserve">(Canha et al. 2025)</w:t>
      </w:r>
      <w:r>
        <w:t xml:space="preserve">. Tercera, la</w:t>
      </w:r>
      <w:r>
        <w:t xml:space="preserve"> </w:t>
      </w:r>
      <w:r>
        <w:rPr>
          <w:b/>
          <w:bCs/>
        </w:rPr>
        <w:t xml:space="preserve">mezcla de cohortes de evidencia</w:t>
      </w:r>
      <w:r>
        <w:t xml:space="preserve">: estudios</w:t>
      </w:r>
      <w:r>
        <w:t xml:space="preserve"> </w:t>
      </w:r>
      <w:r>
        <w:t xml:space="preserve">que usan los mismos artefactos para calibración y para inferencia confirmativa</w:t>
      </w:r>
      <w:r>
        <w:t xml:space="preserve"> </w:t>
      </w:r>
      <w:r>
        <w:t xml:space="preserve">pueden reportar efectos estadísticos inflados, no por fraude sino por falta de</w:t>
      </w:r>
      <w:r>
        <w:t xml:space="preserve"> </w:t>
      </w:r>
      <w:r>
        <w:t xml:space="preserve">una arquitectura que separe las dos funciones</w:t>
      </w:r>
      <w:r>
        <w:t xml:space="preserve"> </w:t>
      </w:r>
      <w:r>
        <w:t xml:space="preserve">(Hedström et al. 2023)</w:t>
      </w:r>
      <w:r>
        <w:t xml:space="preserve">. Cuarta, la</w:t>
      </w:r>
      <w:r>
        <w:t xml:space="preserve"> </w:t>
      </w:r>
      <w:r>
        <w:rPr>
          <w:b/>
          <w:bCs/>
        </w:rPr>
        <w:t xml:space="preserve">ausencia de criterios de calificación de artefactos</w:t>
      </w:r>
      <w:r>
        <w:t xml:space="preserve">: un artefacto vacío,</w:t>
      </w:r>
      <w:r>
        <w:t xml:space="preserve"> </w:t>
      </w:r>
      <w:r>
        <w:t xml:space="preserve">malformado o de convergencia fallida que no se detecta en la etapa de auditoría</w:t>
      </w:r>
      <w:r>
        <w:t xml:space="preserve"> </w:t>
      </w:r>
      <w:r>
        <w:t xml:space="preserve">contamina las tablas métricas con valores espurios</w:t>
      </w:r>
      <w:r>
        <w:t xml:space="preserve"> </w:t>
      </w:r>
      <w:r>
        <w:t xml:space="preserve">(Pawlicki et al. 2024)</w:t>
      </w:r>
      <w:r>
        <w:t xml:space="preserve">. Quinta, la</w:t>
      </w:r>
      <w:r>
        <w:t xml:space="preserve"> </w:t>
      </w:r>
      <w:r>
        <w:rPr>
          <w:b/>
          <w:bCs/>
        </w:rPr>
        <w:t xml:space="preserve">dependencia del entorno computacional</w:t>
      </w:r>
      <w:r>
        <w:t xml:space="preserve">: versiones de librerías, hardware</w:t>
      </w:r>
      <w:r>
        <w:t xml:space="preserve"> </w:t>
      </w:r>
      <w:r>
        <w:t xml:space="preserve">disponible y órdenes de ejecución pueden afectar el timing y, en algunos casos,</w:t>
      </w:r>
      <w:r>
        <w:t xml:space="preserve"> </w:t>
      </w:r>
      <w:r>
        <w:t xml:space="preserve">los valores de métricas.</w:t>
      </w:r>
    </w:p>
    <w:p>
      <w:pPr>
        <w:pStyle w:val="Textoindependiente"/>
        <w:spacing w:line="360" w:lineRule="auto"/>
        <w:jc w:val="both"/>
      </w:pPr>
      <w:r>
        <w:t xml:space="preserve">Canha et al.</w:t>
      </w:r>
      <w:r>
        <w:t xml:space="preserve"> </w:t>
      </w:r>
      <w:r>
        <w:t xml:space="preserve">(2025)</w:t>
      </w:r>
      <w:r>
        <w:t xml:space="preserve"> </w:t>
      </w:r>
      <w:r>
        <w:t xml:space="preserve">proponen un conjunto de principios de reproducibilidad</w:t>
      </w:r>
      <w:r>
        <w:t xml:space="preserve"> </w:t>
      </w:r>
      <w:r>
        <w:t xml:space="preserve">para XAI que incluye declaración de semillas, versionado de dependencias,</w:t>
      </w:r>
      <w:r>
        <w:t xml:space="preserve"> </w:t>
      </w:r>
      <w:r>
        <w:t xml:space="preserve">separación entre datos de entrenamiento y de evaluación, y publicación de</w:t>
      </w:r>
      <w:r>
        <w:t xml:space="preserve"> </w:t>
      </w:r>
      <w:r>
        <w:t xml:space="preserve">artefactos en repositorios con DOI. FOM-7 operacionaliza estos principios en</w:t>
      </w:r>
      <w:r>
        <w:t xml:space="preserve"> </w:t>
      </w:r>
      <w:r>
        <w:t xml:space="preserve">siete puertas: la puerta 1 (congelación del protocolo) previene modificaciones</w:t>
      </w:r>
      <w:r>
        <w:t xml:space="preserve"> </w:t>
      </w:r>
      <w:r>
        <w:t xml:space="preserve">post-hoc; la puerta 2 (ejecución con semillas declarativas) previene</w:t>
      </w:r>
      <w:r>
        <w:t xml:space="preserve"> </w:t>
      </w:r>
      <w:r>
        <w:t xml:space="preserve">sensibilidad no documentada; la puerta 3 (auditoría de integridad) previene</w:t>
      </w:r>
      <w:r>
        <w:t xml:space="preserve"> </w:t>
      </w:r>
      <w:r>
        <w:t xml:space="preserve">contaminación por artefactos malformados; y la puerta 6 (perfilado de</w:t>
      </w:r>
      <w:r>
        <w:t xml:space="preserve"> </w:t>
      </w:r>
      <w:r>
        <w:t xml:space="preserve">reproducibilidad) cuantifica la varianza residual de semilla. Estas puertas no</w:t>
      </w:r>
      <w:r>
        <w:t xml:space="preserve"> </w:t>
      </w:r>
      <w:r>
        <w:t xml:space="preserve">eliminan todas las fuentes de variación, pero las documentan y controlan dentro</w:t>
      </w:r>
      <w:r>
        <w:t xml:space="preserve"> </w:t>
      </w:r>
      <w:r>
        <w:t xml:space="preserve">del alcance del diseño experimental.</w:t>
      </w:r>
    </w:p>
    <w:p>
      <w:pPr>
        <w:pStyle w:val="Textoindependiente"/>
        <w:spacing w:line="360" w:lineRule="auto"/>
        <w:jc w:val="both"/>
      </w:pPr>
      <w:r>
        <w:t xml:space="preserve">La importancia de la reproducibilidad se amplifica en el contexto regulatorio.</w:t>
      </w:r>
      <w:r>
        <w:t xml:space="preserve"> </w:t>
      </w:r>
      <w:r>
        <w:t xml:space="preserve">El EU AI Act exige que los sistemas de IA de alto riesgo sean auditables, lo que</w:t>
      </w:r>
      <w:r>
        <w:t xml:space="preserve"> </w:t>
      </w:r>
      <w:r>
        <w:t xml:space="preserve">implica que las explicaciones usadas en decisiones consecuentes deben poder</w:t>
      </w:r>
      <w:r>
        <w:t xml:space="preserve"> </w:t>
      </w:r>
      <w:r>
        <w:t xml:space="preserve">regenerarse con los mismos parámetros y producir el mismo resultado. Un método</w:t>
      </w:r>
      <w:r>
        <w:t xml:space="preserve"> </w:t>
      </w:r>
      <w:r>
        <w:t xml:space="preserve">de explicación con alta variabilidad de semilla no puede satisfacer este</w:t>
      </w:r>
      <w:r>
        <w:t xml:space="preserve"> </w:t>
      </w:r>
      <w:r>
        <w:t xml:space="preserve">requisito de auditabilidad, independientemente de su fidelidad media. El</w:t>
      </w:r>
      <w:r>
        <w:t xml:space="preserve"> </w:t>
      </w:r>
      <w:r>
        <w:t xml:space="preserve">protocolo FOM-7, al incorporar reproducibilidad como criterio explícito de</w:t>
      </w:r>
      <w:r>
        <w:t xml:space="preserve"> </w:t>
      </w:r>
      <w:r>
        <w:t xml:space="preserve">admisibilidad (proposición P1), conecta la dimensión técnica del benchmark con</w:t>
      </w:r>
      <w:r>
        <w:t xml:space="preserve"> </w:t>
      </w:r>
      <w:r>
        <w:t xml:space="preserve">este requisito normativo emergente.</w:t>
      </w:r>
    </w:p>
    <w:bookmarkEnd w:id="93"/>
    <w:bookmarkEnd w:id="94"/>
    <w:bookmarkStart w:id="96" w:name="X1ac049df9037bab7d9ddedb9eb6dfc246d0f001"/>
    <w:p>
      <w:pPr>
        <w:pStyle w:val="Ttulo2"/>
        <w:spacing w:line="360" w:lineRule="auto"/>
        <w:jc w:val="both"/>
      </w:pPr>
      <w:r>
        <w:t xml:space="preserve">2.6 </w:t>
      </w:r>
      <w:r>
        <w:t xml:space="preserve">Taxonomias de métricas y brechas de constructo</w:t>
      </w:r>
    </w:p>
    <w:p>
      <w:pPr>
        <w:pStyle w:val="FirstParagraph"/>
        <w:spacing w:line="360" w:lineRule="auto"/>
        <w:jc w:val="both"/>
      </w:pPr>
      <w:r>
        <w:t xml:space="preserve">El esfuerzo por ordenar este espacio ha generado una literatura de síntesis</w:t>
      </w:r>
      <w:r>
        <w:t xml:space="preserve"> </w:t>
      </w:r>
      <w:r>
        <w:t xml:space="preserve">abundante y heterogénea. Existen historias breves del campo que sitúan la</w:t>
      </w:r>
      <w:r>
        <w:t xml:space="preserve"> </w:t>
      </w:r>
      <w:r>
        <w:t xml:space="preserve">interpretabilidad en una tradición estadística de más de dos siglos</w:t>
      </w:r>
      <w:r>
        <w:t xml:space="preserve"> </w:t>
      </w:r>
      <w:r>
        <w:t xml:space="preserve">(Molnar et al. 2020)</w:t>
      </w:r>
      <w:r>
        <w:t xml:space="preserve">, panorámicas compactas de métodos</w:t>
      </w:r>
      <w:r>
        <w:t xml:space="preserve"> </w:t>
      </w:r>
      <w:r>
        <w:t xml:space="preserve">(Holzinger et al. 2022; Long et al. 2019)</w:t>
      </w:r>
      <w:r>
        <w:t xml:space="preserve">,</w:t>
      </w:r>
      <w:r>
        <w:t xml:space="preserve"> </w:t>
      </w:r>
      <w:r>
        <w:t xml:space="preserve">revisiones sistemáticas de técnicas y retos abiertos</w:t>
      </w:r>
      <w:r>
        <w:t xml:space="preserve"> </w:t>
      </w:r>
      <w:r>
        <w:t xml:space="preserve">(Abusitta et al. 2024; Ullah et al. 2024)</w:t>
      </w:r>
      <w:r>
        <w:t xml:space="preserve">,</w:t>
      </w:r>
      <w:r>
        <w:t xml:space="preserve"> </w:t>
      </w:r>
      <w:r>
        <w:t xml:space="preserve">inventarios de aplicaciones por dominio</w:t>
      </w:r>
      <w:r>
        <w:t xml:space="preserve"> </w:t>
      </w:r>
      <w:r>
        <w:t xml:space="preserve">(Kalasampath et al. 2025)</w:t>
      </w:r>
      <w:r>
        <w:t xml:space="preserve"> </w:t>
      </w:r>
      <w:r>
        <w:t xml:space="preserve">y revisiones</w:t>
      </w:r>
      <w:r>
        <w:t xml:space="preserve"> </w:t>
      </w:r>
      <w:r>
        <w:t xml:space="preserve">focalizadas en tareas concretas</w:t>
      </w:r>
      <w:r>
        <w:t xml:space="preserve"> </w:t>
      </w:r>
      <w:r>
        <w:t xml:space="preserve">(Ngueajio et al. 2025; Fan et al. 2026)</w:t>
      </w:r>
      <w:r>
        <w:t xml:space="preserve">. La reflexión más</w:t>
      </w:r>
      <w:r>
        <w:t xml:space="preserve"> </w:t>
      </w:r>
      <w:r>
        <w:t xml:space="preserve">articulada sobre el estado del campo es el manifiesto que propone una segunda</w:t>
      </w:r>
      <w:r>
        <w:t xml:space="preserve"> </w:t>
      </w:r>
      <w:r>
        <w:t xml:space="preserve">generación de XAI y enumera los desafíos abiertos que la primera no resolvió</w:t>
      </w:r>
      <w:r>
        <w:t xml:space="preserve"> </w:t>
      </w:r>
      <w:r>
        <w:t xml:space="preserve">(Longo et al. 2024)</w:t>
      </w:r>
      <w:r>
        <w:t xml:space="preserve">. La proliferación de estas síntesis es, en sí misma, un síntoma del</w:t>
      </w:r>
      <w:r>
        <w:t xml:space="preserve"> </w:t>
      </w:r>
      <w:r>
        <w:t xml:space="preserve">problema que esta tesis aborda: se acumulan mapas del territorio con mayor</w:t>
      </w:r>
      <w:r>
        <w:t xml:space="preserve"> </w:t>
      </w:r>
      <w:r>
        <w:t xml:space="preserve">rapidez que protocolos para transitarlo.</w:t>
      </w:r>
    </w:p>
    <w:p>
      <w:pPr>
        <w:pStyle w:val="Textoindependiente"/>
        <w:spacing w:line="360" w:lineRule="auto"/>
        <w:jc w:val="both"/>
      </w:pPr>
      <w:r>
        <w:t xml:space="preserve">La fidelidad mide hasta qué punto una explicación aproxima el comportamiento</w:t>
      </w:r>
      <w:r>
        <w:t xml:space="preserve"> </w:t>
      </w:r>
      <w:r>
        <w:t xml:space="preserve">observable del modelo. En métodos de sustitución local, puede operacionalizarse</w:t>
      </w:r>
      <w:r>
        <w:t xml:space="preserve"> </w:t>
      </w:r>
      <w:r>
        <w:t xml:space="preserve">como acuerdo entre el modelo de caja negra y el sustituto en un vecindario</w:t>
      </w:r>
      <w:r>
        <w:t xml:space="preserve"> </w:t>
      </w:r>
      <w:r>
        <w:t xml:space="preserve">definido. Sin embargo, la fidelidad depende de cómo se construye ese</w:t>
      </w:r>
      <w:r>
        <w:t xml:space="preserve"> </w:t>
      </w:r>
      <w:r>
        <w:t xml:space="preserve">vecindario, de qué instancias se consultan y de qué diferencia se considera</w:t>
      </w:r>
      <w:r>
        <w:t xml:space="preserve"> </w:t>
      </w:r>
      <w:r>
        <w:t xml:space="preserve">relevante. Por ello, FOM-7 trata la fidelidad como un resultado condicionado por</w:t>
      </w:r>
      <w:r>
        <w:t xml:space="preserve"> </w:t>
      </w:r>
      <w:r>
        <w:t xml:space="preserve">decisiones experimentales, no como propiedad absoluta del método.</w:t>
      </w:r>
    </w:p>
    <w:p>
      <w:pPr>
        <w:pStyle w:val="Textoindependiente"/>
        <w:spacing w:line="360" w:lineRule="auto"/>
        <w:jc w:val="both"/>
      </w:pPr>
      <w:r>
        <w:t xml:space="preserve">La fidelidad debe leerse como una relación entre tres elementos: el modelo que</w:t>
      </w:r>
      <w:r>
        <w:t xml:space="preserve"> </w:t>
      </w:r>
      <w:r>
        <w:t xml:space="preserve">se explica, el artefacto explicativo y el dominio de comparación. En LIME, por</w:t>
      </w:r>
      <w:r>
        <w:t xml:space="preserve"> </w:t>
      </w:r>
      <w:r>
        <w:t xml:space="preserve">ejemplo, la fidelidad remite al acuerdo entre el modelo de caja negra y el</w:t>
      </w:r>
      <w:r>
        <w:t xml:space="preserve"> </w:t>
      </w:r>
      <w:r>
        <w:t xml:space="preserve">sustituto local en un vecindario definido. En SHAP, la pregunta se desplaza</w:t>
      </w:r>
      <w:r>
        <w:t xml:space="preserve"> </w:t>
      </w:r>
      <w:r>
        <w:t xml:space="preserve">hacia la coherencia de una atribución aditiva bajo supuestos de referencia. En</w:t>
      </w:r>
      <w:r>
        <w:t xml:space="preserve"> </w:t>
      </w:r>
      <w:r>
        <w:t xml:space="preserve">Anchors, la fidelidad no aparece como peso continuo sino como precisión de una</w:t>
      </w:r>
      <w:r>
        <w:t xml:space="preserve"> </w:t>
      </w:r>
      <w:r>
        <w:t xml:space="preserve">regla bajo condiciones de cobertura. En DiCE, la validez de un contrafactual</w:t>
      </w:r>
      <w:r>
        <w:t xml:space="preserve"> </w:t>
      </w:r>
      <w:r>
        <w:t xml:space="preserve">depende de si el cambio propuesto modifica efectivamente la salida del modelo.</w:t>
      </w:r>
      <w:r>
        <w:t xml:space="preserve"> </w:t>
      </w:r>
      <w:r>
        <w:t xml:space="preserve">Estos ejemplos muestran que la fidelidad no es una propiedad homogénea entre</w:t>
      </w:r>
      <w:r>
        <w:t xml:space="preserve"> </w:t>
      </w:r>
      <w:r>
        <w:t xml:space="preserve">familias explicativas; debe operacionalizarse según el objeto que cada método</w:t>
      </w:r>
      <w:r>
        <w:t xml:space="preserve"> </w:t>
      </w:r>
      <w:r>
        <w:t xml:space="preserve">produce</w:t>
      </w:r>
      <w:r>
        <w:t xml:space="preserve"> </w:t>
      </w:r>
      <w:r>
        <w:t xml:space="preserve">(Guidotti et al. 2018; Carvalho et al. 2019; Nauta et al. 2023)</w:t>
      </w:r>
      <w:r>
        <w:t xml:space="preserve">.</w:t>
      </w:r>
    </w:p>
    <w:p>
      <w:pPr>
        <w:pStyle w:val="Textoindependiente"/>
        <w:spacing w:line="360" w:lineRule="auto"/>
        <w:jc w:val="both"/>
      </w:pPr>
      <w:r>
        <w:t xml:space="preserve">La estabilidad evalúa la consistencia de explicaciones ante variaciones</w:t>
      </w:r>
      <w:r>
        <w:t xml:space="preserve"> </w:t>
      </w:r>
      <w:r>
        <w:t xml:space="preserve">pequeñas. Esta propiedad es central porque un usuario puede perder confianza si</w:t>
      </w:r>
      <w:r>
        <w:t xml:space="preserve"> </w:t>
      </w:r>
      <w:r>
        <w:t xml:space="preserve">instancias casi idénticas reciben explicaciones incompatibles. Sin embargo, una</w:t>
      </w:r>
      <w:r>
        <w:t xml:space="preserve"> </w:t>
      </w:r>
      <w:r>
        <w:t xml:space="preserve">explicación estable no es necesariamente correcta; puede repetir de forma</w:t>
      </w:r>
      <w:r>
        <w:t xml:space="preserve"> </w:t>
      </w:r>
      <w:r>
        <w:t xml:space="preserve">consistente una aproximación pobre. La estabilidad debe leerse junto con</w:t>
      </w:r>
      <w:r>
        <w:t xml:space="preserve"> </w:t>
      </w:r>
      <w:r>
        <w:t xml:space="preserve">fidelidad, robustez y alcance del experimento.</w:t>
      </w:r>
    </w:p>
    <w:p>
      <w:pPr>
        <w:pStyle w:val="Textoindependiente"/>
        <w:spacing w:line="360" w:lineRule="auto"/>
        <w:jc w:val="both"/>
      </w:pPr>
      <w:r>
        <w:t xml:space="preserve">En FOM-7, la estabilidad funciona como un control de sensibilidad. Su pregunta</w:t>
      </w:r>
      <w:r>
        <w:t xml:space="preserve"> </w:t>
      </w:r>
      <w:r>
        <w:t xml:space="preserve">no es si la explicación es verdadera, sino si el explicador responde de forma</w:t>
      </w:r>
      <w:r>
        <w:t xml:space="preserve"> </w:t>
      </w:r>
      <w:r>
        <w:t xml:space="preserve">coherente ante variaciones que no deberían alterar sustancialmente la</w:t>
      </w:r>
      <w:r>
        <w:t xml:space="preserve"> </w:t>
      </w:r>
      <w:r>
        <w:t xml:space="preserve">interpretación. Esta distinción es relevante porque algunos explicadores</w:t>
      </w:r>
      <w:r>
        <w:t xml:space="preserve"> </w:t>
      </w:r>
      <w:r>
        <w:t xml:space="preserve">post-hoc pueden variar por razones técnicas ajenas al fenómeno que se desea</w:t>
      </w:r>
      <w:r>
        <w:t xml:space="preserve"> </w:t>
      </w:r>
      <w:r>
        <w:t xml:space="preserve">explicar, como el muestreo, la selección de características o la aleatoriedad</w:t>
      </w:r>
      <w:r>
        <w:t xml:space="preserve"> </w:t>
      </w:r>
      <w:r>
        <w:t xml:space="preserve">del procedimiento</w:t>
      </w:r>
      <w:r>
        <w:t xml:space="preserve"> </w:t>
      </w:r>
      <w:r>
        <w:t xml:space="preserve">(Burger et al. 2023; Slack et al. 2020)</w:t>
      </w:r>
      <w:r>
        <w:t xml:space="preserve">. Por ello, reportar estabilidad</w:t>
      </w:r>
      <w:r>
        <w:t xml:space="preserve"> </w:t>
      </w:r>
      <w:r>
        <w:t xml:space="preserve">ayuda a distinguir entre una diferencia significativa del modelo y una</w:t>
      </w:r>
      <w:r>
        <w:t xml:space="preserve"> </w:t>
      </w:r>
      <w:r>
        <w:t xml:space="preserve">diferencia inducida por el explicador.</w:t>
      </w:r>
    </w:p>
    <w:p>
      <w:pPr>
        <w:pStyle w:val="Textoindependiente"/>
        <w:spacing w:line="360" w:lineRule="auto"/>
        <w:jc w:val="both"/>
      </w:pPr>
      <w:r>
        <w:t xml:space="preserve">La robustez amplía el análisis hacia perturbaciones mayores, ataques o</w:t>
      </w:r>
      <w:r>
        <w:t xml:space="preserve"> </w:t>
      </w:r>
      <w:r>
        <w:t xml:space="preserve">condiciones fuera de distribución. En evaluación XAI, esto es especialmente</w:t>
      </w:r>
      <w:r>
        <w:t xml:space="preserve"> </w:t>
      </w:r>
      <w:r>
        <w:t xml:space="preserve">problemático porque muchas métricas operan alterando entradas. Si las entradas</w:t>
      </w:r>
      <w:r>
        <w:t xml:space="preserve"> </w:t>
      </w:r>
      <w:r>
        <w:t xml:space="preserve">alteradas dejan de representar casos plausibles del dominio, la métrica puede</w:t>
      </w:r>
      <w:r>
        <w:t xml:space="preserve"> </w:t>
      </w:r>
      <w:r>
        <w:t xml:space="preserve">estar evaluando un comportamiento artificial del modelo. Esta advertencia</w:t>
      </w:r>
      <w:r>
        <w:t xml:space="preserve"> </w:t>
      </w:r>
      <w:r>
        <w:t xml:space="preserve">respalda la necesidad de documentar generadores de perturbaciones, dominios de</w:t>
      </w:r>
      <w:r>
        <w:t xml:space="preserve"> </w:t>
      </w:r>
      <w:r>
        <w:t xml:space="preserve">validez y criterios de admisibilidad</w:t>
      </w:r>
      <w:r>
        <w:t xml:space="preserve"> </w:t>
      </w:r>
      <w:r>
        <w:t xml:space="preserve">(Zheng et al. 2025)</w:t>
      </w:r>
      <w:r>
        <w:t xml:space="preserve">.</w:t>
      </w:r>
    </w:p>
    <w:p>
      <w:pPr>
        <w:pStyle w:val="Textoindependiente"/>
        <w:spacing w:line="360" w:lineRule="auto"/>
        <w:jc w:val="both"/>
      </w:pPr>
      <w:r>
        <w:t xml:space="preserve">La complejidad o sparsity evalúa el tamaño cognitivo del artefacto explicativo.</w:t>
      </w:r>
      <w:r>
        <w:t xml:space="preserve"> </w:t>
      </w:r>
      <w:r>
        <w:t xml:space="preserve">Explicaciones más breves pueden ser más comprensibles, pero la parquedad no</w:t>
      </w:r>
      <w:r>
        <w:t xml:space="preserve"> </w:t>
      </w:r>
      <w:r>
        <w:t xml:space="preserve">garantiza calidad. Una explicación demasiado simple puede omitir factores</w:t>
      </w:r>
      <w:r>
        <w:t xml:space="preserve"> </w:t>
      </w:r>
      <w:r>
        <w:t xml:space="preserve">necesarios; una demasiado extensa puede ser técnicamente rica pero inútil para</w:t>
      </w:r>
      <w:r>
        <w:t xml:space="preserve"> </w:t>
      </w:r>
      <w:r>
        <w:t xml:space="preserve">un usuario. FOM-7 usa complejidad como una dimensión de perfil, no como criterio</w:t>
      </w:r>
      <w:r>
        <w:t xml:space="preserve"> </w:t>
      </w:r>
      <w:r>
        <w:t xml:space="preserve">supremo</w:t>
      </w:r>
      <w:r>
        <w:t xml:space="preserve"> </w:t>
      </w:r>
      <w:r>
        <w:t xml:space="preserve">(Nauta et al. 2023)</w:t>
      </w:r>
      <w:r>
        <w:t xml:space="preserve">.</w:t>
      </w:r>
    </w:p>
    <w:p>
      <w:pPr>
        <w:pStyle w:val="Textoindependiente"/>
        <w:spacing w:line="360" w:lineRule="auto"/>
        <w:jc w:val="both"/>
      </w:pPr>
      <w:r>
        <w:t xml:space="preserve">El coste computacional incorpora una dimensión práctica. Explicaciones que</w:t>
      </w:r>
      <w:r>
        <w:t xml:space="preserve"> </w:t>
      </w:r>
      <w:r>
        <w:t xml:space="preserve">requieren miles de consultas al modelo pueden ser aceptables en investigación</w:t>
      </w:r>
      <w:r>
        <w:t xml:space="preserve"> </w:t>
      </w:r>
      <w:r>
        <w:t xml:space="preserve">offline, pero inadecuadas para sistemas interactivos o despliegues con</w:t>
      </w:r>
      <w:r>
        <w:t xml:space="preserve"> </w:t>
      </w:r>
      <w:r>
        <w:t xml:space="preserve">restricciones de latencia. La comparación entre KernelSHAP y aproximaciones más</w:t>
      </w:r>
      <w:r>
        <w:t xml:space="preserve"> </w:t>
      </w:r>
      <w:r>
        <w:t xml:space="preserve">rápidas muestra que la evaluación debe incluir compromisos de factibilidad</w:t>
      </w:r>
      <w:r>
        <w:t xml:space="preserve"> </w:t>
      </w:r>
      <w:r>
        <w:t xml:space="preserve">(Lundberg 2017; Van den Broeck et al. 2022)</w:t>
      </w:r>
      <w:r>
        <w:t xml:space="preserve">.</w:t>
      </w:r>
    </w:p>
    <w:p>
      <w:pPr>
        <w:pStyle w:val="Textoindependiente"/>
        <w:spacing w:line="360" w:lineRule="auto"/>
        <w:jc w:val="both"/>
      </w:pPr>
      <w:r>
        <w:t xml:space="preserve">El coste no es solamente una medida de eficiencia; también condiciona que</w:t>
      </w:r>
      <w:r>
        <w:t xml:space="preserve"> </w:t>
      </w:r>
      <w:r>
        <w:t xml:space="preserve">preguntas pueden contestarse dentro de un benchmark. Un método costoso puede</w:t>
      </w:r>
      <w:r>
        <w:t xml:space="preserve"> </w:t>
      </w:r>
      <w:r>
        <w:t xml:space="preserve">limitar el número de instancias evaluadas, reducir la cantidad de semillas,</w:t>
      </w:r>
      <w:r>
        <w:t xml:space="preserve"> </w:t>
      </w:r>
      <w:r>
        <w:t xml:space="preserve">impedir análisis de sensibilidad o forzar aproximaciones. La literatura sobre</w:t>
      </w:r>
      <w:r>
        <w:t xml:space="preserve"> </w:t>
      </w:r>
      <w:r>
        <w:t xml:space="preserve">tractabilidad de SHAP ilustra que la complejidad computacional no es un detalle</w:t>
      </w:r>
      <w:r>
        <w:t xml:space="preserve"> </w:t>
      </w:r>
      <w:r>
        <w:t xml:space="preserve">de implementación, sino una propiedad que afecta la admisibilidad experimental</w:t>
      </w:r>
      <w:r>
        <w:t xml:space="preserve"> </w:t>
      </w:r>
      <w:r>
        <w:t xml:space="preserve">(Van den Broeck et al. 2022)</w:t>
      </w:r>
      <w:r>
        <w:t xml:space="preserve">. FOM-7 incorpora el coste para evitar que la comparación</w:t>
      </w:r>
      <w:r>
        <w:t xml:space="preserve"> </w:t>
      </w:r>
      <w:r>
        <w:t xml:space="preserve">privilegie explicaciones teóricamente atractivas pero impracticables bajo</w:t>
      </w:r>
      <w:r>
        <w:t xml:space="preserve"> </w:t>
      </w:r>
      <w:r>
        <w:t xml:space="preserve">restricciones reales.</w:t>
      </w:r>
    </w:p>
    <w:p>
      <w:pPr>
        <w:pStyle w:val="Textoindependiente"/>
        <w:spacing w:line="360" w:lineRule="auto"/>
        <w:jc w:val="both"/>
      </w:pPr>
      <w:r>
        <w:t xml:space="preserve">La utilidad y la plausibilidad introducen una capa distinta. Una explicación</w:t>
      </w:r>
      <w:r>
        <w:t xml:space="preserve"> </w:t>
      </w:r>
      <w:r>
        <w:t xml:space="preserve">puede ser útil para un científico de datos que busca depurar un pipeline, para</w:t>
      </w:r>
      <w:r>
        <w:t xml:space="preserve"> </w:t>
      </w:r>
      <w:r>
        <w:t xml:space="preserve">un experto de dominio que evalúa coherencia sustantiva o para un usuario que</w:t>
      </w:r>
      <w:r>
        <w:t xml:space="preserve"> </w:t>
      </w:r>
      <w:r>
        <w:t xml:space="preserve">necesita entender una decisión. Sin embargo, esos usos no se derivan</w:t>
      </w:r>
      <w:r>
        <w:t xml:space="preserve"> </w:t>
      </w:r>
      <w:r>
        <w:t xml:space="preserve">automáticamente de las métricas computacionales. Los estudios human-centered</w:t>
      </w:r>
      <w:r>
        <w:t xml:space="preserve"> </w:t>
      </w:r>
      <w:r>
        <w:t xml:space="preserve">muestran que la utilidad depende de usuario, tarea, interfaz y contexto</w:t>
      </w:r>
      <w:r>
        <w:t xml:space="preserve"> </w:t>
      </w:r>
      <w:r>
        <w:t xml:space="preserve">(Miller 2019; Kaur et al. 2020; Hase y Bansal 2020; Rong et al. 2024)</w:t>
      </w:r>
      <w:r>
        <w:t xml:space="preserve">. Por ello, FOM-7 debe mantener</w:t>
      </w:r>
      <w:r>
        <w:t xml:space="preserve"> </w:t>
      </w:r>
      <w:r>
        <w:t xml:space="preserve">separada la utilidad inferida por proxy de la utilidad demostrada en una tarea</w:t>
      </w:r>
      <w:r>
        <w:t xml:space="preserve"> </w:t>
      </w:r>
      <w:r>
        <w:t xml:space="preserve">humana.</w:t>
      </w:r>
    </w:p>
    <w:p>
      <w:pPr>
        <w:pStyle w:val="Textoindependiente"/>
        <w:spacing w:line="360" w:lineRule="auto"/>
        <w:jc w:val="both"/>
      </w:pPr>
      <w:r>
        <w:t xml:space="preserve">La brecha de constructo aparece cuando una métrica mide una propiedad cercana</w:t>
      </w:r>
      <w:r>
        <w:t xml:space="preserve"> </w:t>
      </w:r>
      <w:r>
        <w:t xml:space="preserve">pero no idéntica a la afirmación que se desea hacer. Por ejemplo, una métrica de</w:t>
      </w:r>
      <w:r>
        <w:t xml:space="preserve"> </w:t>
      </w:r>
      <w:r>
        <w:t xml:space="preserve">fidelidad local no autoriza automáticamente afirmar utilidad humana; una métrica</w:t>
      </w:r>
      <w:r>
        <w:t xml:space="preserve"> </w:t>
      </w:r>
      <w:r>
        <w:t xml:space="preserve">de estabilidad no prueba causalidad; una regla Anchor precisa no garantiza</w:t>
      </w:r>
      <w:r>
        <w:t xml:space="preserve"> </w:t>
      </w:r>
      <w:r>
        <w:t xml:space="preserve">cobertura amplia; un contrafactual válido para el modelo no siempre es</w:t>
      </w:r>
      <w:r>
        <w:t xml:space="preserve"> </w:t>
      </w:r>
      <w:r>
        <w:t xml:space="preserve">accionable para la persona. Esta brecha es uno de los fundamentos conceptuales</w:t>
      </w:r>
      <w:r>
        <w:t xml:space="preserve"> </w:t>
      </w:r>
      <w:r>
        <w:t xml:space="preserve">de FOM-7.</w:t>
      </w:r>
    </w:p>
    <w:p>
      <w:pPr>
        <w:pStyle w:val="Textoindependiente"/>
        <w:spacing w:line="360" w:lineRule="auto"/>
        <w:jc w:val="both"/>
      </w:pPr>
      <w:r>
        <w:t xml:space="preserve">El problema se agrava cuando la métrica produce una cifra fácil de comparar. La</w:t>
      </w:r>
      <w:r>
        <w:t xml:space="preserve"> </w:t>
      </w:r>
      <w:r>
        <w:t xml:space="preserve">forma tabular puede sugerir una objetividad mayor que la realmente disponible.</w:t>
      </w:r>
      <w:r>
        <w:t xml:space="preserve"> </w:t>
      </w:r>
      <w:r>
        <w:t xml:space="preserve">Una diferencia numérica entre dos explicadores solo es significativa si la</w:t>
      </w:r>
      <w:r>
        <w:t xml:space="preserve"> </w:t>
      </w:r>
      <w:r>
        <w:t xml:space="preserve">métrica es válida para el constructo, si la variabilidad fue estimada, si el</w:t>
      </w:r>
      <w:r>
        <w:t xml:space="preserve"> </w:t>
      </w:r>
      <w:r>
        <w:t xml:space="preserve">procedimiento es reproducible y si la afirmación resultante respeta el alcance</w:t>
      </w:r>
      <w:r>
        <w:t xml:space="preserve"> </w:t>
      </w:r>
      <w:r>
        <w:t xml:space="preserve">del experimento. Las revisiones de métodos y métricas insisten en la necesidad</w:t>
      </w:r>
      <w:r>
        <w:t xml:space="preserve"> </w:t>
      </w:r>
      <w:r>
        <w:t xml:space="preserve">de interpretar la evaluación XAI como un conjunto de dimensiones relacionadas,</w:t>
      </w:r>
      <w:r>
        <w:t xml:space="preserve"> </w:t>
      </w:r>
      <w:r>
        <w:t xml:space="preserve">no como un único eje de optimización</w:t>
      </w:r>
      <w:r>
        <w:t xml:space="preserve"> </w:t>
      </w:r>
      <w:r>
        <w:t xml:space="preserve">(Carvalho et al. 2019; Nauta et al. 2023)</w:t>
      </w:r>
      <w:r>
        <w:t xml:space="preserve">. FOM-7 adopta</w:t>
      </w:r>
      <w:r>
        <w:t xml:space="preserve"> </w:t>
      </w:r>
      <w:r>
        <w:t xml:space="preserve">esta lectura y la convierte en una regla de reporte: cada resultado debe</w:t>
      </w:r>
      <w:r>
        <w:t xml:space="preserve"> </w:t>
      </w:r>
      <w:r>
        <w:t xml:space="preserve">mantener unido método, métrica, constructo, condición experimental y claim.</w:t>
      </w:r>
    </w:p>
    <w:p>
      <w:pPr>
        <w:pStyle w:val="Textoindependiente"/>
        <w:spacing w:line="360" w:lineRule="auto"/>
        <w:jc w:val="both"/>
      </w:pPr>
      <w:r>
        <w:t xml:space="preserve">La</w:t>
      </w:r>
      <w:r>
        <w:t xml:space="preserve"> </w:t>
      </w:r>
      <w:hyperlink w:anchor="tbl-metodos-constructos">
        <w:r>
          <w:rPr>
            <w:rStyle w:val="Hipervnculo"/>
          </w:rPr>
          <w:t xml:space="preserve">Tabla 2.2</w:t>
        </w:r>
      </w:hyperlink>
      <w:r>
        <w:t xml:space="preserve"> </w:t>
      </w:r>
      <w:r>
        <w:t xml:space="preserve">resume esta alineación entre métodos, objetos</w:t>
      </w:r>
      <w:r>
        <w:t xml:space="preserve"> </w:t>
      </w:r>
      <w:r>
        <w:t xml:space="preserve">explicativos y constructos de evaluación. Su función no es sustituir el análisis empírico, sino</w:t>
      </w:r>
      <w:r>
        <w:t xml:space="preserve"> </w:t>
      </w:r>
      <w:r>
        <w:t xml:space="preserve">hacer explícita la razón por la cual FOM-7 evalúa perfiles y no rankings</w:t>
      </w:r>
      <w:r>
        <w:t xml:space="preserve"> </w:t>
      </w:r>
      <w:r>
        <w:t xml:space="preserve">absolutos.</w:t>
      </w:r>
    </w:p>
    <w:tbl>
      <w:tblPr>
        <w:tblStyle w:val="Table"/>
        <w:tblW w:type="pct" w:w="5000"/>
        <w:jc w:val="center"/>
        <w:tblLayout w:type="fixed"/>
        <w:tblLook w:firstRow="0" w:lastRow="0" w:firstColumn="0" w:lastColumn="0" w:noHBand="0" w:noVBand="0" w:val="0000"/>
      </w:tblPr>
      <w:tblGrid>
        <w:gridCol w:w="7920"/>
      </w:tblGrid>
      <w:tr>
        <w:tc>
          <w:tcPr/>
          <w:bookmarkStart w:id="95" w:name="tbl-metodos-constructos"/>
          <w:p>
            <w:pPr>
              <w:pStyle w:val="ImageCaption"/>
              <w:spacing w:before="200" w:line="360" w:lineRule="auto"/>
              <w:jc w:val="center"/>
            </w:pPr>
            <w:r>
              <w:t xml:space="preserve">Tabla 2.2: Métodos evaluados, objeto explicativo que produce cada uno, constructos alineados y riesgos de evaluación.</w:t>
            </w:r>
          </w:p>
          <w:tbl>
            <w:tblPr>
              <w:tblStyle w:val="Table"/>
              <w:tblW w:type="pct" w:w="500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both"/>
                    <w:spacing w:line="360" w:lineRule="auto"/>
                  </w:pPr>
                  <w:r>
                    <w:rPr>
                      <w:bCs/>
                      <w:b/>
                    </w:rPr>
                    <w:t xml:space="preserve">Método</w:t>
                  </w:r>
                </w:p>
              </w:tc>
              <w:tc>
                <w:tcPr/>
                <w:p>
                  <w:pPr>
                    <w:pStyle w:val="Compact"/>
                    <w:jc w:val="both"/>
                    <w:spacing w:line="360" w:lineRule="auto"/>
                  </w:pPr>
                  <w:r>
                    <w:rPr>
                      <w:bCs/>
                      <w:b/>
                    </w:rPr>
                    <w:t xml:space="preserve">Objeto explicativo principal</w:t>
                  </w:r>
                </w:p>
              </w:tc>
              <w:tc>
                <w:tcPr/>
                <w:p>
                  <w:pPr>
                    <w:pStyle w:val="Compact"/>
                    <w:jc w:val="both"/>
                    <w:spacing w:line="360" w:lineRule="auto"/>
                  </w:pPr>
                  <w:r>
                    <w:rPr>
                      <w:bCs/>
                      <w:b/>
                    </w:rPr>
                    <w:t xml:space="preserve">Constructos naturalmente alineados</w:t>
                  </w:r>
                </w:p>
              </w:tc>
              <w:tc>
                <w:tcPr/>
                <w:p>
                  <w:pPr>
                    <w:pStyle w:val="Compact"/>
                    <w:jc w:val="both"/>
                    <w:spacing w:line="360" w:lineRule="auto"/>
                  </w:pPr>
                  <w:r>
                    <w:rPr>
                      <w:bCs/>
                      <w:b/>
                    </w:rPr>
                    <w:t xml:space="preserve">Riesgos de evaluación</w:t>
                  </w:r>
                </w:p>
              </w:tc>
              <w:tc>
                <w:tcPr/>
                <w:p>
                  <w:pPr>
                    <w:pStyle w:val="Compact"/>
                    <w:jc w:val="both"/>
                    <w:spacing w:line="360" w:lineRule="auto"/>
                  </w:pPr>
                  <w:r>
                    <w:rPr>
                      <w:bCs/>
                      <w:b/>
                    </w:rPr>
                    <w:t xml:space="preserve">Lectura dentro de FOM-7</w:t>
                  </w:r>
                </w:p>
              </w:tc>
            </w:tr>
            <w:tr>
              <w:tc>
                <w:tcPr/>
                <w:p>
                  <w:pPr>
                    <w:pStyle w:val="Compact"/>
                    <w:jc w:val="both"/>
                    <w:spacing w:line="360" w:lineRule="auto"/>
                  </w:pPr>
                  <w:r>
                    <w:t xml:space="preserve">LIME</w:t>
                  </w:r>
                </w:p>
              </w:tc>
              <w:tc>
                <w:tcPr/>
                <w:p>
                  <w:pPr>
                    <w:pStyle w:val="Compact"/>
                    <w:jc w:val="both"/>
                    <w:spacing w:line="360" w:lineRule="auto"/>
                  </w:pPr>
                  <w:r>
                    <w:t xml:space="preserve">Sustituto local interpretable</w:t>
                  </w:r>
                </w:p>
              </w:tc>
              <w:tc>
                <w:tcPr/>
                <w:p>
                  <w:pPr>
                    <w:pStyle w:val="Compact"/>
                    <w:jc w:val="both"/>
                    <w:spacing w:line="360" w:lineRule="auto"/>
                  </w:pPr>
                  <w:r>
                    <w:t xml:space="preserve">Fidelidad local, estabilidad, complejidad, coste</w:t>
                  </w:r>
                </w:p>
              </w:tc>
              <w:tc>
                <w:tcPr/>
                <w:p>
                  <w:pPr>
                    <w:pStyle w:val="Compact"/>
                    <w:jc w:val="both"/>
                    <w:spacing w:line="360" w:lineRule="auto"/>
                  </w:pPr>
                  <w:r>
                    <w:t xml:space="preserve">Sensibilidad al muestreo, vecindarios artificiales, manipulabilidad post-hoc</w:t>
                  </w:r>
                </w:p>
              </w:tc>
              <w:tc>
                <w:tcPr/>
                <w:p>
                  <w:pPr>
                    <w:pStyle w:val="Compact"/>
                    <w:jc w:val="both"/>
                    <w:spacing w:line="360" w:lineRule="auto"/>
                  </w:pPr>
                  <w:r>
                    <w:t xml:space="preserve">Válido como aproximación local condicionada por parámetros documentados</w:t>
                  </w:r>
                </w:p>
              </w:tc>
            </w:tr>
            <w:tr>
              <w:tc>
                <w:tcPr/>
                <w:p>
                  <w:pPr>
                    <w:pStyle w:val="Compact"/>
                    <w:jc w:val="both"/>
                    <w:spacing w:line="360" w:lineRule="auto"/>
                  </w:pPr>
                  <w:r>
                    <w:t xml:space="preserve">SHAP</w:t>
                  </w:r>
                </w:p>
              </w:tc>
              <w:tc>
                <w:tcPr/>
                <w:p>
                  <w:pPr>
                    <w:pStyle w:val="Compact"/>
                    <w:jc w:val="both"/>
                    <w:spacing w:line="360" w:lineRule="auto"/>
                  </w:pPr>
                  <w:r>
                    <w:t xml:space="preserve">Atribución aditiva de características</w:t>
                  </w:r>
                </w:p>
              </w:tc>
              <w:tc>
                <w:tcPr/>
                <w:p>
                  <w:pPr>
                    <w:pStyle w:val="Compact"/>
                    <w:jc w:val="both"/>
                    <w:spacing w:line="360" w:lineRule="auto"/>
                  </w:pPr>
                  <w:r>
                    <w:t xml:space="preserve">Consistencia atributiva, coste, estabilidad, sensibilidad al conjunto de referencia</w:t>
                  </w:r>
                </w:p>
              </w:tc>
              <w:tc>
                <w:tcPr/>
                <w:p>
                  <w:pPr>
                    <w:pStyle w:val="Compact"/>
                    <w:jc w:val="both"/>
                    <w:spacing w:line="360" w:lineRule="auto"/>
                  </w:pPr>
                  <w:r>
                    <w:t xml:space="preserve">Coste elevado, supuestos sobre ausencia/presencia de variables, lectura causal indebida</w:t>
                  </w:r>
                </w:p>
              </w:tc>
              <w:tc>
                <w:tcPr/>
                <w:p>
                  <w:pPr>
                    <w:pStyle w:val="Compact"/>
                    <w:jc w:val="both"/>
                    <w:spacing w:line="360" w:lineRule="auto"/>
                  </w:pPr>
                  <w:r>
                    <w:t xml:space="preserve">Válido como perfil de atribución bajo variante y referencia especificadas</w:t>
                  </w:r>
                </w:p>
              </w:tc>
            </w:tr>
            <w:tr>
              <w:tc>
                <w:tcPr/>
                <w:p>
                  <w:pPr>
                    <w:pStyle w:val="Compact"/>
                    <w:jc w:val="both"/>
                    <w:spacing w:line="360" w:lineRule="auto"/>
                  </w:pPr>
                  <w:r>
                    <w:t xml:space="preserve">Anchors</w:t>
                  </w:r>
                </w:p>
              </w:tc>
              <w:tc>
                <w:tcPr/>
                <w:p>
                  <w:pPr>
                    <w:pStyle w:val="Compact"/>
                    <w:jc w:val="both"/>
                    <w:spacing w:line="360" w:lineRule="auto"/>
                  </w:pPr>
                  <w:r>
                    <w:t xml:space="preserve">Regla local de alta precisión</w:t>
                  </w:r>
                </w:p>
              </w:tc>
              <w:tc>
                <w:tcPr/>
                <w:p>
                  <w:pPr>
                    <w:pStyle w:val="Compact"/>
                    <w:jc w:val="both"/>
                    <w:spacing w:line="360" w:lineRule="auto"/>
                  </w:pPr>
                  <w:r>
                    <w:t xml:space="preserve">Precisión, cobertura, complejidad de regla, reproducibilidad</w:t>
                  </w:r>
                </w:p>
              </w:tc>
              <w:tc>
                <w:tcPr/>
                <w:p>
                  <w:pPr>
                    <w:pStyle w:val="Compact"/>
                    <w:jc w:val="both"/>
                    <w:spacing w:line="360" w:lineRule="auto"/>
                  </w:pPr>
                  <w:r>
                    <w:t xml:space="preserve">Reglas demasiado estrechas, cobertura limitada, comparación difícil con atribuciones</w:t>
                  </w:r>
                </w:p>
              </w:tc>
              <w:tc>
                <w:tcPr/>
                <w:p>
                  <w:pPr>
                    <w:pStyle w:val="Compact"/>
                    <w:jc w:val="both"/>
                    <w:spacing w:line="360" w:lineRule="auto"/>
                  </w:pPr>
                  <w:r>
                    <w:t xml:space="preserve">Válido como evidencia condicional cuando precisión y cobertura se reportan juntas</w:t>
                  </w:r>
                </w:p>
              </w:tc>
            </w:tr>
            <w:tr>
              <w:tc>
                <w:tcPr/>
                <w:p>
                  <w:pPr>
                    <w:pStyle w:val="Compact"/>
                    <w:jc w:val="both"/>
                    <w:spacing w:line="360" w:lineRule="auto"/>
                  </w:pPr>
                  <w:r>
                    <w:t xml:space="preserve">DiCE</w:t>
                  </w:r>
                </w:p>
              </w:tc>
              <w:tc>
                <w:tcPr/>
                <w:p>
                  <w:pPr>
                    <w:pStyle w:val="Compact"/>
                    <w:jc w:val="both"/>
                    <w:spacing w:line="360" w:lineRule="auto"/>
                  </w:pPr>
                  <w:r>
                    <w:t xml:space="preserve">Conjunto de contrafactuales diversos</w:t>
                  </w:r>
                </w:p>
              </w:tc>
              <w:tc>
                <w:tcPr/>
                <w:p>
                  <w:pPr>
                    <w:pStyle w:val="Compact"/>
                    <w:jc w:val="both"/>
                    <w:spacing w:line="360" w:lineRule="auto"/>
                  </w:pPr>
                  <w:r>
                    <w:t xml:space="preserve">Validez, proximidad, diversidad, factibilidad, accionabilidad</w:t>
                  </w:r>
                </w:p>
              </w:tc>
              <w:tc>
                <w:tcPr/>
                <w:p>
                  <w:pPr>
                    <w:pStyle w:val="Compact"/>
                    <w:jc w:val="both"/>
                    <w:spacing w:line="360" w:lineRule="auto"/>
                  </w:pPr>
                  <w:r>
                    <w:t xml:space="preserve">Cambios imposibles, recourse no garantizado, confundir cambio de etiqueta con acción real</w:t>
                  </w:r>
                </w:p>
              </w:tc>
              <w:tc>
                <w:tcPr/>
                <w:p>
                  <w:pPr>
                    <w:pStyle w:val="Compact"/>
                    <w:jc w:val="both"/>
                    <w:spacing w:line="360" w:lineRule="auto"/>
                  </w:pPr>
                  <w:r>
                    <w:t xml:space="preserve">Válido como evidencia contrafactual bajo restricciones de factibilidad explicitadas</w:t>
                  </w:r>
                </w:p>
              </w:tc>
            </w:tr>
          </w:tbl>
          <w:bookmarkEnd w:id="95"/>
          <w:p>
            <w:pPr>
              <w:spacing w:line="360" w:lineRule="auto"/>
              <w:jc w:val="both"/>
            </w:pPr>
          </w:p>
        </w:tc>
      </w:tr>
    </w:tbl>
    <w:p>
      <w:pPr>
        <w:pStyle w:val="Textoindependiente"/>
        <w:spacing w:line="360" w:lineRule="auto"/>
        <w:jc w:val="both"/>
      </w:pPr>
      <w:r>
        <w:t xml:space="preserve">La matriz también muestra que la comparación entre métodos es necesariamente</w:t>
      </w:r>
      <w:r>
        <w:t xml:space="preserve"> </w:t>
      </w:r>
      <w:r>
        <w:t xml:space="preserve">asimétrica. LIME y SHAP pueden compararse parcialmente en términos de</w:t>
      </w:r>
      <w:r>
        <w:t xml:space="preserve"> </w:t>
      </w:r>
      <w:r>
        <w:t xml:space="preserve">atribución o fidelidad local, pero Anchors introduce cobertura de regla y DiCE</w:t>
      </w:r>
      <w:r>
        <w:t xml:space="preserve"> </w:t>
      </w:r>
      <w:r>
        <w:t xml:space="preserve">introduce accionabilidad contrafactual. Si el protocolo fuerza una escala única,</w:t>
      </w:r>
      <w:r>
        <w:t xml:space="preserve"> </w:t>
      </w:r>
      <w:r>
        <w:t xml:space="preserve">puede castigar a un método por no producir el tipo de artefacto que la métrica</w:t>
      </w:r>
      <w:r>
        <w:t xml:space="preserve"> </w:t>
      </w:r>
      <w:r>
        <w:t xml:space="preserve">espera. FOM-7 evita ese error al requerir que cada conclusión especifique el</w:t>
      </w:r>
      <w:r>
        <w:t xml:space="preserve"> </w:t>
      </w:r>
      <w:r>
        <w:t xml:space="preserve">constructo evaluado y el tipo de objeto explicativo al que se aplica</w:t>
      </w:r>
      <w:r>
        <w:t xml:space="preserve"> </w:t>
      </w:r>
      <w:r>
        <w:t xml:space="preserve">(Mothilal 2020; Ribeiro 2018; Lundberg 2017; Karimi et al. 2022)</w:t>
      </w:r>
      <w:r>
        <w:t xml:space="preserve">.</w:t>
      </w:r>
    </w:p>
    <w:bookmarkEnd w:id="96"/>
    <w:bookmarkStart w:id="97" w:name="X56f8700cbeeed185eff27b2505360753d99a361"/>
    <w:p>
      <w:pPr>
        <w:pStyle w:val="Ttulo2"/>
        <w:spacing w:line="360" w:lineRule="auto"/>
        <w:jc w:val="both"/>
      </w:pPr>
      <w:r>
        <w:t xml:space="preserve">2.7 </w:t>
      </w:r>
      <w:r>
        <w:t xml:space="preserve">Reproducibilidad y trazabilidad en benchmarking XAI</w:t>
      </w:r>
    </w:p>
    <w:p>
      <w:pPr>
        <w:pStyle w:val="FirstParagraph"/>
        <w:spacing w:line="360" w:lineRule="auto"/>
        <w:jc w:val="both"/>
      </w:pPr>
      <w:r>
        <w:t xml:space="preserve">La reproducibilidad en XAI no se limita a publicar código. Un benchmark de</w:t>
      </w:r>
      <w:r>
        <w:t xml:space="preserve"> </w:t>
      </w:r>
      <w:r>
        <w:t xml:space="preserve">explicaciones depende de versiones de datos, modelos, semillas, hiperparámetros,</w:t>
      </w:r>
      <w:r>
        <w:t xml:space="preserve"> </w:t>
      </w:r>
      <w:r>
        <w:t xml:space="preserve">métodos de perturbación, parámetros de explicadores, definiciones de métricas y</w:t>
      </w:r>
      <w:r>
        <w:t xml:space="preserve"> </w:t>
      </w:r>
      <w:r>
        <w:t xml:space="preserve">reglas de agregación. Si estos elementos no se registran, dos estudios pueden</w:t>
      </w:r>
      <w:r>
        <w:t xml:space="preserve"> </w:t>
      </w:r>
      <w:r>
        <w:t xml:space="preserve">usar el mismo nombre de método y producir evidencia no comparable. La</w:t>
      </w:r>
      <w:r>
        <w:t xml:space="preserve"> </w:t>
      </w:r>
      <w:r>
        <w:t xml:space="preserve">reproducibilidad requiere entonces una descripción del pipeline completo</w:t>
      </w:r>
      <w:r>
        <w:t xml:space="preserve"> </w:t>
      </w:r>
      <w:r>
        <w:t xml:space="preserve">(Hedström et al. 2023; Nauta et al. 2023)</w:t>
      </w:r>
      <w:r>
        <w:t xml:space="preserve">.</w:t>
      </w:r>
    </w:p>
    <w:p>
      <w:pPr>
        <w:pStyle w:val="Textoindependiente"/>
        <w:spacing w:line="360" w:lineRule="auto"/>
        <w:jc w:val="both"/>
      </w:pPr>
      <w:r>
        <w:t xml:space="preserve">La literatura de evaluación XAI muestra que esta exigencia es particularmente</w:t>
      </w:r>
      <w:r>
        <w:t xml:space="preserve"> </w:t>
      </w:r>
      <w:r>
        <w:t xml:space="preserve">delicada porque las explicaciones suelen depender de decisiones que parecen</w:t>
      </w:r>
      <w:r>
        <w:t xml:space="preserve"> </w:t>
      </w:r>
      <w:r>
        <w:t xml:space="preserve">menores: una semilla, un conjunto de referencia, una forma de imputar ausencia</w:t>
      </w:r>
      <w:r>
        <w:t xml:space="preserve"> </w:t>
      </w:r>
      <w:r>
        <w:t xml:space="preserve">de variables, un umbral de regla o un generador de perturbaciones. Cuando esas</w:t>
      </w:r>
      <w:r>
        <w:t xml:space="preserve"> </w:t>
      </w:r>
      <w:r>
        <w:t xml:space="preserve">decisiones no se documentan, el resultado puede parecer una propiedad estable</w:t>
      </w:r>
      <w:r>
        <w:t xml:space="preserve"> </w:t>
      </w:r>
      <w:r>
        <w:t xml:space="preserve">del método aunque en realidad sea una propiedad de una configuración concreta.</w:t>
      </w:r>
      <w:r>
        <w:t xml:space="preserve"> </w:t>
      </w:r>
      <w:r>
        <w:t xml:space="preserve">Por eso, el paso desde evaluación anecdótica hacia evaluación cuantitativa debe</w:t>
      </w:r>
      <w:r>
        <w:t xml:space="preserve"> </w:t>
      </w:r>
      <w:r>
        <w:t xml:space="preserve">acompañarse de una disciplina de trazabilidad: no basta con que una métrica</w:t>
      </w:r>
      <w:r>
        <w:t xml:space="preserve"> </w:t>
      </w:r>
      <w:r>
        <w:t xml:space="preserve">exista, debe poder reconstruirse como parte de un experimento completo</w:t>
      </w:r>
      <w:r>
        <w:t xml:space="preserve"> </w:t>
      </w:r>
      <w:r>
        <w:t xml:space="preserve">(Nauta et al. 2023; Hedström et al. 2023)</w:t>
      </w:r>
      <w:r>
        <w:t xml:space="preserve">.</w:t>
      </w:r>
    </w:p>
    <w:p>
      <w:pPr>
        <w:pStyle w:val="Textoindependiente"/>
        <w:spacing w:line="360" w:lineRule="auto"/>
        <w:jc w:val="both"/>
      </w:pPr>
      <w:r>
        <w:t xml:space="preserve">FOM-7 incorpora esta preocupación mediante una secuencia de control: congelar el</w:t>
      </w:r>
      <w:r>
        <w:t xml:space="preserve"> </w:t>
      </w:r>
      <w:r>
        <w:t xml:space="preserve">diseño experimental, calificar artefactos, ejecutar métricas armonizadas,</w:t>
      </w:r>
      <w:r>
        <w:t xml:space="preserve"> </w:t>
      </w:r>
      <w:r>
        <w:t xml:space="preserve">aplicar criterios estadísticos, perfilar reproducibilidad y mapear afirmaciones</w:t>
      </w:r>
      <w:r>
        <w:t xml:space="preserve"> </w:t>
      </w:r>
      <w:r>
        <w:t xml:space="preserve">a evidencia. Esta secuencia evita que los resultados se presenten como</w:t>
      </w:r>
      <w:r>
        <w:t xml:space="preserve"> </w:t>
      </w:r>
      <w:r>
        <w:t xml:space="preserve">conclusiones generales sin indicar las condiciones que los sostienen.</w:t>
      </w:r>
    </w:p>
    <w:p>
      <w:pPr>
        <w:pStyle w:val="Textoindependiente"/>
        <w:spacing w:line="360" w:lineRule="auto"/>
        <w:jc w:val="both"/>
      </w:pPr>
      <w:r>
        <w:t xml:space="preserve">Esta secuencia también protege contra un problema frecuente en revisiones</w:t>
      </w:r>
      <w:r>
        <w:t xml:space="preserve"> </w:t>
      </w:r>
      <w:r>
        <w:t xml:space="preserve">comparativas: la conversión de resultados de herramienta en conclusiones de</w:t>
      </w:r>
      <w:r>
        <w:t xml:space="preserve"> </w:t>
      </w:r>
      <w:r>
        <w:t xml:space="preserve">teoría. Un toolkit puede calcular métricas correctamente y, aun así, el estudio</w:t>
      </w:r>
      <w:r>
        <w:t xml:space="preserve"> </w:t>
      </w:r>
      <w:r>
        <w:t xml:space="preserve">puede sobreinterpretar el resultado si no distingue entre constructo medido,</w:t>
      </w:r>
      <w:r>
        <w:t xml:space="preserve"> </w:t>
      </w:r>
      <w:r>
        <w:t xml:space="preserve">objeto explicativo y alcance del dataset. Los sanity checks de métricas y las</w:t>
      </w:r>
      <w:r>
        <w:t xml:space="preserve"> </w:t>
      </w:r>
      <w:r>
        <w:t xml:space="preserve">críticas a explicaciones post-hoc muestran que tanto los explicadores como los</w:t>
      </w:r>
      <w:r>
        <w:t xml:space="preserve"> </w:t>
      </w:r>
      <w:r>
        <w:t xml:space="preserve">instrumentos de evaluación pueden fallar de maneras no obvias</w:t>
      </w:r>
      <w:r>
        <w:t xml:space="preserve"> </w:t>
      </w:r>
      <w:r>
        <w:t xml:space="preserve">(Tomsett et al. 2020; Slack et al. 2020; Laugel et al. 2019)</w:t>
      </w:r>
      <w:r>
        <w:t xml:space="preserve">. FOM-7 responde a esta vulnerabilidad haciendo que la</w:t>
      </w:r>
      <w:r>
        <w:t xml:space="preserve"> </w:t>
      </w:r>
      <w:r>
        <w:t xml:space="preserve">calificación del artefacto y la admisibilidad del claim sean pasos explícitos,</w:t>
      </w:r>
      <w:r>
        <w:t xml:space="preserve"> </w:t>
      </w:r>
      <w:r>
        <w:t xml:space="preserve">no inferencias dejadas al lector.</w:t>
      </w:r>
    </w:p>
    <w:p>
      <w:pPr>
        <w:pStyle w:val="Textoindependiente"/>
        <w:spacing w:line="360" w:lineRule="auto"/>
        <w:jc w:val="both"/>
      </w:pPr>
      <w:r>
        <w:t xml:space="preserve">La trazabilidad de afirmaciones es especialmente relevante para una tesis</w:t>
      </w:r>
      <w:r>
        <w:t xml:space="preserve"> </w:t>
      </w:r>
      <w:r>
        <w:t xml:space="preserve">doctoral. Cada afirmación fuerte debe poder regresar a una tabla, figura,</w:t>
      </w:r>
      <w:r>
        <w:t xml:space="preserve"> </w:t>
      </w:r>
      <w:r>
        <w:t xml:space="preserve">métrica, prueba estadística o decisión metodológica. Si se afirma que un método</w:t>
      </w:r>
      <w:r>
        <w:t xml:space="preserve"> </w:t>
      </w:r>
      <w:r>
        <w:t xml:space="preserve">es más estable, debe quedar claro en qué dataset, modelo, configuración,</w:t>
      </w:r>
      <w:r>
        <w:t xml:space="preserve"> </w:t>
      </w:r>
      <w:r>
        <w:t xml:space="preserve">vecindario, semilla y métrica se observó esa estabilidad. Si se afirma que un</w:t>
      </w:r>
      <w:r>
        <w:t xml:space="preserve"> </w:t>
      </w:r>
      <w:r>
        <w:t xml:space="preserve">método es preferible, debe específicarse preferible respecto a qué criterio y</w:t>
      </w:r>
      <w:r>
        <w:t xml:space="preserve"> </w:t>
      </w:r>
      <w:r>
        <w:t xml:space="preserve">bajo qué restricciones.</w:t>
      </w:r>
    </w:p>
    <w:p>
      <w:pPr>
        <w:pStyle w:val="Textoindependiente"/>
        <w:spacing w:line="360" w:lineRule="auto"/>
        <w:jc w:val="both"/>
      </w:pPr>
      <w:r>
        <w:t xml:space="preserve">Esta disciplina también protege contra sobreclaiming. FOM-7 no convierte la</w:t>
      </w:r>
      <w:r>
        <w:t xml:space="preserve"> </w:t>
      </w:r>
      <w:r>
        <w:t xml:space="preserve">evaluación functionally-grounded en evidencia application-grounded. Tampoco</w:t>
      </w:r>
      <w:r>
        <w:t xml:space="preserve"> </w:t>
      </w:r>
      <w:r>
        <w:t xml:space="preserve">pretende resolver todos los problemas human-centered de la XAI. Su contribución</w:t>
      </w:r>
      <w:r>
        <w:t xml:space="preserve"> </w:t>
      </w:r>
      <w:r>
        <w:t xml:space="preserve">es más precisa: construir un protocolo operacional para producir evidencia</w:t>
      </w:r>
      <w:r>
        <w:t xml:space="preserve"> </w:t>
      </w:r>
      <w:r>
        <w:t xml:space="preserve">multinivel, reproducible y trazable en un benchmark de explicaciones post-hoc.</w:t>
      </w:r>
    </w:p>
    <w:p>
      <w:pPr>
        <w:pStyle w:val="Textoindependiente"/>
        <w:spacing w:line="360" w:lineRule="auto"/>
        <w:jc w:val="both"/>
      </w:pPr>
      <w:r>
        <w:t xml:space="preserve">La consecuencia práctica es que cada tabla de resultados debe leerse como una</w:t>
      </w:r>
      <w:r>
        <w:t xml:space="preserve"> </w:t>
      </w:r>
      <w:r>
        <w:t xml:space="preserve">tabla de evidencia condicionada. Un valor de fidelidad pertenece a una</w:t>
      </w:r>
      <w:r>
        <w:t xml:space="preserve"> </w:t>
      </w:r>
      <w:r>
        <w:t xml:space="preserve">combinación de modelo, dataset, explicador, perturbación y criterio de</w:t>
      </w:r>
      <w:r>
        <w:t xml:space="preserve"> </w:t>
      </w:r>
      <w:r>
        <w:t xml:space="preserve">agregación. Un valor de estabilidad pertenece a una definición de vecindario y</w:t>
      </w:r>
      <w:r>
        <w:t xml:space="preserve"> </w:t>
      </w:r>
      <w:r>
        <w:t xml:space="preserve">a una clase de variación. Una medición de coste pertenece a una configuración de</w:t>
      </w:r>
      <w:r>
        <w:t xml:space="preserve"> </w:t>
      </w:r>
      <w:r>
        <w:t xml:space="preserve">hardware, implementación y parámetros. Sin esta información, la comparación</w:t>
      </w:r>
      <w:r>
        <w:t xml:space="preserve"> </w:t>
      </w:r>
      <w:r>
        <w:t xml:space="preserve">puede ser útil como orientación preliminar, pero débil como evidencia doctoral.</w:t>
      </w:r>
      <w:r>
        <w:t xml:space="preserve"> </w:t>
      </w:r>
      <w:r>
        <w:t xml:space="preserve">Con esta información, en cambio, la tesis puede formular conclusiones</w:t>
      </w:r>
      <w:r>
        <w:t xml:space="preserve"> </w:t>
      </w:r>
      <w:r>
        <w:t xml:space="preserve">delimitadas y auditables: no</w:t>
      </w:r>
      <w:r>
        <w:t xml:space="preserve"> </w:t>
      </w:r>
      <w:r>
        <w:t xml:space="preserve">“este explicador es mejor”</w:t>
      </w:r>
      <w:r>
        <w:t xml:space="preserve">, sino</w:t>
      </w:r>
      <w:r>
        <w:t xml:space="preserve"> </w:t>
      </w:r>
      <w:r>
        <w:t xml:space="preserve">“este explicador</w:t>
      </w:r>
      <w:r>
        <w:t xml:space="preserve"> </w:t>
      </w:r>
      <w:r>
        <w:t xml:space="preserve">exhibe mayor estabilidad bajo estas condiciones y con este criterio de</w:t>
      </w:r>
      <w:r>
        <w:t xml:space="preserve"> </w:t>
      </w:r>
      <w:r>
        <w:t xml:space="preserve">medición”</w:t>
      </w:r>
      <w:r>
        <w:t xml:space="preserve">. Ese cambio de lenguaje es una parte sustantiva de la contribución</w:t>
      </w:r>
      <w:r>
        <w:t xml:space="preserve"> </w:t>
      </w:r>
      <w:r>
        <w:t xml:space="preserve">metodológica.</w:t>
      </w:r>
    </w:p>
    <w:bookmarkEnd w:id="97"/>
    <w:bookmarkStart w:id="98" w:name="síntesis-crítica-justificación-de-fom-7"/>
    <w:p>
      <w:pPr>
        <w:pStyle w:val="Ttulo2"/>
        <w:spacing w:line="360" w:lineRule="auto"/>
        <w:jc w:val="both"/>
      </w:pPr>
      <w:r>
        <w:t xml:space="preserve">2.8 </w:t>
      </w:r>
      <w:r>
        <w:t xml:space="preserve">Síntesis crítica: justificación de FOM-7</w:t>
      </w:r>
    </w:p>
    <w:p>
      <w:pPr>
        <w:pStyle w:val="FirstParagraph"/>
        <w:spacing w:line="360" w:lineRule="auto"/>
        <w:jc w:val="both"/>
      </w:pPr>
      <w:r>
        <w:t xml:space="preserve">La revisión permite formular la brecha central de la tesis. La literatura ofrece</w:t>
      </w:r>
      <w:r>
        <w:t xml:space="preserve"> </w:t>
      </w:r>
      <w:r>
        <w:t xml:space="preserve">métodos de explicación influyentes, como LIME, SHAP, Anchors y DiCE. También</w:t>
      </w:r>
      <w:r>
        <w:t xml:space="preserve"> </w:t>
      </w:r>
      <w:r>
        <w:t xml:space="preserve">ofrece marcos de evaluación y toolkits, como Quantus y OpenXAI. Además,</w:t>
      </w:r>
      <w:r>
        <w:t xml:space="preserve"> </w:t>
      </w:r>
      <w:r>
        <w:t xml:space="preserve">dispone de taxonomías conceptuales que distinguen tipos de evaluación,</w:t>
      </w:r>
      <w:r>
        <w:t xml:space="preserve"> </w:t>
      </w:r>
      <w:r>
        <w:t xml:space="preserve">constructos métricos y niveles de participación humana. El problema, por tanto,</w:t>
      </w:r>
      <w:r>
        <w:t xml:space="preserve"> </w:t>
      </w:r>
      <w:r>
        <w:t xml:space="preserve">no es la ausencia total de recursos teóricos o técnicos.</w:t>
      </w:r>
    </w:p>
    <w:p>
      <w:pPr>
        <w:pStyle w:val="Textoindependiente"/>
        <w:spacing w:line="360" w:lineRule="auto"/>
        <w:jc w:val="both"/>
      </w:pPr>
      <w:r>
        <w:t xml:space="preserve">La brecha reside en la integración operacional. En la práctica, evaluar XAI para</w:t>
      </w:r>
      <w:r>
        <w:t xml:space="preserve"> </w:t>
      </w:r>
      <w:r>
        <w:t xml:space="preserve">fines comparativos exige responder preguntas encadenadas: qué artefactos son</w:t>
      </w:r>
      <w:r>
        <w:t xml:space="preserve"> </w:t>
      </w:r>
      <w:r>
        <w:t xml:space="preserve">admisibles, qué métodos se comparan, bajo qué datasets y modelos, con qué</w:t>
      </w:r>
      <w:r>
        <w:t xml:space="preserve"> </w:t>
      </w:r>
      <w:r>
        <w:t xml:space="preserve">parámetros, mediante qué métricas, con qué controles estadísticos, bajo qué</w:t>
      </w:r>
      <w:r>
        <w:t xml:space="preserve"> </w:t>
      </w:r>
      <w:r>
        <w:t xml:space="preserve">criterios de reproducibilidad y con qué límites de interpretación. Cuando estas</w:t>
      </w:r>
      <w:r>
        <w:t xml:space="preserve"> </w:t>
      </w:r>
      <w:r>
        <w:t xml:space="preserve">decisiones no se integran en un protocolo, la evaluación puede producir tablas</w:t>
      </w:r>
      <w:r>
        <w:t xml:space="preserve"> </w:t>
      </w:r>
      <w:r>
        <w:t xml:space="preserve">aparentemente rigurosas pero débiles como evidencia científica.</w:t>
      </w:r>
    </w:p>
    <w:p>
      <w:pPr>
        <w:pStyle w:val="Textoindependiente"/>
        <w:spacing w:line="360" w:lineRule="auto"/>
        <w:jc w:val="both"/>
      </w:pPr>
      <w:r>
        <w:t xml:space="preserve">Esta brecha no debe formularse como una descalificación de los marcos</w:t>
      </w:r>
      <w:r>
        <w:t xml:space="preserve"> </w:t>
      </w:r>
      <w:r>
        <w:t xml:space="preserve">existentes. Quantus, OpenXAI y las revisiones sistemáticas recientes representan</w:t>
      </w:r>
      <w:r>
        <w:t xml:space="preserve"> </w:t>
      </w:r>
      <w:r>
        <w:t xml:space="preserve">avances reales hacia la estandarización, la comparabilidad y la cuantificación</w:t>
      </w:r>
      <w:r>
        <w:t xml:space="preserve"> </w:t>
      </w:r>
      <w:r>
        <w:t xml:space="preserve">de explicaciones</w:t>
      </w:r>
      <w:r>
        <w:t xml:space="preserve"> </w:t>
      </w:r>
      <w:r>
        <w:t xml:space="preserve">(Hedström et al. 2023; Agarwal et al. 2022; Nauta et al. 2023)</w:t>
      </w:r>
      <w:r>
        <w:t xml:space="preserve">. La tesis no afirma</w:t>
      </w:r>
      <w:r>
        <w:t xml:space="preserve"> </w:t>
      </w:r>
      <w:r>
        <w:t xml:space="preserve">que esos recursos sean insuficientes en términos absolutos, sino que no agotan</w:t>
      </w:r>
      <w:r>
        <w:t xml:space="preserve"> </w:t>
      </w:r>
      <w:r>
        <w:t xml:space="preserve">la necesidad de un protocolo situado que gobierne el ciclo completo de evidencia</w:t>
      </w:r>
      <w:r>
        <w:t xml:space="preserve"> </w:t>
      </w:r>
      <w:r>
        <w:t xml:space="preserve">en este estudio. La diferencia es sutil pero decisiva: un toolkit puede ofrecer</w:t>
      </w:r>
      <w:r>
        <w:t xml:space="preserve"> </w:t>
      </w:r>
      <w:r>
        <w:t xml:space="preserve">métricas; un protocolo doctoral debe decir cuándo esas métricas son admisibles,</w:t>
      </w:r>
      <w:r>
        <w:t xml:space="preserve"> </w:t>
      </w:r>
      <w:r>
        <w:t xml:space="preserve">cómo se documentan, cómo se comparan, qué inferencias permiten y qué límites</w:t>
      </w:r>
      <w:r>
        <w:t xml:space="preserve"> </w:t>
      </w:r>
      <w:r>
        <w:t xml:space="preserve">conservan.</w:t>
      </w:r>
    </w:p>
    <w:p>
      <w:pPr>
        <w:pStyle w:val="Textoindependiente"/>
        <w:spacing w:line="360" w:lineRule="auto"/>
        <w:jc w:val="both"/>
      </w:pPr>
      <w:r>
        <w:t xml:space="preserve">La revisión también muestra que las familias de explicación no comparten una</w:t>
      </w:r>
      <w:r>
        <w:t xml:space="preserve"> </w:t>
      </w:r>
      <w:r>
        <w:t xml:space="preserve">ontología única. LIME produce sustitutos locales; SHAP produce atribuciones;</w:t>
      </w:r>
      <w:r>
        <w:t xml:space="preserve"> </w:t>
      </w:r>
      <w:r>
        <w:t xml:space="preserve">Anchors produce reglas; DiCE produce contrafactuales. Esta diversidad implica</w:t>
      </w:r>
      <w:r>
        <w:t xml:space="preserve"> </w:t>
      </w:r>
      <w:r>
        <w:t xml:space="preserve">que el protocolo no puede asumir una equivalencia natural entre salidas</w:t>
      </w:r>
      <w:r>
        <w:t xml:space="preserve"> </w:t>
      </w:r>
      <w:r>
        <w:t xml:space="preserve">explicativas. La comparación debe ser multinivel porque cada método se relaciona</w:t>
      </w:r>
      <w:r>
        <w:t xml:space="preserve"> </w:t>
      </w:r>
      <w:r>
        <w:t xml:space="preserve">de manera distinta con fidelidad, estabilidad, coste, cobertura, accionabilidad</w:t>
      </w:r>
      <w:r>
        <w:t xml:space="preserve"> </w:t>
      </w:r>
      <w:r>
        <w:t xml:space="preserve">y utilidad. La matriz anterior formaliza esta asimetría y convierte una</w:t>
      </w:r>
      <w:r>
        <w:t xml:space="preserve"> </w:t>
      </w:r>
      <w:r>
        <w:t xml:space="preserve">observación teórica en una regla metodológica: ninguna conclusión comparativa</w:t>
      </w:r>
      <w:r>
        <w:t xml:space="preserve"> </w:t>
      </w:r>
      <w:r>
        <w:t xml:space="preserve">puede separarse del tipo de objeto explicativo que la sostiene.</w:t>
      </w:r>
    </w:p>
    <w:p>
      <w:pPr>
        <w:pStyle w:val="Textoindependiente"/>
        <w:spacing w:line="360" w:lineRule="auto"/>
        <w:jc w:val="both"/>
      </w:pPr>
      <w:r>
        <w:t xml:space="preserve">El tercer elemento de la brecha es la admisibilidad estadística. Una diferencia</w:t>
      </w:r>
      <w:r>
        <w:t xml:space="preserve"> </w:t>
      </w:r>
      <w:r>
        <w:t xml:space="preserve">observada entre métodos no basta para sostener una afirmación doctoral si no se</w:t>
      </w:r>
      <w:r>
        <w:t xml:space="preserve"> </w:t>
      </w:r>
      <w:r>
        <w:t xml:space="preserve">acompaña de controles sobre variabilidad, repetición, comparabilidad y alcance.</w:t>
      </w:r>
      <w:r>
        <w:t xml:space="preserve"> </w:t>
      </w:r>
      <w:r>
        <w:t xml:space="preserve">La literatura de benchmarking XAI ha avanzado al ofrecer métricas y esquemas de</w:t>
      </w:r>
      <w:r>
        <w:t xml:space="preserve"> </w:t>
      </w:r>
      <w:r>
        <w:t xml:space="preserve">evaluación, pero el paso desde resultado numérico hasta claim requiere una capa</w:t>
      </w:r>
      <w:r>
        <w:t xml:space="preserve"> </w:t>
      </w:r>
      <w:r>
        <w:t xml:space="preserve">de decisión metodológica. FOM-7 ubica esa capa dentro del protocolo: antes de</w:t>
      </w:r>
      <w:r>
        <w:t xml:space="preserve"> </w:t>
      </w:r>
      <w:r>
        <w:t xml:space="preserve">declarar superioridad, preferencia o robustez, el estudio debe establecer si el</w:t>
      </w:r>
      <w:r>
        <w:t xml:space="preserve"> </w:t>
      </w:r>
      <w:r>
        <w:t xml:space="preserve">resultado es estable, si la prueba estadística es apropiada, si los artefactos</w:t>
      </w:r>
      <w:r>
        <w:t xml:space="preserve"> </w:t>
      </w:r>
      <w:r>
        <w:t xml:space="preserve">son comparables y si la conclusión respeta el constructo evaluado.</w:t>
      </w:r>
    </w:p>
    <w:p>
      <w:pPr>
        <w:pStyle w:val="Textoindependiente"/>
        <w:spacing w:line="360" w:lineRule="auto"/>
        <w:jc w:val="both"/>
      </w:pPr>
      <w:r>
        <w:t xml:space="preserve">El cuarto elemento es la trazabilidad. En una tesis doctoral, la credibilidad no</w:t>
      </w:r>
      <w:r>
        <w:t xml:space="preserve"> </w:t>
      </w:r>
      <w:r>
        <w:t xml:space="preserve">depende solo de tener resultados, sino de que el lector pueda seguir el camino</w:t>
      </w:r>
      <w:r>
        <w:t xml:space="preserve"> </w:t>
      </w:r>
      <w:r>
        <w:t xml:space="preserve">desde una afirmación hasta sus condiciones de producción. Esta trazabilidad</w:t>
      </w:r>
      <w:r>
        <w:t xml:space="preserve"> </w:t>
      </w:r>
      <w:r>
        <w:t xml:space="preserve">incluye referencias bibliográficas, definiciones conceptuales, decisiones de</w:t>
      </w:r>
      <w:r>
        <w:t xml:space="preserve"> </w:t>
      </w:r>
      <w:r>
        <w:t xml:space="preserve">diseño, configuraciones experimentales, métricas, pruebas estadísticas y</w:t>
      </w:r>
      <w:r>
        <w:t xml:space="preserve"> </w:t>
      </w:r>
      <w:r>
        <w:t xml:space="preserve">limitaciones. FOM-7 convierte esta exigencia en arquitectura: cada claim debe</w:t>
      </w:r>
      <w:r>
        <w:t xml:space="preserve"> </w:t>
      </w:r>
      <w:r>
        <w:t xml:space="preserve">vincularse con evidencia identificable y cada evidencia debe declarar su alcance</w:t>
      </w:r>
      <w:r>
        <w:t xml:space="preserve"> </w:t>
      </w:r>
      <w:r>
        <w:t xml:space="preserve">interpretativo. Así, el protocolo evita que la literatura revise conceptos por</w:t>
      </w:r>
      <w:r>
        <w:t xml:space="preserve"> </w:t>
      </w:r>
      <w:r>
        <w:t xml:space="preserve">un lado y los experimentos reporten cifras por otro, sin un puente claro entre</w:t>
      </w:r>
      <w:r>
        <w:t xml:space="preserve"> </w:t>
      </w:r>
      <w:r>
        <w:t xml:space="preserve">ambos.</w:t>
      </w:r>
    </w:p>
    <w:p>
      <w:pPr>
        <w:pStyle w:val="Textoindependiente"/>
        <w:spacing w:line="360" w:lineRule="auto"/>
        <w:jc w:val="both"/>
      </w:pPr>
      <w:r>
        <w:t xml:space="preserve">FOM-7 se justifica como respuesta a esa brecha. Su aporte no es proponer una</w:t>
      </w:r>
      <w:r>
        <w:t xml:space="preserve"> </w:t>
      </w:r>
      <w:r>
        <w:t xml:space="preserve">métrica aislada ni afirmar que un método de explicación domina universalmente a</w:t>
      </w:r>
      <w:r>
        <w:t xml:space="preserve"> </w:t>
      </w:r>
      <w:r>
        <w:t xml:space="preserve">los demás. Su aporte es estructurar un proceso de evaluación multinivel que</w:t>
      </w:r>
      <w:r>
        <w:t xml:space="preserve"> </w:t>
      </w:r>
      <w:r>
        <w:t xml:space="preserve">conecta diseño experimental, calificación de artefactos, medición,</w:t>
      </w:r>
      <w:r>
        <w:t xml:space="preserve"> </w:t>
      </w:r>
      <w:r>
        <w:t xml:space="preserve">admisibilidad estadística, reproducibilidad y trazabilidad de claims. Esta</w:t>
      </w:r>
      <w:r>
        <w:t xml:space="preserve"> </w:t>
      </w:r>
      <w:r>
        <w:t xml:space="preserve">conexión permite que las conclusiones de la tesis sean evaluables, replicables y</w:t>
      </w:r>
      <w:r>
        <w:t xml:space="preserve"> </w:t>
      </w:r>
      <w:r>
        <w:t xml:space="preserve">delimitadas.</w:t>
      </w:r>
    </w:p>
    <w:p>
      <w:pPr>
        <w:pStyle w:val="Textoindependiente"/>
        <w:spacing w:line="360" w:lineRule="auto"/>
        <w:jc w:val="both"/>
      </w:pPr>
      <w:r>
        <w:t xml:space="preserve">En consecuencia, FOM-7 puede describirse como una contribución de gobernanza</w:t>
      </w:r>
      <w:r>
        <w:t xml:space="preserve"> </w:t>
      </w:r>
      <w:r>
        <w:t xml:space="preserve">metodológica para evaluación XAI. No compite con LIME, SHAP, Anchors o DiCE,</w:t>
      </w:r>
      <w:r>
        <w:t xml:space="preserve"> </w:t>
      </w:r>
      <w:r>
        <w:t xml:space="preserve">porque no es un explicador. No compite con Quantus u OpenXAI como librería de</w:t>
      </w:r>
      <w:r>
        <w:t xml:space="preserve"> </w:t>
      </w:r>
      <w:r>
        <w:t xml:space="preserve">métricas, porque su foco no es ampliar el catálogo de implementaciones. Su</w:t>
      </w:r>
      <w:r>
        <w:t xml:space="preserve"> </w:t>
      </w:r>
      <w:r>
        <w:t xml:space="preserve">espacio propio está en coordinar los pasos que permiten convertir explicaciones</w:t>
      </w:r>
      <w:r>
        <w:t xml:space="preserve"> </w:t>
      </w:r>
      <w:r>
        <w:t xml:space="preserve">y métricas en evidencia científica: selección de artefactos, congelamiento de</w:t>
      </w:r>
      <w:r>
        <w:t xml:space="preserve"> </w:t>
      </w:r>
      <w:r>
        <w:t xml:space="preserve">condiciones, ejecución comparable, análisis estadístico, perfil reproducible y</w:t>
      </w:r>
      <w:r>
        <w:t xml:space="preserve"> </w:t>
      </w:r>
      <w:r>
        <w:t xml:space="preserve">claim trazable. Esta posición hace que la contribución sea defendible sin</w:t>
      </w:r>
      <w:r>
        <w:t xml:space="preserve"> </w:t>
      </w:r>
      <w:r>
        <w:t xml:space="preserve">sobreclaiming.</w:t>
      </w:r>
    </w:p>
    <w:p>
      <w:pPr>
        <w:pStyle w:val="Textoindependiente"/>
        <w:spacing w:line="360" w:lineRule="auto"/>
        <w:jc w:val="both"/>
      </w:pPr>
      <w:r>
        <w:t xml:space="preserve">El capítulo también delimita lo que FOM-7 no demuestra. No demuestra utilidad</w:t>
      </w:r>
      <w:r>
        <w:t xml:space="preserve"> </w:t>
      </w:r>
      <w:r>
        <w:t xml:space="preserve">humana directa, porque esa afirmación requeriría estudios human-grounded o</w:t>
      </w:r>
      <w:r>
        <w:t xml:space="preserve"> </w:t>
      </w:r>
      <w:r>
        <w:t xml:space="preserve">application-grounded específicos</w:t>
      </w:r>
      <w:r>
        <w:t xml:space="preserve"> </w:t>
      </w:r>
      <w:r>
        <w:t xml:space="preserve">(Doshi-Velez 2017; Hase y Bansal 2020; Rong et al. 2024)</w:t>
      </w:r>
      <w:r>
        <w:t xml:space="preserve">. No</w:t>
      </w:r>
      <w:r>
        <w:t xml:space="preserve"> </w:t>
      </w:r>
      <w:r>
        <w:t xml:space="preserve">demuestra verdad causal de las explicaciones, porque las métricas</w:t>
      </w:r>
      <w:r>
        <w:t xml:space="preserve"> </w:t>
      </w:r>
      <w:r>
        <w:t xml:space="preserve">functionally-grounded operan sobre proxies definidos. No demuestra superioridad</w:t>
      </w:r>
      <w:r>
        <w:t xml:space="preserve"> </w:t>
      </w:r>
      <w:r>
        <w:t xml:space="preserve">universal de un método, porque los métodos producen objetos heterogéneos y</w:t>
      </w:r>
      <w:r>
        <w:t xml:space="preserve"> </w:t>
      </w:r>
      <w:r>
        <w:t xml:space="preserve">responden a constructos distintos. Estas limitaciones no debilitan la tesis; al</w:t>
      </w:r>
      <w:r>
        <w:t xml:space="preserve"> </w:t>
      </w:r>
      <w:r>
        <w:t xml:space="preserve">contrario, fortalecen su precisión. Un protocolo doctoral robusto no elimina los</w:t>
      </w:r>
      <w:r>
        <w:t xml:space="preserve"> </w:t>
      </w:r>
      <w:r>
        <w:t xml:space="preserve">límites, los vuelve visibles y auditables.</w:t>
      </w:r>
    </w:p>
    <w:p>
      <w:pPr>
        <w:pStyle w:val="Textoindependiente"/>
        <w:spacing w:line="360" w:lineRule="auto"/>
        <w:jc w:val="both"/>
      </w:pPr>
      <w:r>
        <w:t xml:space="preserve">Desde esta perspectiva, el capítulo 2 cumple una función argumentativa:</w:t>
      </w:r>
      <w:r>
        <w:t xml:space="preserve"> </w:t>
      </w:r>
      <w:r>
        <w:t xml:space="preserve">demuestra que la XAI ha madurado como campo de métodos, que la evaluación ha</w:t>
      </w:r>
      <w:r>
        <w:t xml:space="preserve"> </w:t>
      </w:r>
      <w:r>
        <w:t xml:space="preserve">avanzado mediante taxonomías y toolkits, y que aún falta una capa operacional</w:t>
      </w:r>
      <w:r>
        <w:t xml:space="preserve"> </w:t>
      </w:r>
      <w:r>
        <w:t xml:space="preserve">que gobierne el paso desde resultados métricos hacia afirmaciones científicas.</w:t>
      </w:r>
      <w:r>
        <w:t xml:space="preserve"> </w:t>
      </w:r>
      <w:r>
        <w:t xml:space="preserve">Esa capa es el espacio de contribución de FOM-7 y el puente conceptual hacia el</w:t>
      </w:r>
      <w:r>
        <w:t xml:space="preserve"> </w:t>
      </w:r>
      <w:r>
        <w:t xml:space="preserve">diseño experimental desarrollado en el capítulo siguiente.</w:t>
      </w:r>
    </w:p>
    <w:p>
      <w:pPr>
        <w:pStyle w:val="Textoindependiente"/>
        <w:spacing w:line="360" w:lineRule="auto"/>
        <w:jc w:val="both"/>
      </w:pPr>
      <w:r>
        <w:t xml:space="preserve">Este capítulo ha establecido el fundamento conceptual que sostiene la propuesta</w:t>
      </w:r>
      <w:r>
        <w:t xml:space="preserve"> </w:t>
      </w:r>
      <w:r>
        <w:t xml:space="preserve">FOM-7. La revisión muestra que la literatura dispone de explicadores maduros,</w:t>
      </w:r>
      <w:r>
        <w:t xml:space="preserve"> </w:t>
      </w:r>
      <w:r>
        <w:t xml:space="preserve">toolkits de evaluación funcionales y taxonomías conceptuales que distinguen</w:t>
      </w:r>
      <w:r>
        <w:t xml:space="preserve"> </w:t>
      </w:r>
      <w:r>
        <w:t xml:space="preserve">niveles de evidencia —pero ningún protocolo operativo que gobierne el ciclo</w:t>
      </w:r>
      <w:r>
        <w:t xml:space="preserve"> </w:t>
      </w:r>
      <w:r>
        <w:t xml:space="preserve">completo desde el diseño experimental hasta la trazabilidad de afirmaciones. Las</w:t>
      </w:r>
      <w:r>
        <w:t xml:space="preserve"> </w:t>
      </w:r>
      <w:r>
        <w:t xml:space="preserve">dos subsecciones finales —evaluación human-centered y reproducibilidad en XAI—</w:t>
      </w:r>
      <w:r>
        <w:t xml:space="preserve"> </w:t>
      </w:r>
      <w:r>
        <w:t xml:space="preserve">sitúan esa brecha en su contexto más amplio: la reproducibilidad es un requisito</w:t>
      </w:r>
      <w:r>
        <w:t xml:space="preserve"> </w:t>
      </w:r>
      <w:r>
        <w:t xml:space="preserve">de validez científica y un requisito normativo emergente; la evaluación centrada</w:t>
      </w:r>
      <w:r>
        <w:t xml:space="preserve"> </w:t>
      </w:r>
      <w:r>
        <w:t xml:space="preserve">en el usuario es una dimensión de calidad que el benchmark puede delimitar, pero</w:t>
      </w:r>
      <w:r>
        <w:t xml:space="preserve"> </w:t>
      </w:r>
      <w:r>
        <w:t xml:space="preserve">no sustituir. La consecuencia operativa de esta revisión es que el Capítulo 3</w:t>
      </w:r>
      <w:r>
        <w:t xml:space="preserve"> </w:t>
      </w:r>
      <w:r>
        <w:t xml:space="preserve">no puede limitarse a describir qué métricas se calculan: debe especificar bajo</w:t>
      </w:r>
      <w:r>
        <w:t xml:space="preserve"> </w:t>
      </w:r>
      <w:r>
        <w:t xml:space="preserve">qué condiciones experimentales son admisibles, qué artefactos las sostienen y</w:t>
      </w:r>
      <w:r>
        <w:t xml:space="preserve"> </w:t>
      </w:r>
      <w:r>
        <w:t xml:space="preserve">qué inferencias permiten. Esa especificación es el diseño de FOM-7.</w:t>
      </w:r>
    </w:p>
    <w:bookmarkEnd w:id="98"/>
    <w:bookmarkEnd w:id="99"/>
    <w:bookmarkStart w:id="171" w:name="marco-empírico-y-diseño-experimental"/>
    <w:p>
      <w:pPr>
        <w:pStyle w:val="Ttulo1"/>
        <w:spacing w:line="360" w:lineRule="auto"/>
        <w:jc w:val="both"/>
      </w:pPr>
      <w:r>
        <w:t xml:space="preserve">Capítulo 3. </w:t>
      </w:r>
      <w:r>
        <w:t xml:space="preserve">Marco empírico y diseño experimental</w:t>
      </w:r>
    </w:p>
    <w:p>
      <w:pPr>
        <w:pStyle w:val="FirstParagraph"/>
        <w:spacing w:line="360" w:lineRule="auto"/>
        <w:jc w:val="both"/>
      </w:pPr>
      <w:r>
        <w:t xml:space="preserve">Este capítulo describe el diseño empírico de los dos estudios que conforman el</w:t>
      </w:r>
      <w:r>
        <w:t xml:space="preserve"> </w:t>
      </w:r>
      <w:r>
        <w:t xml:space="preserve">núcleo cuantitativo de la tesis: el benchmark multinivel de métodos agnósticos</w:t>
      </w:r>
      <w:r>
        <w:t xml:space="preserve"> </w:t>
      </w:r>
      <w:r>
        <w:t xml:space="preserve">(el Estudio Omnibus Multimétrico) y la comparación pareada enfocada entre LIME</w:t>
      </w:r>
      <w:r>
        <w:t xml:space="preserve"> </w:t>
      </w:r>
      <w:r>
        <w:t xml:space="preserve">y SHAP (el Estudio Pareado LIME–SHAP). Ambos estudios comparten el mismo</w:t>
      </w:r>
      <w:r>
        <w:t xml:space="preserve"> </w:t>
      </w:r>
      <w:r>
        <w:t xml:space="preserve">pipeline experimental, el mismo conjunto de datos y los mismos artefactos de</w:t>
      </w:r>
      <w:r>
        <w:t xml:space="preserve"> </w:t>
      </w:r>
      <w:r>
        <w:t xml:space="preserve">modelo, y se distinguen por el alcance del análisis inferencial: el estudio</w:t>
      </w:r>
      <w:r>
        <w:t xml:space="preserve"> </w:t>
      </w:r>
      <w:r>
        <w:t xml:space="preserve">omnibus evalúa los cuatro métodos sobre el diseño factorial completo; el</w:t>
      </w:r>
      <w:r>
        <w:t xml:space="preserve"> </w:t>
      </w:r>
      <w:r>
        <w:t xml:space="preserve">estudio pareado restringe la inferencia confirmativa al subconjunto pareado</w:t>
      </w:r>
      <w:r>
        <w:t xml:space="preserve"> </w:t>
      </w:r>
      <w:r>
        <w:t xml:space="preserve">LIME-SHAP. El capítulo se organiza en ocho secciones: las dos fases</w:t>
      </w:r>
      <w:r>
        <w:t xml:space="preserve"> </w:t>
      </w:r>
      <w:r>
        <w:t xml:space="preserve">experimentales (EXP1 y EXP2), el conjunto de datos y el protocolo de</w:t>
      </w:r>
      <w:r>
        <w:t xml:space="preserve"> </w:t>
      </w:r>
      <w:r>
        <w:t xml:space="preserve">preprocesamiento, el diseño factorial, las configuraciones de los</w:t>
      </w:r>
      <w:r>
        <w:t xml:space="preserve"> </w:t>
      </w:r>
      <w:r>
        <w:t xml:space="preserve">explicadores, la operacionalización de las métricas, el protocolo FOM-7, el</w:t>
      </w:r>
      <w:r>
        <w:t xml:space="preserve"> </w:t>
      </w:r>
      <w:r>
        <w:t xml:space="preserve">análisis de cobertura de artefactos, y el plan de inferencia estadística. Las</w:t>
      </w:r>
      <w:r>
        <w:t xml:space="preserve"> </w:t>
      </w:r>
      <w:r>
        <w:t xml:space="preserve">amenazas a la validez y el inventario de recursos de reproducibilidad figuran</w:t>
      </w:r>
      <w:r>
        <w:t xml:space="preserve"> </w:t>
      </w:r>
      <w:r>
        <w:t xml:space="preserve">en el Apéndice A.</w:t>
      </w:r>
    </w:p>
    <w:p>
      <w:pPr>
        <w:pStyle w:val="Textoindependiente"/>
        <w:spacing w:line="360" w:lineRule="auto"/>
        <w:jc w:val="both"/>
      </w:pPr>
      <w:r>
        <w:t xml:space="preserve">El diseño traduce los constructos definidos en el Capítulo 2 a decisiones</w:t>
      </w:r>
      <w:r>
        <w:t xml:space="preserve"> </w:t>
      </w:r>
      <w:r>
        <w:t xml:space="preserve">operativas: fidelidad, estabilidad, robustez, complejidad, coste computacional,</w:t>
      </w:r>
      <w:r>
        <w:t xml:space="preserve"> </w:t>
      </w:r>
      <w:r>
        <w:t xml:space="preserve">calificación de artefactos, admisibilidad estadística y trazabilidad de claims.</w:t>
      </w:r>
      <w:r>
        <w:t xml:space="preserve"> </w:t>
      </w:r>
      <w:r>
        <w:t xml:space="preserve">Esta traducción es deliberadamente functionally-grounded: las métricas producen</w:t>
      </w:r>
      <w:r>
        <w:t xml:space="preserve"> </w:t>
      </w:r>
      <w:r>
        <w:t xml:space="preserve">evidencia computacional reproducible, no evidencia directa de utilidad humana ni</w:t>
      </w:r>
      <w:r>
        <w:t xml:space="preserve"> </w:t>
      </w:r>
      <w:r>
        <w:t xml:space="preserve">de verdad causal de las explicaciones</w:t>
      </w:r>
      <w:r>
        <w:t xml:space="preserve"> </w:t>
      </w:r>
      <w:r>
        <w:t xml:space="preserve">(Doshi-Velez 2017; Hedström et al. 2023; Nauta et al. 2023)</w:t>
      </w:r>
      <w:r>
        <w:t xml:space="preserve">.</w:t>
      </w:r>
    </w:p>
    <w:bookmarkStart w:id="103" w:name="fases-experimentales-exp1-y-exp2"/>
    <w:p>
      <w:pPr>
        <w:pStyle w:val="Ttulo2"/>
        <w:spacing w:line="360" w:lineRule="auto"/>
        <w:jc w:val="both"/>
      </w:pPr>
      <w:r>
        <w:t xml:space="preserve">3.1 </w:t>
      </w:r>
      <w:r>
        <w:t xml:space="preserve">Fases experimentales: EXP1 y EXP2</w:t>
      </w:r>
    </w:p>
    <w:p>
      <w:pPr>
        <w:pStyle w:val="FirstParagraph"/>
        <w:spacing w:line="360" w:lineRule="auto"/>
        <w:jc w:val="both"/>
      </w:pPr>
      <w:r>
        <w:t xml:space="preserve">El diseño experimental distingue dos cohortes de evidencia con roles</w:t>
      </w:r>
      <w:r>
        <w:t xml:space="preserve"> </w:t>
      </w:r>
      <w:r>
        <w:t xml:space="preserve">diferenciados, siguiendo el principio de separación entre actividades de</w:t>
      </w:r>
      <w:r>
        <w:t xml:space="preserve"> </w:t>
      </w:r>
      <w:r>
        <w:t xml:space="preserve">calibración y afirmaciones confirmativas</w:t>
      </w:r>
      <w:r>
        <w:t xml:space="preserve"> </w:t>
      </w:r>
      <w:r>
        <w:t xml:space="preserve">(Hedström et al. 2023; Zheng et al. 2025)</w:t>
      </w:r>
      <w:r>
        <w:t xml:space="preserve">.</w:t>
      </w:r>
    </w:p>
    <w:bookmarkStart w:id="101" w:name="X32cac70d6076bcfbcdceb21da7e13d3984b2a1d"/>
    <w:p>
      <w:pPr>
        <w:pStyle w:val="Ttulo3"/>
        <w:spacing w:line="360" w:lineRule="auto"/>
        <w:jc w:val="both"/>
      </w:pPr>
      <w:r>
        <w:t xml:space="preserve">3.1.1 </w:t>
      </w:r>
      <w:r>
        <w:t xml:space="preserve">Fase de calibración y reproducibilidad (EXP1)</w:t>
      </w:r>
    </w:p>
    <w:p>
      <w:pPr>
        <w:pStyle w:val="FirstParagraph"/>
        <w:spacing w:line="360" w:lineRule="auto"/>
        <w:jc w:val="both"/>
      </w:pPr>
      <w:r>
        <w:t xml:space="preserve">La Fase EXP1 tiene por objetivos: verificar la correcta implementación del</w:t>
      </w:r>
      <w:r>
        <w:t xml:space="preserve"> </w:t>
      </w:r>
      <w:r>
        <w:t xml:space="preserve">pipeline experimental, entrenar y congelar los artefactos de modelo</w:t>
      </w:r>
      <w:r>
        <w:t xml:space="preserve"> </w:t>
      </w:r>
      <w:r>
        <w:t xml:space="preserve">compartidos por todos los explicadores en EXP2, y generar un perfil de</w:t>
      </w:r>
      <w:r>
        <w:t xml:space="preserve"> </w:t>
      </w:r>
      <w:r>
        <w:t xml:space="preserve">reproducibilidad sobre configuraciones replicadas que permita cuantificar la</w:t>
      </w:r>
      <w:r>
        <w:t xml:space="preserve"> </w:t>
      </w:r>
      <w:r>
        <w:t xml:space="preserve">dispersión métrica esperada bajo variación de semilla.</w:t>
      </w:r>
    </w:p>
    <w:p>
      <w:pPr>
        <w:pStyle w:val="Textoindependiente"/>
        <w:spacing w:line="360" w:lineRule="auto"/>
        <w:jc w:val="both"/>
      </w:pPr>
      <w:r>
        <w:t xml:space="preserve">EXP1 opera sobre dos familias de modelos —bosque aleatorio (</w:t>
      </w:r>
      <w:r>
        <w:rPr>
          <w:rStyle w:val="VerbatimChar"/>
        </w:rPr>
        <w:t xml:space="preserve">rf</w:t>
      </w:r>
      <w:r>
        <w:t xml:space="preserve">) y XGBoost</w:t>
      </w:r>
      <w:r>
        <w:t xml:space="preserve"> </w:t>
      </w:r>
      <w:r>
        <w:t xml:space="preserve">(</w:t>
      </w:r>
      <w:r>
        <w:rPr>
          <w:rStyle w:val="VerbatimChar"/>
        </w:rPr>
        <w:t xml:space="preserve">xgb</w:t>
      </w:r>
      <w:r>
        <w:t xml:space="preserve">)— y dos métodos explicadores —SHAP (modo árbol) y LIME— formando una</w:t>
      </w:r>
      <w:r>
        <w:t xml:space="preserve"> </w:t>
      </w:r>
      <w:r>
        <w:t xml:space="preserve">cohorte de 75 ejecuciones planificadas. De estas, 66 resultaron analizables</w:t>
      </w:r>
      <w:r>
        <w:t xml:space="preserve"> </w:t>
      </w:r>
      <w:r>
        <w:t xml:space="preserve">(88.0% de cobertura). Los modelos entrenados en EXP1 se congelan como</w:t>
      </w:r>
      <w:r>
        <w:t xml:space="preserve"> </w:t>
      </w:r>
      <w:r>
        <w:t xml:space="preserve">artefactos repositorio bajo</w:t>
      </w:r>
      <w:r>
        <w:t xml:space="preserve"> </w:t>
      </w:r>
      <w:r>
        <w:rPr>
          <w:rStyle w:val="VerbatimChar"/>
        </w:rPr>
        <w:t xml:space="preserve">experiments/exp1_adult/models/</w:t>
      </w:r>
      <w:r>
        <w:t xml:space="preserve"> </w:t>
      </w:r>
      <w:r>
        <w:t xml:space="preserve">y son</w:t>
      </w:r>
      <w:r>
        <w:t xml:space="preserve"> </w:t>
      </w:r>
      <w:r>
        <w:t xml:space="preserve">reutilizados sin reentrenamiento en EXP2, de modo que cualquier diferencia</w:t>
      </w:r>
      <w:r>
        <w:t xml:space="preserve"> </w:t>
      </w:r>
      <w:r>
        <w:t xml:space="preserve">observada entre métodos en la fase primaria es atribuible al explicador y no</w:t>
      </w:r>
      <w:r>
        <w:t xml:space="preserve"> </w:t>
      </w:r>
      <w:r>
        <w:t xml:space="preserve">a variación en el modelo subyacente.</w:t>
      </w:r>
    </w:p>
    <w:p>
      <w:pPr>
        <w:pStyle w:val="Textoindependiente"/>
        <w:spacing w:line="360" w:lineRule="auto"/>
        <w:jc w:val="both"/>
      </w:pPr>
      <w:r>
        <w:t xml:space="preserve">El rendimiento predictivo de los cinco modelos entrenados en EXP1 y evaluados</w:t>
      </w:r>
      <w:r>
        <w:t xml:space="preserve"> </w:t>
      </w:r>
      <w:r>
        <w:t xml:space="preserve">sobre el conjunto de prueba (9,758 instancias, semilla 42) se muestra en la</w:t>
      </w:r>
      <w:r>
        <w:t xml:space="preserve"> </w:t>
      </w:r>
      <w:r>
        <w:t xml:space="preserve">Tabla</w:t>
      </w:r>
      <w:r>
        <w:t xml:space="preserve"> </w:t>
      </w:r>
      <w:hyperlink w:anchor="tbl-model-performance">
        <w:r>
          <w:rPr>
            <w:rStyle w:val="Hipervnculo"/>
          </w:rPr>
          <w:t xml:space="preserve">3.1</w:t>
        </w:r>
      </w:hyperlink>
      <w:r>
        <w:t xml:space="preserve">. Los valores fueron extraídos directamente de los archivos</w:t>
      </w:r>
      <w:r>
        <w:t xml:space="preserve"> </w:t>
      </w:r>
      <w:r>
        <w:rPr>
          <w:rStyle w:val="VerbatimChar"/>
        </w:rPr>
        <w:t xml:space="preserve">experiments/exp1_adult/models/*/metrics.json</w:t>
      </w:r>
      <w:r>
        <w:t xml:space="preserve"> </w:t>
      </w:r>
      <w:r>
        <w:t xml:space="preserve">del repositorio.</w:t>
      </w:r>
    </w:p>
    <w:tbl>
      <w:tblPr>
        <w:tblStyle w:val="Table"/>
        <w:tblW w:type="pct" w:w="5000"/>
        <w:jc w:val="center"/>
        <w:tblLayout w:type="fixed"/>
        <w:tblLook w:firstRow="0" w:lastRow="0" w:firstColumn="0" w:lastColumn="0" w:noHBand="0" w:noVBand="0" w:val="0000"/>
      </w:tblPr>
      <w:tblGrid>
        <w:gridCol w:w="7920"/>
      </w:tblGrid>
      <w:tr>
        <w:tc>
          <w:tcPr/>
          <w:bookmarkStart w:id="100" w:name="tbl-model-performance"/>
          <w:p>
            <w:pPr>
              <w:pStyle w:val="ImageCaption"/>
              <w:spacing w:before="200" w:line="360" w:lineRule="auto"/>
              <w:jc w:val="center"/>
            </w:pPr>
            <w:r>
              <w:t xml:space="preserve">Tabla 3.1: Rendimiento predictivo de los modelos en el conjunto de prueba (</w:t>
            </w:r>
            <ns5:oMath>
              <ns5:r>
                <ns5:t>n</ns5:t>
              </ns5:r>
              <ns5:r>
                <ns5:rPr>
                  <ns5:sty ns5:val="p"/>
                </ns5:rPr>
                <ns5:t>=</ns5:t>
              </ns5:r>
              <ns5:r>
                <ns5:t>9</ns5:t>
              </ns5:r>
              <ns5:r>
                <ns5:rPr>
                  <ns5:sty ns5:val="p"/>
                </ns5:rPr>
                <ns5:t>,</ns5:t>
              </ns5:r>
              <ns5:r>
                <ns5:t>758</ns5:t>
              </ns5:r>
            </ns5:oMath>
            <w:r>
              <w:t xml:space="preserve">,</w:t>
            </w:r>
            <w:r>
              <w:t xml:space="preserve"> </w:t>
            </w:r>
            <w:r>
              <w:t xml:space="preserve">semilla 42). Valores extraídos de</w:t>
            </w:r>
            <w:r>
              <w:t xml:space="preserve"> </w:t>
            </w:r>
            <w:r>
              <w:rPr>
                <w:rStyle w:val="VerbatimChar"/>
              </w:rPr>
              <w:t xml:space="preserve">models/*/metrics.json</w:t>
            </w:r>
            <w:r>
              <w:t xml:space="preserve">. XGBoost lidera en</w:t>
            </w:r>
            <w:r>
              <w:t xml:space="preserve"> </w:t>
            </w:r>
            <w:r>
              <w:t xml:space="preserve">todas las métricas; el perceptrón multicapa presenta el AUC-ROC más bajo pero</w:t>
            </w:r>
            <w:r>
              <w:t xml:space="preserve"> </w:t>
            </w:r>
            <w:r>
              <w:t xml:space="preserve">supera el umbral de inclusión de 0.88.</w:t>
            </w:r>
          </w:p>
          <w:tbl>
            <w:tblPr>
              <w:tblStyle w:val="Table"/>
              <w:tblW w:type="pct" w:w="500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Row="1" w:lastRow="0" w:firstColumn="0" w:lastColumn="0" w:noHBand="0" w:noVBand="0" w:val="0020"/>
            </w:tblPr>
            <w:tblGrid>
              <w:gridCol w:w="1242"/>
              <w:gridCol w:w="1708"/>
              <w:gridCol w:w="1708"/>
              <w:gridCol w:w="1242"/>
              <w:gridCol w:w="621"/>
              <w:gridCol w:w="1397"/>
            </w:tblGrid>
            <w:tr>
              <w:trPr>
                <w:tblHeader w:val="on"/>
              </w:trPr>
              <w:tc>
                <w:tcPr/>
                <w:p>
                  <w:pPr>
                    <w:pStyle w:val="Compact"/>
                    <w:jc w:val="both"/>
                    <w:jc w:val="center"/>
                    <w:spacing w:line="360" w:lineRule="auto"/>
                  </w:pPr>
                  <w:r>
                    <w:rPr>
                      <w:bCs/>
                      <w:b/>
                    </w:rPr>
                    <w:t xml:space="preserve">Modelo</w:t>
                  </w:r>
                </w:p>
              </w:tc>
              <w:tc>
                <w:tcPr/>
                <w:p>
                  <w:pPr>
                    <w:pStyle w:val="Compact"/>
                    <w:jc w:val="both"/>
                    <w:jc w:val="center"/>
                    <w:spacing w:line="360" w:lineRule="auto"/>
                  </w:pPr>
                  <w:r>
                    <w:rPr>
                      <w:bCs/>
                      <w:b/>
                    </w:rPr>
                    <w:t xml:space="preserve">Exactitud</w:t>
                  </w:r>
                </w:p>
              </w:tc>
              <w:tc>
                <w:tcPr/>
                <w:p>
                  <w:pPr>
                    <w:pStyle w:val="Compact"/>
                    <w:jc w:val="both"/>
                    <w:jc w:val="center"/>
                    <w:spacing w:line="360" w:lineRule="auto"/>
                  </w:pPr>
                  <w:r>
                    <w:rPr>
                      <w:bCs/>
                      <w:b/>
                    </w:rPr>
                    <w:t xml:space="preserve">Precisión</w:t>
                  </w:r>
                </w:p>
              </w:tc>
              <w:tc>
                <w:tcPr/>
                <w:p>
                  <w:pPr>
                    <w:pStyle w:val="Compact"/>
                    <w:jc w:val="both"/>
                    <w:jc w:val="center"/>
                    <w:spacing w:line="360" w:lineRule="auto"/>
                  </w:pPr>
                  <w:r>
                    <w:rPr>
                      <w:bCs/>
                      <w:b/>
                    </w:rPr>
                    <w:t xml:space="preserve">Recall</w:t>
                  </w:r>
                </w:p>
              </w:tc>
              <w:tc>
                <w:tcPr/>
                <w:p>
                  <w:pPr>
                    <w:pStyle w:val="Compact"/>
                    <w:jc w:val="both"/>
                    <w:jc w:val="center"/>
                    <w:spacing w:line="360" w:lineRule="auto"/>
                  </w:pPr>
                  <w:r>
                    <w:rPr>
                      <w:bCs/>
                      <w:b/>
                    </w:rPr>
                    <w:t xml:space="preserve">F1</w:t>
                  </w:r>
                </w:p>
              </w:tc>
              <w:tc>
                <w:tcPr/>
                <w:p>
                  <w:pPr>
                    <w:pStyle w:val="Compact"/>
                    <w:jc w:val="both"/>
                    <w:jc w:val="center"/>
                    <w:spacing w:line="360" w:lineRule="auto"/>
                  </w:pPr>
                  <w:r>
                    <w:rPr>
                      <w:bCs/>
                      <w:b/>
                    </w:rPr>
                    <w:t xml:space="preserve">AUC-ROC</w:t>
                  </w:r>
                </w:p>
              </w:tc>
            </w:tr>
            <w:tr>
              <w:tc>
                <w:tcPr/>
                <w:p>
                  <w:pPr>
                    <w:pStyle w:val="Compact"/>
                    <w:jc w:val="both"/>
                    <w:jc w:val="center"/>
                    <w:spacing w:line="360" w:lineRule="auto"/>
                  </w:pPr>
                  <w:r>
                    <w:t xml:space="preserve">Regresión logística (</w:t>
                  </w:r>
                  <w:r>
                    <w:rPr>
                      <w:rStyle w:val="VerbatimChar"/>
                    </w:rPr>
                    <w:t xml:space="preserve">logreg</w:t>
                  </w:r>
                  <w:r>
                    <w:t xml:space="preserve">)</w:t>
                  </w:r>
                </w:p>
              </w:tc>
              <w:tc>
                <w:tcPr/>
                <w:p>
                  <w:pPr>
                    <w:pStyle w:val="Compact"/>
                    <w:jc w:val="both"/>
                    <w:jc w:val="center"/>
                    <w:spacing w:line="360" w:lineRule="auto"/>
                  </w:pPr>
                  <w:r>
                    <w:t xml:space="preserve">0.849</w:t>
                  </w:r>
                </w:p>
              </w:tc>
              <w:tc>
                <w:tcPr/>
                <w:p>
                  <w:pPr>
                    <w:pStyle w:val="Compact"/>
                    <w:jc w:val="both"/>
                    <w:jc w:val="center"/>
                    <w:spacing w:line="360" w:lineRule="auto"/>
                  </w:pPr>
                  <w:r>
                    <w:t xml:space="preserve">0.842</w:t>
                  </w:r>
                </w:p>
              </w:tc>
              <w:tc>
                <w:tcPr/>
                <w:p>
                  <w:pPr>
                    <w:pStyle w:val="Compact"/>
                    <w:jc w:val="both"/>
                    <w:jc w:val="center"/>
                    <w:spacing w:line="360" w:lineRule="auto"/>
                  </w:pPr>
                  <w:r>
                    <w:t xml:space="preserve">0.849</w:t>
                  </w:r>
                </w:p>
              </w:tc>
              <w:tc>
                <w:tcPr/>
                <w:p>
                  <w:pPr>
                    <w:pStyle w:val="Compact"/>
                    <w:jc w:val="both"/>
                    <w:jc w:val="center"/>
                    <w:spacing w:line="360" w:lineRule="auto"/>
                  </w:pPr>
                  <w:r>
                    <w:t xml:space="preserve">0.844</w:t>
                  </w:r>
                </w:p>
              </w:tc>
              <w:tc>
                <w:tcPr/>
                <w:p>
                  <w:pPr>
                    <w:pStyle w:val="Compact"/>
                    <w:jc w:val="both"/>
                    <w:jc w:val="center"/>
                    <w:spacing w:line="360" w:lineRule="auto"/>
                  </w:pPr>
                  <w:r>
                    <w:t xml:space="preserve">0.903</w:t>
                  </w:r>
                </w:p>
              </w:tc>
            </w:tr>
            <w:tr>
              <w:tc>
                <w:tcPr/>
                <w:p>
                  <w:pPr>
                    <w:pStyle w:val="Compact"/>
                    <w:jc w:val="both"/>
                    <w:jc w:val="center"/>
                    <w:spacing w:line="360" w:lineRule="auto"/>
                  </w:pPr>
                  <w:r>
                    <w:t xml:space="preserve">Bosque aleatorio (</w:t>
                  </w:r>
                  <w:r>
                    <w:rPr>
                      <w:rStyle w:val="VerbatimChar"/>
                    </w:rPr>
                    <w:t xml:space="preserve">rf</w:t>
                  </w:r>
                  <w:r>
                    <w:t xml:space="preserve">)</w:t>
                  </w:r>
                </w:p>
              </w:tc>
              <w:tc>
                <w:tcPr/>
                <w:p>
                  <w:pPr>
                    <w:pStyle w:val="Compact"/>
                    <w:jc w:val="both"/>
                    <w:jc w:val="center"/>
                    <w:spacing w:line="360" w:lineRule="auto"/>
                  </w:pPr>
                  <w:r>
                    <w:t xml:space="preserve">0.854</w:t>
                  </w:r>
                </w:p>
              </w:tc>
              <w:tc>
                <w:tcPr/>
                <w:p>
                  <w:pPr>
                    <w:pStyle w:val="Compact"/>
                    <w:jc w:val="both"/>
                    <w:jc w:val="center"/>
                    <w:spacing w:line="360" w:lineRule="auto"/>
                  </w:pPr>
                  <w:r>
                    <w:t xml:space="preserve">0.849</w:t>
                  </w:r>
                </w:p>
              </w:tc>
              <w:tc>
                <w:tcPr/>
                <w:p>
                  <w:pPr>
                    <w:pStyle w:val="Compact"/>
                    <w:jc w:val="both"/>
                    <w:jc w:val="center"/>
                    <w:spacing w:line="360" w:lineRule="auto"/>
                  </w:pPr>
                  <w:r>
                    <w:t xml:space="preserve">0.854</w:t>
                  </w:r>
                </w:p>
              </w:tc>
              <w:tc>
                <w:tcPr/>
                <w:p>
                  <w:pPr>
                    <w:pStyle w:val="Compact"/>
                    <w:jc w:val="both"/>
                    <w:jc w:val="center"/>
                    <w:spacing w:line="360" w:lineRule="auto"/>
                  </w:pPr>
                  <w:r>
                    <w:t xml:space="preserve">0.851</w:t>
                  </w:r>
                </w:p>
              </w:tc>
              <w:tc>
                <w:tcPr/>
                <w:p>
                  <w:pPr>
                    <w:pStyle w:val="Compact"/>
                    <w:jc w:val="both"/>
                    <w:jc w:val="center"/>
                    <w:spacing w:line="360" w:lineRule="auto"/>
                  </w:pPr>
                  <w:r>
                    <w:t xml:space="preserve">0.902</w:t>
                  </w:r>
                </w:p>
              </w:tc>
            </w:tr>
            <w:tr>
              <w:tc>
                <w:tcPr/>
                <w:p>
                  <w:pPr>
                    <w:pStyle w:val="Compact"/>
                    <w:jc w:val="both"/>
                    <w:jc w:val="center"/>
                    <w:spacing w:line="360" w:lineRule="auto"/>
                  </w:pPr>
                  <w:r>
                    <w:t xml:space="preserve">XGBoost (</w:t>
                  </w:r>
                  <w:r>
                    <w:rPr>
                      <w:rStyle w:val="VerbatimChar"/>
                    </w:rPr>
                    <w:t xml:space="preserve">xgb</w:t>
                  </w:r>
                  <w:r>
                    <w:t xml:space="preserve">)</w:t>
                  </w:r>
                </w:p>
              </w:tc>
              <w:tc>
                <w:tcPr/>
                <w:p>
                  <w:pPr>
                    <w:pStyle w:val="Compact"/>
                    <w:jc w:val="both"/>
                    <w:jc w:val="center"/>
                    <w:spacing w:line="360" w:lineRule="auto"/>
                  </w:pPr>
                  <w:r>
                    <w:rPr>
                      <w:b/>
                      <w:bCs/>
                    </w:rPr>
                    <w:t xml:space="preserve">0.870</w:t>
                  </w:r>
                </w:p>
              </w:tc>
              <w:tc>
                <w:tcPr/>
                <w:p>
                  <w:pPr>
                    <w:pStyle w:val="Compact"/>
                    <w:jc w:val="both"/>
                    <w:jc w:val="center"/>
                    <w:spacing w:line="360" w:lineRule="auto"/>
                  </w:pPr>
                  <w:r>
                    <w:rPr>
                      <w:b/>
                      <w:bCs/>
                    </w:rPr>
                    <w:t xml:space="preserve">0.865</w:t>
                  </w:r>
                </w:p>
              </w:tc>
              <w:tc>
                <w:tcPr/>
                <w:p>
                  <w:pPr>
                    <w:pStyle w:val="Compact"/>
                    <w:jc w:val="both"/>
                    <w:jc w:val="center"/>
                    <w:spacing w:line="360" w:lineRule="auto"/>
                  </w:pPr>
                  <w:r>
                    <w:rPr>
                      <w:b/>
                      <w:bCs/>
                    </w:rPr>
                    <w:t xml:space="preserve">0.870</w:t>
                  </w:r>
                </w:p>
              </w:tc>
              <w:tc>
                <w:tcPr/>
                <w:p>
                  <w:pPr>
                    <w:pStyle w:val="Compact"/>
                    <w:jc w:val="both"/>
                    <w:jc w:val="center"/>
                    <w:spacing w:line="360" w:lineRule="auto"/>
                  </w:pPr>
                  <w:r>
                    <w:rPr>
                      <w:b/>
                      <w:bCs/>
                    </w:rPr>
                    <w:t xml:space="preserve">0.865</w:t>
                  </w:r>
                </w:p>
              </w:tc>
              <w:tc>
                <w:tcPr/>
                <w:p>
                  <w:pPr>
                    <w:pStyle w:val="Compact"/>
                    <w:jc w:val="both"/>
                    <w:jc w:val="center"/>
                    <w:spacing w:line="360" w:lineRule="auto"/>
                  </w:pPr>
                  <w:r>
                    <w:rPr>
                      <w:b/>
                      <w:bCs/>
                    </w:rPr>
                    <w:t xml:space="preserve">0.926</w:t>
                  </w:r>
                </w:p>
              </w:tc>
            </w:tr>
            <w:tr>
              <w:tc>
                <w:tcPr/>
                <w:p>
                  <w:pPr>
                    <w:pStyle w:val="Compact"/>
                    <w:jc w:val="both"/>
                    <w:jc w:val="center"/>
                    <w:spacing w:line="360" w:lineRule="auto"/>
                  </w:pPr>
                  <w:r>
                    <w:t xml:space="preserve">Máquina de vectores soporte (</w:t>
                  </w:r>
                  <w:r>
                    <w:rPr>
                      <w:rStyle w:val="VerbatimChar"/>
                    </w:rPr>
                    <w:t xml:space="preserve">svm</w:t>
                  </w:r>
                  <w:r>
                    <w:t xml:space="preserve">)</w:t>
                  </w:r>
                </w:p>
              </w:tc>
              <w:tc>
                <w:tcPr/>
                <w:p>
                  <w:pPr>
                    <w:pStyle w:val="Compact"/>
                    <w:jc w:val="both"/>
                    <w:jc w:val="center"/>
                    <w:spacing w:line="360" w:lineRule="auto"/>
                  </w:pPr>
                  <w:r>
                    <w:t xml:space="preserve">0.856</w:t>
                  </w:r>
                </w:p>
              </w:tc>
              <w:tc>
                <w:tcPr/>
                <w:p>
                  <w:pPr>
                    <w:pStyle w:val="Compact"/>
                    <w:jc w:val="both"/>
                    <w:jc w:val="center"/>
                    <w:spacing w:line="360" w:lineRule="auto"/>
                  </w:pPr>
                  <w:r>
                    <w:t xml:space="preserve">0.849</w:t>
                  </w:r>
                </w:p>
              </w:tc>
              <w:tc>
                <w:tcPr/>
                <w:p>
                  <w:pPr>
                    <w:pStyle w:val="Compact"/>
                    <w:jc w:val="both"/>
                    <w:jc w:val="center"/>
                    <w:spacing w:line="360" w:lineRule="auto"/>
                  </w:pPr>
                  <w:r>
                    <w:t xml:space="preserve">0.856</w:t>
                  </w:r>
                </w:p>
              </w:tc>
              <w:tc>
                <w:tcPr/>
                <w:p>
                  <w:pPr>
                    <w:pStyle w:val="Compact"/>
                    <w:jc w:val="both"/>
                    <w:jc w:val="center"/>
                    <w:spacing w:line="360" w:lineRule="auto"/>
                  </w:pPr>
                  <w:r>
                    <w:t xml:space="preserve">0.849</w:t>
                  </w:r>
                </w:p>
              </w:tc>
              <w:tc>
                <w:tcPr/>
                <w:p>
                  <w:pPr>
                    <w:pStyle w:val="Compact"/>
                    <w:jc w:val="both"/>
                    <w:jc w:val="center"/>
                    <w:spacing w:line="360" w:lineRule="auto"/>
                  </w:pPr>
                  <w:r>
                    <w:t xml:space="preserve">0.898</w:t>
                  </w:r>
                </w:p>
              </w:tc>
            </w:tr>
            <w:tr>
              <w:tc>
                <w:tcPr/>
                <w:p>
                  <w:pPr>
                    <w:pStyle w:val="Compact"/>
                    <w:jc w:val="both"/>
                    <w:jc w:val="center"/>
                    <w:spacing w:line="360" w:lineRule="auto"/>
                  </w:pPr>
                  <w:r>
                    <w:t xml:space="preserve">Perceptrón multicapa (</w:t>
                  </w:r>
                  <w:r>
                    <w:rPr>
                      <w:rStyle w:val="VerbatimChar"/>
                    </w:rPr>
                    <w:t xml:space="preserve">mlp</w:t>
                  </w:r>
                  <w:r>
                    <w:t xml:space="preserve">)</w:t>
                  </w:r>
                </w:p>
              </w:tc>
              <w:tc>
                <w:tcPr/>
                <w:p>
                  <w:pPr>
                    <w:pStyle w:val="Compact"/>
                    <w:jc w:val="both"/>
                    <w:jc w:val="center"/>
                    <w:spacing w:line="360" w:lineRule="auto"/>
                  </w:pPr>
                  <w:r>
                    <w:t xml:space="preserve">0.840</w:t>
                  </w:r>
                </w:p>
              </w:tc>
              <w:tc>
                <w:tcPr/>
                <w:p>
                  <w:pPr>
                    <w:pStyle w:val="Compact"/>
                    <w:jc w:val="both"/>
                    <w:jc w:val="center"/>
                    <w:spacing w:line="360" w:lineRule="auto"/>
                  </w:pPr>
                  <w:r>
                    <w:t xml:space="preserve">0.833</w:t>
                  </w:r>
                </w:p>
              </w:tc>
              <w:tc>
                <w:tcPr/>
                <w:p>
                  <w:pPr>
                    <w:pStyle w:val="Compact"/>
                    <w:jc w:val="both"/>
                    <w:jc w:val="center"/>
                    <w:spacing w:line="360" w:lineRule="auto"/>
                  </w:pPr>
                  <w:r>
                    <w:t xml:space="preserve">0.840</w:t>
                  </w:r>
                </w:p>
              </w:tc>
              <w:tc>
                <w:tcPr/>
                <w:p>
                  <w:pPr>
                    <w:pStyle w:val="Compact"/>
                    <w:jc w:val="both"/>
                    <w:jc w:val="center"/>
                    <w:spacing w:line="360" w:lineRule="auto"/>
                  </w:pPr>
                  <w:r>
                    <w:t xml:space="preserve">0.835</w:t>
                  </w:r>
                </w:p>
              </w:tc>
              <w:tc>
                <w:tcPr/>
                <w:p>
                  <w:pPr>
                    <w:pStyle w:val="Compact"/>
                    <w:jc w:val="both"/>
                    <w:jc w:val="center"/>
                    <w:spacing w:line="360" w:lineRule="auto"/>
                  </w:pPr>
                  <w:r>
                    <w:t xml:space="preserve">0.885</w:t>
                  </w:r>
                </w:p>
              </w:tc>
            </w:tr>
          </w:tbl>
          <w:bookmarkEnd w:id="100"/>
          <w:p>
            <w:pPr>
              <w:spacing w:line="360" w:lineRule="auto"/>
              <w:jc w:val="both"/>
            </w:pPr>
          </w:p>
        </w:tc>
      </w:tr>
    </w:tbl>
    <w:p>
      <w:pPr>
        <w:pStyle w:val="Textoindependiente"/>
        <w:spacing w:line="360" w:lineRule="auto"/>
        <w:jc w:val="both"/>
      </w:pPr>
      <w:r>
        <w:t xml:space="preserve">Todos los modelos superan los umbrales de inclusión definidos en el protocolo:</w:t>
      </w:r>
      <w:r>
        <w:t xml:space="preserve"> </w:t>
      </w:r>
      <w:r>
        <w:t xml:space="preserve">exactitud</w:t>
      </w:r>
      <w:r>
        <w:t xml:space="preserve"> </w:t>
      </w:r>
      <ns5:oMath>
        <ns5:r>
          <ns5:rPr>
            <ns5:sty ns5:val="p"/>
          </ns5:rPr>
          <ns5:t>≥</ns5:t>
        </ns5:r>
        <ns5:r>
          <ns5:t>0.83</ns5:t>
        </ns5:r>
      </ns5:oMath>
      <w:r>
        <w:t xml:space="preserve"> </w:t>
      </w:r>
      <w:r>
        <w:t xml:space="preserve">y AUC-ROC</w:t>
      </w:r>
      <w:r>
        <w:t xml:space="preserve"> </w:t>
      </w:r>
      <ns5:oMath>
        <ns5:r>
          <ns5:rPr>
            <ns5:sty ns5:val="p"/>
          </ns5:rPr>
          <ns5:t>≥</ns5:t>
        </ns5:r>
        <ns5:r>
          <ns5:t>0.88</ns5:t>
        </ns5:r>
      </ns5:oMath>
      <w:r>
        <w:t xml:space="preserve">. Esta dispersión inter-modelo es</w:t>
      </w:r>
      <w:r>
        <w:t xml:space="preserve"> </w:t>
      </w:r>
      <w:r>
        <w:t xml:space="preserve">intencional: un benchmark robusto debe evaluar explicadores sobre modelos de</w:t>
      </w:r>
      <w:r>
        <w:t xml:space="preserve"> </w:t>
      </w:r>
      <w:r>
        <w:t xml:space="preserve">distinta complejidad y tipo de frontera de decisión, incluyendo modelos</w:t>
      </w:r>
      <w:r>
        <w:t xml:space="preserve"> </w:t>
      </w:r>
      <w:r>
        <w:t xml:space="preserve">lineales (logreg), de conjuntos de árboles (rf, xgb), con kernel (svm) y</w:t>
      </w:r>
      <w:r>
        <w:t xml:space="preserve"> </w:t>
      </w:r>
      <w:r>
        <w:t xml:space="preserve">neuronales (mlp).</w:t>
      </w:r>
    </w:p>
    <w:p>
      <w:pPr>
        <w:pStyle w:val="Textoindependiente"/>
        <w:spacing w:line="360" w:lineRule="auto"/>
        <w:jc w:val="both"/>
      </w:pPr>
      <w:r>
        <w:t xml:space="preserve">El perfilado de reproducibilidad de EXP1 establece que las métricas de calidad</w:t>
      </w:r>
      <w:r>
        <w:t xml:space="preserve"> </w:t>
      </w:r>
      <w:r>
        <w:t xml:space="preserve">presentan coeficientes de variación inferiores al 9% bajo variación de semilla:</w:t>
      </w:r>
      <w:r>
        <w:t xml:space="preserve"> </w:t>
      </w:r>
      <ns5:oMath>
        <ns5:sSub>
          <ns5:e>
            <ns5:r>
              <ns5:rPr>
                <ns5:nor/>
                <ns5:sty ns5:val="p"/>
              </ns5:rPr>
              <ns5:t>CV</ns5:t>
            </ns5:r>
          </ns5:e>
          <ns5:sub>
            <ns5:r>
              <ns5:t>F</ns5:t>
            </ns5:r>
          </ns5:sub>
        </ns5:sSub>
        <ns5:r>
          <ns5:rPr>
            <ns5:sty ns5:val="p"/>
          </ns5:rPr>
          <ns5:t>≤</ns5:t>
        </ns5:r>
        <ns5:r>
          <ns5:t>0.064</ns5:t>
        </ns5:r>
      </ns5:oMath>
      <w:r>
        <w:t xml:space="preserve">,</w:t>
      </w:r>
      <w:r>
        <w:t xml:space="preserve"> </w:t>
      </w:r>
      <ns5:oMath>
        <ns5:sSub>
          <ns5:e>
            <ns5:r>
              <ns5:rPr>
                <ns5:nor/>
                <ns5:sty ns5:val="p"/>
              </ns5:rPr>
              <ns5:t>CV</ns5:t>
            </ns5:r>
          </ns5:e>
          <ns5:sub>
            <ns5:r>
              <ns5:t>S</ns5:t>
            </ns5:r>
          </ns5:sub>
        </ns5:sSub>
        <ns5:r>
          <ns5:rPr>
            <ns5:sty ns5:val="p"/>
          </ns5:rPr>
          <ns5:t>≤</ns5:t>
        </ns5:r>
        <ns5:r>
          <ns5:t>0.083</ns5:t>
        </ns5:r>
      </ns5:oMath>
      <w:r>
        <w:t xml:space="preserve">,</w:t>
      </w:r>
      <w:r>
        <w:t xml:space="preserve"> </w:t>
      </w:r>
      <ns5:oMath>
        <ns5:sSub>
          <ns5:e>
            <ns5:r>
              <ns5:rPr>
                <ns5:nor/>
                <ns5:sty ns5:val="p"/>
              </ns5:rPr>
              <ns5:t>CV</ns5:t>
            </ns5:r>
          </ns5:e>
          <ns5:sub>
            <ns5:r>
              <ns5:t>P</ns5:t>
            </ns5:r>
          </ns5:sub>
        </ns5:sSub>
        <ns5:r>
          <ns5:rPr>
            <ns5:sty ns5:val="p"/>
          </ns5:rPr>
          <ns5:t>≤</ns5:t>
        </ns5:r>
        <ns5:r>
          <ns5:t>0.045</ns5:t>
        </ns5:r>
      </ns5:oMath>
      <w:r>
        <w:t xml:space="preserve">,</w:t>
      </w:r>
      <w:r>
        <w:t xml:space="preserve"> </w:t>
      </w:r>
      <ns5:oMath>
        <ns5:sSub>
          <ns5:e>
            <ns5:r>
              <ns5:rPr>
                <ns5:nor/>
                <ns5:sty ns5:val="p"/>
              </ns5:rPr>
              <ns5:t>CV</ns5:t>
            </ns5:r>
          </ns5:e>
          <ns5:sub>
            <ns5:sSub>
              <ns5:e>
                <ns5:r>
                  <ns5:rPr>
                    <ns5:sty ns5:val="p"/>
                  </ns5:rPr>
                  <ns5:t>Δ</ns5:t>
                </ns5:r>
              </ns5:e>
              <ns5:sub>
                <ns5:r>
                  <ns5:t>k</ns5:t>
                </ns5:r>
              </ns5:sub>
            </ns5:sSub>
          </ns5:sub>
        </ns5:sSub>
        <ns5:r>
          <ns5:rPr>
            <ns5:sty ns5:val="p"/>
          </ns5:rPr>
          <ns5:t>≤</ns5:t>
        </ns5:r>
        <ns5:r>
          <ns5:t>0.036</ns5:t>
        </ns5:r>
      </ns5:oMath>
      <w:r>
        <w:t xml:space="preserve">. El coste</w:t>
      </w:r>
      <w:r>
        <w:t xml:space="preserve"> </w:t>
      </w:r>
      <w:r>
        <w:t xml:space="preserve">computacional exhibe mayor variabilidad (</w:t>
      </w:r>
      <ns5:oMath>
        <ns5:sSub>
          <ns5:e>
            <ns5:r>
              <ns5:rPr>
                <ns5:nor/>
                <ns5:sty ns5:val="p"/>
              </ns5:rPr>
              <ns5:t>CV</ns5:t>
            </ns5:r>
          </ns5:e>
          <ns5:sub>
            <ns5:r>
              <ns5:t>C</ns5:t>
            </ns5:r>
          </ns5:sub>
        </ns5:sSub>
        <ns5:r>
          <ns5:rPr>
            <ns5:sty ns5:val="p"/>
          </ns5:rPr>
          <ns5:t>≤</ns5:t>
        </ns5:r>
        <ns5:r>
          <ns5:t>0.225</ns5:t>
        </ns5:r>
      </ns5:oMath>
      <w:r>
        <w:t xml:space="preserve"> </w:t>
      </w:r>
      <w:r>
        <w:t xml:space="preserve">para SHAP</w:t>
      </w:r>
      <w:r>
        <w:t xml:space="preserve"> </w:t>
      </w:r>
      <w:r>
        <w:t xml:space="preserve">con kernel), lo que implica que los rankings de calidad son sustancialmente</w:t>
      </w:r>
      <w:r>
        <w:t xml:space="preserve"> </w:t>
      </w:r>
      <w:r>
        <w:t xml:space="preserve">más reproducibles que las estimaciones de latencia. EXP1</w:t>
      </w:r>
      <w:r>
        <w:t xml:space="preserve"> </w:t>
      </w:r>
      <w:r>
        <w:rPr>
          <w:b/>
          <w:bCs/>
        </w:rPr>
        <w:t xml:space="preserve">no</w:t>
      </w:r>
      <w:r>
        <w:t xml:space="preserve"> </w:t>
      </w:r>
      <w:r>
        <w:t xml:space="preserve">contribuye</w:t>
      </w:r>
      <w:r>
        <w:t xml:space="preserve"> </w:t>
      </w:r>
      <w:r>
        <w:t xml:space="preserve">a la inferencia confirmativa de EXP2 ni a las hipótesis H1-H3.</w:t>
      </w:r>
    </w:p>
    <w:bookmarkEnd w:id="101"/>
    <w:bookmarkStart w:id="102" w:name="X88dee61532cae681dfa2cfeee2779c5c9929176"/>
    <w:p>
      <w:pPr>
        <w:pStyle w:val="Ttulo3"/>
        <w:spacing w:line="360" w:lineRule="auto"/>
        <w:jc w:val="both"/>
      </w:pPr>
      <w:r>
        <w:t xml:space="preserve">3.1.2 </w:t>
      </w:r>
      <w:r>
        <w:t xml:space="preserve">Fase de benchmark primario de robustez (EXP2)</w:t>
      </w:r>
    </w:p>
    <w:p>
      <w:pPr>
        <w:pStyle w:val="FirstParagraph"/>
        <w:spacing w:line="360" w:lineRule="auto"/>
        <w:jc w:val="both"/>
      </w:pPr>
      <w:r>
        <w:t xml:space="preserve">La Fase EXP2 es la cohorte de evidencia confirmativa. Expande EXP1 a los cinco</w:t>
      </w:r>
      <w:r>
        <w:t xml:space="preserve"> </w:t>
      </w:r>
      <w:r>
        <w:t xml:space="preserve">modelos y cuatro métodos explicadores, con cinco semillas y tres tamaños de</w:t>
      </w:r>
      <w:r>
        <w:t xml:space="preserve"> </w:t>
      </w:r>
      <w:r>
        <w:t xml:space="preserve">muestra, bajo el protocolo FOM-7 descrito en la Sección</w:t>
      </w:r>
      <w:r>
        <w:t xml:space="preserve"> </w:t>
      </w:r>
      <w:hyperlink w:anchor="sec-fom7">
        <w:r>
          <w:rPr>
            <w:rStyle w:val="Hipervnculo"/>
          </w:rPr>
          <w:t xml:space="preserve">3.6</w:t>
        </w:r>
      </w:hyperlink>
      <w:r>
        <w:t xml:space="preserve">. Los resultados</w:t>
      </w:r>
      <w:r>
        <w:t xml:space="preserve"> </w:t>
      </w:r>
      <w:r>
        <w:t xml:space="preserve">de EXP2 son la fuente exclusiva de las afirmaciones estadísticas inferenciales</w:t>
      </w:r>
      <w:r>
        <w:t xml:space="preserve"> </w:t>
      </w:r>
      <w:r>
        <w:t xml:space="preserve">del Estudio Omnibus Multimétrico y del Estudio Pareado LIME–SHAP.</w:t>
      </w:r>
    </w:p>
    <w:bookmarkEnd w:id="102"/>
    <w:bookmarkEnd w:id="103"/>
    <w:bookmarkStart w:id="108" w:name="Xb179eb5e9b7cbdb0e78e991d72b8aeee41d8932"/>
    <w:p>
      <w:pPr>
        <w:pStyle w:val="Ttulo2"/>
        <w:spacing w:line="360" w:lineRule="auto"/>
        <w:jc w:val="both"/>
      </w:pPr>
      <w:r>
        <w:t xml:space="preserve">3.2 </w:t>
      </w:r>
      <w:r>
        <w:t xml:space="preserve">Conjunto de datos y protocolo de preprocesamiento</w:t>
      </w:r>
    </w:p>
    <w:bookmarkStart w:id="104" w:name="descripción-del-conjunto-de-datos"/>
    <w:p>
      <w:pPr>
        <w:pStyle w:val="Ttulo3"/>
        <w:spacing w:line="360" w:lineRule="auto"/>
        <w:jc w:val="both"/>
      </w:pPr>
      <w:r>
        <w:t xml:space="preserve">3.2.1 </w:t>
      </w:r>
      <w:r>
        <w:t xml:space="preserve">Descripción del conjunto de datos</w:t>
      </w:r>
    </w:p>
    <w:p>
      <w:pPr>
        <w:pStyle w:val="FirstParagraph"/>
        <w:spacing w:line="360" w:lineRule="auto"/>
        <w:jc w:val="both"/>
      </w:pPr>
      <w:r>
        <w:t xml:space="preserve">Ambos estudios utilizan el conjunto de datos UCI Adult Income</w:t>
      </w:r>
      <w:r>
        <w:t xml:space="preserve"> </w:t>
      </w:r>
      <w:r>
        <w:t xml:space="preserve">(Breiman 2001; Kohavi y Becker 1996)</w:t>
      </w:r>
      <w:r>
        <w:t xml:space="preserve">, ampliamente empleado en benchmarking de XAI por</w:t>
      </w:r>
      <w:r>
        <w:t xml:space="preserve"> </w:t>
      </w:r>
      <w:r>
        <w:t xml:space="preserve">su estructura tabular heterogénea, su variable objetivo binaria bien definida</w:t>
      </w:r>
      <w:r>
        <w:t xml:space="preserve"> </w:t>
      </w:r>
      <w:r>
        <w:t xml:space="preserve">y la disponibilidad de comparaciones publicadas que facilitan la verificación</w:t>
      </w:r>
      <w:r>
        <w:t xml:space="preserve"> </w:t>
      </w:r>
      <w:r>
        <w:t xml:space="preserve">de reproducibilidad externa</w:t>
      </w:r>
      <w:r>
        <w:t xml:space="preserve"> </w:t>
      </w:r>
      <w:r>
        <w:t xml:space="preserve">(Agarwal et al. 2022; Hedström et al. 2023)</w:t>
      </w:r>
      <w:r>
        <w:t xml:space="preserve">.</w:t>
      </w:r>
    </w:p>
    <w:p>
      <w:pPr>
        <w:pStyle w:val="Textoindependiente"/>
        <w:spacing w:line="360" w:lineRule="auto"/>
        <w:jc w:val="both"/>
      </w:pPr>
      <w:r>
        <w:t xml:space="preserve">El conjunto contiene 48,842 instancias, 14 características originales (6</w:t>
      </w:r>
      <w:r>
        <w:t xml:space="preserve"> </w:t>
      </w:r>
      <w:r>
        <w:t xml:space="preserve">numéricas y 8 categóricas) y una variable binaria de predicción. Las</w:t>
      </w:r>
      <w:r>
        <w:t xml:space="preserve"> </w:t>
      </w:r>
      <w:r>
        <w:t xml:space="preserve">características numéricas son: edad, horas de trabajo por semana, educación</w:t>
      </w:r>
      <w:r>
        <w:t xml:space="preserve"> </w:t>
      </w:r>
      <w:r>
        <w:t xml:space="preserve">en años, ganancia de capital, pérdida de capital y peso final del censo. Las</w:t>
      </w:r>
      <w:r>
        <w:t xml:space="preserve"> </w:t>
      </w:r>
      <w:r>
        <w:t xml:space="preserve">categóricas incluyen: clase de trabajo, nivel de educación, estado civil,</w:t>
      </w:r>
      <w:r>
        <w:t xml:space="preserve"> </w:t>
      </w:r>
      <w:r>
        <w:t xml:space="preserve">ocupación, relación familiar, raza, sexo y país de origen. La tasa de positivos</w:t>
      </w:r>
      <w:r>
        <w:t xml:space="preserve"> </w:t>
      </w:r>
      <w:r>
        <w:t xml:space="preserve">(clase</w:t>
      </w:r>
      <w:r>
        <w:t xml:space="preserve"> </w:t>
      </w:r>
      <ns5:oMath>
        <ns5:r>
          <ns5:rPr>
            <ns5:sty ns5:val="p"/>
          </ns5:rPr>
          <ns5:t>&gt;</ns5:t>
        </ns5:r>
        <ns5:r>
          <ns5:t>50</ns5:t>
        </ns5:r>
      </ns5:oMath>
      <w:r>
        <w:t xml:space="preserve">K USD) es del 23.9%, lo que implica un desbalance moderado</w:t>
      </w:r>
      <w:r>
        <w:t xml:space="preserve"> </w:t>
      </w:r>
      <w:r>
        <w:t xml:space="preserve">controlado mediante el muestreo estratificado por cuadrante de error descrito</w:t>
      </w:r>
      <w:r>
        <w:t xml:space="preserve"> </w:t>
      </w:r>
      <w:r>
        <w:t xml:space="preserve">en la Sección</w:t>
      </w:r>
      <w:r>
        <w:t xml:space="preserve"> </w:t>
      </w:r>
      <w:hyperlink w:anchor="sec-muestreo">
        <w:r>
          <w:rPr>
            <w:rStyle w:val="Hipervnculo"/>
          </w:rPr>
          <w:t xml:space="preserve">3.4</w:t>
        </w:r>
      </w:hyperlink>
      <w:r>
        <w:t xml:space="preserve">.</w:t>
      </w:r>
    </w:p>
    <w:bookmarkEnd w:id="104"/>
    <w:bookmarkStart w:id="106" w:name="carga-limpieza-y-partición"/>
    <w:p>
      <w:pPr>
        <w:pStyle w:val="Ttulo3"/>
        <w:spacing w:line="360" w:lineRule="auto"/>
        <w:jc w:val="both"/>
      </w:pPr>
      <w:r>
        <w:t xml:space="preserve">3.2.2 </w:t>
      </w:r>
      <w:r>
        <w:t xml:space="preserve">Carga, limpieza y partición</w:t>
      </w:r>
    </w:p>
    <w:p>
      <w:pPr>
        <w:pStyle w:val="FirstParagraph"/>
        <w:spacing w:line="360" w:lineRule="auto"/>
        <w:jc w:val="both"/>
      </w:pPr>
      <w:r>
        <w:t xml:space="preserve">El conjunto se carga mediante</w:t>
      </w:r>
      <w:r>
        <w:t xml:space="preserve"> </w:t>
      </w:r>
      <w:r>
        <w:rPr>
          <w:rStyle w:val="VerbatimChar"/>
        </w:rPr>
        <w:t xml:space="preserve">src/data_loading/adult.py</w:t>
      </w:r>
      <w:r>
        <w:t xml:space="preserve"> </w:t>
      </w:r>
      <w:r>
        <w:t xml:space="preserve">con OpenML como</w:t>
      </w:r>
      <w:r>
        <w:t xml:space="preserve"> </w:t>
      </w:r>
      <w:r>
        <w:t xml:space="preserve">fuente primaria y UCI como respaldo. El pipeline de limpieza aplica las</w:t>
      </w:r>
      <w:r>
        <w:t xml:space="preserve"> </w:t>
      </w:r>
      <w:r>
        <w:t xml:space="preserve">siguientes transformaciones de forma determinista: (i) normalización de</w:t>
      </w:r>
      <w:r>
        <w:t xml:space="preserve"> </w:t>
      </w:r>
      <w:r>
        <w:t xml:space="preserve">espacios en blanco en valores de texto, (ii) canonicalización de valores</w:t>
      </w:r>
      <w:r>
        <w:t xml:space="preserve"> </w:t>
      </w:r>
      <w:r>
        <w:t xml:space="preserve">faltantes (</w:t>
      </w:r>
      <w:r>
        <w:rPr>
          <w:rStyle w:val="VerbatimChar"/>
        </w:rPr>
        <w:t xml:space="preserve">"?"</w:t>
      </w:r>
      <w:r>
        <w:t xml:space="preserve"> </w:t>
      </w:r>
      <ns5:oMath>
        <ns5:r>
          <ns5:rPr>
            <ns5:sty ns5:val="p"/>
          </ns5:rPr>
          <ns5:t>→</ns5:t>
        </ns5:r>
      </ns5:oMath>
      <w:r>
        <w:t xml:space="preserve"> </w:t>
      </w:r>
      <w:r>
        <w:rPr>
          <w:rStyle w:val="VerbatimChar"/>
        </w:rPr>
        <w:t xml:space="preserve">NaN</w:t>
      </w:r>
      <w:r>
        <w:t xml:space="preserve">), (iii) unificación de etiquetas de objetivo</w:t>
      </w:r>
      <w:r>
        <w:t xml:space="preserve"> </w:t>
      </w:r>
      <w:r>
        <w:t xml:space="preserve">(</w:t>
      </w:r>
      <w:r>
        <w:rPr>
          <w:rStyle w:val="VerbatimChar"/>
        </w:rPr>
        <w:t xml:space="preserve">"&gt;50K."</w:t>
      </w:r>
      <w:r>
        <w:t xml:space="preserve"> </w:t>
      </w:r>
      <ns5:oMath>
        <ns5:r>
          <ns5:rPr>
            <ns5:sty ns5:val="p"/>
          </ns5:rPr>
          <ns5:t>→</ns5:t>
        </ns5:r>
      </ns5:oMath>
      <w:r>
        <w:t xml:space="preserve"> </w:t>
      </w:r>
      <w:r>
        <w:t xml:space="preserve">1,</w:t>
      </w:r>
      <w:r>
        <w:t xml:space="preserve"> </w:t>
      </w:r>
      <w:r>
        <w:rPr>
          <w:rStyle w:val="VerbatimChar"/>
        </w:rPr>
        <w:t xml:space="preserve">"&lt;=50K."</w:t>
      </w:r>
      <w:r>
        <w:t xml:space="preserve"> </w:t>
      </w:r>
      <ns5:oMath>
        <ns5:r>
          <ns5:rPr>
            <ns5:sty ns5:val="p"/>
          </ns5:rPr>
          <ns5:t>→</ns5:t>
        </ns5:r>
      </ns5:oMath>
      <w:r>
        <w:t xml:space="preserve"> </w:t>
      </w:r>
      <w:r>
        <w:t xml:space="preserve">0), (iv) eliminación de duplicados</w:t>
      </w:r>
      <w:r>
        <w:t xml:space="preserve"> </w:t>
      </w:r>
      <w:r>
        <w:t xml:space="preserve">exactos, y (v) ordenamiento determinista de columnas.</w:t>
      </w:r>
    </w:p>
    <w:p>
      <w:pPr>
        <w:pStyle w:val="Textoindependiente"/>
        <w:spacing w:line="360" w:lineRule="auto"/>
        <w:jc w:val="both"/>
      </w:pPr>
      <w:r>
        <w:t xml:space="preserve">La partición sigue el esquema estratificado de la</w:t>
      </w:r>
      <w:r>
        <w:t xml:space="preserve"> </w:t>
      </w:r>
      <w:hyperlink w:anchor="eq-particion">
        <w:r>
          <w:rPr>
            <w:rStyle w:val="Hipervnculo"/>
          </w:rPr>
          <w:t xml:space="preserve">Ecuación 3.1</w:t>
        </w:r>
      </w:hyperlink>
      <w:r>
        <w:t xml:space="preserve">:</w:t>
      </w:r>
    </w:p>
    <w:p>
      <w:pPr>
        <w:pStyle w:val="Textoindependiente"/>
        <w:spacing w:line="360" w:lineRule="auto"/>
        <w:jc w:val="both"/>
      </w:pPr>
      <w:bookmarkStart w:id="105" w:name="eq-particion"/>
      <ns5:oMathPara>
        <ns5:oMathParaPr>
          <ns5:jc ns5:val="center"/>
        </ns5:oMathParaPr>
        <ns5:oMath>
          <ns5:r>
            <ns5:rPr>
              <ns5:nor/>
              <ns5:sty ns5:val="p"/>
            </ns5:rPr>
            <ns5:t>train_test_split</ns5:t>
          </ns5:r>
          <ns5:r>
            <ns5:t>​</ns5:t>
          </ns5:r>
          <ns5:d>
            <ns5:dPr>
              <ns5:begChr ns5:val="("/>
              <ns5:sepChr ns5:val=""/>
              <ns5:endChr ns5:val=")"/>
              <ns5:grow/>
            </ns5:dPr>
            <ns5:e>
              <ns5:r>
                <ns5:rPr>
                  <ns5:nor/>
                  <ns5:sty ns5:val="p"/>
                </ns5:rPr>
                <ns5:t>test_size</ns5:t>
              </ns5:r>
              <ns5:r>
                <ns5:rPr>
                  <ns5:sty ns5:val="p"/>
                </ns5:rPr>
                <ns5:t>=</ns5:t>
              </ns5:r>
              <ns5:r>
                <ns5:t>0.20</ns5:t>
              </ns5:r>
              <ns5:r>
                <ns5:rPr>
                  <ns5:sty ns5:val="p"/>
                </ns5:rPr>
                <ns5:t>,</ns5:t>
              </ns5:r>
              <ns5:r>
                <ns5:t> </ns5:t>
              </ns5:r>
              <ns5:r>
                <ns5:rPr>
                  <ns5:nor/>
                  <ns5:sty ns5:val="p"/>
                </ns5:rPr>
                <ns5:t>stratify</ns5:t>
              </ns5:r>
              <ns5:r>
                <ns5:rPr>
                  <ns5:sty ns5:val="p"/>
                </ns5:rPr>
                <ns5:t>=</ns5:t>
              </ns5:r>
              <ns5:r>
                <ns5:t>y</ns5:t>
              </ns5:r>
              <ns5:r>
                <ns5:rPr>
                  <ns5:sty ns5:val="p"/>
                </ns5:rPr>
                <ns5:t>,</ns5:t>
              </ns5:r>
              <ns5:r>
                <ns5:t> </ns5:t>
              </ns5:r>
              <ns5:r>
                <ns5:rPr>
                  <ns5:nor/>
                  <ns5:sty ns5:val="p"/>
                </ns5:rPr>
                <ns5:t>random_state</ns5:t>
              </ns5:r>
              <ns5:r>
                <ns5:rPr>
                  <ns5:sty ns5:val="p"/>
                </ns5:rPr>
                <ns5:t>=</ns5:t>
              </ns5:r>
              <ns5:r>
                <ns5:t>s</ns5:t>
              </ns5:r>
            </ns5:e>
          </ns5:d>
          <ns5:r>
            <ns5:t>  </ns5:t>
          </ns5:r>
          <ns5:r>
            <ns5:rPr>
              <ns5:sty ns5:val="p"/>
            </ns5:rPr>
            <ns5:t>(</ns5:t>
          </ns5:r>
          <ns5:r>
            <ns5:t>3.1</ns5:t>
          </ns5:r>
          <ns5:r>
            <ns5:rPr>
              <ns5:sty ns5:val="p"/>
            </ns5:rPr>
            <ns5:t>)</ns5:t>
          </ns5:r>
        </ns5:oMath>
      </ns5:oMathPara>
      <w:bookmarkEnd w:id="105"/>
    </w:p>
    <w:p>
      <w:pPr>
        <w:pStyle w:val="FirstParagraph"/>
        <w:spacing w:line="360" w:lineRule="auto"/>
        <w:jc w:val="both"/>
      </w:pPr>
      <w:r>
        <w:t xml:space="preserve">Para la semilla canónica</w:t>
      </w:r>
      <w:r>
        <w:t xml:space="preserve"> </w:t>
      </w:r>
      <ns5:oMath>
        <ns5:r>
          <ns5:t>s</ns5:t>
        </ns5:r>
        <ns5:r>
          <ns5:rPr>
            <ns5:sty ns5:val="p"/>
          </ns5:rPr>
          <ns5:t>=</ns5:t>
        </ns5:r>
        <ns5:r>
          <ns5:t>42</ns5:t>
        </ns5:r>
      </ns5:oMath>
      <w:r>
        <w:t xml:space="preserve">, la partición produce 39,032 instancias</w:t>
      </w:r>
      <w:r>
        <w:t xml:space="preserve"> </w:t>
      </w:r>
      <w:r>
        <w:t xml:space="preserve">de entrenamiento y 9,758 de prueba.</w:t>
      </w:r>
    </w:p>
    <w:bookmarkEnd w:id="106"/>
    <w:bookmarkStart w:id="107" w:name="controles-de-fuga-de-datos"/>
    <w:p>
      <w:pPr>
        <w:pStyle w:val="Ttulo3"/>
        <w:spacing w:line="360" w:lineRule="auto"/>
        <w:jc w:val="both"/>
      </w:pPr>
      <w:r>
        <w:t xml:space="preserve">3.2.3 </w:t>
      </w:r>
      <w:r>
        <w:t xml:space="preserve">Controles de fuga de datos</w:t>
      </w:r>
    </w:p>
    <w:p>
      <w:pPr>
        <w:pStyle w:val="FirstParagraph"/>
        <w:spacing w:line="360" w:lineRule="auto"/>
        <w:jc w:val="both"/>
      </w:pPr>
      <w:r>
        <w:t xml:space="preserve">Los cuatro controles de fuga de datos se aplican de forma uniforme a todos</w:t>
      </w:r>
      <w:r>
        <w:t xml:space="preserve"> </w:t>
      </w:r>
      <w:r>
        <w:t xml:space="preserve">los métodos explicadores:</w:t>
      </w:r>
    </w:p>
    <w:p>
      <w:pPr>
        <w:pStyle w:val="Compact"/>
        <w:numPr>
          <w:ilvl w:val="0"/>
          <w:numId w:val="1006"/>
        </w:numPr>
        <w:spacing w:line="360" w:lineRule="auto"/>
        <w:jc w:val="both"/>
      </w:pPr>
      <w:r>
        <w:t xml:space="preserve">La partición estratificada se realiza</w:t>
      </w:r>
      <w:r>
        <w:t xml:space="preserve"> </w:t>
      </w:r>
      <w:r>
        <w:rPr>
          <w:i/>
          <w:iCs/>
        </w:rPr>
        <w:t xml:space="preserve">antes</w:t>
      </w:r>
      <w:r>
        <w:t xml:space="preserve"> </w:t>
      </w:r>
      <w:r>
        <w:t xml:space="preserve">de ajustar cualquier</w:t>
      </w:r>
      <w:r>
        <w:t xml:space="preserve"> </w:t>
      </w:r>
      <w:r>
        <w:t xml:space="preserve">transformación de preprocesamiento.</w:t>
      </w:r>
    </w:p>
    <w:p>
      <w:pPr>
        <w:pStyle w:val="Compact"/>
        <w:numPr>
          <w:ilvl w:val="0"/>
          <w:numId w:val="1006"/>
        </w:numPr>
        <w:spacing w:line="360" w:lineRule="auto"/>
        <w:jc w:val="both"/>
      </w:pPr>
      <w:r>
        <w:rPr>
          <w:rStyle w:val="VerbatimChar"/>
        </w:rPr>
        <w:t xml:space="preserve">StandardScaler</w:t>
      </w:r>
      <w:r>
        <w:t xml:space="preserve"> </w:t>
      </w:r>
      <w:r>
        <w:t xml:space="preserve">(numéricas) y</w:t>
      </w:r>
      <w:r>
        <w:t xml:space="preserve"> </w:t>
      </w:r>
      <w:r>
        <w:rPr>
          <w:rStyle w:val="VerbatimChar"/>
        </w:rPr>
        <w:t xml:space="preserve">OneHotEncoder</w:t>
      </w:r>
      <w:r>
        <w:t xml:space="preserve"> </w:t>
      </w:r>
      <w:r>
        <w:t xml:space="preserve">(</w:t>
      </w:r>
      <w:r>
        <w:rPr>
          <w:rStyle w:val="VerbatimChar"/>
        </w:rPr>
        <w:t xml:space="preserve">handle_unknown='ignore'</w:t>
      </w:r>
      <w:r>
        <w:t xml:space="preserve">,</w:t>
      </w:r>
      <w:r>
        <w:t xml:space="preserve"> </w:t>
      </w:r>
      <w:r>
        <w:t xml:space="preserve">categóricas) se ajustan</w:t>
      </w:r>
      <w:r>
        <w:t xml:space="preserve"> </w:t>
      </w:r>
      <w:r>
        <w:rPr>
          <w:b/>
          <w:bCs/>
        </w:rPr>
        <w:t xml:space="preserve">exclusivamente</w:t>
      </w:r>
      <w:r>
        <w:t xml:space="preserve"> </w:t>
      </w:r>
      <w:r>
        <w:t xml:space="preserve">sobre el conjunto de</w:t>
      </w:r>
      <w:r>
        <w:t xml:space="preserve"> </w:t>
      </w:r>
      <w:r>
        <w:t xml:space="preserve">entrenamiento.</w:t>
      </w:r>
    </w:p>
    <w:p>
      <w:pPr>
        <w:pStyle w:val="Compact"/>
        <w:numPr>
          <w:ilvl w:val="0"/>
          <w:numId w:val="1006"/>
        </w:numPr>
        <w:spacing w:line="360" w:lineRule="auto"/>
        <w:jc w:val="both"/>
      </w:pPr>
      <w:r>
        <w:t xml:space="preserve">El preprocesador ajustado se persiste como artefacto y es</w:t>
      </w:r>
      <w:r>
        <w:t xml:space="preserve"> </w:t>
      </w:r>
      <w:r>
        <w:rPr>
          <w:b/>
          <w:bCs/>
        </w:rPr>
        <w:t xml:space="preserve">compartido</w:t>
      </w:r>
      <w:r>
        <w:t xml:space="preserve"> </w:t>
      </w:r>
      <w:r>
        <w:t xml:space="preserve">por todos los métodos XAI en cada ejecución, eliminando la variación por</w:t>
      </w:r>
      <w:r>
        <w:t xml:space="preserve"> </w:t>
      </w:r>
      <w:r>
        <w:t xml:space="preserve">diferencias de escalado entre métodos.</w:t>
      </w:r>
    </w:p>
    <w:p>
      <w:pPr>
        <w:pStyle w:val="Compact"/>
        <w:numPr>
          <w:ilvl w:val="0"/>
          <w:numId w:val="1006"/>
        </w:numPr>
        <w:spacing w:line="360" w:lineRule="auto"/>
        <w:jc w:val="both"/>
      </w:pPr>
      <w:r>
        <w:t xml:space="preserve">Las explicaciones se generan sobre el espacio de características</w:t>
      </w:r>
      <w:r>
        <w:t xml:space="preserve"> </w:t>
      </w:r>
      <w:r>
        <w:t xml:space="preserve">transformado que el modelo usó durante el entrenamiento.</w:t>
      </w:r>
    </w:p>
    <w:bookmarkEnd w:id="107"/>
    <w:bookmarkEnd w:id="108"/>
    <w:bookmarkStart w:id="116" w:name="X810bf4db8899260d734480c9f59b02e6a2182a3"/>
    <w:p>
      <w:pPr>
        <w:pStyle w:val="Ttulo2"/>
        <w:spacing w:line="360" w:lineRule="auto"/>
        <w:jc w:val="both"/>
      </w:pPr>
      <w:r>
        <w:t xml:space="preserve">3.3 </w:t>
      </w:r>
      <w:r>
        <w:t xml:space="preserve">Diseño factorial del benchmark primario (EXP2)</w:t>
      </w:r>
    </w:p>
    <w:p>
      <w:pPr>
        <w:pStyle w:val="FirstParagraph"/>
        <w:spacing w:line="360" w:lineRule="auto"/>
        <w:jc w:val="both"/>
      </w:pPr>
      <w:r>
        <w:t xml:space="preserve">El benchmark primario adopta una estructura factorial cruzada de cuatro</w:t>
      </w:r>
      <w:r>
        <w:t xml:space="preserve"> </w:t>
      </w:r>
      <w:r>
        <w:t xml:space="preserve">factores (</w:t>
      </w:r>
      <w:hyperlink w:anchor="eq-diseno-factorial">
        <w:r>
          <w:rPr>
            <w:rStyle w:val="Hipervnculo"/>
          </w:rPr>
          <w:t xml:space="preserve">Ecuación 3.2</w:t>
        </w:r>
      </w:hyperlink>
      <w:r>
        <w:t xml:space="preserve">):</w:t>
      </w:r>
    </w:p>
    <w:p>
      <w:pPr>
        <w:pStyle w:val="Textoindependiente"/>
        <w:spacing w:line="360" w:lineRule="auto"/>
        <w:jc w:val="both"/>
      </w:pPr>
      <w:bookmarkStart w:id="109" w:name="eq-diseno-factorial"/>
      <ns5:oMathPara>
        <ns5:oMathParaPr>
          <ns5:jc ns5:val="center"/>
        </ns5:oMathParaPr>
        <ns5:oMath>
          <ns5:r>
            <ns5:rPr>
              <ns5:scr ns5:val="script"/>
              <ns5:sty ns5:val="p"/>
            </ns5:rPr>
            <ns5:t>D</ns5:t>
          </ns5:r>
          <ns5:r>
            <ns5:rPr>
              <ns5:sty ns5:val="p"/>
            </ns5:rPr>
            <ns5:t>=</ns5:t>
          </ns5:r>
          <ns5:r>
            <ns5:t>g</ns5:t>
          </ns5:r>
          <ns5:r>
            <ns5:rPr>
              <ns5:sty ns5:val="p"/>
            </ns5:rPr>
            <ns5:t>×</ns5:t>
          </ns5:r>
          <ns5:r>
            <ns5:t>k</ns5:t>
          </ns5:r>
          <ns5:r>
            <ns5:rPr>
              <ns5:sty ns5:val="p"/>
            </ns5:rPr>
            <ns5:t>×</ns5:t>
          </ns5:r>
          <ns5:r>
            <ns5:t>s</ns5:t>
          </ns5:r>
          <ns5:r>
            <ns5:rPr>
              <ns5:sty ns5:val="p"/>
            </ns5:rPr>
            <ns5:t>×</ns5:t>
          </ns5:r>
          <ns5:r>
            <ns5:t>n</ns5:t>
          </ns5:r>
          <ns5:r>
            <ns5:t>  </ns5:t>
          </ns5:r>
          <ns5:r>
            <ns5:rPr>
              <ns5:sty ns5:val="p"/>
            </ns5:rPr>
            <ns5:t>(</ns5:t>
          </ns5:r>
          <ns5:r>
            <ns5:t>3.2</ns5:t>
          </ns5:r>
          <ns5:r>
            <ns5:rPr>
              <ns5:sty ns5:val="p"/>
            </ns5:rPr>
            <ns5:t>)</ns5:t>
          </ns5:r>
        </ns5:oMath>
      </ns5:oMathPara>
      <w:bookmarkEnd w:id="109"/>
    </w:p>
    <w:p>
      <w:pPr>
        <w:pStyle w:val="FirstParagraph"/>
        <w:spacing w:line="360" w:lineRule="auto"/>
        <w:jc w:val="both"/>
      </w:pPr>
      <w:r>
        <w:t xml:space="preserve">donde:</w:t>
      </w:r>
    </w:p>
    <w:p>
      <w:pPr>
        <w:pStyle w:val="Compact"/>
        <w:numPr>
          <w:ilvl w:val="0"/>
          <w:numId w:val="1007"/>
        </w:numPr>
        <w:spacing w:line="360" w:lineRule="auto"/>
        <w:jc w:val="both"/>
      </w:pPr>
      <ns5:oMath>
        <ns5:r>
          <ns5:t>g</ns5:t>
        </ns5:r>
        <ns5:r>
          <ns5:rPr>
            <ns5:sty ns5:val="p"/>
          </ns5:rPr>
          <ns5:t>∈</ns5:t>
        </ns5:r>
        <ns5:r>
          <ns5:rPr>
            <ns5:sty ns5:val="p"/>
          </ns5:rPr>
          <ns5:t>{</ns5:t>
        </ns5:r>
        <ns5:r>
          <ns5:rPr>
            <ns5:nor/>
            <ns5:sty ns5:val="p"/>
          </ns5:rPr>
          <ns5:t>logreg</ns5:t>
        </ns5:r>
        <ns5:r>
          <ns5:rPr>
            <ns5:sty ns5:val="p"/>
          </ns5:rPr>
          <ns5:t>,</ns5:t>
        </ns5:r>
        <ns5:r>
          <ns5:t> </ns5:t>
        </ns5:r>
        <ns5:r>
          <ns5:rPr>
            <ns5:nor/>
            <ns5:sty ns5:val="p"/>
          </ns5:rPr>
          <ns5:t>rf</ns5:t>
        </ns5:r>
        <ns5:r>
          <ns5:rPr>
            <ns5:sty ns5:val="p"/>
          </ns5:rPr>
          <ns5:t>,</ns5:t>
        </ns5:r>
        <ns5:r>
          <ns5:t> </ns5:t>
        </ns5:r>
        <ns5:r>
          <ns5:rPr>
            <ns5:nor/>
            <ns5:sty ns5:val="p"/>
          </ns5:rPr>
          <ns5:t>xgb</ns5:t>
        </ns5:r>
        <ns5:r>
          <ns5:rPr>
            <ns5:sty ns5:val="p"/>
          </ns5:rPr>
          <ns5:t>,</ns5:t>
        </ns5:r>
        <ns5:r>
          <ns5:t> </ns5:t>
        </ns5:r>
        <ns5:r>
          <ns5:rPr>
            <ns5:nor/>
            <ns5:sty ns5:val="p"/>
          </ns5:rPr>
          <ns5:t>svm</ns5:t>
        </ns5:r>
        <ns5:r>
          <ns5:rPr>
            <ns5:sty ns5:val="p"/>
          </ns5:rPr>
          <ns5:t>,</ns5:t>
        </ns5:r>
        <ns5:r>
          <ns5:t> </ns5:t>
        </ns5:r>
        <ns5:r>
          <ns5:rPr>
            <ns5:nor/>
            <ns5:sty ns5:val="p"/>
          </ns5:rPr>
          <ns5:t>mlp</ns5:t>
        </ns5:r>
        <ns5:r>
          <ns5:rPr>
            <ns5:sty ns5:val="p"/>
          </ns5:rPr>
          <ns5:t>}</ns5:t>
        </ns5:r>
      </ns5:oMath>
      <w:r>
        <w:t xml:space="preserve"> </w:t>
      </w:r>
      <w:r>
        <w:t xml:space="preserve">— familia de modelo predictivo (5 niveles),</w:t>
      </w:r>
    </w:p>
    <w:p>
      <w:pPr>
        <w:pStyle w:val="Compact"/>
        <w:numPr>
          <w:ilvl w:val="0"/>
          <w:numId w:val="1007"/>
        </w:numPr>
        <w:spacing w:line="360" w:lineRule="auto"/>
        <w:jc w:val="both"/>
      </w:pPr>
      <ns5:oMath>
        <ns5:r>
          <ns5:t>k</ns5:t>
        </ns5:r>
        <ns5:r>
          <ns5:rPr>
            <ns5:sty ns5:val="p"/>
          </ns5:rPr>
          <ns5:t>∈</ns5:t>
        </ns5:r>
        <ns5:r>
          <ns5:rPr>
            <ns5:sty ns5:val="p"/>
          </ns5:rPr>
          <ns5:t>{</ns5:t>
        </ns5:r>
        <ns5:r>
          <ns5:rPr>
            <ns5:nor/>
            <ns5:sty ns5:val="p"/>
          </ns5:rPr>
          <ns5:t>shap</ns5:t>
        </ns5:r>
        <ns5:r>
          <ns5:rPr>
            <ns5:sty ns5:val="p"/>
          </ns5:rPr>
          <ns5:t>,</ns5:t>
        </ns5:r>
        <ns5:r>
          <ns5:t> </ns5:t>
        </ns5:r>
        <ns5:r>
          <ns5:rPr>
            <ns5:nor/>
            <ns5:sty ns5:val="p"/>
          </ns5:rPr>
          <ns5:t>lime</ns5:t>
        </ns5:r>
        <ns5:r>
          <ns5:rPr>
            <ns5:sty ns5:val="p"/>
          </ns5:rPr>
          <ns5:t>,</ns5:t>
        </ns5:r>
        <ns5:r>
          <ns5:t> </ns5:t>
        </ns5:r>
        <ns5:r>
          <ns5:rPr>
            <ns5:nor/>
            <ns5:sty ns5:val="p"/>
          </ns5:rPr>
          <ns5:t>anchors</ns5:t>
        </ns5:r>
        <ns5:r>
          <ns5:rPr>
            <ns5:sty ns5:val="p"/>
          </ns5:rPr>
          <ns5:t>,</ns5:t>
        </ns5:r>
        <ns5:r>
          <ns5:t> </ns5:t>
        </ns5:r>
        <ns5:r>
          <ns5:rPr>
            <ns5:nor/>
            <ns5:sty ns5:val="p"/>
          </ns5:rPr>
          <ns5:t>dice</ns5:t>
        </ns5:r>
        <ns5:r>
          <ns5:rPr>
            <ns5:sty ns5:val="p"/>
          </ns5:rPr>
          <ns5:t>}</ns5:t>
        </ns5:r>
      </ns5:oMath>
      <w:r>
        <w:t xml:space="preserve"> </w:t>
      </w:r>
      <w:r>
        <w:t xml:space="preserve">—</w:t>
      </w:r>
      <w:r>
        <w:t xml:space="preserve"> </w:t>
      </w:r>
      <w:r>
        <w:t xml:space="preserve">método de explicabilidad (4 niveles),</w:t>
      </w:r>
    </w:p>
    <w:p>
      <w:pPr>
        <w:pStyle w:val="Compact"/>
        <w:numPr>
          <w:ilvl w:val="0"/>
          <w:numId w:val="1007"/>
        </w:numPr>
        <w:spacing w:line="360" w:lineRule="auto"/>
        <w:jc w:val="both"/>
      </w:pPr>
      <ns5:oMath>
        <ns5:r>
          <ns5:t>s</ns5:t>
        </ns5:r>
        <ns5:r>
          <ns5:rPr>
            <ns5:sty ns5:val="p"/>
          </ns5:rPr>
          <ns5:t>∈</ns5:t>
        </ns5:r>
        <ns5:r>
          <ns5:rPr>
            <ns5:sty ns5:val="p"/>
          </ns5:rPr>
          <ns5:t>{</ns5:t>
        </ns5:r>
        <ns5:r>
          <ns5:t>42</ns5:t>
        </ns5:r>
        <ns5:r>
          <ns5:rPr>
            <ns5:sty ns5:val="p"/>
          </ns5:rPr>
          <ns5:t>,</ns5:t>
        </ns5:r>
        <ns5:r>
          <ns5:t> </ns5:t>
        </ns5:r>
        <ns5:r>
          <ns5:t>123</ns5:t>
        </ns5:r>
        <ns5:r>
          <ns5:rPr>
            <ns5:sty ns5:val="p"/>
          </ns5:rPr>
          <ns5:t>,</ns5:t>
        </ns5:r>
        <ns5:r>
          <ns5:t> </ns5:t>
        </ns5:r>
        <ns5:r>
          <ns5:t>456</ns5:t>
        </ns5:r>
        <ns5:r>
          <ns5:rPr>
            <ns5:sty ns5:val="p"/>
          </ns5:rPr>
          <ns5:t>,</ns5:t>
        </ns5:r>
        <ns5:r>
          <ns5:t> </ns5:t>
        </ns5:r>
        <ns5:r>
          <ns5:t>789</ns5:t>
        </ns5:r>
        <ns5:r>
          <ns5:rPr>
            <ns5:sty ns5:val="p"/>
          </ns5:rPr>
          <ns5:t>,</ns5:t>
        </ns5:r>
        <ns5:r>
          <ns5:t> </ns5:t>
        </ns5:r>
        <ns5:r>
          <ns5:t>999</ns5:t>
        </ns5:r>
        <ns5:r>
          <ns5:rPr>
            <ns5:sty ns5:val="p"/>
          </ns5:rPr>
          <ns5:t>}</ns5:t>
        </ns5:r>
      </ns5:oMath>
      <w:r>
        <w:t xml:space="preserve"> </w:t>
      </w:r>
      <w:r>
        <w:t xml:space="preserve">— semilla de aleatoriedad</w:t>
      </w:r>
      <w:r>
        <w:t xml:space="preserve"> </w:t>
      </w:r>
      <w:r>
        <w:t xml:space="preserve">(5 niveles),</w:t>
      </w:r>
    </w:p>
    <w:p>
      <w:pPr>
        <w:pStyle w:val="Compact"/>
        <w:numPr>
          <w:ilvl w:val="0"/>
          <w:numId w:val="1007"/>
        </w:numPr>
        <w:spacing w:line="360" w:lineRule="auto"/>
        <w:jc w:val="both"/>
      </w:pPr>
      <ns5:oMath>
        <ns5:r>
          <ns5:t>n</ns5:t>
        </ns5:r>
        <ns5:r>
          <ns5:rPr>
            <ns5:sty ns5:val="p"/>
          </ns5:rPr>
          <ns5:t>∈</ns5:t>
        </ns5:r>
        <ns5:r>
          <ns5:rPr>
            <ns5:sty ns5:val="p"/>
          </ns5:rPr>
          <ns5:t>{</ns5:t>
        </ns5:r>
        <ns5:r>
          <ns5:t>50</ns5:t>
        </ns5:r>
        <ns5:r>
          <ns5:rPr>
            <ns5:sty ns5:val="p"/>
          </ns5:rPr>
          <ns5:t>,</ns5:t>
        </ns5:r>
        <ns5:r>
          <ns5:t> </ns5:t>
        </ns5:r>
        <ns5:r>
          <ns5:t>100</ns5:t>
        </ns5:r>
        <ns5:r>
          <ns5:rPr>
            <ns5:sty ns5:val="p"/>
          </ns5:rPr>
          <ns5:t>,</ns5:t>
        </ns5:r>
        <ns5:r>
          <ns5:t> </ns5:t>
        </ns5:r>
        <ns5:r>
          <ns5:t>200</ns5:t>
        </ns5:r>
        <ns5:r>
          <ns5:rPr>
            <ns5:sty ns5:val="p"/>
          </ns5:rPr>
          <ns5:t>}</ns5:t>
        </ns5:r>
      </ns5:oMath>
      <w:r>
        <w:t xml:space="preserve"> </w:t>
      </w:r>
      <w:r>
        <w:t xml:space="preserve">— instancias por cuadrante de error (3 niveles).</w:t>
      </w:r>
    </w:p>
    <w:p>
      <w:pPr>
        <w:pStyle w:val="FirstParagraph"/>
        <w:spacing w:line="360" w:lineRule="auto"/>
        <w:jc w:val="both"/>
      </w:pPr>
      <w:r>
        <w:t xml:space="preserve">El tamaño del diseño planificado es el de la</w:t>
      </w:r>
      <w:r>
        <w:t xml:space="preserve"> </w:t>
      </w:r>
      <w:hyperlink w:anchor="eq-tamano-diseno">
        <w:r>
          <w:rPr>
            <w:rStyle w:val="Hipervnculo"/>
          </w:rPr>
          <w:t xml:space="preserve">Ecuación 3.3</w:t>
        </w:r>
      </w:hyperlink>
      <w:r>
        <w:t xml:space="preserve">:</w:t>
      </w:r>
    </w:p>
    <w:p>
      <w:pPr>
        <w:pStyle w:val="Textoindependiente"/>
        <w:spacing w:line="360" w:lineRule="auto"/>
        <w:jc w:val="both"/>
      </w:pPr>
      <w:bookmarkStart w:id="110" w:name="eq-tamano-diseno"/>
      <ns5:oMathPara>
        <ns5:oMathParaPr>
          <ns5:jc ns5:val="center"/>
        </ns5:oMathParaPr>
        <ns5:oMath>
          <ns5:r>
            <ns5:rPr>
              <ns5:sty ns5:val="p"/>
            </ns5:rPr>
            <ns5:t>|</ns5:t>
          </ns5:r>
          <ns5:r>
            <ns5:rPr>
              <ns5:scr ns5:val="script"/>
              <ns5:sty ns5:val="p"/>
            </ns5:rPr>
            <ns5:t>D</ns5:t>
          </ns5:r>
          <ns5:r>
            <ns5:rPr>
              <ns5:sty ns5:val="p"/>
            </ns5:rPr>
            <ns5:t>|</ns5:t>
          </ns5:r>
          <ns5:r>
            <ns5:rPr>
              <ns5:sty ns5:val="p"/>
            </ns5:rPr>
            <ns5:t>=</ns5:t>
          </ns5:r>
          <ns5:r>
            <ns5:t>5</ns5:t>
          </ns5:r>
          <ns5:r>
            <ns5:rPr>
              <ns5:sty ns5:val="p"/>
            </ns5:rPr>
            <ns5:t>×</ns5:t>
          </ns5:r>
          <ns5:r>
            <ns5:t>4</ns5:t>
          </ns5:r>
          <ns5:r>
            <ns5:rPr>
              <ns5:sty ns5:val="p"/>
            </ns5:rPr>
            <ns5:t>×</ns5:t>
          </ns5:r>
          <ns5:r>
            <ns5:t>5</ns5:t>
          </ns5:r>
          <ns5:r>
            <ns5:rPr>
              <ns5:sty ns5:val="p"/>
            </ns5:rPr>
            <ns5:t>×</ns5:t>
          </ns5:r>
          <ns5:r>
            <ns5:t>3</ns5:t>
          </ns5:r>
          <ns5:r>
            <ns5:rPr>
              <ns5:sty ns5:val="p"/>
            </ns5:rPr>
            <ns5:t>=</ns5:t>
          </ns5:r>
          <ns5:r>
            <ns5:t>300</ns5:t>
          </ns5:r>
          <ns5:r>
            <ns5:rPr>
              <ns5:nor/>
              <ns5:sty ns5:val="p"/>
            </ns5:rPr>
            <ns5:t> ejecuciones</ns5:t>
          </ns5:r>
          <ns5:r>
            <ns5:t>  </ns5:t>
          </ns5:r>
          <ns5:r>
            <ns5:rPr>
              <ns5:sty ns5:val="p"/>
            </ns5:rPr>
            <ns5:t>(</ns5:t>
          </ns5:r>
          <ns5:r>
            <ns5:t>3.3</ns5:t>
          </ns5:r>
          <ns5:r>
            <ns5:rPr>
              <ns5:sty ns5:val="p"/>
            </ns5:rPr>
            <ns5:t>)</ns5:t>
          </ns5:r>
        </ns5:oMath>
      </ns5:oMathPara>
      <w:bookmarkEnd w:id="110"/>
    </w:p>
    <w:p>
      <w:pPr>
        <w:pStyle w:val="FirstParagraph"/>
        <w:spacing w:line="360" w:lineRule="auto"/>
        <w:jc w:val="both"/>
      </w:pPr>
      <w:r>
        <w:t xml:space="preserve">Cada celda</w:t>
      </w:r>
      <w:r>
        <w:t xml:space="preserve"> </w:t>
      </w:r>
      <ns5:oMath>
        <ns5:r>
          <ns5:rPr>
            <ns5:sty ns5:val="p"/>
          </ns5:rPr>
          <ns5:t>(</ns5:t>
        </ns5:r>
        <ns5:r>
          <ns5:t>g</ns5:t>
        </ns5:r>
        <ns5:r>
          <ns5:rPr>
            <ns5:sty ns5:val="p"/>
          </ns5:rPr>
          <ns5:t>,</ns5:t>
        </ns5:r>
        <ns5:r>
          <ns5:t>k</ns5:t>
        </ns5:r>
        <ns5:r>
          <ns5:rPr>
            <ns5:sty ns5:val="p"/>
          </ns5:rPr>
          <ns5:t>,</ns5:t>
        </ns5:r>
        <ns5:r>
          <ns5:t>s</ns5:t>
        </ns5:r>
        <ns5:r>
          <ns5:rPr>
            <ns5:sty ns5:val="p"/>
          </ns5:rPr>
          <ns5:t>,</ns5:t>
        </ns5:r>
        <ns5:r>
          <ns5:t>n</ns5:t>
        </ns5:r>
        <ns5:r>
          <ns5:rPr>
            <ns5:sty ns5:val="p"/>
          </ns5:rPr>
          <ns5:t>)</ns5:t>
        </ns5:r>
      </ns5:oMath>
      <w:r>
        <w:t xml:space="preserve"> </w:t>
      </w:r>
      <w:r>
        <w:t xml:space="preserve">produce un artefacto de resultado independiente.</w:t>
      </w:r>
      <w:r>
        <w:t xml:space="preserve"> </w:t>
      </w:r>
      <w:r>
        <w:t xml:space="preserve">La variación en</w:t>
      </w:r>
      <w:r>
        <w:t xml:space="preserve"> </w:t>
      </w:r>
      <ns5:oMath>
        <ns5:r>
          <ns5:t>s</ns5:t>
        </ns5:r>
      </ns5:oMath>
      <w:r>
        <w:t xml:space="preserve"> </w:t>
      </w:r>
      <w:r>
        <w:t xml:space="preserve">sirve para estimar la reproducibilidad del protocolo. La</w:t>
      </w:r>
      <w:r>
        <w:t xml:space="preserve"> </w:t>
      </w:r>
      <w:r>
        <w:t xml:space="preserve">variación en</w:t>
      </w:r>
      <w:r>
        <w:t xml:space="preserve"> </w:t>
      </w:r>
      <ns5:oMath>
        <ns5:r>
          <ns5:t>n</ns5:t>
        </ns5:r>
      </ns5:oMath>
      <w:r>
        <w:t xml:space="preserve"> </w:t>
      </w:r>
      <w:r>
        <w:t xml:space="preserve">permite examinar la estabilidad de los rankings bajo</w:t>
      </w:r>
      <w:r>
        <w:t xml:space="preserve"> </w:t>
      </w:r>
      <w:r>
        <w:t xml:space="preserve">distintos volúmenes de evidencia local.</w:t>
      </w:r>
    </w:p>
    <w:bookmarkStart w:id="115" w:name="X7f3be01e797123bdbedac923d646584591998bc"/>
    <w:p>
      <w:pPr>
        <w:pStyle w:val="Ttulo3"/>
        <w:spacing w:line="360" w:lineRule="auto"/>
        <w:jc w:val="both"/>
      </w:pPr>
      <w:r>
        <w:t xml:space="preserve">3.3.1 </w:t>
      </w:r>
      <w:r>
        <w:t xml:space="preserve">Jerarquía de análisis y unidad inferencial</w:t>
      </w:r>
    </w:p>
    <w:p>
      <w:pPr>
        <w:pStyle w:val="FirstParagraph"/>
        <w:spacing w:line="360" w:lineRule="auto"/>
        <w:jc w:val="both"/>
      </w:pPr>
      <w:r>
        <w:t xml:space="preserve">Para evitar la pseudo-replicación, el análisis adopta una estructura</w:t>
      </w:r>
      <w:r>
        <w:t xml:space="preserve"> </w:t>
      </w:r>
      <w:r>
        <w:t xml:space="preserve">jerárquica de tres niveles:</w:t>
      </w:r>
    </w:p>
    <w:p>
      <w:pPr>
        <w:pStyle w:val="Compact"/>
        <w:numPr>
          <w:ilvl w:val="0"/>
          <w:numId w:val="1008"/>
        </w:numPr>
        <w:spacing w:line="360" w:lineRule="auto"/>
        <w:jc w:val="both"/>
      </w:pPr>
      <w:r>
        <w:rPr>
          <w:b/>
          <w:bCs/>
        </w:rPr>
        <w:t xml:space="preserve">Nivel de instancia:</w:t>
      </w:r>
      <w:r>
        <w:t xml:space="preserve"> </w:t>
      </w:r>
      <w:r>
        <w:t xml:space="preserve">métricas computadas por instancia dentro de cada</w:t>
      </w:r>
      <w:r>
        <w:t xml:space="preserve"> </w:t>
      </w:r>
      <w:r>
        <w:t xml:space="preserve">ejecución.</w:t>
      </w:r>
    </w:p>
    <w:p>
      <w:pPr>
        <w:pStyle w:val="Compact"/>
        <w:numPr>
          <w:ilvl w:val="0"/>
          <w:numId w:val="1008"/>
        </w:numPr>
        <w:spacing w:line="360" w:lineRule="auto"/>
        <w:jc w:val="both"/>
      </w:pPr>
      <w:r>
        <w:rPr>
          <w:b/>
          <w:bCs/>
        </w:rPr>
        <w:t xml:space="preserve">Nivel de ejecución:</w:t>
      </w:r>
      <w:r>
        <w:t xml:space="preserve"> </w:t>
      </w:r>
      <w:r>
        <w:t xml:space="preserve">media métrica por instancia, estimador del</w:t>
      </w:r>
      <w:r>
        <w:t xml:space="preserve"> </w:t>
      </w:r>
      <w:r>
        <w:t xml:space="preserve">rendimiento del método</w:t>
      </w:r>
      <w:r>
        <w:t xml:space="preserve"> </w:t>
      </w:r>
      <ns5:oMath>
        <ns5:r>
          <ns5:t>k</ns5:t>
        </ns5:r>
      </ns5:oMath>
      <w:r>
        <w:t xml:space="preserve"> </w:t>
      </w:r>
      <w:r>
        <w:t xml:space="preserve">sobre el modelo</w:t>
      </w:r>
      <w:r>
        <w:t xml:space="preserve"> </w:t>
      </w:r>
      <ns5:oMath>
        <ns5:r>
          <ns5:t>g</ns5:t>
        </ns5:r>
      </ns5:oMath>
      <w:r>
        <w:t xml:space="preserve"> </w:t>
      </w:r>
      <w:r>
        <w:t xml:space="preserve">bajo semilla</w:t>
      </w:r>
      <w:r>
        <w:t xml:space="preserve"> </w:t>
      </w:r>
      <ns5:oMath>
        <ns5:r>
          <ns5:t>s</ns5:t>
        </ns5:r>
      </ns5:oMath>
      <w:r>
        <w:t xml:space="preserve"> </w:t>
      </w:r>
      <w:r>
        <w:t xml:space="preserve">y tamaño</w:t>
      </w:r>
      <w:r>
        <w:t xml:space="preserve"> </w:t>
      </w:r>
      <ns5:oMath>
        <ns5:r>
          <ns5:t>n</ns5:t>
        </ns5:r>
      </ns5:oMath>
      <w:r>
        <w:t xml:space="preserve">. Estimando declarado:</w:t>
      </w:r>
      <w:r>
        <w:t xml:space="preserve"> </w:t>
      </w:r>
      <ns5:oMath>
        <ns5:sSub>
          <ns5:e>
            <ns5:r>
              <ns5:t>y</ns5:t>
            </ns5:r>
          </ns5:e>
          <ns5:sub>
            <ns5:r>
              <ns5:t>g</ns5:t>
            </ns5:r>
            <ns5:r>
              <ns5:rPr>
                <ns5:sty ns5:val="p"/>
              </ns5:rPr>
              <ns5:t>,</ns5:t>
            </ns5:r>
            <ns5:r>
              <ns5:t>k</ns5:t>
            </ns5:r>
            <ns5:r>
              <ns5:rPr>
                <ns5:sty ns5:val="p"/>
              </ns5:rPr>
              <ns5:t>,</ns5:t>
            </ns5:r>
            <ns5:r>
              <ns5:t>s</ns5:t>
            </ns5:r>
            <ns5:r>
              <ns5:rPr>
                <ns5:sty ns5:val="p"/>
              </ns5:rPr>
              <ns5:t>,</ns5:t>
            </ns5:r>
            <ns5:r>
              <ns5:t>n</ns5:t>
            </ns5:r>
            <ns5:r>
              <ns5:rPr>
                <ns5:sty ns5:val="p"/>
              </ns5:rPr>
              <ns5:t>,</ns5:t>
            </ns5:r>
            <ns5:r>
              <ns5:t>m</ns5:t>
            </ns5:r>
          </ns5:sub>
        </ns5:sSub>
      </ns5:oMath>
      <w:r>
        <w:t xml:space="preserve">.</w:t>
      </w:r>
    </w:p>
    <w:p>
      <w:pPr>
        <w:pStyle w:val="Compact"/>
        <w:numPr>
          <w:ilvl w:val="0"/>
          <w:numId w:val="1008"/>
        </w:numPr>
        <w:spacing w:line="360" w:lineRule="auto"/>
        <w:jc w:val="both"/>
      </w:pPr>
      <w:r>
        <w:rPr>
          <w:b/>
          <w:bCs/>
        </w:rPr>
        <w:t xml:space="preserve">Nivel de bloque:</w:t>
      </w:r>
      <w:r>
        <w:t xml:space="preserve"> </w:t>
      </w:r>
      <w:r>
        <w:t xml:space="preserve">para los tests de Friedman, el bloque se define como</w:t>
      </w:r>
      <w:r>
        <w:t xml:space="preserve"> </w:t>
      </w:r>
      <ns5:oMath>
        <ns5:r>
          <ns5:t>b</ns5:t>
        </ns5:r>
        <ns5:r>
          <ns5:rPr>
            <ns5:sty ns5:val="p"/>
          </ns5:rPr>
          <ns5:t>=</ns5:t>
        </ns5:r>
        <ns5:r>
          <ns5:rPr>
            <ns5:sty ns5:val="p"/>
          </ns5:rPr>
          <ns5:t>(</ns5:t>
        </ns5:r>
        <ns5:r>
          <ns5:t>g</ns5:t>
        </ns5:r>
        <ns5:r>
          <ns5:rPr>
            <ns5:sty ns5:val="p"/>
          </ns5:rPr>
          <ns5:t>,</ns5:t>
        </ns5:r>
        <ns5:r>
          <ns5:t>n</ns5:t>
        </ns5:r>
        <ns5:r>
          <ns5:rPr>
            <ns5:sty ns5:val="p"/>
          </ns5:rPr>
          <ns5:t>)</ns5:t>
        </ns5:r>
      </ns5:oMath>
      <w:r>
        <w:t xml:space="preserve">, con la ejecución como unidad de observación dentro del bloque.</w:t>
      </w:r>
      <w:r>
        <w:t xml:space="preserve"> </w:t>
      </w:r>
      <w:r>
        <w:t xml:space="preserve">Este diseño produce</w:t>
      </w:r>
      <w:r>
        <w:t xml:space="preserve"> </w:t>
      </w:r>
      <ns5:oMath>
        <ns5:r>
          <ns5:t>5</ns5:t>
        </ns5:r>
        <ns5:r>
          <ns5:rPr>
            <ns5:sty ns5:val="p"/>
          </ns5:rPr>
          <ns5:t>×</ns5:t>
        </ns5:r>
        <ns5:r>
          <ns5:t>3</ns5:t>
        </ns5:r>
        <ns5:r>
          <ns5:rPr>
            <ns5:sty ns5:val="p"/>
          </ns5:rPr>
          <ns5:t>=</ns5:t>
        </ns5:r>
        <ns5:r>
          <ns5:t>15</ns5:t>
        </ns5:r>
      </ns5:oMath>
      <w:r>
        <w:t xml:space="preserve"> </w:t>
      </w:r>
      <w:r>
        <w:t xml:space="preserve">bloques completos.</w:t>
      </w:r>
    </w:p>
    <w:p>
      <w:pPr>
        <w:pStyle w:val="FirstParagraph"/>
        <w:spacing w:line="360" w:lineRule="auto"/>
        <w:jc w:val="both"/>
      </w:pPr>
      <w:r>
        <w:t xml:space="preserve">La unidad inferencial primaria del Estudio Pareado LIME–SHAP es la</w:t>
      </w:r>
      <w:r>
        <w:t xml:space="preserve"> </w:t>
      </w:r>
      <w:r>
        <w:rPr>
          <w:b/>
          <w:bCs/>
        </w:rPr>
        <w:t xml:space="preserve">celda</w:t>
      </w:r>
      <w:r>
        <w:rPr>
          <w:b/>
          <w:bCs/>
        </w:rPr>
        <w:t xml:space="preserve"> </w:t>
      </w:r>
      <w:r>
        <w:rPr>
          <w:b/>
          <w:bCs/>
        </w:rPr>
        <w:t xml:space="preserve">pareada</w:t>
      </w:r>
      <w:r>
        <w:t xml:space="preserve"> </w:t>
      </w:r>
      <ns5:oMath>
        <ns5:r>
          <ns5:rPr>
            <ns5:sty ns5:val="p"/>
          </ns5:rPr>
          <ns5:t>(</ns5:t>
        </ns5:r>
        <ns5:r>
          <ns5:t>g</ns5:t>
        </ns5:r>
        <ns5:r>
          <ns5:rPr>
            <ns5:sty ns5:val="p"/>
          </ns5:rPr>
          <ns5:t>,</ns5:t>
        </ns5:r>
        <ns5:r>
          <ns5:t>s</ns5:t>
        </ns5:r>
        <ns5:r>
          <ns5:rPr>
            <ns5:sty ns5:val="p"/>
          </ns5:rPr>
          <ns5:t>,</ns5:t>
        </ns5:r>
        <ns5:r>
          <ns5:t>n</ns5:t>
        </ns5:r>
        <ns5:r>
          <ns5:rPr>
            <ns5:sty ns5:val="p"/>
          </ns5:rPr>
          <ns5:t>)</ns5:t>
        </ns5:r>
      </ns5:oMath>
      <w:r>
        <w:t xml:space="preserve">: las 75 tuplas para las que existen artefactos</w:t>
      </w:r>
      <w:r>
        <w:t xml:space="preserve"> </w:t>
      </w:r>
      <w:r>
        <w:t xml:space="preserve">calificados de SHAP y LIME con coordenadas idénticas.</w:t>
      </w:r>
    </w:p>
    <w:p>
      <w:pPr>
        <w:pStyle w:val="Textoindependiente"/>
        <w:spacing w:line="360" w:lineRule="auto"/>
        <w:jc w:val="both"/>
      </w:pPr>
      <w:r>
        <w:t xml:space="preserve">La</w:t>
      </w:r>
      <w:r>
        <w:t xml:space="preserve"> </w:t>
      </w:r>
      <w:hyperlink w:anchor="fig-unidades-analisis">
        <w:r>
          <w:rPr>
            <w:rStyle w:val="Hipervnculo"/>
          </w:rPr>
          <w:t xml:space="preserve">Figura 3.1</w:t>
        </w:r>
      </w:hyperlink>
      <w:r>
        <w:t xml:space="preserve"> </w:t>
      </w:r>
      <w:r>
        <w:t xml:space="preserve">distingue las unidades que intervienen en el análisis</w:t>
      </w:r>
      <w:r>
        <w:t xml:space="preserve"> </w:t>
      </w:r>
      <w:r>
        <w:t xml:space="preserve">y la prueba que se aplica sobre cada una.</w:t>
      </w:r>
    </w:p>
    <w:tbl>
      <w:tblPr>
        <w:tblStyle w:val="Table"/>
        <w:tblW w:type="pct" w:w="5000"/>
        <w:jc w:val="center"/>
        <w:tblLayout w:type="fixed"/>
        <w:tblLook w:firstRow="0" w:lastRow="0" w:firstColumn="0" w:lastColumn="0" w:noHBand="0" w:noVBand="0" w:val="0000"/>
      </w:tblPr>
      <w:tblGrid>
        <w:gridCol w:w="7920"/>
      </w:tblGrid>
      <w:tr>
        <w:tc>
          <w:tcPr/>
          <w:bookmarkStart w:id="114" w:name="fig-unidades-analisis"/>
          <w:p>
            <w:pPr>
              <w:pStyle w:val="Compact"/>
              <w:jc w:val="center"/>
              <w:spacing w:line="360" w:lineRule="auto"/>
            </w:pPr>
            <w:r>
              <w:drawing>
                <ns1:inline>
                  <ns1:extent cx="5646420" cy="2764893"/>
                  <ns1:effectExtent b="0" l="0" r="0" t="0"/>
                  <ns1:docPr descr="" title="" id="112" name="Picture"/>
                  <ns2:graphic>
                    <ns2:graphicData uri="http://schemas.openxmlformats.org/drawingml/2006/picture">
                      <ns3:pic>
                        <ns3:nvPicPr>
                          <ns3:cNvPr descr="assets/figures/fig_unidades_analisis_es.png" id="113" name="Picture"/>
                          <ns3:cNvPicPr>
                            <ns2:picLocks noChangeArrowheads="1" noChangeAspect="1"/>
                          </ns3:cNvPicPr>
                        </ns3:nvPicPr>
                        <ns3:blipFill>
                          <ns2:blip ns4:embed="rId111"/>
                          <ns2:stretch>
                            <ns2:fillRect/>
                          </ns2:stretch>
                        </ns3:blipFill>
                        <ns3:spPr bwMode="auto">
                          <ns2:xfrm>
                            <ns2:off x="0" y="0"/>
                            <ns2:ext cx="5646420" cy="2764893"/>
                          </ns2:xfrm>
                          <ns2:prstGeom prst="rect">
                            <ns2:avLst/>
                          </ns2:prstGeom>
                          <ns2:noFill/>
                          <ns2:ln w="9525">
                            <ns2:noFill/>
                            <ns2:headEnd/>
                            <ns2:tailEnd/>
                          </ns2:ln>
                        </ns3:spPr>
                      </ns3:pic>
                    </ns2:graphicData>
                  </ns2:graphic>
                </ns1:inline>
              </w:drawing>
            </w:r>
          </w:p>
          <w:p>
            <w:pPr>
              <w:pStyle w:val="ImageCaption"/>
              <w:spacing w:before="200" w:line="360" w:lineRule="auto"/>
              <w:jc w:val="center"/>
            </w:pPr>
            <w:r>
              <w:t xml:space="preserve">Figura 3.1: Unidades de análisis del benchmark primario. Las ejecuciones son la</w:t>
            </w:r>
            <w:r>
              <w:t xml:space="preserve"> </w:t>
            </w:r>
            <w:r>
              <w:t xml:space="preserve">unidad de observación; la inferencia se hace sobre los 15 bloques (pruebas</w:t>
            </w:r>
            <w:r>
              <w:t xml:space="preserve"> </w:t>
            </w:r>
            <w:r>
              <w:t xml:space="preserve">de Friedman y Nemenyi, y seguimiento dirigido SHAP–LIME) o sobre las 75</w:t>
            </w:r>
            <w:r>
              <w:t xml:space="preserve"> </w:t>
            </w:r>
            <w:r>
              <w:t xml:space="preserve">celdas pareadas (prueba de Wilcoxon). Las instancias explicadas dentro de</w:t>
            </w:r>
            <w:r>
              <w:t xml:space="preserve"> </w:t>
            </w:r>
            <w:r>
              <w:t xml:space="preserve">una ejecución no son unidad de inferencia. Fuente: elaboración propia.</w:t>
            </w:r>
          </w:p>
          <w:bookmarkEnd w:id="114"/>
        </w:tc>
      </w:tr>
    </w:tbl>
    <w:bookmarkEnd w:id="115"/>
    <w:bookmarkEnd w:id="116"/>
    <w:bookmarkStart w:id="120" w:name="sec-muestreo"/>
    <w:p>
      <w:pPr>
        <w:pStyle w:val="Ttulo2"/>
        <w:spacing w:line="360" w:lineRule="auto"/>
        <w:jc w:val="both"/>
      </w:pPr>
      <w:r>
        <w:t xml:space="preserve">3.4 </w:t>
      </w:r>
      <w:r>
        <w:t xml:space="preserve">Protocolo de muestreo de instancias y configuración de explicadores</w:t>
      </w:r>
    </w:p>
    <w:bookmarkStart w:id="118" w:name="X22a27531824c8c7d79a9c6abca6e13f987fd35c"/>
    <w:p>
      <w:pPr>
        <w:pStyle w:val="Ttulo3"/>
        <w:spacing w:line="360" w:lineRule="auto"/>
        <w:jc w:val="both"/>
      </w:pPr>
      <w:r>
        <w:t xml:space="preserve">3.4.1 </w:t>
      </w:r>
      <w:r>
        <w:t xml:space="preserve">Muestreo estratificado por cuadrante de error</w:t>
      </w:r>
    </w:p>
    <w:p>
      <w:pPr>
        <w:pStyle w:val="FirstParagraph"/>
        <w:spacing w:line="360" w:lineRule="auto"/>
        <w:jc w:val="both"/>
      </w:pPr>
      <w:r>
        <w:t xml:space="preserve">Las instancias para cada ejecución se seleccionan mediante muestreo</w:t>
      </w:r>
      <w:r>
        <w:t xml:space="preserve"> </w:t>
      </w:r>
      <w:r>
        <w:t xml:space="preserve">estratificado por cuadrante de error de predicción: Verdaderos Positivos (VP),</w:t>
      </w:r>
      <w:r>
        <w:t xml:space="preserve"> </w:t>
      </w:r>
      <w:r>
        <w:t xml:space="preserve">Verdaderos Negativos (VN), Falsos Positivos (FP) y Falsos Negativos (FN), con</w:t>
      </w:r>
      <w:r>
        <w:t xml:space="preserve"> </w:t>
      </w:r>
      <w:r>
        <w:t xml:space="preserve">objetivo de</w:t>
      </w:r>
      <w:r>
        <w:t xml:space="preserve"> </w:t>
      </w:r>
      <ns5:oMath>
        <ns5:r>
          <ns5:t>n</ns5:t>
        </ns5:r>
      </ns5:oMath>
      <w:r>
        <w:t xml:space="preserve"> </w:t>
      </w:r>
      <w:r>
        <w:t xml:space="preserve">instancias por cuadrante (</w:t>
      </w:r>
      <w:hyperlink w:anchor="eq-muestreo">
        <w:r>
          <w:rPr>
            <w:rStyle w:val="Hipervnculo"/>
          </w:rPr>
          <w:t xml:space="preserve">Ecuación 3.4</w:t>
        </w:r>
      </w:hyperlink>
      <w:r>
        <w:t xml:space="preserve">):</w:t>
      </w:r>
    </w:p>
    <w:p>
      <w:pPr>
        <w:pStyle w:val="Textoindependiente"/>
        <w:spacing w:line="360" w:lineRule="auto"/>
        <w:jc w:val="both"/>
      </w:pPr>
      <w:bookmarkStart w:id="117" w:name="eq-muestreo"/>
      <ns5:oMathPara>
        <ns5:oMathParaPr>
          <ns5:jc ns5:val="center"/>
        </ns5:oMathParaPr>
        <ns5:oMath>
          <ns5:sSub>
            <ns5:e>
              <ns5:r>
                <ns5:rPr>
                  <ns5:scr ns5:val="script"/>
                  <ns5:sty ns5:val="p"/>
                </ns5:rPr>
                <ns5:t>I</ns5:t>
              </ns5:r>
            </ns5:e>
            <ns5:sub>
              <ns5:r>
                <ns5:t>g</ns5:t>
              </ns5:r>
              <ns5:r>
                <ns5:rPr>
                  <ns5:sty ns5:val="p"/>
                </ns5:rPr>
                <ns5:t>,</ns5:t>
              </ns5:r>
              <ns5:r>
                <ns5:t>s</ns5:t>
              </ns5:r>
              <ns5:r>
                <ns5:rPr>
                  <ns5:sty ns5:val="p"/>
                </ns5:rPr>
                <ns5:t>,</ns5:t>
              </ns5:r>
              <ns5:r>
                <ns5:t>n</ns5:t>
              </ns5:r>
            </ns5:sub>
          </ns5:sSub>
          <ns5:r>
            <ns5:rPr>
              <ns5:sty ns5:val="p"/>
            </ns5:rPr>
            <ns5:t>=</ns5:t>
          </ns5:r>
          <ns5:r>
            <ns5:rPr>
              <ns5:nor/>
              <ns5:sty ns5:val="p"/>
            </ns5:rPr>
            <ns5:t>StratSample</ns5:t>
          </ns5:r>
          <ns5:r>
            <ns5:t>​</ns5:t>
          </ns5:r>
          <ns5:d>
            <ns5:dPr>
              <ns5:begChr ns5:val="("/>
              <ns5:sepChr ns5:val=""/>
              <ns5:endChr ns5:val=")"/>
              <ns5:grow/>
            </ns5:dPr>
            <ns5:e>
              <ns5:sSub>
                <ns5:e>
                  <ns5:r>
                    <ns5:rPr>
                      <ns5:scr ns5:val="script"/>
                      <ns5:sty ns5:val="p"/>
                    </ns5:rPr>
                    <ns5:t>I</ns5:t>
                  </ns5:r>
                </ns5:e>
                <ns5:sub>
                  <ns5:r>
                    <ns5:rPr>
                      <ns5:nor/>
                      <ns5:sty ns5:val="p"/>
                    </ns5:rPr>
                    <ns5:t>test</ns5:t>
                  </ns5:r>
                </ns5:sub>
              </ns5:sSub>
              <ns5:r>
                <ns5:rPr>
                  <ns5:sty ns5:val="p"/>
                </ns5:rPr>
                <ns5:t>,</ns5:t>
              </ns5:r>
              <ns5:r>
                <ns5:t> </ns5:t>
              </ns5:r>
              <ns5:r>
                <ns5:rPr>
                  <ns5:nor/>
                  <ns5:sty ns5:val="p"/>
                </ns5:rPr>
                <ns5:t>strata</ns5:t>
              </ns5:r>
              <ns5:r>
                <ns5:rPr>
                  <ns5:sty ns5:val="p"/>
                </ns5:rPr>
                <ns5:t>=</ns5:t>
              </ns5:r>
              <ns5:r>
                <ns5:rPr>
                  <ns5:sty ns5:val="p"/>
                </ns5:rPr>
                <ns5:t>{</ns5:t>
              </ns5:r>
              <ns5:r>
                <ns5:rPr>
                  <ns5:nor/>
                  <ns5:sty ns5:val="p"/>
                </ns5:rPr>
                <ns5:t>VP, VN, FP, FN</ns5:t>
              </ns5:r>
              <ns5:r>
                <ns5:rPr>
                  <ns5:sty ns5:val="p"/>
                </ns5:rPr>
                <ns5:t>}</ns5:t>
              </ns5:r>
              <ns5:r>
                <ns5:rPr>
                  <ns5:sty ns5:val="p"/>
                </ns5:rPr>
                <ns5:t>,</ns5:t>
              </ns5:r>
              <ns5:r>
                <ns5:t> </ns5:t>
              </ns5:r>
              <ns5:sSub>
                <ns5:e>
                  <ns5:r>
                    <ns5:t>n</ns5:t>
                  </ns5:r>
                </ns5:e>
                <ns5:sub>
                  <ns5:r>
                    <ns5:rPr>
                      <ns5:nor/>
                      <ns5:sty ns5:val="p"/>
                    </ns5:rPr>
                    <ns5:t>per_strata</ns5:t>
                  </ns5:r>
                </ns5:sub>
              </ns5:sSub>
              <ns5:r>
                <ns5:rPr>
                  <ns5:sty ns5:val="p"/>
                </ns5:rPr>
                <ns5:t>=</ns5:t>
              </ns5:r>
              <ns5:r>
                <ns5:t>n</ns5:t>
              </ns5:r>
            </ns5:e>
          </ns5:d>
          <ns5:r>
            <ns5:t>  </ns5:t>
          </ns5:r>
          <ns5:r>
            <ns5:rPr>
              <ns5:sty ns5:val="p"/>
            </ns5:rPr>
            <ns5:t>(</ns5:t>
          </ns5:r>
          <ns5:r>
            <ns5:t>3.4</ns5:t>
          </ns5:r>
          <ns5:r>
            <ns5:rPr>
              <ns5:sty ns5:val="p"/>
            </ns5:rPr>
            <ns5:t>)</ns5:t>
          </ns5:r>
        </ns5:oMath>
      </ns5:oMathPara>
      <w:bookmarkEnd w:id="117"/>
    </w:p>
    <w:p>
      <w:pPr>
        <w:pStyle w:val="FirstParagraph"/>
        <w:spacing w:line="360" w:lineRule="auto"/>
        <w:jc w:val="both"/>
      </w:pPr>
      <w:r>
        <w:t xml:space="preserve">El tamaño nominal por ejecución es</w:t>
      </w:r>
      <w:r>
        <w:t xml:space="preserve"> </w:t>
      </w:r>
      <ns5:oMath>
        <ns5:r>
          <ns5:t>4</ns5:t>
        </ns5:r>
        <ns5:r>
          <ns5:t>n</ns5:t>
        </ns5:r>
      </ns5:oMath>
      <w:r>
        <w:t xml:space="preserve">, sujeto a la disponibilidad de</w:t>
      </w:r>
      <w:r>
        <w:t xml:space="preserve"> </w:t>
      </w:r>
      <w:r>
        <w:t xml:space="preserve">instancias en cada cuadrante. El rango observado es de 27 a 800 instancias por</w:t>
      </w:r>
      <w:r>
        <w:t xml:space="preserve"> </w:t>
      </w:r>
      <w:r>
        <w:t xml:space="preserve">ejecución (mediana: 400). Esta estrategia garantiza que el explicador se evalúa</w:t>
      </w:r>
      <w:r>
        <w:t xml:space="preserve"> </w:t>
      </w:r>
      <w:r>
        <w:t xml:space="preserve">en los cuatro regímenes de decisión del modelo, no solo en los casos</w:t>
      </w:r>
      <w:r>
        <w:t xml:space="preserve"> </w:t>
      </w:r>
      <w:r>
        <w:t xml:space="preserve">correctamente clasificados.</w:t>
      </w:r>
    </w:p>
    <w:bookmarkEnd w:id="118"/>
    <w:bookmarkStart w:id="119" w:name="configuración-de-los-explicadores"/>
    <w:p>
      <w:pPr>
        <w:pStyle w:val="Ttulo3"/>
        <w:spacing w:line="360" w:lineRule="auto"/>
        <w:jc w:val="both"/>
      </w:pPr>
      <w:r>
        <w:t xml:space="preserve">3.4.2 </w:t>
      </w:r>
      <w:r>
        <w:t xml:space="preserve">Configuración de los explicadores</w:t>
      </w:r>
    </w:p>
    <w:p>
      <w:pPr>
        <w:pStyle w:val="FirstParagraph"/>
        <w:spacing w:line="360" w:lineRule="auto"/>
        <w:jc w:val="both"/>
      </w:pPr>
      <w:r>
        <w:t xml:space="preserve">Todos los métodos se ejecutan a través de</w:t>
      </w:r>
      <w:r>
        <w:t xml:space="preserve"> </w:t>
      </w:r>
      <w:r>
        <w:rPr>
          <w:rStyle w:val="VerbatimChar"/>
        </w:rPr>
        <w:t xml:space="preserve">ExplainerWrapper.explain_instance</w:t>
      </w:r>
      <w:r>
        <w:t xml:space="preserve">,</w:t>
      </w:r>
      <w:r>
        <w:t xml:space="preserve"> </w:t>
      </w:r>
      <w:r>
        <w:t xml:space="preserve">que registra el tiempo de ejecución y persiste las importancias de</w:t>
      </w:r>
      <w:r>
        <w:t xml:space="preserve"> </w:t>
      </w:r>
      <w:r>
        <w:t xml:space="preserve">características. Los parámetros efectivos en EXP2 son:</w:t>
      </w:r>
    </w:p>
    <w:p>
      <w:pPr>
        <w:pStyle w:val="Textoindependiente"/>
        <w:spacing w:line="360" w:lineRule="auto"/>
        <w:jc w:val="both"/>
      </w:pPr>
      <w:r>
        <w:rPr>
          <w:b/>
          <w:bCs/>
        </w:rPr>
        <w:t xml:space="preserve">SHAP</w:t>
      </w:r>
      <w:r>
        <w:t xml:space="preserve"> </w:t>
      </w:r>
      <w:r>
        <w:t xml:space="preserve">(Lundberg 2017)</w:t>
      </w:r>
      <w:r>
        <w:t xml:space="preserve">:</w:t>
      </w:r>
      <w:r>
        <w:t xml:space="preserve"> </w:t>
      </w:r>
      <w:r>
        <w:rPr>
          <w:rStyle w:val="VerbatimChar"/>
        </w:rPr>
        <w:t xml:space="preserve">TreeExplainer</w:t>
      </w:r>
      <w:r>
        <w:t xml:space="preserve"> </w:t>
      </w:r>
      <w:r>
        <w:t xml:space="preserve">para</w:t>
      </w:r>
      <w:r>
        <w:t xml:space="preserve"> </w:t>
      </w:r>
      <w:r>
        <w:rPr>
          <w:rStyle w:val="VerbatimChar"/>
        </w:rPr>
        <w:t xml:space="preserve">rf</w:t>
      </w:r>
      <w:r>
        <w:t xml:space="preserve"> </w:t>
      </w:r>
      <w:r>
        <w:t xml:space="preserve">y</w:t>
      </w:r>
      <w:r>
        <w:t xml:space="preserve"> </w:t>
      </w:r>
      <w:r>
        <w:rPr>
          <w:rStyle w:val="VerbatimChar"/>
        </w:rPr>
        <w:t xml:space="preserve">xgb</w:t>
      </w:r>
      <w:r>
        <w:t xml:space="preserve">;</w:t>
      </w:r>
      <w:r>
        <w:t xml:space="preserve"> </w:t>
      </w:r>
      <w:r>
        <w:rPr>
          <w:rStyle w:val="VerbatimChar"/>
        </w:rPr>
        <w:t xml:space="preserve">KernelExplainer</w:t>
      </w:r>
      <w:r>
        <w:t xml:space="preserve"> </w:t>
      </w:r>
      <w:r>
        <w:t xml:space="preserve">para</w:t>
      </w:r>
      <w:r>
        <w:t xml:space="preserve"> </w:t>
      </w:r>
      <w:r>
        <w:rPr>
          <w:rStyle w:val="VerbatimChar"/>
        </w:rPr>
        <w:t xml:space="preserve">logreg</w:t>
      </w:r>
      <w:r>
        <w:t xml:space="preserve">,</w:t>
      </w:r>
      <w:r>
        <w:t xml:space="preserve"> </w:t>
      </w:r>
      <w:r>
        <w:rPr>
          <w:rStyle w:val="VerbatimChar"/>
        </w:rPr>
        <w:t xml:space="preserve">svm</w:t>
      </w:r>
      <w:r>
        <w:t xml:space="preserve"> </w:t>
      </w:r>
      <w:r>
        <w:t xml:space="preserve">y</w:t>
      </w:r>
      <w:r>
        <w:t xml:space="preserve"> </w:t>
      </w:r>
      <w:r>
        <w:rPr>
          <w:rStyle w:val="VerbatimChar"/>
        </w:rPr>
        <w:t xml:space="preserve">mlp</w:t>
      </w:r>
      <w:r>
        <w:t xml:space="preserve"> </w:t>
      </w:r>
      <w:r>
        <w:t xml:space="preserve">con conjunto de referencia</w:t>
      </w:r>
      <w:r>
        <w:t xml:space="preserve"> </w:t>
      </w:r>
      <ns5:oMath>
        <ns5:sSub>
          <ns5:e>
            <ns5:r>
              <ns5:t>n</ns5:t>
            </ns5:r>
          </ns5:e>
          <ns5:sub>
            <ns5:r>
              <ns5:rPr>
                <ns5:nor/>
                <ns5:sty ns5:val="p"/>
              </ns5:rPr>
              <ns5:t>bg</ns5:t>
            </ns5:r>
          </ns5:sub>
        </ns5:sSub>
        <ns5:r>
          <ns5:rPr>
            <ns5:sty ns5:val="p"/>
          </ns5:rPr>
          <ns5:t>=</ns5:t>
        </ns5:r>
        <ns5:r>
          <ns5:t>50</ns5:t>
        </ns5:r>
      </ns5:oMath>
      <w:r>
        <w:t xml:space="preserve"> </w:t>
      </w:r>
      <w:r>
        <w:t xml:space="preserve">muestras del conjunto de entrenamiento. Objetivo:</w:t>
      </w:r>
      <w:r>
        <w:t xml:space="preserve"> </w:t>
      </w:r>
      <w:r>
        <w:t xml:space="preserve">probabilidad de la clase positiva.</w:t>
      </w:r>
    </w:p>
    <w:p>
      <w:pPr>
        <w:pStyle w:val="Textoindependiente"/>
        <w:spacing w:line="360" w:lineRule="auto"/>
        <w:jc w:val="both"/>
      </w:pPr>
      <w:r>
        <w:rPr>
          <w:b/>
          <w:bCs/>
        </w:rPr>
        <w:t xml:space="preserve">LIME</w:t>
      </w:r>
      <w:r>
        <w:t xml:space="preserve"> </w:t>
      </w:r>
      <w:r>
        <w:t xml:space="preserve">(Ribeiro 2016)</w:t>
      </w:r>
      <w:r>
        <w:t xml:space="preserve">:</w:t>
      </w:r>
      <w:r>
        <w:t xml:space="preserve"> </w:t>
      </w:r>
      <w:r>
        <w:rPr>
          <w:rStyle w:val="VerbatimChar"/>
        </w:rPr>
        <w:t xml:space="preserve">LimeTabularExplainer</w:t>
      </w:r>
      <w:r>
        <w:t xml:space="preserve"> </w:t>
      </w:r>
      <w:r>
        <w:t xml:space="preserve">con</w:t>
      </w:r>
      <w:r>
        <w:t xml:space="preserve"> </w:t>
      </w:r>
      <w:r>
        <w:rPr>
          <w:rStyle w:val="VerbatimChar"/>
        </w:rPr>
        <w:t xml:space="preserve">num_samples = 1{,}000</w:t>
      </w:r>
      <w:r>
        <w:t xml:space="preserve">,</w:t>
      </w:r>
      <w:r>
        <w:t xml:space="preserve"> </w:t>
      </w:r>
      <w:r>
        <w:rPr>
          <w:rStyle w:val="VerbatimChar"/>
        </w:rPr>
        <w:t xml:space="preserve">num_features = 10</w:t>
      </w:r>
      <w:r>
        <w:t xml:space="preserve">,</w:t>
      </w:r>
      <w:r>
        <w:t xml:space="preserve"> </w:t>
      </w:r>
      <w:r>
        <w:rPr>
          <w:rStyle w:val="VerbatimChar"/>
        </w:rPr>
        <w:t xml:space="preserve">kernel_width = 3.0</w:t>
      </w:r>
      <w:r>
        <w:t xml:space="preserve">, sin discretización de numéricas.</w:t>
      </w:r>
    </w:p>
    <w:p>
      <w:pPr>
        <w:pStyle w:val="Textoindependiente"/>
        <w:spacing w:line="360" w:lineRule="auto"/>
        <w:jc w:val="both"/>
      </w:pPr>
      <w:r>
        <w:rPr>
          <w:b/>
          <w:bCs/>
        </w:rPr>
        <w:t xml:space="preserve">Anchors</w:t>
      </w:r>
      <w:r>
        <w:t xml:space="preserve"> </w:t>
      </w:r>
      <w:r>
        <w:t xml:space="preserve">(Ribeiro 2018)</w:t>
      </w:r>
      <w:r>
        <w:t xml:space="preserve">:</w:t>
      </w:r>
      <w:r>
        <w:t xml:space="preserve"> </w:t>
      </w:r>
      <w:r>
        <w:rPr>
          <w:rStyle w:val="VerbatimChar"/>
        </w:rPr>
        <w:t xml:space="preserve">AnchorTabular</w:t>
      </w:r>
      <w:r>
        <w:t xml:space="preserve"> </w:t>
      </w:r>
      <w:r>
        <w:t xml:space="preserve">con umbral de precisión efectivo</w:t>
      </w:r>
      <w:r>
        <w:t xml:space="preserve"> </w:t>
      </w:r>
      <ns5:oMath>
        <ns5:r>
          <ns5:t>τ</ns5:t>
        </ns5:r>
        <ns5:r>
          <ns5:rPr>
            <ns5:sty ns5:val="p"/>
          </ns5:rPr>
          <ns5:t>=</ns5:t>
        </ns5:r>
        <ns5:r>
          <ns5:t>0.95</ns5:t>
        </ns5:r>
      </ns5:oMath>
      <w:r>
        <w:t xml:space="preserve"> </w:t>
      </w:r>
      <w:r>
        <w:t xml:space="preserve">(el parámetro YAML no es consumido en</w:t>
      </w:r>
      <w:r>
        <w:t xml:space="preserve"> </w:t>
      </w:r>
      <w:r>
        <w:rPr>
          <w:i/>
          <w:iCs/>
        </w:rPr>
        <w:t xml:space="preserve">runtime</w:t>
      </w:r>
      <w:r>
        <w:t xml:space="preserve">; el umbral es</w:t>
      </w:r>
      <w:r>
        <w:t xml:space="preserve"> </w:t>
      </w:r>
      <w:r>
        <w:t xml:space="preserve">fijo). Caveat de implementación registrado en el inventario FOM-7.</w:t>
      </w:r>
    </w:p>
    <w:p>
      <w:pPr>
        <w:pStyle w:val="Textoindependiente"/>
        <w:spacing w:line="360" w:lineRule="auto"/>
        <w:jc w:val="both"/>
      </w:pPr>
      <w:r>
        <w:rPr>
          <w:b/>
          <w:bCs/>
        </w:rPr>
        <w:t xml:space="preserve">DiCE</w:t>
      </w:r>
      <w:r>
        <w:t xml:space="preserve"> </w:t>
      </w:r>
      <w:r>
        <w:t xml:space="preserve">(Mothilal 2020)</w:t>
      </w:r>
      <w:r>
        <w:t xml:space="preserve">:</w:t>
      </w:r>
      <w:r>
        <w:t xml:space="preserve"> </w:t>
      </w:r>
      <w:r>
        <w:rPr>
          <w:i/>
          <w:iCs/>
        </w:rPr>
        <w:t xml:space="preserve">backend</w:t>
      </w:r>
      <w:r>
        <w:t xml:space="preserve"> </w:t>
      </w:r>
      <w:r>
        <w:t xml:space="preserve">aleatorio, objetivo contrafactual de clase</w:t>
      </w:r>
      <w:r>
        <w:t xml:space="preserve"> </w:t>
      </w:r>
      <w:r>
        <w:t xml:space="preserve">opuesta, importancia definida como</w:t>
      </w:r>
      <w:r>
        <w:t xml:space="preserve"> </w:t>
      </w:r>
      <ns5:oMath>
        <ns5:sSub>
          <ns5:e>
            <ns5:r>
              <ns5:rPr>
                <ns5:nor/>
                <ns5:sty ns5:val="p"/>
              </ns5:rPr>
              <ns5:t>imp</ns5:t>
            </ns5:r>
          </ns5:e>
          <ns5:sub>
            <ns5:r>
              <ns5:t>i</ns5:t>
            </ns5:r>
          </ns5:sub>
        </ns5:sSub>
        <ns5:r>
          <ns5:rPr>
            <ns5:sty ns5:val="p"/>
          </ns5:rPr>
          <ns5:t>=</ns5:t>
        </ns5:r>
        <ns5:r>
          <ns5:rPr>
            <ns5:sty ns5:val="p"/>
          </ns5:rPr>
          <ns5:t>|</ns5:t>
        </ns5:r>
        <ns5:sSub>
          <ns5:e>
            <ns5:r>
              <ns5:t>x</ns5:t>
            </ns5:r>
          </ns5:e>
          <ns5:sub>
            <ns5:r>
              <ns5:t>i</ns5:t>
            </ns5:r>
          </ns5:sub>
        </ns5:sSub>
        <ns5:r>
          <ns5:rPr>
            <ns5:sty ns5:val="p"/>
          </ns5:rPr>
          <ns5:t>−</ns5:t>
        </ns5:r>
        <ns5:sSubSup>
          <ns5:e>
            <ns5:r>
              <ns5:t>x</ns5:t>
            </ns5:r>
          </ns5:e>
          <ns5:sub>
            <ns5:r>
              <ns5:t>i</ns5:t>
            </ns5:r>
          </ns5:sub>
          <ns5:sup>
            <ns5:r>
              <ns5:rPr>
                <ns5:sty ns5:val="p"/>
              </ns5:rPr>
              <ns5:t>′</ns5:t>
            </ns5:r>
          </ns5:sup>
        </ns5:sSubSup>
        <ns5:r>
          <ns5:rPr>
            <ns5:sty ns5:val="p"/>
          </ns5:rPr>
          <ns5:t>|</ns5:t>
        </ns5:r>
      </ns5:oMath>
      <w:r>
        <w:t xml:space="preserve">,</w:t>
      </w:r>
      <w:r>
        <w:t xml:space="preserve"> </w:t>
      </w:r>
      <w:r>
        <w:rPr>
          <w:rStyle w:val="VerbatimChar"/>
        </w:rPr>
        <w:t xml:space="preserve">total_CFs = 1</w:t>
      </w:r>
      <w:r>
        <w:t xml:space="preserve"> </w:t>
      </w:r>
      <w:r>
        <w:t xml:space="preserve">efectivo (parámetro YAML no consumido).</w:t>
      </w:r>
    </w:p>
    <w:bookmarkEnd w:id="119"/>
    <w:bookmarkEnd w:id="120"/>
    <w:bookmarkStart w:id="132" w:name="sec-metricas"/>
    <w:p>
      <w:pPr>
        <w:pStyle w:val="Ttulo2"/>
        <w:spacing w:line="360" w:lineRule="auto"/>
        <w:jc w:val="both"/>
      </w:pPr>
      <w:r>
        <w:t xml:space="preserve">3.5 </w:t>
      </w:r>
      <w:r>
        <w:t xml:space="preserve">Operacionalización de las métricas</w:t>
      </w:r>
    </w:p>
    <w:p>
      <w:pPr>
        <w:pStyle w:val="FirstParagraph"/>
        <w:spacing w:line="360" w:lineRule="auto"/>
        <w:jc w:val="both"/>
      </w:pPr>
      <w:r>
        <w:t xml:space="preserve">Las cinco métricas primarias se computan por instancia y se agregan a nivel de</w:t>
      </w:r>
      <w:r>
        <w:t xml:space="preserve"> </w:t>
      </w:r>
      <w:r>
        <w:t xml:space="preserve">ejecución mediante media aritmética. La dirección de cada métrica se fija en</w:t>
      </w:r>
      <w:r>
        <w:t xml:space="preserve"> </w:t>
      </w:r>
      <w:r>
        <w:t xml:space="preserve">el protocolo antes del análisis.</w:t>
      </w:r>
    </w:p>
    <w:p>
      <w:pPr>
        <w:pStyle w:val="Textoindependiente"/>
        <w:spacing w:line="360" w:lineRule="auto"/>
        <w:jc w:val="both"/>
      </w:pPr>
      <w:r>
        <w:t xml:space="preserve">Estas métricas deben leerse como proxies operacionales de los constructos</w:t>
      </w:r>
      <w:r>
        <w:t xml:space="preserve"> </w:t>
      </w:r>
      <w:r>
        <w:t xml:space="preserve">revisados en el Capítulo 2. Fidelidad, estabilidad, parsimonia, brecha de</w:t>
      </w:r>
      <w:r>
        <w:t xml:space="preserve"> </w:t>
      </w:r>
      <w:r>
        <w:t xml:space="preserve">fidelidad y coste no son intercambiables con utilidad humana, plausibilidad</w:t>
      </w:r>
      <w:r>
        <w:t xml:space="preserve"> </w:t>
      </w:r>
      <w:r>
        <w:t xml:space="preserve">semántica o causalidad del mecanismo; son indicadores reproducibles que</w:t>
      </w:r>
      <w:r>
        <w:t xml:space="preserve"> </w:t>
      </w:r>
      <w:r>
        <w:t xml:space="preserve">permiten comparar artefactos explicativos bajo condiciones experimentales</w:t>
      </w:r>
      <w:r>
        <w:t xml:space="preserve"> </w:t>
      </w:r>
      <w:r>
        <w:t xml:space="preserve">controladas</w:t>
      </w:r>
      <w:r>
        <w:t xml:space="preserve"> </w:t>
      </w:r>
      <w:r>
        <w:t xml:space="preserve">(Carvalho et al. 2019; Tomsett et al. 2020; Nauta et al. 2023)</w:t>
      </w:r>
      <w:r>
        <w:t xml:space="preserve">.</w:t>
      </w:r>
    </w:p>
    <w:bookmarkStart w:id="122" w:name="fidelidad"/>
    <w:p>
      <w:pPr>
        <w:pStyle w:val="Ttulo3"/>
        <w:spacing w:line="360" w:lineRule="auto"/>
        <w:jc w:val="both"/>
      </w:pPr>
      <w:r>
        <w:t xml:space="preserve">3.5.1 </w:t>
      </w:r>
      <w:r>
        <w:t xml:space="preserve">Fidelidad</w:t>
      </w:r>
    </w:p>
    <w:p>
      <w:pPr>
        <w:pStyle w:val="FirstParagraph"/>
        <w:spacing w:line="360" w:lineRule="auto"/>
        <w:jc w:val="both"/>
      </w:pPr>
      <w:r>
        <w:t xml:space="preserve">La fidelidad cuantifica la alineación entre las importancias del explicador y</w:t>
      </w:r>
      <w:r>
        <w:t xml:space="preserve"> </w:t>
      </w:r>
      <w:r>
        <w:t xml:space="preserve">el efecto predictivo real bajo enmascaramiento individual de características</w:t>
      </w:r>
      <w:r>
        <w:t xml:space="preserve"> </w:t>
      </w:r>
      <w:r>
        <w:t xml:space="preserve">(</w:t>
      </w:r>
      <w:hyperlink w:anchor="eq-fidelidad">
        <w:r>
          <w:rPr>
            <w:rStyle w:val="Hipervnculo"/>
          </w:rPr>
          <w:t xml:space="preserve">Ecuación 3.5</w:t>
        </w:r>
      </w:hyperlink>
      <w:r>
        <w:t xml:space="preserve">):</w:t>
      </w:r>
    </w:p>
    <w:p>
      <w:pPr>
        <w:pStyle w:val="Textoindependiente"/>
        <w:spacing w:line="360" w:lineRule="auto"/>
        <w:jc w:val="both"/>
      </w:pPr>
      <w:bookmarkStart w:id="121" w:name="eq-fidelidad"/>
      <ns5:oMathPara>
        <ns5:oMathParaPr>
          <ns5:jc ns5:val="center"/>
        </ns5:oMathParaPr>
        <ns5:oMath>
          <ns5:r>
            <ns5:t>F</ns5:t>
          </ns5:r>
          <ns5:r>
            <ns5:rPr>
              <ns5:sty ns5:val="p"/>
            </ns5:rPr>
            <ns5:t>=</ns5:t>
          </ns5:r>
          <ns5:r>
            <ns5:rPr>
              <ns5:nor/>
              <ns5:sty ns5:val="p"/>
            </ns5:rPr>
            <ns5:t>corr</ns5:t>
          </ns5:r>
          <ns5:r>
            <ns5:t>​</ns5:t>
          </ns5:r>
          <ns5:d>
            <ns5:dPr>
              <ns5:begChr ns5:val="("/>
              <ns5:sepChr ns5:val=""/>
              <ns5:endChr ns5:val=")"/>
              <ns5:grow/>
            </ns5:dPr>
            <ns5:e>
              <ns5:r>
                <ns5:rPr>
                  <ns5:sty ns5:val="p"/>
                </ns5:rPr>
                <ns5:t>|</ns5:t>
              </ns5:r>
              <ns5:sSub>
                <ns5:e>
                  <ns5:r>
                    <ns5:t>w</ns5:t>
                  </ns5:r>
                </ns5:e>
                <ns5:sub>
                  <ns5:r>
                    <ns5:t>i</ns5:t>
                  </ns5:r>
                </ns5:sub>
              </ns5:sSub>
              <ns5:r>
                <ns5:rPr>
                  <ns5:sty ns5:val="p"/>
                </ns5:rPr>
                <ns5:t>|</ns5:t>
              </ns5:r>
              <ns5:r>
                <ns5:rPr>
                  <ns5:sty ns5:val="p"/>
                </ns5:rPr>
                <ns5:t>,</ns5:t>
              </ns5:r>
              <ns5:r>
                <ns5:t> </ns5:t>
              </ns5:r>
              <ns5:r>
                <ns5:rPr>
                  <ns5:sty ns5:val="p"/>
                </ns5:rPr>
                <ns5:t>|</ns5:t>
              </ns5:r>
              <ns5:r>
                <ns5:t>f</ns5:t>
              </ns5:r>
              <ns5:r>
                <ns5:rPr>
                  <ns5:sty ns5:val="p"/>
                </ns5:rPr>
                <ns5:t>(</ns5:t>
              </ns5:r>
              <ns5:r>
                <ns5:t>x</ns5:t>
              </ns5:r>
              <ns5:r>
                <ns5:rPr>
                  <ns5:sty ns5:val="p"/>
                </ns5:rPr>
                <ns5:t>)</ns5:t>
              </ns5:r>
              <ns5:r>
                <ns5:rPr>
                  <ns5:sty ns5:val="p"/>
                </ns5:rPr>
                <ns5:t>−</ns5:t>
              </ns5:r>
              <ns5:r>
                <ns5:t>f</ns5:t>
              </ns5:r>
              <ns5:r>
                <ns5:rPr>
                  <ns5:sty ns5:val="p"/>
                </ns5:rPr>
                <ns5:t>(</ns5:t>
              </ns5:r>
              <ns5:sSub>
                <ns5:e>
                  <ns5:r>
                    <ns5:t>x</ns5:t>
                  </ns5:r>
                </ns5:e>
                <ns5:sub>
                  <ns5:r>
                    <ns5:rPr>
                      <ns5:sty ns5:val="p"/>
                    </ns5:rPr>
                    <ns5:t>−</ns5:t>
                  </ns5:r>
                  <ns5:r>
                    <ns5:t>i</ns5:t>
                  </ns5:r>
                </ns5:sub>
              </ns5:sSub>
              <ns5:r>
                <ns5:rPr>
                  <ns5:sty ns5:val="p"/>
                </ns5:rPr>
                <ns5:t>)</ns5:t>
              </ns5:r>
              <ns5:r>
                <ns5:rPr>
                  <ns5:sty ns5:val="p"/>
                </ns5:rPr>
                <ns5:t>|</ns5:t>
              </ns5:r>
            </ns5:e>
          </ns5:d>
          <ns5:r>
            <ns5:t>  </ns5:t>
          </ns5:r>
          <ns5:r>
            <ns5:rPr>
              <ns5:sty ns5:val="p"/>
            </ns5:rPr>
            <ns5:t>(</ns5:t>
          </ns5:r>
          <ns5:r>
            <ns5:t>3.5</ns5:t>
          </ns5:r>
          <ns5:r>
            <ns5:rPr>
              <ns5:sty ns5:val="p"/>
            </ns5:rPr>
            <ns5:t>)</ns5:t>
          </ns5:r>
        </ns5:oMath>
      </ns5:oMathPara>
      <w:bookmarkEnd w:id="121"/>
    </w:p>
    <w:p>
      <w:pPr>
        <w:pStyle w:val="FirstParagraph"/>
        <w:spacing w:line="360" w:lineRule="auto"/>
        <w:jc w:val="both"/>
      </w:pPr>
      <w:r>
        <w:t xml:space="preserve">donde</w:t>
      </w:r>
      <w:r>
        <w:t xml:space="preserve"> </w:t>
      </w:r>
      <ns5:oMath>
        <ns5:sSub>
          <ns5:e>
            <ns5:r>
              <ns5:t>x</ns5:t>
            </ns5:r>
          </ns5:e>
          <ns5:sub>
            <ns5:r>
              <ns5:rPr>
                <ns5:sty ns5:val="p"/>
              </ns5:rPr>
              <ns5:t>−</ns5:t>
            </ns5:r>
            <ns5:r>
              <ns5:t>i</ns5:t>
            </ns5:r>
          </ns5:sub>
        </ns5:sSub>
      </ns5:oMath>
      <w:r>
        <w:t xml:space="preserve"> </w:t>
      </w:r>
      <w:r>
        <w:t xml:space="preserve">sustituye, de manera independiente, la característica</w:t>
      </w:r>
      <w:r>
        <w:t xml:space="preserve"> </w:t>
      </w:r>
      <w:r>
        <w:t xml:space="preserve">transformada</w:t>
      </w:r>
      <w:r>
        <w:t xml:space="preserve"> </w:t>
      </w:r>
      <ns5:oMath>
        <ns5:r>
          <ns5:t>i</ns5:t>
        </ns5:r>
      </ns5:oMath>
      <w:r>
        <w:t xml:space="preserve"> </w:t>
      </w:r>
      <w:r>
        <w:t xml:space="preserve">por su media en el conjunto de entrenamiento. Este operador es</w:t>
      </w:r>
      <w:r>
        <w:t xml:space="preserve"> </w:t>
      </w:r>
      <w:r>
        <w:t xml:space="preserve">determinista y común a los cuatro métodos, pero no preserva la distribución</w:t>
      </w:r>
      <w:r>
        <w:t xml:space="preserve"> </w:t>
      </w:r>
      <w:r>
        <w:t xml:space="preserve">conjunta de las características: puede producir combinaciones implausibles u</w:t>
      </w:r>
      <w:r>
        <w:t xml:space="preserve"> </w:t>
      </w:r>
      <w:r>
        <w:t xml:space="preserve">OOD y, por tanto, introducir sesgo diferencial entre explicadores</w:t>
      </w:r>
      <w:r>
        <w:t xml:space="preserve"> </w:t>
      </w:r>
      <w:r>
        <w:t xml:space="preserve">(Hooker et al. 2019; Rong et al. 2022)</w:t>
      </w:r>
      <w:r>
        <w:t xml:space="preserve">. La métrica se interpreta como</w:t>
      </w:r>
      <w:r>
        <w:t xml:space="preserve"> </w:t>
      </w:r>
      <w:r>
        <w:t xml:space="preserve">respuesta del modelo bajo este enmascaramiento concreto, no como verdad de la</w:t>
      </w:r>
      <w:r>
        <w:t xml:space="preserve"> </w:t>
      </w:r>
      <w:r>
        <w:t xml:space="preserve">explicación. Dirección:</w:t>
      </w:r>
      <w:r>
        <w:t xml:space="preserve"> </w:t>
      </w:r>
      <ns5:oMath>
        <ns5:r>
          <ns5:rPr>
            <ns5:sty ns5:val="p"/>
          </ns5:rPr>
          <ns5:t>↑</ns5:t>
        </ns5:r>
      </ns5:oMath>
      <w:r>
        <w:t xml:space="preserve">. Implementación:</w:t>
      </w:r>
      <w:r>
        <w:t xml:space="preserve"> </w:t>
      </w:r>
      <w:r>
        <w:rPr>
          <w:rStyle w:val="VerbatimChar"/>
        </w:rPr>
        <w:t xml:space="preserve">src/metrics/fidelity.py</w:t>
      </w:r>
      <w:r>
        <w:t xml:space="preserve">.</w:t>
      </w:r>
    </w:p>
    <w:bookmarkEnd w:id="122"/>
    <w:bookmarkStart w:id="124" w:name="estabilidad"/>
    <w:p>
      <w:pPr>
        <w:pStyle w:val="Ttulo3"/>
        <w:spacing w:line="360" w:lineRule="auto"/>
        <w:jc w:val="both"/>
      </w:pPr>
      <w:r>
        <w:t xml:space="preserve">3.5.2 </w:t>
      </w:r>
      <w:r>
        <w:t xml:space="preserve">Estabilidad</w:t>
      </w:r>
    </w:p>
    <w:p>
      <w:pPr>
        <w:pStyle w:val="FirstParagraph"/>
        <w:spacing w:line="360" w:lineRule="auto"/>
        <w:jc w:val="both"/>
      </w:pPr>
      <w:r>
        <w:t xml:space="preserve">La estabilidad mide la consistencia de las explicaciones bajo</w:t>
      </w:r>
      <w:r>
        <w:t xml:space="preserve"> </w:t>
      </w:r>
      <ns5:oMath>
        <ns5:r>
          <ns5:t>T</ns5:t>
        </ns5:r>
        <ns5:r>
          <ns5:rPr>
            <ns5:sty ns5:val="p"/>
          </ns5:rPr>
          <ns5:t>=</ns5:t>
        </ns5:r>
        <ns5:r>
          <ns5:t>15</ns5:t>
        </ns5:r>
      </ns5:oMath>
      <w:r>
        <w:t xml:space="preserve"> </w:t>
      </w:r>
      <w:r>
        <w:t xml:space="preserve">perturbaciones gaussianas</w:t>
      </w:r>
      <w:r>
        <w:t xml:space="preserve"> </w:t>
      </w:r>
      <ns5:oMath>
        <ns5:sSup>
          <ns5:e>
            <ns5:r>
              <ns5:t>x</ns5:t>
            </ns5:r>
          </ns5:e>
          <ns5:sup>
            <ns5:r>
              <ns5:rPr>
                <ns5:sty ns5:val="p"/>
              </ns5:rPr>
              <ns5:t>(</ns5:t>
            </ns5:r>
            <ns5:r>
              <ns5:t>t</ns5:t>
            </ns5:r>
            <ns5:r>
              <ns5:rPr>
                <ns5:sty ns5:val="p"/>
              </ns5:rPr>
              <ns5:t>)</ns5:t>
            </ns5:r>
          </ns5:sup>
        </ns5:sSup>
        <ns5:r>
          <ns5:rPr>
            <ns5:sty ns5:val="p"/>
          </ns5:rPr>
          <ns5:t>=</ns5:t>
        </ns5:r>
        <ns5:r>
          <ns5:t>x</ns5:t>
        </ns5:r>
        <ns5:r>
          <ns5:rPr>
            <ns5:sty ns5:val="p"/>
          </ns5:rPr>
          <ns5:t>+</ns5:t>
        </ns5:r>
        <ns5:sSup>
          <ns5:e>
            <ns5:r>
              <ns5:t>ε</ns5:t>
            </ns5:r>
          </ns5:e>
          <ns5:sup>
            <ns5:r>
              <ns5:rPr>
                <ns5:sty ns5:val="p"/>
              </ns5:rPr>
              <ns5:t>(</ns5:t>
            </ns5:r>
            <ns5:r>
              <ns5:t>t</ns5:t>
            </ns5:r>
            <ns5:r>
              <ns5:rPr>
                <ns5:sty ns5:val="p"/>
              </ns5:rPr>
              <ns5:t>)</ns5:t>
            </ns5:r>
          </ns5:sup>
        </ns5:sSup>
      </ns5:oMath>
      <w:r>
        <w:t xml:space="preserve">,</w:t>
      </w:r>
      <w:r>
        <w:t xml:space="preserve"> </w:t>
      </w:r>
      <ns5:oMath>
        <ns5:sSup>
          <ns5:e>
            <ns5:r>
              <ns5:t>ε</ns5:t>
            </ns5:r>
          </ns5:e>
          <ns5:sup>
            <ns5:r>
              <ns5:rPr>
                <ns5:sty ns5:val="p"/>
              </ns5:rPr>
              <ns5:t>(</ns5:t>
            </ns5:r>
            <ns5:r>
              <ns5:t>t</ns5:t>
            </ns5:r>
            <ns5:r>
              <ns5:rPr>
                <ns5:sty ns5:val="p"/>
              </ns5:rPr>
              <ns5:t>)</ns5:t>
            </ns5:r>
          </ns5:sup>
        </ns5:sSup>
        <ns5:r>
          <ns5:rPr>
            <ns5:sty ns5:val="p"/>
          </ns5:rPr>
          <ns5:t>∼</ns5:t>
        </ns5:r>
        <ns5:r>
          <ns5:rPr>
            <ns5:scr ns5:val="script"/>
            <ns5:sty ns5:val="p"/>
          </ns5:rPr>
          <ns5:t>N</ns5:t>
        </ns5:r>
        <ns5:r>
          <ns5:rPr>
            <ns5:sty ns5:val="p"/>
          </ns5:rPr>
          <ns5:t>(</ns5:t>
        </ns5:r>
        <ns5:r>
          <ns5:t>0</ns5:t>
        </ns5:r>
        <ns5:r>
          <ns5:rPr>
            <ns5:sty ns5:val="p"/>
          </ns5:rPr>
          <ns5:t>,</ns5:t>
        </ns5:r>
        <ns5:sSup>
          <ns5:e>
            <ns5:r>
              <ns5:t>σ</ns5:t>
            </ns5:r>
          </ns5:e>
          <ns5:sup>
            <ns5:r>
              <ns5:t>2</ns5:t>
            </ns5:r>
          </ns5:sup>
        </ns5:sSup>
        <ns5:r>
          <ns5:rPr>
            <ns5:sty ns5:val="bi"/>
          </ns5:rPr>
          <ns5:t>I</ns5:t>
        </ns5:r>
        <ns5:r>
          <ns5:rPr>
            <ns5:sty ns5:val="p"/>
          </ns5:rPr>
          <ns5:t>)</ns5:t>
        </ns5:r>
      </ns5:oMath>
      <w:r>
        <w:t xml:space="preserve">,</w:t>
      </w:r>
      <w:r>
        <w:t xml:space="preserve"> </w:t>
      </w:r>
      <ns5:oMath>
        <ns5:r>
          <ns5:t>σ</ns5:t>
        </ns5:r>
        <ns5:r>
          <ns5:rPr>
            <ns5:sty ns5:val="p"/>
          </ns5:rPr>
          <ns5:t>=</ns5:t>
        </ns5:r>
        <ns5:r>
          <ns5:t>0.1</ns5:t>
        </ns5:r>
      </ns5:oMath>
      <w:r>
        <w:t xml:space="preserve"> </w:t>
      </w:r>
      <w:r>
        <w:t xml:space="preserve">(</w:t>
      </w:r>
      <w:hyperlink w:anchor="eq-estabilidad">
        <w:r>
          <w:rPr>
            <w:rStyle w:val="Hipervnculo"/>
          </w:rPr>
          <w:t xml:space="preserve">Ecuación 3.6</w:t>
        </w:r>
      </w:hyperlink>
      <w:r>
        <w:t xml:space="preserve">):</w:t>
      </w:r>
    </w:p>
    <w:p>
      <w:pPr>
        <w:pStyle w:val="Textoindependiente"/>
        <w:spacing w:line="360" w:lineRule="auto"/>
        <w:jc w:val="both"/>
      </w:pPr>
      <w:bookmarkStart w:id="123" w:name="eq-estabilidad"/>
      <ns5:oMathPara>
        <ns5:oMathParaPr>
          <ns5:jc ns5:val="center"/>
        </ns5:oMathParaPr>
        <ns5:oMath>
          <ns5:r>
            <ns5:t>S</ns5:t>
          </ns5:r>
          <ns5:r>
            <ns5:rPr>
              <ns5:sty ns5:val="p"/>
            </ns5:rPr>
            <ns5:t>=</ns5:t>
          </ns5:r>
          <ns5:f>
            <ns5:fPr>
              <ns5:type ns5:val="bar"/>
            </ns5:fPr>
            <ns5:num>
              <ns5:r>
                <ns5:t>2</ns5:t>
              </ns5:r>
            </ns5:num>
            <ns5:den>
              <ns5:r>
                <ns5:t>T</ns5:t>
              </ns5:r>
              <ns5:r>
                <ns5:rPr>
                  <ns5:sty ns5:val="p"/>
                </ns5:rPr>
                <ns5:t>(</ns5:t>
              </ns5:r>
              <ns5:r>
                <ns5:t>T</ns5:t>
              </ns5:r>
              <ns5:r>
                <ns5:rPr>
                  <ns5:sty ns5:val="p"/>
                </ns5:rPr>
                <ns5:t>−</ns5:t>
              </ns5:r>
              <ns5:r>
                <ns5:t>1</ns5:t>
              </ns5:r>
              <ns5:r>
                <ns5:rPr>
                  <ns5:sty ns5:val="p"/>
                </ns5:rPr>
                <ns5:t>)</ns5:t>
              </ns5:r>
            </ns5:den>
          </ns5:f>
          <ns5:nary>
            <ns5:naryPr>
              <ns5:chr ns5:val="∑"/>
              <ns5:limLoc ns5:val="undOvr"/>
              <ns5:subHide ns5:val="off"/>
              <ns5:supHide ns5:val="on"/>
            </ns5:naryPr>
            <ns5:sub>
              <ns5:r>
                <ns5:t>a</ns5:t>
              </ns5:r>
              <ns5:r>
                <ns5:rPr>
                  <ns5:sty ns5:val="p"/>
                </ns5:rPr>
                <ns5:t>&lt;</ns5:t>
              </ns5:r>
              <ns5:r>
                <ns5:t>b</ns5:t>
              </ns5:r>
            </ns5:sub>
            <ns5:sup>
              <ns5:r>
                <ns5:t>​</ns5:t>
              </ns5:r>
            </ns5:sup>
            <ns5:e>
              <ns5:r>
                <ns5:rPr>
                  <ns5:sty ns5:val="p"/>
                </ns5:rPr>
                <ns5:t>cos</ns5:t>
              </ns5:r>
            </ns5:e>
          </ns5:nary>
          <ns5:r>
            <ns5:t>​</ns5:t>
          </ns5:r>
          <ns5:d>
            <ns5:dPr>
              <ns5:begChr ns5:val="("/>
              <ns5:sepChr ns5:val=""/>
              <ns5:endChr ns5:val=")"/>
              <ns5:grow/>
            </ns5:dPr>
            <ns5:e>
              <ns5:sSup>
                <ns5:e>
                  <ns5:r>
                    <ns5:t>e</ns5:t>
                  </ns5:r>
                </ns5:e>
                <ns5:sup>
                  <ns5:r>
                    <ns5:rPr>
                      <ns5:sty ns5:val="p"/>
                    </ns5:rPr>
                    <ns5:t>(</ns5:t>
                  </ns5:r>
                  <ns5:r>
                    <ns5:t>a</ns5:t>
                  </ns5:r>
                  <ns5:r>
                    <ns5:rPr>
                      <ns5:sty ns5:val="p"/>
                    </ns5:rPr>
                    <ns5:t>)</ns5:t>
                  </ns5:r>
                </ns5:sup>
              </ns5:sSup>
              <ns5:r>
                <ns5:rPr>
                  <ns5:sty ns5:val="p"/>
                </ns5:rPr>
                <ns5:t>,</ns5:t>
              </ns5:r>
              <ns5:r>
                <ns5:t> </ns5:t>
              </ns5:r>
              <ns5:sSup>
                <ns5:e>
                  <ns5:r>
                    <ns5:t>e</ns5:t>
                  </ns5:r>
                </ns5:e>
                <ns5:sup>
                  <ns5:r>
                    <ns5:rPr>
                      <ns5:sty ns5:val="p"/>
                    </ns5:rPr>
                    <ns5:t>(</ns5:t>
                  </ns5:r>
                  <ns5:r>
                    <ns5:t>b</ns5:t>
                  </ns5:r>
                  <ns5:r>
                    <ns5:rPr>
                      <ns5:sty ns5:val="p"/>
                    </ns5:rPr>
                    <ns5:t>)</ns5:t>
                  </ns5:r>
                </ns5:sup>
              </ns5:sSup>
            </ns5:e>
          </ns5:d>
          <ns5:r>
            <ns5:t>  </ns5:t>
          </ns5:r>
          <ns5:r>
            <ns5:rPr>
              <ns5:sty ns5:val="p"/>
            </ns5:rPr>
            <ns5:t>(</ns5:t>
          </ns5:r>
          <ns5:r>
            <ns5:t>3.6</ns5:t>
          </ns5:r>
          <ns5:r>
            <ns5:rPr>
              <ns5:sty ns5:val="p"/>
            </ns5:rPr>
            <ns5:t>)</ns5:t>
          </ns5:r>
        </ns5:oMath>
      </ns5:oMathPara>
      <w:bookmarkEnd w:id="123"/>
    </w:p>
    <w:p>
      <w:pPr>
        <w:pStyle w:val="FirstParagraph"/>
        <w:spacing w:line="360" w:lineRule="auto"/>
        <w:jc w:val="both"/>
      </w:pPr>
      <w:r>
        <w:t xml:space="preserve">Con</w:t>
      </w:r>
      <w:r>
        <w:t xml:space="preserve"> </w:t>
      </w:r>
      <ns5:oMath>
        <ns5:r>
          <ns5:t>T</ns5:t>
        </ns5:r>
        <ns5:r>
          <ns5:rPr>
            <ns5:sty ns5:val="p"/>
          </ns5:rPr>
          <ns5:t>=</ns5:t>
        </ns5:r>
        <ns5:r>
          <ns5:t>15</ns5:t>
        </ns5:r>
      </ns5:oMath>
      <w:r>
        <w:t xml:space="preserve"> </w:t>
      </w:r>
      <w:r>
        <w:t xml:space="preserve">se forman</w:t>
      </w:r>
      <w:r>
        <w:t xml:space="preserve"> </w:t>
      </w:r>
      <ns5:oMath>
        <ns5:d>
          <ns5:dPr>
            <ns5:begChr ns5:val="("/>
            <ns5:sepChr ns5:val=""/>
            <ns5:endChr ns5:val=")"/>
            <ns5:grow/>
          </ns5:dPr>
          <ns5:e>
            <ns5:f>
              <ns5:fPr>
                <ns5:type ns5:val="noBar"/>
              </ns5:fPr>
              <ns5:num>
                <ns5:r>
                  <ns5:t>15</ns5:t>
                </ns5:r>
              </ns5:num>
              <ns5:den>
                <ns5:r>
                  <ns5:t>2</ns5:t>
                </ns5:r>
              </ns5:den>
            </ns5:f>
          </ns5:e>
        </ns5:d>
        <ns5:r>
          <ns5:rPr>
            <ns5:sty ns5:val="p"/>
          </ns5:rPr>
          <ns5:t>=</ns5:t>
        </ns5:r>
        <ns5:r>
          <ns5:t>105</ns5:t>
        </ns5:r>
      </ns5:oMath>
      <w:r>
        <w:t xml:space="preserve"> </w:t>
      </w:r>
      <w:r>
        <w:t xml:space="preserve">pares por instancia.</w:t>
      </w:r>
      <w:r>
        <w:t xml:space="preserve"> </w:t>
      </w:r>
      <w:r>
        <w:t xml:space="preserve">Dirección:</w:t>
      </w:r>
      <w:r>
        <w:t xml:space="preserve"> </w:t>
      </w:r>
      <ns5:oMath>
        <ns5:r>
          <ns5:rPr>
            <ns5:sty ns5:val="p"/>
          </ns5:rPr>
          <ns5:t>↑</ns5:t>
        </ns5:r>
      </ns5:oMath>
      <w:r>
        <w:t xml:space="preserve">. Implementación:</w:t>
      </w:r>
      <w:r>
        <w:t xml:space="preserve"> </w:t>
      </w:r>
      <w:r>
        <w:rPr>
          <w:rStyle w:val="VerbatimChar"/>
        </w:rPr>
        <w:t xml:space="preserve">src/metrics/stability.py</w:t>
      </w:r>
      <w:r>
        <w:t xml:space="preserve">.</w:t>
      </w:r>
    </w:p>
    <w:bookmarkEnd w:id="124"/>
    <w:bookmarkStart w:id="126" w:name="parsimonia"/>
    <w:p>
      <w:pPr>
        <w:pStyle w:val="Ttulo3"/>
        <w:spacing w:line="360" w:lineRule="auto"/>
        <w:jc w:val="both"/>
      </w:pPr>
      <w:r>
        <w:t xml:space="preserve">3.5.3 </w:t>
      </w:r>
      <w:r>
        <w:t xml:space="preserve">Parsimonia</w:t>
      </w:r>
    </w:p>
    <w:p>
      <w:pPr>
        <w:pStyle w:val="FirstParagraph"/>
        <w:spacing w:line="360" w:lineRule="auto"/>
        <w:jc w:val="both"/>
      </w:pPr>
      <w:r>
        <w:t xml:space="preserve">La parsimonia cuantifica la proporción de características activas</w:t>
      </w:r>
      <w:r>
        <w:t xml:space="preserve"> </w:t>
      </w:r>
      <w:r>
        <w:t xml:space="preserve">(</w:t>
      </w:r>
      <ns5:oMath>
        <ns5:r>
          <ns5:rPr>
            <ns5:sty ns5:val="p"/>
          </ns5:rPr>
          <ns5:t>|</ns5:t>
        </ns5:r>
        <ns5:sSub>
          <ns5:e>
            <ns5:r>
              <ns5:t>w</ns5:t>
            </ns5:r>
          </ns5:e>
          <ns5:sub>
            <ns5:r>
              <ns5:t>i</ns5:t>
            </ns5:r>
          </ns5:sub>
        </ns5:sSub>
        <ns5:r>
          <ns5:rPr>
            <ns5:sty ns5:val="p"/>
          </ns5:rPr>
          <ns5:t>|</ns5:t>
        </ns5:r>
        <ns5:r>
          <ns5:rPr>
            <ns5:sty ns5:val="p"/>
          </ns5:rPr>
          <ns5:t>&gt;</ns5:t>
        </ns5:r>
        <ns5:sSub>
          <ns5:e>
            <ns5:r>
              <ns5:t>τ</ns5:t>
            </ns5:r>
          </ns5:e>
          <ns5:sub>
            <ns5:r>
              <ns5:t>s</ns5:t>
            </ns5:r>
          </ns5:sub>
        </ns5:sSub>
        <ns5:r>
          <ns5:rPr>
            <ns5:sty ns5:val="p"/>
          </ns5:rPr>
          <ns5:t>=</ns5:t>
        </ns5:r>
        <ns5:sSup>
          <ns5:e>
            <ns5:r>
              <ns5:t>10</ns5:t>
            </ns5:r>
          </ns5:e>
          <ns5:sup>
            <ns5:r>
              <ns5:rPr>
                <ns5:sty ns5:val="p"/>
              </ns5:rPr>
              <ns5:t>−</ns5:t>
            </ns5:r>
            <ns5:r>
              <ns5:t>4</ns5:t>
            </ns5:r>
          </ns5:sup>
        </ns5:sSup>
      </ns5:oMath>
      <w:r>
        <w:t xml:space="preserve">) sobre el total de características transformadas</w:t>
      </w:r>
      <w:r>
        <w:t xml:space="preserve"> </w:t>
      </w:r>
      <w:r>
        <w:t xml:space="preserve">(</w:t>
      </w:r>
      <w:hyperlink w:anchor="eq-parsimonia">
        <w:r>
          <w:rPr>
            <w:rStyle w:val="Hipervnculo"/>
          </w:rPr>
          <w:t xml:space="preserve">Ecuación 3.7</w:t>
        </w:r>
      </w:hyperlink>
      <w:r>
        <w:t xml:space="preserve">):</w:t>
      </w:r>
    </w:p>
    <w:p>
      <w:pPr>
        <w:pStyle w:val="Textoindependiente"/>
        <w:spacing w:line="360" w:lineRule="auto"/>
        <w:jc w:val="both"/>
      </w:pPr>
      <w:bookmarkStart w:id="125" w:name="eq-parsimonia"/>
      <ns5:oMathPara>
        <ns5:oMathParaPr>
          <ns5:jc ns5:val="center"/>
        </ns5:oMathParaPr>
        <ns5:oMath>
          <ns5:r>
            <ns5:t>P</ns5:t>
          </ns5:r>
          <ns5:r>
            <ns5:rPr>
              <ns5:sty ns5:val="p"/>
            </ns5:rPr>
            <ns5:t>=</ns5:t>
          </ns5:r>
          <ns5:f>
            <ns5:fPr>
              <ns5:type ns5:val="bar"/>
            </ns5:fPr>
            <ns5:num>
              <ns5:r>
                <ns5:rPr>
                  <ns5:sty ns5:val="p"/>
                </ns5:rPr>
                <ns5:t>#</ns5:t>
              </ns5:r>
              <ns5:r>
                <ns5:rPr>
                  <ns5:sty ns5:val="p"/>
                </ns5:rPr>
                <ns5:t>{</ns5:t>
              </ns5:r>
              <ns5:r>
                <ns5:t>i</ns5:t>
              </ns5:r>
              <ns5:r>
                <ns5:rPr>
                  <ns5:sty ns5:val="p"/>
                </ns5:rPr>
                <ns5:t>:</ns5:t>
              </ns5:r>
              <ns5:r>
                <ns5:rPr>
                  <ns5:sty ns5:val="p"/>
                </ns5:rPr>
                <ns5:t>|</ns5:t>
              </ns5:r>
              <ns5:sSub>
                <ns5:e>
                  <ns5:r>
                    <ns5:t>w</ns5:t>
                  </ns5:r>
                </ns5:e>
                <ns5:sub>
                  <ns5:r>
                    <ns5:t>i</ns5:t>
                  </ns5:r>
                </ns5:sub>
              </ns5:sSub>
              <ns5:r>
                <ns5:rPr>
                  <ns5:sty ns5:val="p"/>
                </ns5:rPr>
                <ns5:t>|</ns5:t>
              </ns5:r>
              <ns5:r>
                <ns5:rPr>
                  <ns5:sty ns5:val="p"/>
                </ns5:rPr>
                <ns5:t>&gt;</ns5:t>
              </ns5:r>
              <ns5:sSub>
                <ns5:e>
                  <ns5:r>
                    <ns5:t>τ</ns5:t>
                  </ns5:r>
                </ns5:e>
                <ns5:sub>
                  <ns5:r>
                    <ns5:t>s</ns5:t>
                  </ns5:r>
                </ns5:sub>
              </ns5:sSub>
              <ns5:r>
                <ns5:rPr>
                  <ns5:sty ns5:val="p"/>
                </ns5:rPr>
                <ns5:t>}</ns5:t>
              </ns5:r>
            </ns5:num>
            <ns5:den>
              <ns5:r>
                <ns5:rPr>
                  <ns5:sty ns5:val="p"/>
                </ns5:rPr>
                <ns5:t>|</ns5:t>
              </ns5:r>
              <ns5:r>
                <ns5:rPr>
                  <ns5:scr ns5:val="script"/>
                  <ns5:sty ns5:val="p"/>
                </ns5:rPr>
                <ns5:t>F</ns5:t>
              </ns5:r>
              <ns5:r>
                <ns5:rPr>
                  <ns5:sty ns5:val="p"/>
                </ns5:rPr>
                <ns5:t>|</ns5:t>
              </ns5:r>
            </ns5:den>
          </ns5:f>
          <ns5:r>
            <ns5:t>  </ns5:t>
          </ns5:r>
          <ns5:r>
            <ns5:rPr>
              <ns5:sty ns5:val="p"/>
            </ns5:rPr>
            <ns5:t>(</ns5:t>
          </ns5:r>
          <ns5:r>
            <ns5:t>3.7</ns5:t>
          </ns5:r>
          <ns5:r>
            <ns5:rPr>
              <ns5:sty ns5:val="p"/>
            </ns5:rPr>
            <ns5:t>)</ns5:t>
          </ns5:r>
        </ns5:oMath>
      </ns5:oMathPara>
      <w:bookmarkEnd w:id="125"/>
    </w:p>
    <w:p>
      <w:pPr>
        <w:pStyle w:val="FirstParagraph"/>
        <w:spacing w:line="360" w:lineRule="auto"/>
        <w:jc w:val="both"/>
      </w:pPr>
      <w:r>
        <w:t xml:space="preserve">Un valor bajo indica mayor concisión. Dirección:</w:t>
      </w:r>
      <w:r>
        <w:t xml:space="preserve"> </w:t>
      </w:r>
      <ns5:oMath>
        <ns5:r>
          <ns5:rPr>
            <ns5:sty ns5:val="p"/>
          </ns5:rPr>
          <ns5:t>↓</ns5:t>
        </ns5:r>
      </ns5:oMath>
      <w:r>
        <w:t xml:space="preserve">.</w:t>
      </w:r>
      <w:r>
        <w:t xml:space="preserve"> </w:t>
      </w:r>
      <w:r>
        <w:t xml:space="preserve">Implementación:</w:t>
      </w:r>
      <w:r>
        <w:t xml:space="preserve"> </w:t>
      </w:r>
      <w:r>
        <w:rPr>
          <w:rStyle w:val="VerbatimChar"/>
        </w:rPr>
        <w:t xml:space="preserve">src/metrics/sparsity.py</w:t>
      </w:r>
      <w:r>
        <w:t xml:space="preserve">.</w:t>
      </w:r>
    </w:p>
    <w:bookmarkEnd w:id="126"/>
    <w:bookmarkStart w:id="128" w:name="brecha-de-fidelidad"/>
    <w:p>
      <w:pPr>
        <w:pStyle w:val="Ttulo3"/>
        <w:spacing w:line="360" w:lineRule="auto"/>
        <w:jc w:val="both"/>
      </w:pPr>
      <w:r>
        <w:t xml:space="preserve">3.5.4 </w:t>
      </w:r>
      <w:r>
        <w:t xml:space="preserve">Brecha de fidelidad</w:t>
      </w:r>
    </w:p>
    <w:p>
      <w:pPr>
        <w:pStyle w:val="FirstParagraph"/>
        <w:spacing w:line="360" w:lineRule="auto"/>
        <w:jc w:val="both"/>
      </w:pPr>
      <w:r>
        <w:t xml:space="preserve">La brecha de fidelidad cuantifica el cambio en la salida del modelo al</w:t>
      </w:r>
      <w:r>
        <w:t xml:space="preserve"> </w:t>
      </w:r>
      <w:r>
        <w:t xml:space="preserve">enmascarar las</w:t>
      </w:r>
      <w:r>
        <w:t xml:space="preserve"> </w:t>
      </w:r>
      <ns5:oMath>
        <ns5:r>
          <ns5:t>k</ns5:t>
        </ns5:r>
        <ns5:r>
          <ns5:rPr>
            <ns5:sty ns5:val="p"/>
          </ns5:rPr>
          <ns5:t>=</ns5:t>
        </ns5:r>
        <ns5:r>
          <ns5:t>5</ns5:t>
        </ns5:r>
      </ns5:oMath>
      <w:r>
        <w:t xml:space="preserve"> </w:t>
      </w:r>
      <w:r>
        <w:t xml:space="preserve">características de mayor importancia</w:t>
      </w:r>
      <w:r>
        <w:t xml:space="preserve"> </w:t>
      </w:r>
      <w:r>
        <w:t xml:space="preserve">(</w:t>
      </w:r>
      <w:hyperlink w:anchor="eq-brecha-fidelidad">
        <w:r>
          <w:rPr>
            <w:rStyle w:val="Hipervnculo"/>
          </w:rPr>
          <w:t xml:space="preserve">Ecuación 3.8</w:t>
        </w:r>
      </w:hyperlink>
      <w:r>
        <w:t xml:space="preserve">):</w:t>
      </w:r>
    </w:p>
    <w:p>
      <w:pPr>
        <w:pStyle w:val="Textoindependiente"/>
        <w:spacing w:line="360" w:lineRule="auto"/>
        <w:jc w:val="both"/>
      </w:pPr>
      <w:bookmarkStart w:id="127" w:name="eq-brecha-fidelidad"/>
      <ns5:oMathPara>
        <ns5:oMathParaPr>
          <ns5:jc ns5:val="center"/>
        </ns5:oMathParaPr>
        <ns5:oMath>
          <ns5:sSub>
            <ns5:e>
              <ns5:r>
                <ns5:rPr>
                  <ns5:sty ns5:val="p"/>
                </ns5:rPr>
                <ns5:t>Δ</ns5:t>
              </ns5:r>
            </ns5:e>
            <ns5:sub>
              <ns5:r>
                <ns5:t>k</ns5:t>
              </ns5:r>
            </ns5:sub>
          </ns5:sSub>
          <ns5:r>
            <ns5:rPr>
              <ns5:sty ns5:val="p"/>
            </ns5:rPr>
            <ns5:t>=</ns5:t>
          </ns5:r>
          <ns5:d>
            <ns5:dPr>
              <ns5:begChr ns5:val="|"/>
              <ns5:sepChr ns5:val=""/>
              <ns5:endChr ns5:val="|"/>
              <ns5:grow/>
            </ns5:dPr>
            <ns5:e>
              <ns5:r>
                <ns5:t>f</ns5:t>
              </ns5:r>
              <ns5:r>
                <ns5:rPr>
                  <ns5:sty ns5:val="p"/>
                </ns5:rPr>
                <ns5:t>(</ns5:t>
              </ns5:r>
              <ns5:r>
                <ns5:t>x</ns5:t>
              </ns5:r>
              <ns5:r>
                <ns5:rPr>
                  <ns5:sty ns5:val="p"/>
                </ns5:rPr>
                <ns5:t>)</ns5:t>
              </ns5:r>
              <ns5:r>
                <ns5:rPr>
                  <ns5:sty ns5:val="p"/>
                </ns5:rPr>
                <ns5:t>−</ns5:t>
              </ns5:r>
              <ns5:r>
                <ns5:t>f</ns5:t>
              </ns5:r>
              <ns5:r>
                <ns5:t>​</ns5:t>
              </ns5:r>
              <ns5:d>
                <ns5:dPr>
                  <ns5:begChr ns5:val="("/>
                  <ns5:sepChr ns5:val=""/>
                  <ns5:endChr ns5:val=")"/>
                  <ns5:grow/>
                </ns5:dPr>
                <ns5:e>
                  <ns5:sSub>
                    <ns5:e>
                      <ns5:r>
                        <ns5:t>x</ns5:t>
                      </ns5:r>
                    </ns5:e>
                    <ns5:sub>
                      <ns5:r>
                        <ns5:rPr>
                          <ns5:nor/>
                          <ns5:sty ns5:val="p"/>
                        </ns5:rPr>
                        <ns5:t>mask-top-</ns5:t>
                      </ns5:r>
                      <ns5:r>
                        <ns5:t>k</ns5:t>
                      </ns5:r>
                    </ns5:sub>
                  </ns5:sSub>
                </ns5:e>
              </ns5:d>
            </ns5:e>
          </ns5:d>
          <ns5:r>
            <ns5:t>  </ns5:t>
          </ns5:r>
          <ns5:r>
            <ns5:rPr>
              <ns5:sty ns5:val="p"/>
            </ns5:rPr>
            <ns5:t>(</ns5:t>
          </ns5:r>
          <ns5:r>
            <ns5:t>3.8</ns5:t>
          </ns5:r>
          <ns5:r>
            <ns5:rPr>
              <ns5:sty ns5:val="p"/>
            </ns5:rPr>
            <ns5:t>)</ns5:t>
          </ns5:r>
        </ns5:oMath>
      </ns5:oMathPara>
      <w:bookmarkEnd w:id="127"/>
    </w:p>
    <w:p>
      <w:pPr>
        <w:pStyle w:val="FirstParagraph"/>
        <w:spacing w:line="360" w:lineRule="auto"/>
        <w:jc w:val="both"/>
      </w:pPr>
      <w:r>
        <w:t xml:space="preserve">donde</w:t>
      </w:r>
      <w:r>
        <w:t xml:space="preserve"> </w:t>
      </w:r>
      <ns5:oMath>
        <ns5:r>
          <ns5:t>f</ns5:t>
        </ns5:r>
        <ns5:r>
          <ns5:rPr>
            <ns5:sty ns5:val="p"/>
          </ns5:rPr>
          <ns5:t>(</ns5:t>
        </ns5:r>
        <ns5:r>
          <ns5:rPr>
            <ns5:sty ns5:val="p"/>
          </ns5:rPr>
          <ns5:t>⋅</ns5:t>
        </ns5:r>
        <ns5:r>
          <ns5:rPr>
            <ns5:sty ns5:val="p"/>
          </ns5:rPr>
          <ns5:t>)</ns5:t>
        </ns5:r>
      </ns5:oMath>
      <w:r>
        <w:t xml:space="preserve"> </w:t>
      </w:r>
      <w:r>
        <w:t xml:space="preserve">devuelve la probabilidad de la clase positiva.</w:t>
      </w:r>
      <w:r>
        <w:t xml:space="preserve"> </w:t>
      </w:r>
      <w:r>
        <w:t xml:space="preserve">Dirección:</w:t>
      </w:r>
      <w:r>
        <w:t xml:space="preserve"> </w:t>
      </w:r>
      <ns5:oMath>
        <ns5:r>
          <ns5:rPr>
            <ns5:sty ns5:val="p"/>
          </ns5:rPr>
          <ns5:t>↑</ns5:t>
        </ns5:r>
      </ns5:oMath>
      <w:r>
        <w:t xml:space="preserve">. Implementación:</w:t>
      </w:r>
      <w:r>
        <w:t xml:space="preserve"> </w:t>
      </w:r>
      <w:r>
        <w:rPr>
          <w:rStyle w:val="VerbatimChar"/>
        </w:rPr>
        <w:t xml:space="preserve">src/metrics/faithfulness.py</w:t>
      </w:r>
      <w:r>
        <w:t xml:space="preserve">.</w:t>
      </w:r>
    </w:p>
    <w:bookmarkEnd w:id="128"/>
    <w:bookmarkStart w:id="129" w:name="coste-computacional"/>
    <w:p>
      <w:pPr>
        <w:pStyle w:val="Ttulo3"/>
        <w:spacing w:line="360" w:lineRule="auto"/>
        <w:jc w:val="both"/>
      </w:pPr>
      <w:r>
        <w:t xml:space="preserve">3.5.5 </w:t>
      </w:r>
      <w:r>
        <w:t xml:space="preserve">Coste computacional</w:t>
      </w:r>
    </w:p>
    <w:p>
      <w:pPr>
        <w:pStyle w:val="FirstParagraph"/>
        <w:spacing w:line="360" w:lineRule="auto"/>
        <w:jc w:val="both"/>
      </w:pPr>
      <w:r>
        <w:t xml:space="preserve">El coste (</w:t>
      </w:r>
      <ns5:oMath>
        <ns5:r>
          <ns5:t>C</ns5:t>
        </ns5:r>
      </ns5:oMath>
      <w:r>
        <w:t xml:space="preserve">) es el tiempo de pared en milisegundos por instancia explicada,</w:t>
      </w:r>
      <w:r>
        <w:t xml:space="preserve"> </w:t>
      </w:r>
      <w:r>
        <w:t xml:space="preserve">registrado en</w:t>
      </w:r>
      <w:r>
        <w:t xml:space="preserve"> </w:t>
      </w:r>
      <w:r>
        <w:rPr>
          <w:rStyle w:val="VerbatimChar"/>
        </w:rPr>
        <w:t xml:space="preserve">ExplainerWrapper</w:t>
      </w:r>
      <w:r>
        <w:t xml:space="preserve"> </w:t>
      </w:r>
      <w:r>
        <w:t xml:space="preserve">bajo restricciones de recursos gestionadas por</w:t>
      </w:r>
      <w:r>
        <w:t xml:space="preserve"> </w:t>
      </w:r>
      <w:r>
        <w:rPr>
          <w:rStyle w:val="VerbatimChar"/>
        </w:rPr>
        <w:t xml:space="preserve">ResourceGuard</w:t>
      </w:r>
      <w:r>
        <w:t xml:space="preserve"> </w:t>
      </w:r>
      <w:r>
        <w:t xml:space="preserve">(especificaciones en el Apéndice A). Dirección:</w:t>
      </w:r>
      <w:r>
        <w:t xml:space="preserve"> </w:t>
      </w:r>
      <ns5:oMath>
        <ns5:r>
          <ns5:rPr>
            <ns5:sty ns5:val="p"/>
          </ns5:rPr>
          <ns5:t>↓</ns5:t>
        </ns5:r>
      </ns5:oMath>
      <w:r>
        <w:t xml:space="preserve">.</w:t>
      </w:r>
    </w:p>
    <w:bookmarkEnd w:id="129"/>
    <w:bookmarkStart w:id="131" w:name="resumen-de-métricas-primarias"/>
    <w:p>
      <w:pPr>
        <w:pStyle w:val="Ttulo3"/>
        <w:spacing w:line="360" w:lineRule="auto"/>
        <w:jc w:val="both"/>
      </w:pPr>
      <w:r>
        <w:t xml:space="preserve">3.5.6 </w:t>
      </w:r>
      <w:r>
        <w:t xml:space="preserve">Resumen de métricas primarias</w:t>
      </w:r>
    </w:p>
    <w:p>
      <w:pPr>
        <w:pStyle w:val="FirstParagraph"/>
        <w:spacing w:line="360" w:lineRule="auto"/>
        <w:jc w:val="both"/>
      </w:pPr>
      <w:r>
        <w:t xml:space="preserve">La</w:t>
      </w:r>
      <w:r>
        <w:t xml:space="preserve"> </w:t>
      </w:r>
      <w:hyperlink w:anchor="tbl-metrics">
        <w:r>
          <w:rPr>
            <w:rStyle w:val="Hipervnculo"/>
          </w:rPr>
          <w:t xml:space="preserve">Tabla 3.2</w:t>
        </w:r>
      </w:hyperlink>
      <w:r>
        <w:t xml:space="preserve"> </w:t>
      </w:r>
      <w:r>
        <w:t xml:space="preserve">reúne las cinco métricas con su símbolo, su unidad y su</w:t>
      </w:r>
      <w:r>
        <w:t xml:space="preserve"> </w:t>
      </w:r>
      <w:r>
        <w:t xml:space="preserve">dirección.</w:t>
      </w:r>
    </w:p>
    <w:tbl>
      <w:tblPr>
        <w:tblStyle w:val="Table"/>
        <w:tblW w:type="pct" w:w="5000"/>
        <w:jc w:val="center"/>
        <w:tblLayout w:type="fixed"/>
        <w:tblLook w:firstRow="0" w:lastRow="0" w:firstColumn="0" w:lastColumn="0" w:noHBand="0" w:noVBand="0" w:val="0000"/>
      </w:tblPr>
      <w:tblGrid>
        <w:gridCol w:w="7920"/>
      </w:tblGrid>
      <w:tr>
        <w:tc>
          <w:tcPr/>
          <w:bookmarkStart w:id="130" w:name="tbl-metrics"/>
          <w:p>
            <w:pPr>
              <w:pStyle w:val="ImageCaption"/>
              <w:spacing w:before="200" w:line="360" w:lineRule="auto"/>
              <w:jc w:val="center"/>
            </w:pPr>
            <w:r>
              <w:t xml:space="preserve">Tabla 3.2: Métricas primarias del benchmark con unidades y direcciones.</w:t>
            </w:r>
            <w:r>
              <w:t xml:space="preserve"> </w:t>
            </w:r>
          </w:p>
          <w:tbl>
            <w:tblPr>
              <w:tblStyle w:val="Table"/>
              <w:tblW w:type="auto" w:w="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firstRow="1" w:lastRow="0" w:firstColumn="0" w:lastColumn="0" w:noHBand="0" w:noVBand="0" w:val="0020"/>
            </w:tblPr>
            <w:tblGrid>
              <w:gridCol w:w="1980"/>
              <w:gridCol w:w="1980"/>
              <w:gridCol w:w="1980"/>
              <w:gridCol w:w="1980"/>
            </w:tblGrid>
            <w:tr>
              <w:trPr>
                <w:tblHeader w:val="on"/>
              </w:trPr>
              <w:tc>
                <w:tcPr/>
                <w:p>
                  <w:pPr>
                    <w:pStyle w:val="Compact"/>
                    <w:jc w:val="both"/>
                    <w:jc w:val="center"/>
                    <w:spacing w:line="360" w:lineRule="auto"/>
                  </w:pPr>
                  <w:r>
                    <w:rPr>
                      <w:bCs/>
                      <w:b/>
                    </w:rPr>
                    <w:t xml:space="preserve">Métrica</w:t>
                  </w:r>
                </w:p>
              </w:tc>
              <w:tc>
                <w:tcPr/>
                <w:p>
                  <w:pPr>
                    <w:pStyle w:val="Compact"/>
                    <w:jc w:val="both"/>
                    <w:jc w:val="center"/>
                    <w:spacing w:line="360" w:lineRule="auto"/>
                  </w:pPr>
                  <w:r>
                    <w:rPr>
                      <w:bCs/>
                      <w:b/>
                    </w:rPr>
                    <w:t xml:space="preserve">Símbolo</w:t>
                  </w:r>
                </w:p>
              </w:tc>
              <w:tc>
                <w:tcPr/>
                <w:p>
                  <w:pPr>
                    <w:pStyle w:val="Compact"/>
                    <w:jc w:val="both"/>
                    <w:jc w:val="center"/>
                    <w:spacing w:line="360" w:lineRule="auto"/>
                  </w:pPr>
                  <w:r>
                    <w:rPr>
                      <w:bCs/>
                      <w:b/>
                    </w:rPr>
                    <w:t xml:space="preserve">Unidad</w:t>
                  </w:r>
                </w:p>
              </w:tc>
              <w:tc>
                <w:tcPr/>
                <w:p>
                  <w:pPr>
                    <w:pStyle w:val="Compact"/>
                    <w:jc w:val="both"/>
                    <w:jc w:val="center"/>
                    <w:spacing w:line="360" w:lineRule="auto"/>
                  </w:pPr>
                  <w:r>
                    <w:rPr>
                      <w:bCs/>
                      <w:b/>
                    </w:rPr>
                    <w:t xml:space="preserve">Dirección</w:t>
                  </w:r>
                </w:p>
              </w:tc>
            </w:tr>
            <w:tr>
              <w:tc>
                <w:tcPr/>
                <w:p>
                  <w:pPr>
                    <w:pStyle w:val="Compact"/>
                    <w:jc w:val="both"/>
                    <w:jc w:val="center"/>
                    <w:spacing w:line="360" w:lineRule="auto"/>
                  </w:pPr>
                  <w:r>
                    <w:t xml:space="preserve">Fidelidad</w:t>
                  </w:r>
                </w:p>
              </w:tc>
              <w:tc>
                <w:tcPr/>
                <w:p>
                  <w:pPr>
                    <w:pStyle w:val="Compact"/>
                    <w:jc w:val="both"/>
                    <w:jc w:val="center"/>
                    <w:spacing w:line="360" w:lineRule="auto"/>
                  </w:pPr>
                  <ns5:oMath>
                    <ns5:r>
                      <ns5:t>F</ns5:t>
                    </ns5:r>
                  </ns5:oMath>
                  <w:r>
                    <w:t xml:space="preserve">​</w:t>
                  </w:r>
                </w:p>
              </w:tc>
              <w:tc>
                <w:tcPr/>
                <w:p>
                  <w:pPr>
                    <w:pStyle w:val="Compact"/>
                    <w:jc w:val="both"/>
                    <w:jc w:val="center"/>
                    <w:spacing w:line="360" w:lineRule="auto"/>
                  </w:pPr>
                  <w:r>
                    <w:t xml:space="preserve">score</w:t>
                  </w:r>
                </w:p>
              </w:tc>
              <w:tc>
                <w:tcPr/>
                <w:p>
                  <w:pPr>
                    <w:pStyle w:val="Compact"/>
                    <w:jc w:val="both"/>
                    <w:jc w:val="center"/>
                    <w:spacing w:line="360" w:lineRule="auto"/>
                  </w:pPr>
                  <ns5:oMath>
                    <ns5:r>
                      <ns5:rPr>
                        <ns5:sty ns5:val="p"/>
                      </ns5:rPr>
                      <ns5:t>↑</ns5:t>
                    </ns5:r>
                  </ns5:oMath>
                  <w:r>
                    <w:t xml:space="preserve">​</w:t>
                  </w:r>
                </w:p>
              </w:tc>
            </w:tr>
            <w:tr>
              <w:tc>
                <w:tcPr/>
                <w:p>
                  <w:pPr>
                    <w:pStyle w:val="Compact"/>
                    <w:jc w:val="both"/>
                    <w:jc w:val="center"/>
                    <w:spacing w:line="360" w:lineRule="auto"/>
                  </w:pPr>
                  <w:r>
                    <w:t xml:space="preserve">Estabilidad</w:t>
                  </w:r>
                </w:p>
              </w:tc>
              <w:tc>
                <w:tcPr/>
                <w:p>
                  <w:pPr>
                    <w:pStyle w:val="Compact"/>
                    <w:jc w:val="both"/>
                    <w:jc w:val="center"/>
                    <w:spacing w:line="360" w:lineRule="auto"/>
                  </w:pPr>
                  <ns5:oMath>
                    <ns5:r>
                      <ns5:t>S</ns5:t>
                    </ns5:r>
                  </ns5:oMath>
                  <w:r>
                    <w:t xml:space="preserve">​</w:t>
                  </w:r>
                </w:p>
              </w:tc>
              <w:tc>
                <w:tcPr/>
                <w:p>
                  <w:pPr>
                    <w:pStyle w:val="Compact"/>
                    <w:jc w:val="both"/>
                    <w:jc w:val="center"/>
                    <w:spacing w:line="360" w:lineRule="auto"/>
                  </w:pPr>
                  <w:r>
                    <w:t xml:space="preserve">similitud coseno</w:t>
                  </w:r>
                </w:p>
              </w:tc>
              <w:tc>
                <w:tcPr/>
                <w:p>
                  <w:pPr>
                    <w:pStyle w:val="Compact"/>
                    <w:jc w:val="both"/>
                    <w:jc w:val="center"/>
                    <w:spacing w:line="360" w:lineRule="auto"/>
                  </w:pPr>
                  <ns5:oMath>
                    <ns5:r>
                      <ns5:rPr>
                        <ns5:sty ns5:val="p"/>
                      </ns5:rPr>
                      <ns5:t>↑</ns5:t>
                    </ns5:r>
                  </ns5:oMath>
                  <w:r>
                    <w:t xml:space="preserve">​</w:t>
                  </w:r>
                </w:p>
              </w:tc>
            </w:tr>
            <w:tr>
              <w:tc>
                <w:tcPr/>
                <w:p>
                  <w:pPr>
                    <w:pStyle w:val="Compact"/>
                    <w:jc w:val="both"/>
                    <w:jc w:val="center"/>
                    <w:spacing w:line="360" w:lineRule="auto"/>
                  </w:pPr>
                  <w:r>
                    <w:t xml:space="preserve">Parsimonia</w:t>
                  </w:r>
                </w:p>
              </w:tc>
              <w:tc>
                <w:tcPr/>
                <w:p>
                  <w:pPr>
                    <w:pStyle w:val="Compact"/>
                    <w:jc w:val="both"/>
                    <w:jc w:val="center"/>
                    <w:spacing w:line="360" w:lineRule="auto"/>
                  </w:pPr>
                  <ns5:oMath>
                    <ns5:r>
                      <ns5:t>P</ns5:t>
                    </ns5:r>
                  </ns5:oMath>
                  <w:r>
                    <w:t xml:space="preserve">​</w:t>
                  </w:r>
                </w:p>
              </w:tc>
              <w:tc>
                <w:tcPr/>
                <w:p>
                  <w:pPr>
                    <w:pStyle w:val="Compact"/>
                    <w:jc w:val="both"/>
                    <w:jc w:val="center"/>
                    <w:spacing w:line="360" w:lineRule="auto"/>
                  </w:pPr>
                  <w:r>
                    <w:t xml:space="preserve">proporción activa</w:t>
                  </w:r>
                </w:p>
              </w:tc>
              <w:tc>
                <w:tcPr/>
                <w:p>
                  <w:pPr>
                    <w:pStyle w:val="Compact"/>
                    <w:jc w:val="both"/>
                    <w:jc w:val="center"/>
                    <w:spacing w:line="360" w:lineRule="auto"/>
                  </w:pPr>
                  <ns5:oMath>
                    <ns5:r>
                      <ns5:rPr>
                        <ns5:sty ns5:val="p"/>
                      </ns5:rPr>
                      <ns5:t>↓</ns5:t>
                    </ns5:r>
                  </ns5:oMath>
                  <w:r>
                    <w:t xml:space="preserve">​</w:t>
                  </w:r>
                </w:p>
              </w:tc>
            </w:tr>
            <w:tr>
              <w:tc>
                <w:tcPr/>
                <w:p>
                  <w:pPr>
                    <w:pStyle w:val="Compact"/>
                    <w:jc w:val="both"/>
                    <w:jc w:val="center"/>
                    <w:spacing w:line="360" w:lineRule="auto"/>
                  </w:pPr>
                  <w:r>
                    <w:t xml:space="preserve">Brecha de fidelidad</w:t>
                  </w:r>
                </w:p>
              </w:tc>
              <w:tc>
                <w:tcPr/>
                <w:p>
                  <w:pPr>
                    <w:pStyle w:val="Compact"/>
                    <w:jc w:val="both"/>
                    <w:jc w:val="center"/>
                    <w:spacing w:line="360" w:lineRule="auto"/>
                  </w:pPr>
                  <ns5:oMath>
                    <ns5:sSub>
                      <ns5:e>
                        <ns5:r>
                          <ns5:rPr>
                            <ns5:sty ns5:val="p"/>
                          </ns5:rPr>
                          <ns5:t>Δ</ns5:t>
                        </ns5:r>
                      </ns5:e>
                      <ns5:sub>
                        <ns5:r>
                          <ns5:t>k</ns5:t>
                        </ns5:r>
                      </ns5:sub>
                    </ns5:sSub>
                  </ns5:oMath>
                  <w:r>
                    <w:t xml:space="preserve">​</w:t>
                  </w:r>
                </w:p>
              </w:tc>
              <w:tc>
                <w:tcPr/>
                <w:p>
                  <w:pPr>
                    <w:pStyle w:val="Compact"/>
                    <w:jc w:val="both"/>
                    <w:jc w:val="center"/>
                    <w:spacing w:line="360" w:lineRule="auto"/>
                  </w:pPr>
                  <w:r>
                    <w:t xml:space="preserve">score</w:t>
                  </w:r>
                </w:p>
              </w:tc>
              <w:tc>
                <w:tcPr/>
                <w:p>
                  <w:pPr>
                    <w:pStyle w:val="Compact"/>
                    <w:jc w:val="both"/>
                    <w:jc w:val="center"/>
                    <w:spacing w:line="360" w:lineRule="auto"/>
                  </w:pPr>
                  <ns5:oMath>
                    <ns5:r>
                      <ns5:rPr>
                        <ns5:sty ns5:val="p"/>
                      </ns5:rPr>
                      <ns5:t>↑</ns5:t>
                    </ns5:r>
                  </ns5:oMath>
                  <w:r>
                    <w:t xml:space="preserve">​</w:t>
                  </w:r>
                </w:p>
              </w:tc>
            </w:tr>
            <w:tr>
              <w:tc>
                <w:tcPr/>
                <w:p>
                  <w:pPr>
                    <w:pStyle w:val="Compact"/>
                    <w:jc w:val="both"/>
                    <w:jc w:val="center"/>
                    <w:spacing w:line="360" w:lineRule="auto"/>
                  </w:pPr>
                  <w:r>
                    <w:t xml:space="preserve">Coste computacional</w:t>
                  </w:r>
                </w:p>
              </w:tc>
              <w:tc>
                <w:tcPr/>
                <w:p>
                  <w:pPr>
                    <w:pStyle w:val="Compact"/>
                    <w:jc w:val="both"/>
                    <w:jc w:val="center"/>
                    <w:spacing w:line="360" w:lineRule="auto"/>
                  </w:pPr>
                  <ns5:oMath>
                    <ns5:r>
                      <ns5:t>C</ns5:t>
                    </ns5:r>
                  </ns5:oMath>
                  <w:r>
                    <w:t xml:space="preserve">​</w:t>
                  </w:r>
                </w:p>
              </w:tc>
              <w:tc>
                <w:tcPr/>
                <w:p>
                  <w:pPr>
                    <w:pStyle w:val="Compact"/>
                    <w:jc w:val="both"/>
                    <w:jc w:val="center"/>
                    <w:spacing w:line="360" w:lineRule="auto"/>
                  </w:pPr>
                  <w:r>
                    <w:t xml:space="preserve">ms/instancia</w:t>
                  </w:r>
                </w:p>
              </w:tc>
              <w:tc>
                <w:tcPr/>
                <w:p>
                  <w:pPr>
                    <w:pStyle w:val="Compact"/>
                    <w:jc w:val="both"/>
                    <w:jc w:val="center"/>
                    <w:spacing w:line="360" w:lineRule="auto"/>
                  </w:pPr>
                  <ns5:oMath>
                    <ns5:r>
                      <ns5:rPr>
                        <ns5:sty ns5:val="p"/>
                      </ns5:rPr>
                      <ns5:t>↓</ns5:t>
                    </ns5:r>
                  </ns5:oMath>
                  <w:r>
                    <w:t xml:space="preserve">​</w:t>
                  </w:r>
                </w:p>
              </w:tc>
            </w:tr>
          </w:tbl>
          <w:bookmarkEnd w:id="130"/>
          <w:p>
            <w:pPr>
              <w:spacing w:line="360" w:lineRule="auto"/>
              <w:jc w:val="both"/>
            </w:pPr>
          </w:p>
        </w:tc>
      </w:tr>
    </w:tbl>
    <w:bookmarkEnd w:id="131"/>
    <w:bookmarkEnd w:id="132"/>
    <w:bookmarkStart w:id="142" w:name="sec-fom7"/>
    <w:p>
      <w:pPr>
        <w:pStyle w:val="Ttulo2"/>
        <w:spacing w:line="360" w:lineRule="auto"/>
        <w:jc w:val="both"/>
      </w:pPr>
      <w:r>
        <w:t xml:space="preserve">3.6 </w:t>
      </w:r>
      <w:r>
        <w:t xml:space="preserve">Protocolo de operación FOM-7</w:t>
      </w:r>
    </w:p>
    <w:p>
      <w:pPr>
        <w:pStyle w:val="FirstParagraph"/>
        <w:spacing w:line="360" w:lineRule="auto"/>
        <w:jc w:val="both"/>
      </w:pPr>
      <w:r>
        <w:t xml:space="preserve">FOM-7 (</w:t>
      </w:r>
      <w:r>
        <w:rPr>
          <w:i/>
          <w:iCs/>
        </w:rPr>
        <w:t xml:space="preserve">Framework Operation Method</w:t>
      </w:r>
      <w:r>
        <w:t xml:space="preserve">, siete puertas) es la contribución</w:t>
      </w:r>
      <w:r>
        <w:t xml:space="preserve"> </w:t>
      </w:r>
      <w:r>
        <w:t xml:space="preserve">metodológica central de este estudio. Fue derivado de: (i) los requisitos de</w:t>
      </w:r>
      <w:r>
        <w:t xml:space="preserve"> </w:t>
      </w:r>
      <w:r>
        <w:t xml:space="preserve">benchmarking reproducible documentados en la literatura</w:t>
      </w:r>
      <w:r>
        <w:t xml:space="preserve"> </w:t>
      </w:r>
      <w:r>
        <w:t xml:space="preserve">(Canha et al. 2025; Agarwal et al. 2022; Hedström et al. 2023)</w:t>
      </w:r>
      <w:r>
        <w:t xml:space="preserve">, y (ii) los modos de fallo observados en EXP1:</w:t>
      </w:r>
      <w:r>
        <w:t xml:space="preserve"> </w:t>
      </w:r>
      <w:r>
        <w:t xml:space="preserve">deriva de protocolo, fallos de integridad de artefactos y exportaciones de</w:t>
      </w:r>
      <w:r>
        <w:t xml:space="preserve"> </w:t>
      </w:r>
      <w:r>
        <w:t xml:space="preserve">análisis no equivalentes entre ejecuciones. Las siete puertas son</w:t>
      </w:r>
      <w:r>
        <w:t xml:space="preserve"> </w:t>
      </w:r>
      <w:r>
        <w:rPr>
          <w:b/>
          <w:bCs/>
        </w:rPr>
        <w:t xml:space="preserve">secuenciales</w:t>
      </w:r>
      <w:r>
        <w:t xml:space="preserve">: cada puerta debe ser satisfecha antes de proceder a la</w:t>
      </w:r>
      <w:r>
        <w:t xml:space="preserve"> </w:t>
      </w:r>
      <w:r>
        <w:t xml:space="preserve">siguiente, y un fallo en cualquier puerta degrada los outputs afectados a</w:t>
      </w:r>
      <w:r>
        <w:t xml:space="preserve"> </w:t>
      </w:r>
      <w:r>
        <w:t xml:space="preserve">estatus descriptivo.</w:t>
      </w:r>
    </w:p>
    <w:p>
      <w:pPr>
        <w:pStyle w:val="Textoindependiente"/>
        <w:spacing w:line="360" w:lineRule="auto"/>
        <w:jc w:val="both"/>
      </w:pPr>
      <w:r>
        <w:t xml:space="preserve">El protocolo responde a un problema que la</w:t>
      </w:r>
      <w:r>
        <w:t xml:space="preserve"> </w:t>
      </w:r>
      <w:hyperlink w:anchor="fig-cadena-evidencia">
        <w:r>
          <w:rPr>
            <w:rStyle w:val="Hipervnculo"/>
          </w:rPr>
          <w:t xml:space="preserve">Figura 3.2</w:t>
        </w:r>
      </w:hyperlink>
      <w:r>
        <w:t xml:space="preserve"> </w:t>
      </w:r>
      <w:r>
        <w:t xml:space="preserve">hace explícito:</w:t>
      </w:r>
      <w:r>
        <w:t xml:space="preserve"> </w:t>
      </w:r>
      <w:r>
        <w:t xml:space="preserve">entre la salida de un explicador y una afirmación publicada median varios</w:t>
      </w:r>
      <w:r>
        <w:t xml:space="preserve"> </w:t>
      </w:r>
      <w:r>
        <w:t xml:space="preserve">eslabones, y cada uno tiene un modo de fallo característico.</w:t>
      </w:r>
    </w:p>
    <w:tbl>
      <w:tblPr>
        <w:tblStyle w:val="Table"/>
        <w:tblW w:type="pct" w:w="5000"/>
        <w:jc w:val="center"/>
        <w:tblLayout w:type="fixed"/>
        <w:tblLook w:firstRow="0" w:lastRow="0" w:firstColumn="0" w:lastColumn="0" w:noHBand="0" w:noVBand="0" w:val="0000"/>
      </w:tblPr>
      <w:tblGrid>
        <w:gridCol w:w="7920"/>
      </w:tblGrid>
      <w:tr>
        <w:tc>
          <w:tcPr/>
          <w:bookmarkStart w:id="136" w:name="fig-cadena-evidencia"/>
          <w:p>
            <w:pPr>
              <w:pStyle w:val="Compact"/>
              <w:jc w:val="center"/>
              <w:spacing w:line="360" w:lineRule="auto"/>
            </w:pPr>
            <w:r>
              <w:drawing>
                <ns1:inline>
                  <ns1:extent cx="5228414" cy="2306608"/>
                  <ns1:effectExtent b="0" l="0" r="0" t="0"/>
                  <ns1:docPr descr="" title="" id="134" name="Picture"/>
                  <ns2:graphic>
                    <ns2:graphicData uri="http://schemas.openxmlformats.org/drawingml/2006/picture">
                      <ns3:pic>
                        <ns3:nvPicPr>
                          <ns3:cNvPr descr="assets/figures/fig_d7_cadena_evidencia_es.png" id="135" name="Picture"/>
                          <ns3:cNvPicPr>
                            <ns2:picLocks noChangeArrowheads="1" noChangeAspect="1"/>
                          </ns3:cNvPicPr>
                        </ns3:nvPicPr>
                        <ns3:blipFill>
                          <ns2:blip ns4:embed="rId133"/>
                          <ns2:stretch>
                            <ns2:fillRect/>
                          </ns2:stretch>
                        </ns3:blipFill>
                        <ns3:spPr bwMode="auto">
                          <ns2:xfrm>
                            <ns2:off x="0" y="0"/>
                            <ns2:ext cx="5228414" cy="2306608"/>
                          </ns2:xfrm>
                          <ns2:prstGeom prst="rect">
                            <ns2:avLst/>
                          </ns2:prstGeom>
                          <ns2:noFill/>
                          <ns2:ln w="9525">
                            <ns2:noFill/>
                            <ns2:headEnd/>
                            <ns2:tailEnd/>
                          </ns2:ln>
                        </ns3:spPr>
                      </ns3:pic>
                    </ns2:graphicData>
                  </ns2:graphic>
                </ns1:inline>
              </w:drawing>
            </w:r>
          </w:p>
          <w:p>
            <w:pPr>
              <w:pStyle w:val="ImageCaption"/>
              <w:spacing w:before="200" w:line="360" w:lineRule="auto"/>
              <w:jc w:val="center"/>
            </w:pPr>
            <w:r>
              <w:t xml:space="preserve">Figura 3.2: Cadena de evidencia de una afirmación sobre explicaciones y fallo típico</w:t>
            </w:r>
            <w:r>
              <w:t xml:space="preserve"> </w:t>
            </w:r>
            <w:r>
              <w:t xml:space="preserve">de cada eslabón. FOM-7 controla cada eslabón antes de admitir una conclusión.</w:t>
            </w:r>
            <w:r>
              <w:t xml:space="preserve"> </w:t>
            </w:r>
            <w:r>
              <w:t xml:space="preserve">Fuente: elaboración propia.</w:t>
            </w:r>
          </w:p>
          <w:bookmarkEnd w:id="136"/>
        </w:tc>
      </w:tr>
    </w:tbl>
    <w:p>
      <w:pPr>
        <w:pStyle w:val="Textoindependiente"/>
        <w:spacing w:line="360" w:lineRule="auto"/>
        <w:jc w:val="both"/>
      </w:pPr>
      <w:r>
        <w:rPr>
          <w:b/>
          <w:bCs/>
        </w:rPr>
        <w:t xml:space="preserve">Puerta 1 — Congelación del protocolo.</w:t>
      </w:r>
      <w:r>
        <w:t xml:space="preserve"> </w:t>
      </w:r>
      <w:r>
        <w:t xml:space="preserve">Bloqueo de versiones de código,</w:t>
      </w:r>
      <w:r>
        <w:t xml:space="preserve"> </w:t>
      </w:r>
      <w:r>
        <w:t xml:space="preserve">archivos de configuración YAML, factores del diseño y plan de inferencia</w:t>
      </w:r>
      <w:r>
        <w:t xml:space="preserve"> </w:t>
      </w:r>
      <w:r>
        <w:t xml:space="preserve">estadística</w:t>
      </w:r>
      <w:r>
        <w:t xml:space="preserve"> </w:t>
      </w:r>
      <w:r>
        <w:rPr>
          <w:i/>
          <w:iCs/>
        </w:rPr>
        <w:t xml:space="preserve">antes</w:t>
      </w:r>
      <w:r>
        <w:t xml:space="preserve"> </w:t>
      </w:r>
      <w:r>
        <w:t xml:space="preserve">de iniciar cualquier ejecución confirmativa. Formalizado</w:t>
      </w:r>
      <w:r>
        <w:t xml:space="preserve"> </w:t>
      </w:r>
      <w:r>
        <w:t xml:space="preserve">mediante</w:t>
      </w:r>
      <w:r>
        <w:t xml:space="preserve"> </w:t>
      </w:r>
      <w:r>
        <w:rPr>
          <w:rStyle w:val="VerbatimChar"/>
        </w:rPr>
        <w:t xml:space="preserve">configs/experiments/exp2_scaled/manifest.yaml</w:t>
      </w:r>
      <w:r>
        <w:t xml:space="preserve">.</w:t>
      </w:r>
    </w:p>
    <w:p>
      <w:pPr>
        <w:pStyle w:val="Textoindependiente"/>
        <w:spacing w:line="360" w:lineRule="auto"/>
        <w:jc w:val="both"/>
      </w:pPr>
      <w:r>
        <w:rPr>
          <w:b/>
          <w:bCs/>
        </w:rPr>
        <w:t xml:space="preserve">Puerta 2 — Ejecución por lotes controlada.</w:t>
      </w:r>
      <w:r>
        <w:t xml:space="preserve"> </w:t>
      </w:r>
      <w:r>
        <w:t xml:space="preserve">Ejecución de las 300 celdas</w:t>
      </w:r>
      <w:r>
        <w:t xml:space="preserve"> </w:t>
      </w:r>
      <w:r>
        <w:t xml:space="preserve">desde el manifiesto declarativo, con semillas fijas y registro del contexto</w:t>
      </w:r>
      <w:r>
        <w:t xml:space="preserve"> </w:t>
      </w:r>
      <w:r>
        <w:t xml:space="preserve">de tiempo de ejecución. No se permiten modificaciones ad-hoc de configuración.</w:t>
      </w:r>
    </w:p>
    <w:p>
      <w:pPr>
        <w:pStyle w:val="Textoindependiente"/>
        <w:spacing w:line="360" w:lineRule="auto"/>
        <w:jc w:val="both"/>
      </w:pPr>
      <w:r>
        <w:rPr>
          <w:b/>
          <w:bCs/>
        </w:rPr>
        <w:t xml:space="preserve">Puerta 3 — Auditoría de integridad de artefactos.</w:t>
      </w:r>
      <w:r>
        <w:t xml:space="preserve"> </w:t>
      </w:r>
      <w:r>
        <w:t xml:space="preserve">Inspección determinista</w:t>
      </w:r>
      <w:r>
        <w:t xml:space="preserve"> </w:t>
      </w:r>
      <w:r>
        <w:t xml:space="preserve">de cada</w:t>
      </w:r>
      <w:r>
        <w:t xml:space="preserve"> </w:t>
      </w:r>
      <w:r>
        <w:rPr>
          <w:rStyle w:val="VerbatimChar"/>
        </w:rPr>
        <w:t xml:space="preserve">results.json</w:t>
      </w:r>
      <w:r>
        <w:t xml:space="preserve">: detección y exclusión de archivos vacíos, con esquema</w:t>
      </w:r>
      <w:r>
        <w:t xml:space="preserve"> </w:t>
      </w:r>
      <w:r>
        <w:t xml:space="preserve">incompatible o con valores numéricos inválidos. Ningún artefacto excluido se</w:t>
      </w:r>
      <w:r>
        <w:t xml:space="preserve"> </w:t>
      </w:r>
      <w:r>
        <w:t xml:space="preserve">reemplaza mediante reconstrucción sintética. Esta decisión descarta</w:t>
      </w:r>
      <w:r>
        <w:t xml:space="preserve"> </w:t>
      </w:r>
      <w:r>
        <w:t xml:space="preserve">deliberadamente las estrategias de imputación habituales en presencia de datos</w:t>
      </w:r>
      <w:r>
        <w:t xml:space="preserve"> </w:t>
      </w:r>
      <w:r>
        <w:t xml:space="preserve">faltantes</w:t>
      </w:r>
      <w:r>
        <w:t xml:space="preserve"> </w:t>
      </w:r>
      <w:r>
        <w:t xml:space="preserve">(Adhikari 2022)</w:t>
      </w:r>
      <w:r>
        <w:t xml:space="preserve">: imputar una métrica de calidad equivaldría a fabricar</w:t>
      </w:r>
      <w:r>
        <w:t xml:space="preserve"> </w:t>
      </w:r>
      <w:r>
        <w:t xml:space="preserve">evidencia sobre el comportamiento de un explicador que no llegó a ejecutarse, de</w:t>
      </w:r>
      <w:r>
        <w:t xml:space="preserve"> </w:t>
      </w:r>
      <w:r>
        <w:t xml:space="preserve">modo que la cobertura reducida se declara y se cuantifica (Sección</w:t>
      </w:r>
      <w:r>
        <w:t xml:space="preserve"> </w:t>
      </w:r>
      <w:hyperlink w:anchor="sec-cobertura">
        <w:r>
          <w:rPr>
            <w:rStyle w:val="Hipervnculo"/>
          </w:rPr>
          <w:t xml:space="preserve">3.7</w:t>
        </w:r>
      </w:hyperlink>
      <w:r>
        <w:t xml:space="preserve">) en lugar</w:t>
      </w:r>
      <w:r>
        <w:t xml:space="preserve"> </w:t>
      </w:r>
      <w:r>
        <w:t xml:space="preserve">de completarse.</w:t>
      </w:r>
    </w:p>
    <w:p>
      <w:pPr>
        <w:pStyle w:val="Textoindependiente"/>
        <w:spacing w:line="360" w:lineRule="auto"/>
        <w:jc w:val="both"/>
      </w:pPr>
      <w:r>
        <w:rPr>
          <w:b/>
          <w:bCs/>
        </w:rPr>
        <w:t xml:space="preserve">Puerta 4 — Armonización a tablas listas para el análisis.</w:t>
      </w:r>
      <w:r>
        <w:t xml:space="preserve"> </w:t>
      </w:r>
      <w:r>
        <w:t xml:space="preserve">Estandarización</w:t>
      </w:r>
      <w:r>
        <w:t xml:space="preserve"> </w:t>
      </w:r>
      <w:r>
        <w:t xml:space="preserve">de claves y campos de métricas: las diferencias de esquema entre cohortes</w:t>
      </w:r>
      <w:r>
        <w:t xml:space="preserve"> </w:t>
      </w:r>
      <w:r>
        <w:t xml:space="preserve">se resuelven mediante un proceso auditado que genera tablas merge-seguras.</w:t>
      </w:r>
    </w:p>
    <w:p>
      <w:pPr>
        <w:pStyle w:val="Textoindependiente"/>
        <w:spacing w:line="360" w:lineRule="auto"/>
        <w:jc w:val="both"/>
      </w:pPr>
      <w:r>
        <w:rPr>
          <w:b/>
          <w:bCs/>
        </w:rPr>
        <w:t xml:space="preserve">Puerta 5 — Exportación inferencial.</w:t>
      </w:r>
      <w:r>
        <w:t xml:space="preserve"> </w:t>
      </w:r>
      <w:r>
        <w:t xml:space="preserve">Generación determinista de tablas</w:t>
      </w:r>
      <w:r>
        <w:t xml:space="preserve"> </w:t>
      </w:r>
      <w:r>
        <w:t xml:space="preserve">de test omnibus y pruebas pareadas exclusivamente desde entradas calificadas.</w:t>
      </w:r>
      <w:r>
        <w:t xml:space="preserve"> </w:t>
      </w:r>
      <w:r>
        <w:t xml:space="preserve">La superposición de recuperación para</w:t>
      </w:r>
      <w:r>
        <w:t xml:space="preserve"> </w:t>
      </w:r>
      <w:r>
        <w:rPr>
          <w:rStyle w:val="VerbatimChar"/>
        </w:rPr>
        <w:t xml:space="preserve">mlp_shap</w:t>
      </w:r>
      <w:r>
        <w:t xml:space="preserve">/</w:t>
      </w:r>
      <w:r>
        <w:rPr>
          <w:rStyle w:val="VerbatimChar"/>
        </w:rPr>
        <w:t xml:space="preserve">svm_shap</w:t>
      </w:r>
      <w:r>
        <w:t xml:space="preserve"> </w:t>
      </w:r>
      <w:r>
        <w:t xml:space="preserve">(</w:t>
      </w:r>
      <w:r>
        <w:rPr>
          <w:rStyle w:val="VerbatimChar"/>
        </w:rPr>
        <w:t xml:space="preserve">outputs/batch_results.csv</w:t>
      </w:r>
      <w:r>
        <w:t xml:space="preserve">) es la única excepción explícitamente</w:t>
      </w:r>
      <w:r>
        <w:t xml:space="preserve"> </w:t>
      </w:r>
      <w:r>
        <w:t xml:space="preserve">documentada.</w:t>
      </w:r>
    </w:p>
    <w:p>
      <w:pPr>
        <w:pStyle w:val="Textoindependiente"/>
        <w:spacing w:line="360" w:lineRule="auto"/>
        <w:jc w:val="both"/>
      </w:pPr>
      <w:r>
        <w:rPr>
          <w:b/>
          <w:bCs/>
        </w:rPr>
        <w:t xml:space="preserve">Puerta 6 — Perfilado de reproducibilidad.</w:t>
      </w:r>
      <w:r>
        <w:t xml:space="preserve"> </w:t>
      </w:r>
      <w:r>
        <w:t xml:space="preserve">Cuantificación de la dispersión</w:t>
      </w:r>
      <w:r>
        <w:t xml:space="preserve"> </w:t>
      </w:r>
      <w:r>
        <w:t xml:space="preserve">entre ejecuciones y del CV en configuraciones replicadas de EXP1. Fundamenta</w:t>
      </w:r>
      <w:r>
        <w:t xml:space="preserve"> </w:t>
      </w:r>
      <w:r>
        <w:t xml:space="preserve">la proposición P1 y establece el rango de variabilidad esperada para</w:t>
      </w:r>
      <w:r>
        <w:t xml:space="preserve"> </w:t>
      </w:r>
      <w:r>
        <w:t xml:space="preserve">interpretar los intervalos de confianza de EXP2.</w:t>
      </w:r>
    </w:p>
    <w:p>
      <w:pPr>
        <w:pStyle w:val="Textoindependiente"/>
        <w:spacing w:line="360" w:lineRule="auto"/>
        <w:jc w:val="both"/>
      </w:pPr>
      <w:r>
        <w:rPr>
          <w:b/>
          <w:bCs/>
        </w:rPr>
        <w:t xml:space="preserve">Puerta 7 — Reporte con trazabilidad de afirmaciones.</w:t>
      </w:r>
      <w:r>
        <w:t xml:space="preserve"> </w:t>
      </w:r>
      <w:r>
        <w:t xml:space="preserve">Las afirmaciones</w:t>
      </w:r>
      <w:r>
        <w:t xml:space="preserve"> </w:t>
      </w:r>
      <w:r>
        <w:t xml:space="preserve">inferenciales se emiten únicamente cuando todas las puertas previas están</w:t>
      </w:r>
      <w:r>
        <w:t xml:space="preserve"> </w:t>
      </w:r>
      <w:r>
        <w:t xml:space="preserve">satisfechas y son trazables a artefactos fuente específicos. Cualquier</w:t>
      </w:r>
      <w:r>
        <w:t xml:space="preserve"> </w:t>
      </w:r>
      <w:r>
        <w:t xml:space="preserve">afirmación no trazable se presenta como descriptiva.</w:t>
      </w:r>
    </w:p>
    <w:p>
      <w:pPr>
        <w:pStyle w:val="Textoindependiente"/>
        <w:spacing w:line="360" w:lineRule="auto"/>
        <w:jc w:val="both"/>
      </w:pPr>
      <w:r>
        <w:t xml:space="preserve">La</w:t>
      </w:r>
      <w:r>
        <w:t xml:space="preserve"> </w:t>
      </w:r>
      <w:hyperlink w:anchor="fig-fom7-traza">
        <w:r>
          <w:rPr>
            <w:rStyle w:val="Hipervnculo"/>
          </w:rPr>
          <w:t xml:space="preserve">Figura 3.3</w:t>
        </w:r>
      </w:hyperlink>
      <w:r>
        <w:t xml:space="preserve"> </w:t>
      </w:r>
      <w:r>
        <w:t xml:space="preserve">resume el flujo del protocolo: las siete puertas en orden, el</w:t>
      </w:r>
      <w:r>
        <w:t xml:space="preserve"> </w:t>
      </w:r>
      <w:r>
        <w:t xml:space="preserve">artefacto que produce cada una y, como ejemplo, la traza de una afirmación del</w:t>
      </w:r>
      <w:r>
        <w:t xml:space="preserve"> </w:t>
      </w:r>
      <w:r>
        <w:t xml:space="preserve">Capítulo 4 desde el diseño congelado hasta su reporte.</w:t>
      </w:r>
    </w:p>
    <w:tbl>
      <w:tblPr>
        <w:tblStyle w:val="Table"/>
        <w:tblW w:type="pct" w:w="5000"/>
        <w:jc w:val="center"/>
        <w:tblLayout w:type="fixed"/>
        <w:tblLook w:firstRow="0" w:lastRow="0" w:firstColumn="0" w:lastColumn="0" w:noHBand="0" w:noVBand="0" w:val="0000"/>
      </w:tblPr>
      <w:tblGrid>
        <w:gridCol w:w="7920"/>
      </w:tblGrid>
      <w:tr>
        <w:tc>
          <w:tcPr/>
          <w:bookmarkStart w:id="140" w:name="fig-fom7-traza"/>
          <w:p>
            <w:pPr>
              <w:pStyle w:val="Compact"/>
              <w:jc w:val="center"/>
              <w:spacing w:line="360" w:lineRule="auto"/>
            </w:pPr>
            <w:r>
              <w:drawing>
                <ns1:inline>
                  <ns1:extent cx="5228414" cy="4630008"/>
                  <ns1:effectExtent b="0" l="0" r="0" t="0"/>
                  <ns1:docPr descr="" title="" id="138" name="Picture"/>
                  <ns2:graphic>
                    <ns2:graphicData uri="http://schemas.openxmlformats.org/drawingml/2006/picture">
                      <ns3:pic>
                        <ns3:nvPicPr>
                          <ns3:cNvPr descr="assets/figures/fig_d8_fom7_traza_es.png" id="139" name="Picture"/>
                          <ns3:cNvPicPr>
                            <ns2:picLocks noChangeArrowheads="1" noChangeAspect="1"/>
                          </ns3:cNvPicPr>
                        </ns3:nvPicPr>
                        <ns3:blipFill>
                          <ns2:blip ns4:embed="rId137"/>
                          <ns2:stretch>
                            <ns2:fillRect/>
                          </ns2:stretch>
                        </ns3:blipFill>
                        <ns3:spPr bwMode="auto">
                          <ns2:xfrm>
                            <ns2:off x="0" y="0"/>
                            <ns2:ext cx="5228414" cy="4630008"/>
                          </ns2:xfrm>
                          <ns2:prstGeom prst="rect">
                            <ns2:avLst/>
                          </ns2:prstGeom>
                          <ns2:noFill/>
                          <ns2:ln w="9525">
                            <ns2:noFill/>
                            <ns2:headEnd/>
                            <ns2:tailEnd/>
                          </ns2:ln>
                        </ns3:spPr>
                      </ns3:pic>
                    </ns2:graphicData>
                  </ns2:graphic>
                </ns1:inline>
              </w:drawing>
            </w:r>
          </w:p>
          <w:p>
            <w:pPr>
              <w:pStyle w:val="ImageCaption"/>
              <w:spacing w:before="200" w:line="360" w:lineRule="auto"/>
              <w:jc w:val="center"/>
            </w:pPr>
            <w:r>
              <w:t xml:space="preserve">Figura 3.3: Puertas del protocolo FOM-7, artefacto de salida de cada una y traza de</w:t>
            </w:r>
            <w:r>
              <w:t xml:space="preserve"> </w:t>
            </w:r>
            <w:r>
              <w:t xml:space="preserve">una afirmación publicada. Las puertas son secuenciales: si una falla, los</w:t>
            </w:r>
            <w:r>
              <w:t xml:space="preserve"> </w:t>
            </w:r>
            <w:r>
              <w:t xml:space="preserve">resultados afectados se tratan como evidencia descriptiva y no sostienen</w:t>
            </w:r>
            <w:r>
              <w:t xml:space="preserve"> </w:t>
            </w:r>
            <w:r>
              <w:t xml:space="preserve">afirmaciones inferenciales. Fuente: elaboración propia.</w:t>
            </w:r>
          </w:p>
          <w:bookmarkEnd w:id="140"/>
        </w:tc>
      </w:tr>
    </w:tbl>
    <w:p>
      <w:pPr>
        <w:pStyle w:val="Textoindependiente"/>
        <w:spacing w:line="360" w:lineRule="auto"/>
        <w:jc w:val="both"/>
      </w:pPr>
      <w:r>
        <w:t xml:space="preserve">La Tabla</w:t>
      </w:r>
      <w:r>
        <w:t xml:space="preserve"> </w:t>
      </w:r>
      <w:hyperlink w:anchor="tbl-fom7-gates">
        <w:r>
          <w:rPr>
            <w:rStyle w:val="Hipervnculo"/>
          </w:rPr>
          <w:t xml:space="preserve">3.3</w:t>
        </w:r>
      </w:hyperlink>
      <w:r>
        <w:t xml:space="preserve"> </w:t>
      </w:r>
      <w:r>
        <w:t xml:space="preserve">resume la función de gobierno de cada puerta. La</w:t>
      </w:r>
      <w:r>
        <w:t xml:space="preserve"> </w:t>
      </w:r>
      <w:r>
        <w:t xml:space="preserve">tabla explicita qué entra, qué sale y qué modo de fallo queda controlado, de</w:t>
      </w:r>
      <w:r>
        <w:t xml:space="preserve"> </w:t>
      </w:r>
      <w:r>
        <w:t xml:space="preserve">modo que FOM-7 pueda auditarse como protocolo y no solo como narración</w:t>
      </w:r>
      <w:r>
        <w:t xml:space="preserve"> </w:t>
      </w:r>
      <w:r>
        <w:t xml:space="preserve">metodológica.</w:t>
      </w:r>
    </w:p>
    <w:tbl>
      <w:tblPr>
        <w:tblStyle w:val="Table"/>
        <w:tblW w:type="pct" w:w="5000"/>
        <w:jc w:val="center"/>
        <w:tblLayout w:type="fixed"/>
        <w:tblLook w:firstRow="0" w:lastRow="0" w:firstColumn="0" w:lastColumn="0" w:noHBand="0" w:noVBand="0" w:val="0000"/>
      </w:tblPr>
      <w:tblGrid>
        <w:gridCol w:w="7920"/>
      </w:tblGrid>
      <w:tr>
        <w:tc>
          <w:tcPr/>
          <w:bookmarkStart w:id="141" w:name="tbl-fom7-gates"/>
          <w:p>
            <w:pPr>
              <w:pStyle w:val="ImageCaption"/>
              <w:spacing w:before="200" w:line="360" w:lineRule="auto"/>
              <w:jc w:val="center"/>
            </w:pPr>
            <w:r>
              <w:t xml:space="preserve">Tabla 3.3: Puertas FOM-7, artefactos y modos de fallo controlados.</w:t>
            </w:r>
          </w:p>
          <w:tbl>
            <w:tblPr>
              <w:tblStyle w:val="Table"/>
              <w:tblW w:type="pct" w:w="500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both"/>
                    <w:jc w:val="center"/>
                    <w:spacing w:line="360" w:lineRule="auto"/>
                  </w:pPr>
                  <w:r>
                    <w:rPr>
                      <w:bCs/>
                      <w:b/>
                    </w:rPr>
                    <w:t xml:space="preserve">Puerta</w:t>
                  </w:r>
                </w:p>
              </w:tc>
              <w:tc>
                <w:tcPr/>
                <w:p>
                  <w:pPr>
                    <w:pStyle w:val="Compact"/>
                    <w:jc w:val="both"/>
                    <w:jc w:val="center"/>
                    <w:spacing w:line="360" w:lineRule="auto"/>
                  </w:pPr>
                  <w:r>
                    <w:rPr>
                      <w:bCs/>
                      <w:b/>
                    </w:rPr>
                    <w:t xml:space="preserve">Propósito</w:t>
                  </w:r>
                </w:p>
              </w:tc>
              <w:tc>
                <w:tcPr/>
                <w:p>
                  <w:pPr>
                    <w:pStyle w:val="Compact"/>
                    <w:jc w:val="both"/>
                    <w:jc w:val="center"/>
                    <w:spacing w:line="360" w:lineRule="auto"/>
                  </w:pPr>
                  <w:r>
                    <w:rPr>
                      <w:bCs/>
                      <w:b/>
                    </w:rPr>
                    <w:t xml:space="preserve">Artefacto de entrada</w:t>
                  </w:r>
                </w:p>
              </w:tc>
              <w:tc>
                <w:tcPr/>
                <w:p>
                  <w:pPr>
                    <w:pStyle w:val="Compact"/>
                    <w:jc w:val="both"/>
                    <w:jc w:val="center"/>
                    <w:spacing w:line="360" w:lineRule="auto"/>
                  </w:pPr>
                  <w:r>
                    <w:rPr>
                      <w:bCs/>
                      <w:b/>
                    </w:rPr>
                    <w:t xml:space="preserve">Artefacto de salida</w:t>
                  </w:r>
                </w:p>
              </w:tc>
              <w:tc>
                <w:tcPr/>
                <w:p>
                  <w:pPr>
                    <w:pStyle w:val="Compact"/>
                    <w:jc w:val="both"/>
                    <w:jc w:val="center"/>
                    <w:spacing w:line="360" w:lineRule="auto"/>
                  </w:pPr>
                  <w:r>
                    <w:rPr>
                      <w:bCs/>
                      <w:b/>
                    </w:rPr>
                    <w:t xml:space="preserve">Fallo controlado</w:t>
                  </w:r>
                </w:p>
              </w:tc>
              <w:tc>
                <w:tcPr/>
                <w:p>
                  <w:pPr>
                    <w:pStyle w:val="Compact"/>
                    <w:jc w:val="both"/>
                    <w:jc w:val="center"/>
                    <w:spacing w:line="360" w:lineRule="auto"/>
                  </w:pPr>
                  <w:r>
                    <w:rPr>
                      <w:bCs/>
                      <w:b/>
                    </w:rPr>
                    <w:t xml:space="preserve">Evidencia</w:t>
                  </w:r>
                </w:p>
              </w:tc>
            </w:tr>
            <w:tr>
              <w:tc>
                <w:tcPr/>
                <w:p>
                  <w:pPr>
                    <w:pStyle w:val="Compact"/>
                    <w:jc w:val="both"/>
                    <w:jc w:val="center"/>
                    <w:spacing w:line="360" w:lineRule="auto"/>
                  </w:pPr>
                  <w:r>
                    <w:t xml:space="preserve">1. Congelación</w:t>
                  </w:r>
                </w:p>
              </w:tc>
              <w:tc>
                <w:tcPr/>
                <w:p>
                  <w:pPr>
                    <w:pStyle w:val="Compact"/>
                    <w:jc w:val="both"/>
                    <w:jc w:val="center"/>
                    <w:spacing w:line="360" w:lineRule="auto"/>
                  </w:pPr>
                  <w:r>
                    <w:t xml:space="preserve">Fijar diseño, versiones y plan inferencial antes de EXP2</w:t>
                  </w:r>
                </w:p>
              </w:tc>
              <w:tc>
                <w:tcPr/>
                <w:p>
                  <w:pPr>
                    <w:pStyle w:val="Compact"/>
                    <w:jc w:val="both"/>
                    <w:jc w:val="center"/>
                    <w:spacing w:line="360" w:lineRule="auto"/>
                  </w:pPr>
                  <w:r>
                    <w:rPr>
                      <w:rStyle w:val="VerbatimChar"/>
                    </w:rPr>
                    <w:t xml:space="preserve">configs/experiments/exp2_scaled/manifest.yaml</w:t>
                  </w:r>
                  <w:r>
                    <w:t xml:space="preserve">, código versionado</w:t>
                  </w:r>
                </w:p>
              </w:tc>
              <w:tc>
                <w:tcPr/>
                <w:p>
                  <w:pPr>
                    <w:pStyle w:val="Compact"/>
                    <w:jc w:val="both"/>
                    <w:jc w:val="center"/>
                    <w:spacing w:line="360" w:lineRule="auto"/>
                  </w:pPr>
                  <w:r>
                    <w:t xml:space="preserve">Diseño factorial declarado</w:t>
                  </w:r>
                </w:p>
              </w:tc>
              <w:tc>
                <w:tcPr/>
                <w:p>
                  <w:pPr>
                    <w:pStyle w:val="Compact"/>
                    <w:jc w:val="both"/>
                    <w:jc w:val="center"/>
                    <w:spacing w:line="360" w:lineRule="auto"/>
                  </w:pPr>
                  <w:r>
                    <w:t xml:space="preserve">Deriva de protocolo, cambio post-hoc de hipótesis</w:t>
                  </w:r>
                </w:p>
              </w:tc>
              <w:tc>
                <w:tcPr/>
                <w:p>
                  <w:pPr>
                    <w:pStyle w:val="Compact"/>
                    <w:jc w:val="both"/>
                    <w:jc w:val="center"/>
                    <w:spacing w:line="360" w:lineRule="auto"/>
                  </w:pPr>
                  <w:r>
                    <w:rPr>
                      <w:rStyle w:val="VerbatimChar"/>
                    </w:rPr>
                    <w:t xml:space="preserve">manifest.yaml</w:t>
                  </w:r>
                  <w:r>
                    <w:t xml:space="preserve">, commit de tesis</w:t>
                  </w:r>
                </w:p>
              </w:tc>
            </w:tr>
            <w:tr>
              <w:tc>
                <w:tcPr/>
                <w:p>
                  <w:pPr>
                    <w:pStyle w:val="Compact"/>
                    <w:jc w:val="both"/>
                    <w:jc w:val="center"/>
                    <w:spacing w:line="360" w:lineRule="auto"/>
                  </w:pPr>
                  <w:r>
                    <w:t xml:space="preserve">2. Ejecución</w:t>
                  </w:r>
                </w:p>
              </w:tc>
              <w:tc>
                <w:tcPr/>
                <w:p>
                  <w:pPr>
                    <w:pStyle w:val="Compact"/>
                    <w:jc w:val="both"/>
                    <w:jc w:val="center"/>
                    <w:spacing w:line="360" w:lineRule="auto"/>
                  </w:pPr>
                  <w:r>
                    <w:t xml:space="preserve">Ejecutar celdas desde configuración declarativa</w:t>
                  </w:r>
                </w:p>
              </w:tc>
              <w:tc>
                <w:tcPr/>
                <w:p>
                  <w:pPr>
                    <w:pStyle w:val="Compact"/>
                    <w:jc w:val="both"/>
                    <w:jc w:val="center"/>
                    <w:spacing w:line="360" w:lineRule="auto"/>
                  </w:pPr>
                  <w:r>
                    <w:t xml:space="preserve">YAML por celda, modelos congelados</w:t>
                  </w:r>
                </w:p>
              </w:tc>
              <w:tc>
                <w:tcPr/>
                <w:p>
                  <w:pPr>
                    <w:pStyle w:val="Compact"/>
                    <w:jc w:val="both"/>
                    <w:jc w:val="center"/>
                    <w:spacing w:line="360" w:lineRule="auto"/>
                  </w:pPr>
                  <w:r>
                    <w:t xml:space="preserve">Árbol</w:t>
                  </w:r>
                  <w:r>
                    <w:t xml:space="preserve"> </w:t>
                  </w:r>
                  <w:r>
                    <w:rPr>
                      <w:rStyle w:val="VerbatimChar"/>
                    </w:rPr>
                    <w:t xml:space="preserve">experiments/exp2_scaled/results/</w:t>
                  </w:r>
                </w:p>
              </w:tc>
              <w:tc>
                <w:tcPr/>
                <w:p>
                  <w:pPr>
                    <w:pStyle w:val="Compact"/>
                    <w:jc w:val="both"/>
                    <w:jc w:val="center"/>
                    <w:spacing w:line="360" w:lineRule="auto"/>
                  </w:pPr>
                  <w:r>
                    <w:t xml:space="preserve">Ejecuciones ad-hoc, semillas no registradas</w:t>
                  </w:r>
                </w:p>
              </w:tc>
              <w:tc>
                <w:tcPr/>
                <w:p>
                  <w:pPr>
                    <w:pStyle w:val="Compact"/>
                    <w:jc w:val="both"/>
                    <w:jc w:val="center"/>
                    <w:spacing w:line="360" w:lineRule="auto"/>
                  </w:pPr>
                  <w:r>
                    <w:rPr>
                      <w:rStyle w:val="VerbatimChar"/>
                    </w:rPr>
                    <w:t xml:space="preserve">results.json</w:t>
                  </w:r>
                  <w:r>
                    <w:t xml:space="preserve"> </w:t>
                  </w:r>
                  <w:r>
                    <w:t xml:space="preserve">por celda</w:t>
                  </w:r>
                </w:p>
              </w:tc>
            </w:tr>
            <w:tr>
              <w:tc>
                <w:tcPr/>
                <w:p>
                  <w:pPr>
                    <w:pStyle w:val="Compact"/>
                    <w:jc w:val="both"/>
                    <w:jc w:val="center"/>
                    <w:spacing w:line="360" w:lineRule="auto"/>
                  </w:pPr>
                  <w:r>
                    <w:t xml:space="preserve">3. Auditoría</w:t>
                  </w:r>
                </w:p>
              </w:tc>
              <w:tc>
                <w:tcPr/>
                <w:p>
                  <w:pPr>
                    <w:pStyle w:val="Compact"/>
                    <w:jc w:val="both"/>
                    <w:jc w:val="center"/>
                    <w:spacing w:line="360" w:lineRule="auto"/>
                  </w:pPr>
                  <w:r>
                    <w:t xml:space="preserve">Calificar integridad de resultados</w:t>
                  </w:r>
                </w:p>
              </w:tc>
              <w:tc>
                <w:tcPr/>
                <w:p>
                  <w:pPr>
                    <w:pStyle w:val="Compact"/>
                    <w:jc w:val="both"/>
                    <w:jc w:val="center"/>
                    <w:spacing w:line="360" w:lineRule="auto"/>
                  </w:pPr>
                  <w:r>
                    <w:rPr>
                      <w:rStyle w:val="VerbatimChar"/>
                    </w:rPr>
                    <w:t xml:space="preserve">results.json</w:t>
                  </w:r>
                  <w:r>
                    <w:t xml:space="preserve"> </w:t>
                  </w:r>
                  <w:r>
                    <w:t xml:space="preserve">crudos</w:t>
                  </w:r>
                </w:p>
              </w:tc>
              <w:tc>
                <w:tcPr/>
                <w:p>
                  <w:pPr>
                    <w:pStyle w:val="Compact"/>
                    <w:jc w:val="both"/>
                    <w:jc w:val="center"/>
                    <w:spacing w:line="360" w:lineRule="auto"/>
                  </w:pPr>
                  <w:r>
                    <w:t xml:space="preserve">Inventario de celdas analizables</w:t>
                  </w:r>
                </w:p>
              </w:tc>
              <w:tc>
                <w:tcPr/>
                <w:p>
                  <w:pPr>
                    <w:pStyle w:val="Compact"/>
                    <w:jc w:val="both"/>
                    <w:jc w:val="center"/>
                    <w:spacing w:line="360" w:lineRule="auto"/>
                  </w:pPr>
                  <w:r>
                    <w:t xml:space="preserve">Archivos vacíos, esquemas incompatibles, valores inválidos</w:t>
                  </w:r>
                </w:p>
              </w:tc>
              <w:tc>
                <w:tcPr/>
                <w:p>
                  <w:pPr>
                    <w:pStyle w:val="Compact"/>
                    <w:jc w:val="both"/>
                    <w:jc w:val="center"/>
                    <w:spacing w:line="360" w:lineRule="auto"/>
                  </w:pPr>
                  <w:r>
                    <w:rPr>
                      <w:rStyle w:val="VerbatimChar"/>
                    </w:rPr>
                    <w:t xml:space="preserve">outputs/analysis/paper_a_exp2_stats/exp2_run_inventory.csv</w:t>
                  </w:r>
                </w:p>
              </w:tc>
            </w:tr>
            <w:tr>
              <w:tc>
                <w:tcPr/>
                <w:p>
                  <w:pPr>
                    <w:pStyle w:val="Compact"/>
                    <w:jc w:val="both"/>
                    <w:jc w:val="center"/>
                    <w:spacing w:line="360" w:lineRule="auto"/>
                  </w:pPr>
                  <w:r>
                    <w:t xml:space="preserve">4. Armonización</w:t>
                  </w:r>
                </w:p>
              </w:tc>
              <w:tc>
                <w:tcPr/>
                <w:p>
                  <w:pPr>
                    <w:pStyle w:val="Compact"/>
                    <w:jc w:val="both"/>
                    <w:jc w:val="center"/>
                    <w:spacing w:line="360" w:lineRule="auto"/>
                  </w:pPr>
                  <w:r>
                    <w:t xml:space="preserve">Convertir resultados heterogéneos en tablas de análisis</w:t>
                  </w:r>
                </w:p>
              </w:tc>
              <w:tc>
                <w:tcPr/>
                <w:p>
                  <w:pPr>
                    <w:pStyle w:val="Compact"/>
                    <w:jc w:val="both"/>
                    <w:jc w:val="center"/>
                    <w:spacing w:line="360" w:lineRule="auto"/>
                  </w:pPr>
                  <w:r>
                    <w:t xml:space="preserve">Artefactos calificados y</w:t>
                  </w:r>
                  <w:r>
                    <w:t xml:space="preserve"> </w:t>
                  </w:r>
                  <w:r>
                    <w:rPr>
                      <w:rStyle w:val="VerbatimChar"/>
                    </w:rPr>
                    <w:t xml:space="preserve">outputs/batch_results.csv</w:t>
                  </w:r>
                </w:p>
              </w:tc>
              <w:tc>
                <w:tcPr/>
                <w:p>
                  <w:pPr>
                    <w:pStyle w:val="Compact"/>
                    <w:jc w:val="both"/>
                    <w:jc w:val="center"/>
                    <w:spacing w:line="360" w:lineRule="auto"/>
                  </w:pPr>
                  <w:r>
                    <w:t xml:space="preserve">Métricas a nivel de ejecución y bloque</w:t>
                  </w:r>
                </w:p>
              </w:tc>
              <w:tc>
                <w:tcPr/>
                <w:p>
                  <w:pPr>
                    <w:pStyle w:val="Compact"/>
                    <w:jc w:val="both"/>
                    <w:jc w:val="center"/>
                    <w:spacing w:line="360" w:lineRule="auto"/>
                  </w:pPr>
                  <w:r>
                    <w:t xml:space="preserve">Campos no comparables, mezclas de esquema</w:t>
                  </w:r>
                </w:p>
              </w:tc>
              <w:tc>
                <w:tcPr/>
                <w:p>
                  <w:pPr>
                    <w:pStyle w:val="Compact"/>
                    <w:jc w:val="both"/>
                    <w:jc w:val="center"/>
                    <w:spacing w:line="360" w:lineRule="auto"/>
                  </w:pPr>
                  <w:r>
                    <w:rPr>
                      <w:rStyle w:val="VerbatimChar"/>
                    </w:rPr>
                    <w:t xml:space="preserve">exp2_run_level_metrics.csv</w:t>
                  </w:r>
                  <w:r>
                    <w:t xml:space="preserve">,</w:t>
                  </w:r>
                  <w:r>
                    <w:t xml:space="preserve"> </w:t>
                  </w:r>
                  <w:r>
                    <w:rPr>
                      <w:rStyle w:val="VerbatimChar"/>
                    </w:rPr>
                    <w:t xml:space="preserve">exp2_block_method_summary.csv</w:t>
                  </w:r>
                </w:p>
              </w:tc>
            </w:tr>
            <w:tr>
              <w:tc>
                <w:tcPr/>
                <w:p>
                  <w:pPr>
                    <w:pStyle w:val="Compact"/>
                    <w:jc w:val="both"/>
                    <w:jc w:val="center"/>
                    <w:spacing w:line="360" w:lineRule="auto"/>
                  </w:pPr>
                  <w:r>
                    <w:t xml:space="preserve">5. Exportación</w:t>
                  </w:r>
                </w:p>
              </w:tc>
              <w:tc>
                <w:tcPr/>
                <w:p>
                  <w:pPr>
                    <w:pStyle w:val="Compact"/>
                    <w:jc w:val="both"/>
                    <w:jc w:val="center"/>
                    <w:spacing w:line="360" w:lineRule="auto"/>
                  </w:pPr>
                  <w:r>
                    <w:t xml:space="preserve">Generar tablas inferenciales deterministas</w:t>
                  </w:r>
                </w:p>
              </w:tc>
              <w:tc>
                <w:tcPr/>
                <w:p>
                  <w:pPr>
                    <w:pStyle w:val="Compact"/>
                    <w:jc w:val="both"/>
                    <w:jc w:val="center"/>
                    <w:spacing w:line="360" w:lineRule="auto"/>
                  </w:pPr>
                  <w:r>
                    <w:t xml:space="preserve">Tablas armonizadas</w:t>
                  </w:r>
                </w:p>
              </w:tc>
              <w:tc>
                <w:tcPr/>
                <w:p>
                  <w:pPr>
                    <w:pStyle w:val="Compact"/>
                    <w:jc w:val="both"/>
                    <w:jc w:val="center"/>
                    <w:spacing w:line="360" w:lineRule="auto"/>
                  </w:pPr>
                  <w:r>
                    <w:t xml:space="preserve">Friedman, Nemenyi y Wilcoxon exportados</w:t>
                  </w:r>
                </w:p>
              </w:tc>
              <w:tc>
                <w:tcPr/>
                <w:p>
                  <w:pPr>
                    <w:pStyle w:val="Compact"/>
                    <w:jc w:val="both"/>
                    <w:jc w:val="center"/>
                    <w:spacing w:line="360" w:lineRule="auto"/>
                  </w:pPr>
                  <w:r>
                    <w:t xml:space="preserve">Cálculos manuales, doble conteo, pseudorreplicación</w:t>
                  </w:r>
                </w:p>
              </w:tc>
              <w:tc>
                <w:tcPr/>
                <w:p>
                  <w:pPr>
                    <w:pStyle w:val="Compact"/>
                    <w:jc w:val="both"/>
                    <w:jc w:val="center"/>
                    <w:spacing w:line="360" w:lineRule="auto"/>
                  </w:pPr>
                  <w:r>
                    <w:rPr>
                      <w:rStyle w:val="VerbatimChar"/>
                    </w:rPr>
                    <w:t xml:space="preserve">friedman_results.csv</w:t>
                  </w:r>
                  <w:r>
                    <w:t xml:space="preserve">,</w:t>
                  </w:r>
                  <w:r>
                    <w:t xml:space="preserve"> </w:t>
                  </w:r>
                  <w:r>
                    <w:rPr>
                      <w:rStyle w:val="VerbatimChar"/>
                    </w:rPr>
                    <w:t xml:space="preserve">nemenyi_*.csv</w:t>
                  </w:r>
                  <w:r>
                    <w:t xml:space="preserve">,</w:t>
                  </w:r>
                  <w:r>
                    <w:t xml:space="preserve"> </w:t>
                  </w:r>
                  <w:r>
                    <w:rPr>
                      <w:rStyle w:val="VerbatimChar"/>
                    </w:rPr>
                    <w:t xml:space="preserve">wilcoxon_*.csv</w:t>
                  </w:r>
                </w:p>
              </w:tc>
            </w:tr>
            <w:tr>
              <w:tc>
                <w:tcPr/>
                <w:p>
                  <w:pPr>
                    <w:pStyle w:val="Compact"/>
                    <w:jc w:val="both"/>
                    <w:jc w:val="center"/>
                    <w:spacing w:line="360" w:lineRule="auto"/>
                  </w:pPr>
                  <w:r>
                    <w:t xml:space="preserve">6. Perfilado</w:t>
                  </w:r>
                </w:p>
              </w:tc>
              <w:tc>
                <w:tcPr/>
                <w:p>
                  <w:pPr>
                    <w:pStyle w:val="Compact"/>
                    <w:jc w:val="both"/>
                    <w:jc w:val="center"/>
                    <w:spacing w:line="360" w:lineRule="auto"/>
                  </w:pPr>
                  <w:r>
                    <w:t xml:space="preserve">Cuantificar reproducibilidad bajo semillas</w:t>
                  </w:r>
                </w:p>
              </w:tc>
              <w:tc>
                <w:tcPr/>
                <w:p>
                  <w:pPr>
                    <w:pStyle w:val="Compact"/>
                    <w:jc w:val="both"/>
                    <w:jc w:val="center"/>
                    <w:spacing w:line="360" w:lineRule="auto"/>
                  </w:pPr>
                  <w:r>
                    <w:t xml:space="preserve">Réplicas EXP1 y métricas primarias</w:t>
                  </w:r>
                </w:p>
              </w:tc>
              <w:tc>
                <w:tcPr/>
                <w:p>
                  <w:pPr>
                    <w:pStyle w:val="Compact"/>
                    <w:jc w:val="both"/>
                    <w:jc w:val="center"/>
                    <w:spacing w:line="360" w:lineRule="auto"/>
                  </w:pPr>
                  <w:r>
                    <w:t xml:space="preserve">CV por método/métrica</w:t>
                  </w:r>
                </w:p>
              </w:tc>
              <w:tc>
                <w:tcPr/>
                <w:p>
                  <w:pPr>
                    <w:pStyle w:val="Compact"/>
                    <w:jc w:val="both"/>
                    <w:jc w:val="center"/>
                    <w:spacing w:line="360" w:lineRule="auto"/>
                  </w:pPr>
                  <w:r>
                    <w:t xml:space="preserve">Confundir variación de semilla con efecto de método</w:t>
                  </w:r>
                </w:p>
              </w:tc>
              <w:tc>
                <w:tcPr/>
                <w:p>
                  <w:pPr>
                    <w:pStyle w:val="Compact"/>
                    <w:jc w:val="both"/>
                    <w:jc w:val="center"/>
                    <w:spacing w:line="360" w:lineRule="auto"/>
                  </w:pPr>
                  <w:r>
                    <w:rPr>
                      <w:rStyle w:val="VerbatimChar"/>
                    </w:rPr>
                    <w:t xml:space="preserve">experiments/exp1_adult/reproducibility/reproducibility_report.csv</w:t>
                  </w:r>
                </w:p>
              </w:tc>
            </w:tr>
            <w:tr>
              <w:tc>
                <w:tcPr/>
                <w:p>
                  <w:pPr>
                    <w:pStyle w:val="Compact"/>
                    <w:jc w:val="both"/>
                    <w:jc w:val="center"/>
                    <w:spacing w:line="360" w:lineRule="auto"/>
                  </w:pPr>
                  <w:r>
                    <w:t xml:space="preserve">7. Reporte</w:t>
                  </w:r>
                </w:p>
              </w:tc>
              <w:tc>
                <w:tcPr/>
                <w:p>
                  <w:pPr>
                    <w:pStyle w:val="Compact"/>
                    <w:jc w:val="both"/>
                    <w:jc w:val="center"/>
                    <w:spacing w:line="360" w:lineRule="auto"/>
                  </w:pPr>
                  <w:r>
                    <w:t xml:space="preserve">Vincular cada claim con evidencia identificable</w:t>
                  </w:r>
                </w:p>
              </w:tc>
              <w:tc>
                <w:tcPr/>
                <w:p>
                  <w:pPr>
                    <w:pStyle w:val="Compact"/>
                    <w:jc w:val="both"/>
                    <w:jc w:val="center"/>
                    <w:spacing w:line="360" w:lineRule="auto"/>
                  </w:pPr>
                  <w:r>
                    <w:t xml:space="preserve">Resultados, tablas, scripts, limitaciones</w:t>
                  </w:r>
                </w:p>
              </w:tc>
              <w:tc>
                <w:tcPr/>
                <w:p>
                  <w:pPr>
                    <w:pStyle w:val="Compact"/>
                    <w:jc w:val="both"/>
                    <w:jc w:val="center"/>
                    <w:spacing w:line="360" w:lineRule="auto"/>
                  </w:pPr>
                  <w:r>
                    <w:t xml:space="preserve">Claims trazables en Capítulo 4</w:t>
                  </w:r>
                </w:p>
              </w:tc>
              <w:tc>
                <w:tcPr/>
                <w:p>
                  <w:pPr>
                    <w:pStyle w:val="Compact"/>
                    <w:jc w:val="both"/>
                    <w:jc w:val="center"/>
                    <w:spacing w:line="360" w:lineRule="auto"/>
                  </w:pPr>
                  <w:r>
                    <w:t xml:space="preserve">Sobreclaiming, afirmaciones no auditables</w:t>
                  </w:r>
                </w:p>
              </w:tc>
              <w:tc>
                <w:tcPr/>
                <w:p>
                  <w:pPr>
                    <w:pStyle w:val="Compact"/>
                    <w:jc w:val="both"/>
                    <w:jc w:val="center"/>
                    <w:spacing w:line="360" w:lineRule="auto"/>
                  </w:pPr>
                  <w:r>
                    <w:t xml:space="preserve">Tablas</w:t>
                  </w:r>
                  <w:r>
                    <w:t xml:space="preserve"> </w:t>
                  </w:r>
                  <w:hyperlink w:anchor="tbl-results-overview">
                    <w:r>
                      <w:rPr>
                        <w:rStyle w:val="Hipervnculo"/>
                      </w:rPr>
                      <w:t xml:space="preserve">4.1</w:t>
                    </w:r>
                  </w:hyperlink>
                  <w:r>
                    <w:t xml:space="preserve"> </w:t>
                  </w:r>
                  <w:r>
                    <w:t xml:space="preserve">y</w:t>
                  </w:r>
                  <w:r>
                    <w:t xml:space="preserve"> </w:t>
                  </w:r>
                  <w:hyperlink w:anchor="tbl-claim-traceability">
                    <w:r>
                      <w:rPr>
                        <w:rStyle w:val="Hipervnculo"/>
                      </w:rPr>
                      <w:t xml:space="preserve">4.7</w:t>
                    </w:r>
                  </w:hyperlink>
                </w:p>
              </w:tc>
            </w:tr>
          </w:tbl>
          <w:bookmarkEnd w:id="141"/>
          <w:p>
            <w:pPr>
              <w:spacing w:line="360" w:lineRule="auto"/>
              <w:jc w:val="both"/>
            </w:pPr>
          </w:p>
        </w:tc>
      </w:tr>
    </w:tbl>
    <w:bookmarkEnd w:id="142"/>
    <w:bookmarkStart w:id="150" w:name="sec-cobertura"/>
    <w:p>
      <w:pPr>
        <w:pStyle w:val="Ttulo2"/>
        <w:spacing w:line="360" w:lineRule="auto"/>
        <w:jc w:val="both"/>
      </w:pPr>
      <w:r>
        <w:t xml:space="preserve">3.7 </w:t>
      </w:r>
      <w:r>
        <w:t xml:space="preserve">Cobertura de artefactos y análisis del impacto de datos faltantes</w:t>
      </w:r>
    </w:p>
    <w:bookmarkStart w:id="145" w:name="inventario-de-cobertura"/>
    <w:p>
      <w:pPr>
        <w:pStyle w:val="Ttulo3"/>
        <w:spacing w:line="360" w:lineRule="auto"/>
        <w:jc w:val="both"/>
      </w:pPr>
      <w:r>
        <w:t xml:space="preserve">3.7.1 </w:t>
      </w:r>
      <w:r>
        <w:t xml:space="preserve">Inventario de cobertura</w:t>
      </w:r>
    </w:p>
    <w:p>
      <w:pPr>
        <w:pStyle w:val="FirstParagraph"/>
        <w:spacing w:line="360" w:lineRule="auto"/>
        <w:jc w:val="both"/>
      </w:pPr>
      <w:r>
        <w:t xml:space="preserve">El análisis de cobertura se realizó directamente sobre el árbol de resultados</w:t>
      </w:r>
      <w:r>
        <w:t xml:space="preserve"> </w:t>
      </w:r>
      <w:r>
        <w:t xml:space="preserve">comprometidos (</w:t>
      </w:r>
      <w:r>
        <w:rPr>
          <w:rStyle w:val="VerbatimChar"/>
        </w:rPr>
        <w:t xml:space="preserve">experiments/exp2_scaled/results/</w:t>
      </w:r>
      <w:r>
        <w:t xml:space="preserve">), verificando la presencia</w:t>
      </w:r>
      <w:r>
        <w:t xml:space="preserve"> </w:t>
      </w:r>
      <w:r>
        <w:t xml:space="preserve">y el tamaño no nulo de cada</w:t>
      </w:r>
      <w:r>
        <w:t xml:space="preserve"> </w:t>
      </w:r>
      <w:r>
        <w:rPr>
          <w:rStyle w:val="VerbatimChar"/>
        </w:rPr>
        <w:t xml:space="preserve">results.json</w:t>
      </w:r>
      <w:r>
        <w:t xml:space="preserve"> </w:t>
      </w:r>
      <w:r>
        <w:t xml:space="preserve">en las 300 celdas del diseño. La</w:t>
      </w:r>
      <w:r>
        <w:t xml:space="preserve"> </w:t>
      </w:r>
      <w:hyperlink w:anchor="tbl-coverage">
        <w:r>
          <w:rPr>
            <w:rStyle w:val="Hipervnculo"/>
          </w:rPr>
          <w:t xml:space="preserve">Tabla 3.4</w:t>
        </w:r>
      </w:hyperlink>
      <w:r>
        <w:t xml:space="preserve"> </w:t>
      </w:r>
      <w:r>
        <w:t xml:space="preserve">reporta el resultado por método.</w:t>
      </w:r>
    </w:p>
    <w:tbl>
      <w:tblPr>
        <w:tblStyle w:val="Table"/>
        <w:tblW w:type="pct" w:w="5000"/>
        <w:jc w:val="center"/>
        <w:tblLayout w:type="fixed"/>
        <w:tblLook w:firstRow="0" w:lastRow="0" w:firstColumn="0" w:lastColumn="0" w:noHBand="0" w:noVBand="0" w:val="0000"/>
      </w:tblPr>
      <w:tblGrid>
        <w:gridCol w:w="7920"/>
      </w:tblGrid>
      <w:tr>
        <w:tc>
          <w:tcPr/>
          <w:bookmarkStart w:id="143" w:name="tbl-coverage"/>
          <w:p>
            <w:pPr>
              <w:pStyle w:val="ImageCaption"/>
              <w:spacing w:before="200" w:line="360" w:lineRule="auto"/>
              <w:jc w:val="center"/>
            </w:pPr>
            <w:r>
              <w:t xml:space="preserve">Tabla 3.4: Inventario de cobertura de artefactos. EXP2 incluye la superposición de</w:t>
            </w:r>
            <w:r>
              <w:t xml:space="preserve"> </w:t>
            </w:r>
            <w:r>
              <w:t xml:space="preserve">recuperación de 30 filas para celdas</w:t>
            </w:r>
            <w:r>
              <w:t xml:space="preserve"> </w:t>
            </w:r>
            <w:r>
              <w:rPr>
                <w:rStyle w:val="VerbatimChar"/>
              </w:rPr>
              <w:t xml:space="preserve">mlp_shap</w:t>
            </w:r>
            <w:r>
              <w:t xml:space="preserve">/</w:t>
            </w:r>
            <w:r>
              <w:rPr>
                <w:rStyle w:val="VerbatimChar"/>
              </w:rPr>
              <w:t xml:space="preserve">svm_shap</w:t>
            </w:r>
            <w:r>
              <w:t xml:space="preserve">.</w:t>
            </w:r>
            <w:r>
              <w:t xml:space="preserve"> </w:t>
            </w:r>
          </w:p>
          <w:tbl>
            <w:tblPr>
              <w:tblStyle w:val="Table"/>
              <w:tblW w:type="auto" w:w="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firstRow="1" w:lastRow="0" w:firstColumn="0" w:lastColumn="0" w:noHBand="0" w:noVBand="0" w:val="0020"/>
            </w:tblPr>
            <w:tblGrid>
              <w:gridCol w:w="1584"/>
              <w:gridCol w:w="1584"/>
              <w:gridCol w:w="1584"/>
              <w:gridCol w:w="1584"/>
              <w:gridCol w:w="1584"/>
            </w:tblGrid>
            <w:tr>
              <w:trPr>
                <w:tblHeader w:val="on"/>
              </w:trPr>
              <w:tc>
                <w:tcPr/>
                <w:p>
                  <w:pPr>
                    <w:pStyle w:val="Compact"/>
                    <w:jc w:val="both"/>
                    <w:jc w:val="center"/>
                    <w:spacing w:line="360" w:lineRule="auto"/>
                  </w:pPr>
                  <w:r>
                    <w:rPr>
                      <w:bCs/>
                      <w:b/>
                    </w:rPr>
                    <w:t xml:space="preserve">Cohorte</w:t>
                  </w:r>
                </w:p>
              </w:tc>
              <w:tc>
                <w:tcPr/>
                <w:p>
                  <w:pPr>
                    <w:pStyle w:val="Compact"/>
                    <w:jc w:val="both"/>
                    <w:jc w:val="center"/>
                    <w:spacing w:line="360" w:lineRule="auto"/>
                  </w:pPr>
                  <w:r>
                    <w:rPr>
                      <w:bCs/>
                      <w:b/>
                    </w:rPr>
                    <w:t xml:space="preserve">Planificadas</w:t>
                  </w:r>
                </w:p>
              </w:tc>
              <w:tc>
                <w:tcPr/>
                <w:p>
                  <w:pPr>
                    <w:pStyle w:val="Compact"/>
                    <w:jc w:val="both"/>
                    <w:jc w:val="center"/>
                    <w:spacing w:line="360" w:lineRule="auto"/>
                  </w:pPr>
                  <w:r>
                    <w:rPr>
                      <w:bCs/>
                      <w:b/>
                    </w:rPr>
                    <w:t xml:space="preserve">Presentes</w:t>
                  </w:r>
                </w:p>
              </w:tc>
              <w:tc>
                <w:tcPr/>
                <w:p>
                  <w:pPr>
                    <w:pStyle w:val="Compact"/>
                    <w:jc w:val="both"/>
                    <w:jc w:val="center"/>
                    <w:spacing w:line="360" w:lineRule="auto"/>
                  </w:pPr>
                  <w:r>
                    <w:rPr>
                      <w:bCs/>
                      <w:b/>
                    </w:rPr>
                    <w:t xml:space="preserve">Analizables</w:t>
                  </w:r>
                </w:p>
              </w:tc>
              <w:tc>
                <w:tcPr/>
                <w:p>
                  <w:pPr>
                    <w:pStyle w:val="Compact"/>
                    <w:jc w:val="both"/>
                    <w:jc w:val="center"/>
                    <w:spacing w:line="360" w:lineRule="auto"/>
                  </w:pPr>
                  <w:r>
                    <w:rPr>
                      <w:bCs/>
                      <w:b/>
                    </w:rPr>
                    <w:t xml:space="preserve">Cobertura</w:t>
                  </w:r>
                </w:p>
              </w:tc>
            </w:tr>
            <w:tr>
              <w:tc>
                <w:tcPr/>
                <w:p>
                  <w:pPr>
                    <w:pStyle w:val="Compact"/>
                    <w:jc w:val="both"/>
                    <w:jc w:val="center"/>
                    <w:spacing w:line="360" w:lineRule="auto"/>
                  </w:pPr>
                  <w:r>
                    <w:t xml:space="preserve">EXP1 (calibración)</w:t>
                  </w:r>
                </w:p>
              </w:tc>
              <w:tc>
                <w:tcPr/>
                <w:p>
                  <w:pPr>
                    <w:pStyle w:val="Compact"/>
                    <w:jc w:val="both"/>
                    <w:jc w:val="center"/>
                    <w:spacing w:line="360" w:lineRule="auto"/>
                  </w:pPr>
                  <w:r>
                    <w:t xml:space="preserve">75</w:t>
                  </w:r>
                </w:p>
              </w:tc>
              <w:tc>
                <w:tcPr/>
                <w:p>
                  <w:pPr>
                    <w:pStyle w:val="Compact"/>
                    <w:jc w:val="both"/>
                    <w:jc w:val="center"/>
                    <w:spacing w:line="360" w:lineRule="auto"/>
                  </w:pPr>
                  <w:r>
                    <w:t xml:space="preserve">75</w:t>
                  </w:r>
                </w:p>
              </w:tc>
              <w:tc>
                <w:tcPr/>
                <w:p>
                  <w:pPr>
                    <w:pStyle w:val="Compact"/>
                    <w:jc w:val="both"/>
                    <w:jc w:val="center"/>
                    <w:spacing w:line="360" w:lineRule="auto"/>
                  </w:pPr>
                  <w:r>
                    <w:t xml:space="preserve">66</w:t>
                  </w:r>
                </w:p>
              </w:tc>
              <w:tc>
                <w:tcPr/>
                <w:p>
                  <w:pPr>
                    <w:pStyle w:val="Compact"/>
                    <w:jc w:val="both"/>
                    <w:jc w:val="center"/>
                    <w:spacing w:line="360" w:lineRule="auto"/>
                  </w:pPr>
                  <w:r>
                    <w:t xml:space="preserve">88.0%</w:t>
                  </w:r>
                </w:p>
              </w:tc>
            </w:tr>
            <w:tr>
              <w:tc>
                <w:tcPr/>
                <w:p>
                  <w:pPr>
                    <w:pStyle w:val="Compact"/>
                    <w:jc w:val="both"/>
                    <w:jc w:val="center"/>
                    <w:spacing w:line="360" w:lineRule="auto"/>
                  </w:pPr>
                  <w:r>
                    <w:t xml:space="preserve">EXP2 (benchmark primario)</w:t>
                  </w:r>
                </w:p>
              </w:tc>
              <w:tc>
                <w:tcPr/>
                <w:p>
                  <w:pPr>
                    <w:pStyle w:val="Compact"/>
                    <w:jc w:val="both"/>
                    <w:jc w:val="center"/>
                    <w:spacing w:line="360" w:lineRule="auto"/>
                  </w:pPr>
                  <w:r>
                    <w:t xml:space="preserve">300</w:t>
                  </w:r>
                </w:p>
              </w:tc>
              <w:tc>
                <w:tcPr/>
                <w:p>
                  <w:pPr>
                    <w:pStyle w:val="Compact"/>
                    <w:jc w:val="both"/>
                    <w:jc w:val="center"/>
                    <w:spacing w:line="360" w:lineRule="auto"/>
                  </w:pPr>
                  <w:r>
                    <w:t xml:space="preserve">299</w:t>
                  </w:r>
                </w:p>
              </w:tc>
              <w:tc>
                <w:tcPr/>
                <w:p>
                  <w:pPr>
                    <w:pStyle w:val="Compact"/>
                    <w:jc w:val="both"/>
                    <w:jc w:val="center"/>
                    <w:spacing w:line="360" w:lineRule="auto"/>
                  </w:pPr>
                  <w:r>
                    <w:t xml:space="preserve">275</w:t>
                  </w:r>
                </w:p>
              </w:tc>
              <w:tc>
                <w:tcPr/>
                <w:p>
                  <w:pPr>
                    <w:pStyle w:val="Compact"/>
                    <w:jc w:val="both"/>
                    <w:jc w:val="center"/>
                    <w:spacing w:line="360" w:lineRule="auto"/>
                  </w:pPr>
                  <w:r>
                    <w:t xml:space="preserve">91.7%</w:t>
                  </w:r>
                </w:p>
              </w:tc>
            </w:tr>
          </w:tbl>
          <w:bookmarkEnd w:id="143"/>
          <w:p>
            <w:pPr>
              <w:spacing w:line="360" w:lineRule="auto"/>
              <w:jc w:val="both"/>
            </w:pPr>
          </w:p>
        </w:tc>
      </w:tr>
    </w:tbl>
    <w:p>
      <w:pPr>
        <w:pStyle w:val="Textoindependiente"/>
        <w:spacing w:line="360" w:lineRule="auto"/>
        <w:jc w:val="both"/>
      </w:pPr>
      <w:r>
        <w:t xml:space="preserve">La</w:t>
      </w:r>
      <w:r>
        <w:t xml:space="preserve"> </w:t>
      </w:r>
      <w:r>
        <w:rPr>
          <w:b/>
          <w:bCs/>
        </w:rPr>
        <w:t xml:space="preserve">única celda físicamente faltante</w:t>
      </w:r>
      <w:r>
        <w:t xml:space="preserve"> </w:t>
      </w:r>
      <w:r>
        <w:t xml:space="preserve">en EXP2 es</w:t>
      </w:r>
      <w:r>
        <w:t xml:space="preserve"> </w:t>
      </w:r>
      <w:r>
        <w:rPr>
          <w:rStyle w:val="VerbatimChar"/>
        </w:rPr>
        <w:t xml:space="preserve">svm_shap_s456_n200</w:t>
      </w:r>
      <w:r>
        <w:t xml:space="preserve"> </w:t>
      </w:r>
      <w:r>
        <w:t xml:space="preserve">(verificado por inspección directa del árbol de artefactos). Las 25 celdas</w:t>
      </w:r>
      <w:r>
        <w:t xml:space="preserve"> </w:t>
      </w:r>
      <w:r>
        <w:t xml:space="preserve">con cobertura analítica reducida presentan artefactos físicamente presentes</w:t>
      </w:r>
      <w:r>
        <w:t xml:space="preserve"> </w:t>
      </w:r>
      <w:r>
        <w:t xml:space="preserve">pero con diferencias de esquema; se concentran en Anchors (18 celdas) y DiCE</w:t>
      </w:r>
      <w:r>
        <w:t xml:space="preserve"> </w:t>
      </w:r>
      <w:r>
        <w:t xml:space="preserve">(7 celdas), con SHAP y LIME en cobertura completa (75/75 tras la</w:t>
      </w:r>
      <w:r>
        <w:t xml:space="preserve"> </w:t>
      </w:r>
      <w:r>
        <w:t xml:space="preserve">superposición de recuperación).</w:t>
      </w:r>
    </w:p>
    <w:tbl>
      <w:tblPr>
        <w:tblStyle w:val="Table"/>
        <w:tblW w:type="pct" w:w="5000"/>
        <w:jc w:val="center"/>
        <w:tblLayout w:type="fixed"/>
        <w:tblLook w:firstRow="0" w:lastRow="0" w:firstColumn="0" w:lastColumn="0" w:noHBand="0" w:noVBand="0" w:val="0000"/>
      </w:tblPr>
      <w:tblGrid>
        <w:gridCol w:w="7920"/>
      </w:tblGrid>
      <w:tr>
        <w:tc>
          <w:tcPr/>
          <w:bookmarkStart w:id="144" w:name="tbl-coverage-method"/>
          <w:p>
            <w:pPr>
              <w:pStyle w:val="ImageCaption"/>
              <w:spacing w:before="200" w:line="360" w:lineRule="auto"/>
              <w:jc w:val="center"/>
            </w:pPr>
            <w:r>
              <w:t xml:space="preserve">Tabla 3.5: Cobertura analítica por método. SHAP incluye la superposición de</w:t>
            </w:r>
            <w:r>
              <w:t xml:space="preserve"> </w:t>
            </w:r>
            <w:r>
              <w:t xml:space="preserve">recuperación.</w:t>
            </w:r>
          </w:p>
          <w:tbl>
            <w:tblPr>
              <w:tblStyle w:val="Table"/>
              <w:tblW w:type="auto" w:w="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firstRow="1" w:lastRow="0" w:firstColumn="0" w:lastColumn="0" w:noHBand="0" w:noVBand="0" w:val="0020"/>
            </w:tblPr>
            <w:tblGrid>
              <w:gridCol w:w="1980"/>
              <w:gridCol w:w="1980"/>
              <w:gridCol w:w="1980"/>
              <w:gridCol w:w="1980"/>
            </w:tblGrid>
            <w:tr>
              <w:trPr>
                <w:tblHeader w:val="on"/>
              </w:trPr>
              <w:tc>
                <w:tcPr/>
                <w:p>
                  <w:pPr>
                    <w:pStyle w:val="Compact"/>
                    <w:jc w:val="both"/>
                    <w:jc w:val="center"/>
                    <w:spacing w:line="360" w:lineRule="auto"/>
                  </w:pPr>
                  <w:r>
                    <w:rPr>
                      <w:bCs/>
                      <w:b/>
                    </w:rPr>
                    <w:t xml:space="preserve">Método</w:t>
                  </w:r>
                </w:p>
              </w:tc>
              <w:tc>
                <w:tcPr/>
                <w:p>
                  <w:pPr>
                    <w:pStyle w:val="Compact"/>
                    <w:jc w:val="both"/>
                    <w:jc w:val="center"/>
                    <w:spacing w:line="360" w:lineRule="auto"/>
                  </w:pPr>
                  <w:r>
                    <w:rPr>
                      <w:bCs/>
                      <w:b/>
                    </w:rPr>
                    <w:t xml:space="preserve">Planificadas</w:t>
                  </w:r>
                </w:p>
              </w:tc>
              <w:tc>
                <w:tcPr/>
                <w:p>
                  <w:pPr>
                    <w:pStyle w:val="Compact"/>
                    <w:jc w:val="both"/>
                    <w:jc w:val="center"/>
                    <w:spacing w:line="360" w:lineRule="auto"/>
                  </w:pPr>
                  <w:r>
                    <w:rPr>
                      <w:bCs/>
                      <w:b/>
                    </w:rPr>
                    <w:t xml:space="preserve">Analizables</w:t>
                  </w:r>
                </w:p>
              </w:tc>
              <w:tc>
                <w:tcPr/>
                <w:p>
                  <w:pPr>
                    <w:pStyle w:val="Compact"/>
                    <w:jc w:val="both"/>
                    <w:jc w:val="center"/>
                    <w:spacing w:line="360" w:lineRule="auto"/>
                  </w:pPr>
                  <w:r>
                    <w:rPr>
                      <w:bCs/>
                      <w:b/>
                    </w:rPr>
                    <w:t xml:space="preserve">Cobertura</w:t>
                  </w:r>
                </w:p>
              </w:tc>
            </w:tr>
            <w:tr>
              <w:tc>
                <w:tcPr/>
                <w:p>
                  <w:pPr>
                    <w:pStyle w:val="Compact"/>
                    <w:jc w:val="both"/>
                    <w:jc w:val="center"/>
                    <w:spacing w:line="360" w:lineRule="auto"/>
                  </w:pPr>
                  <w:r>
                    <w:t xml:space="preserve">SHAP</w:t>
                  </w:r>
                </w:p>
              </w:tc>
              <w:tc>
                <w:tcPr/>
                <w:p>
                  <w:pPr>
                    <w:pStyle w:val="Compact"/>
                    <w:jc w:val="both"/>
                    <w:jc w:val="center"/>
                    <w:spacing w:line="360" w:lineRule="auto"/>
                  </w:pPr>
                  <w:r>
                    <w:t xml:space="preserve">75</w:t>
                  </w:r>
                </w:p>
              </w:tc>
              <w:tc>
                <w:tcPr/>
                <w:p>
                  <w:pPr>
                    <w:pStyle w:val="Compact"/>
                    <w:jc w:val="both"/>
                    <w:jc w:val="center"/>
                    <w:spacing w:line="360" w:lineRule="auto"/>
                  </w:pPr>
                  <w:r>
                    <w:t xml:space="preserve">75</w:t>
                  </w:r>
                </w:p>
              </w:tc>
              <w:tc>
                <w:tcPr/>
                <w:p>
                  <w:pPr>
                    <w:pStyle w:val="Compact"/>
                    <w:jc w:val="both"/>
                    <w:jc w:val="center"/>
                    <w:spacing w:line="360" w:lineRule="auto"/>
                  </w:pPr>
                  <w:r>
                    <w:t xml:space="preserve">100.0%</w:t>
                  </w:r>
                </w:p>
              </w:tc>
            </w:tr>
            <w:tr>
              <w:tc>
                <w:tcPr/>
                <w:p>
                  <w:pPr>
                    <w:pStyle w:val="Compact"/>
                    <w:jc w:val="both"/>
                    <w:jc w:val="center"/>
                    <w:spacing w:line="360" w:lineRule="auto"/>
                  </w:pPr>
                  <w:r>
                    <w:t xml:space="preserve">LIME</w:t>
                  </w:r>
                </w:p>
              </w:tc>
              <w:tc>
                <w:tcPr/>
                <w:p>
                  <w:pPr>
                    <w:pStyle w:val="Compact"/>
                    <w:jc w:val="both"/>
                    <w:jc w:val="center"/>
                    <w:spacing w:line="360" w:lineRule="auto"/>
                  </w:pPr>
                  <w:r>
                    <w:t xml:space="preserve">75</w:t>
                  </w:r>
                </w:p>
              </w:tc>
              <w:tc>
                <w:tcPr/>
                <w:p>
                  <w:pPr>
                    <w:pStyle w:val="Compact"/>
                    <w:jc w:val="both"/>
                    <w:jc w:val="center"/>
                    <w:spacing w:line="360" w:lineRule="auto"/>
                  </w:pPr>
                  <w:r>
                    <w:t xml:space="preserve">75</w:t>
                  </w:r>
                </w:p>
              </w:tc>
              <w:tc>
                <w:tcPr/>
                <w:p>
                  <w:pPr>
                    <w:pStyle w:val="Compact"/>
                    <w:jc w:val="both"/>
                    <w:jc w:val="center"/>
                    <w:spacing w:line="360" w:lineRule="auto"/>
                  </w:pPr>
                  <w:r>
                    <w:t xml:space="preserve">100.0%</w:t>
                  </w:r>
                </w:p>
              </w:tc>
            </w:tr>
            <w:tr>
              <w:tc>
                <w:tcPr/>
                <w:p>
                  <w:pPr>
                    <w:pStyle w:val="Compact"/>
                    <w:jc w:val="both"/>
                    <w:jc w:val="center"/>
                    <w:spacing w:line="360" w:lineRule="auto"/>
                  </w:pPr>
                  <w:r>
                    <w:t xml:space="preserve">Anchors</w:t>
                  </w:r>
                </w:p>
              </w:tc>
              <w:tc>
                <w:tcPr/>
                <w:p>
                  <w:pPr>
                    <w:pStyle w:val="Compact"/>
                    <w:jc w:val="both"/>
                    <w:jc w:val="center"/>
                    <w:spacing w:line="360" w:lineRule="auto"/>
                  </w:pPr>
                  <w:r>
                    <w:t xml:space="preserve">75</w:t>
                  </w:r>
                </w:p>
              </w:tc>
              <w:tc>
                <w:tcPr/>
                <w:p>
                  <w:pPr>
                    <w:pStyle w:val="Compact"/>
                    <w:jc w:val="both"/>
                    <w:jc w:val="center"/>
                    <w:spacing w:line="360" w:lineRule="auto"/>
                  </w:pPr>
                  <w:r>
                    <w:t xml:space="preserve">57</w:t>
                  </w:r>
                </w:p>
              </w:tc>
              <w:tc>
                <w:tcPr/>
                <w:p>
                  <w:pPr>
                    <w:pStyle w:val="Compact"/>
                    <w:jc w:val="both"/>
                    <w:jc w:val="center"/>
                    <w:spacing w:line="360" w:lineRule="auto"/>
                  </w:pPr>
                  <w:r>
                    <w:t xml:space="preserve">76.0%</w:t>
                  </w:r>
                </w:p>
              </w:tc>
            </w:tr>
            <w:tr>
              <w:tc>
                <w:tcPr/>
                <w:p>
                  <w:pPr>
                    <w:pStyle w:val="Compact"/>
                    <w:jc w:val="both"/>
                    <w:jc w:val="center"/>
                    <w:spacing w:line="360" w:lineRule="auto"/>
                  </w:pPr>
                  <w:r>
                    <w:t xml:space="preserve">DiCE</w:t>
                  </w:r>
                </w:p>
              </w:tc>
              <w:tc>
                <w:tcPr/>
                <w:p>
                  <w:pPr>
                    <w:pStyle w:val="Compact"/>
                    <w:jc w:val="both"/>
                    <w:jc w:val="center"/>
                    <w:spacing w:line="360" w:lineRule="auto"/>
                  </w:pPr>
                  <w:r>
                    <w:t xml:space="preserve">75</w:t>
                  </w:r>
                </w:p>
              </w:tc>
              <w:tc>
                <w:tcPr/>
                <w:p>
                  <w:pPr>
                    <w:pStyle w:val="Compact"/>
                    <w:jc w:val="both"/>
                    <w:jc w:val="center"/>
                    <w:spacing w:line="360" w:lineRule="auto"/>
                  </w:pPr>
                  <w:r>
                    <w:t xml:space="preserve">68</w:t>
                  </w:r>
                </w:p>
              </w:tc>
              <w:tc>
                <w:tcPr/>
                <w:p>
                  <w:pPr>
                    <w:pStyle w:val="Compact"/>
                    <w:jc w:val="both"/>
                    <w:jc w:val="center"/>
                    <w:spacing w:line="360" w:lineRule="auto"/>
                  </w:pPr>
                  <w:r>
                    <w:t xml:space="preserve">90.7%</w:t>
                  </w:r>
                </w:p>
              </w:tc>
            </w:tr>
          </w:tbl>
          <w:bookmarkEnd w:id="144"/>
          <w:p>
            <w:pPr>
              <w:spacing w:line="360" w:lineRule="auto"/>
              <w:jc w:val="both"/>
            </w:pPr>
          </w:p>
        </w:tc>
      </w:tr>
    </w:tbl>
    <w:bookmarkEnd w:id="145"/>
    <w:bookmarkStart w:id="149" w:name="Xcb4396ffd8bf23e7b418105a9e8d3fef7075c0b"/>
    <w:p>
      <w:pPr>
        <w:pStyle w:val="Ttulo3"/>
        <w:spacing w:line="360" w:lineRule="auto"/>
        <w:jc w:val="both"/>
      </w:pPr>
      <w:r>
        <w:t xml:space="preserve">3.7.2 </w:t>
      </w:r>
      <w:r>
        <w:t xml:space="preserve">Evaluación cuantitativa del impacto estadístico</w:t>
      </w:r>
    </w:p>
    <w:p>
      <w:pPr>
        <w:pStyle w:val="FirstParagraph"/>
        <w:spacing w:line="360" w:lineRule="auto"/>
        <w:jc w:val="both"/>
      </w:pPr>
      <w:r>
        <w:t xml:space="preserve">El impacto de las 25 celdas ausentes se evalúa en tres dimensiones:</w:t>
      </w:r>
      <w:r>
        <w:t xml:space="preserve"> </w:t>
      </w:r>
      <w:r>
        <w:t xml:space="preserve">completitud de bloques de Friedman, precisión de medias globales de Anchors</w:t>
      </w:r>
      <w:r>
        <w:t xml:space="preserve"> </w:t>
      </w:r>
      <w:r>
        <w:t xml:space="preserve">y DiCE, e integridad del Estudio Pareado LIME–SHAP.</w:t>
      </w:r>
    </w:p>
    <w:p>
      <w:pPr>
        <w:pStyle w:val="Textoindependiente"/>
        <w:spacing w:line="360" w:lineRule="auto"/>
        <w:jc w:val="both"/>
      </w:pPr>
      <w:r>
        <w:rPr>
          <w:b/>
          <w:bCs/>
        </w:rPr>
        <w:t xml:space="preserve">Completitud de bloques de Friedman.</w:t>
      </w:r>
      <w:r>
        <w:t xml:space="preserve"> </w:t>
      </w:r>
      <w:r>
        <w:t xml:space="preserve">El test de Friedman opera sobre</w:t>
      </w:r>
      <w:r>
        <w:t xml:space="preserve"> </w:t>
      </w:r>
      <ns5:oMath>
        <ns5:r>
          <ns5:t>B</ns5:t>
        </ns5:r>
        <ns5:r>
          <ns5:rPr>
            <ns5:sty ns5:val="p"/>
          </ns5:rPr>
          <ns5:t>=</ns5:t>
        </ns5:r>
        <ns5:r>
          <ns5:t>15</ns5:t>
        </ns5:r>
      </ns5:oMath>
      <w:r>
        <w:t xml:space="preserve"> </w:t>
      </w:r>
      <w:r>
        <w:t xml:space="preserve">bloques</w:t>
      </w:r>
      <w:r>
        <w:t xml:space="preserve"> </w:t>
      </w:r>
      <ns5:oMath>
        <ns5:r>
          <ns5:rPr>
            <ns5:sty ns5:val="p"/>
          </ns5:rPr>
          <ns5:t>(</ns5:t>
        </ns5:r>
        <ns5:r>
          <ns5:t>g</ns5:t>
        </ns5:r>
        <ns5:r>
          <ns5:rPr>
            <ns5:sty ns5:val="p"/>
          </ns5:rPr>
          <ns5:t>,</ns5:t>
        </ns5:r>
        <ns5:r>
          <ns5:t>n</ns5:t>
        </ns5:r>
        <ns5:r>
          <ns5:rPr>
            <ns5:sty ns5:val="p"/>
          </ns5:rPr>
          <ns5:t>)</ns5:t>
        </ns5:r>
      </ns5:oMath>
      <w:r>
        <w:t xml:space="preserve"> </w:t>
      </w:r>
      <w:r>
        <w:t xml:space="preserve">completos: un bloque es completo si los cuatro métodos</w:t>
      </w:r>
      <w:r>
        <w:t xml:space="preserve"> </w:t>
      </w:r>
      <w:r>
        <w:t xml:space="preserve">tienen al menos una ejecución analizable. Verificación directa: los 15/15</w:t>
      </w:r>
      <w:r>
        <w:t xml:space="preserve"> </w:t>
      </w:r>
      <w:r>
        <w:t xml:space="preserve">bloques son completos para todos los métodos. La completitud de bloques</w:t>
      </w:r>
      <w:r>
        <w:t xml:space="preserve"> </w:t>
      </w:r>
      <w:r>
        <w:t xml:space="preserve">garantiza la ejecutabilidad y validez del test de Friedman</w:t>
      </w:r>
      <w:r>
        <w:t xml:space="preserve"> </w:t>
      </w:r>
      <w:r>
        <w:t xml:space="preserve">(Demšar 2006)</w:t>
      </w:r>
      <w:r>
        <w:t xml:space="preserve">.</w:t>
      </w:r>
    </w:p>
    <w:p>
      <w:pPr>
        <w:pStyle w:val="Textoindependiente"/>
        <w:spacing w:line="360" w:lineRule="auto"/>
        <w:jc w:val="both"/>
      </w:pPr>
      <w:r>
        <w:rPr>
          <w:b/>
          <w:bCs/>
        </w:rPr>
        <w:t xml:space="preserve">Impacto en la precisión de los estimados de Anchors.</w:t>
      </w:r>
      <w:r>
        <w:t xml:space="preserve"> </w:t>
      </w:r>
      <w:r>
        <w:t xml:space="preserve">Con 57/75 = 76.0%</w:t>
      </w:r>
      <w:r>
        <w:t xml:space="preserve"> </w:t>
      </w:r>
      <w:r>
        <w:t xml:space="preserve">de cobertura, algunos bloques de Anchors se estiman con</w:t>
      </w:r>
      <w:r>
        <w:t xml:space="preserve"> </w:t>
      </w:r>
      <ns5:oMath>
        <ns5:r>
          <ns5:t>r</ns5:t>
        </ns5:r>
        <ns5:r>
          <ns5:rPr>
            <ns5:sty ns5:val="p"/>
          </ns5:rPr>
          <ns5:t>&lt;</ns5:t>
        </ns5:r>
        <ns5:r>
          <ns5:t>5</ns5:t>
        </ns5:r>
      </ns5:oMath>
      <w:r>
        <w:t xml:space="preserve"> </w:t>
      </w:r>
      <w:r>
        <w:t xml:space="preserve">semillas. En</w:t>
      </w:r>
      <w:r>
        <w:t xml:space="preserve"> </w:t>
      </w:r>
      <w:r>
        <w:t xml:space="preserve">el caso más desfavorable (bloques</w:t>
      </w:r>
      <w:r>
        <w:t xml:space="preserve"> </w:t>
      </w:r>
      <w:r>
        <w:rPr>
          <w:rStyle w:val="VerbatimChar"/>
        </w:rPr>
        <w:t xml:space="preserve">logreg</w:t>
      </w:r>
      <w:r>
        <w:t xml:space="preserve">-Anchors y</w:t>
      </w:r>
      <w:r>
        <w:t xml:space="preserve"> </w:t>
      </w:r>
      <w:r>
        <w:rPr>
          <w:rStyle w:val="VerbatimChar"/>
        </w:rPr>
        <w:t xml:space="preserve">mlp</w:t>
      </w:r>
      <w:r>
        <w:t xml:space="preserve">-Anchors,</w:t>
      </w:r>
      <w:r>
        <w:t xml:space="preserve"> </w:t>
      </w:r>
      <ns5:oMath>
        <ns5:r>
          <ns5:t>r</ns5:t>
        </ns5:r>
        <ns5:r>
          <ns5:rPr>
            <ns5:sty ns5:val="p"/>
          </ns5:rPr>
          <ns5:t>≈</ns5:t>
        </ns5:r>
        <ns5:r>
          <ns5:t>2.3</ns5:t>
        </ns5:r>
      </ns5:oMath>
      <w:r>
        <w:t xml:space="preserve"> </w:t>
      </w:r>
      <w:r>
        <w:t xml:space="preserve">semillas por</w:t>
      </w:r>
      <w:r>
        <w:t xml:space="preserve"> </w:t>
      </w:r>
      <ns5:oMath>
        <ns5:r>
          <ns5:rPr>
            <ns5:sty ns5:val="p"/>
          </ns5:rPr>
          <ns5:t>(</ns5:t>
        </ns5:r>
        <ns5:r>
          <ns5:t>g</ns5:t>
        </ns5:r>
        <ns5:r>
          <ns5:rPr>
            <ns5:sty ns5:val="p"/>
          </ns5:rPr>
          <ns5:t>,</ns5:t>
        </ns5:r>
        <ns5:r>
          <ns5:t>n</ns5:t>
        </ns5:r>
        <ns5:r>
          <ns5:rPr>
            <ns5:sty ns5:val="p"/>
          </ns5:rPr>
          <ns5:t>)</ns5:t>
        </ns5:r>
      </ns5:oMath>
      <w:r>
        <w:t xml:space="preserve">), la varianza del estimador de bloque</w:t>
      </w:r>
      <w:r>
        <w:t xml:space="preserve"> </w:t>
      </w:r>
      <w:r>
        <w:t xml:space="preserve">se infla según la</w:t>
      </w:r>
      <w:r>
        <w:t xml:space="preserve"> </w:t>
      </w:r>
      <w:hyperlink w:anchor="eq-varianza-bloque">
        <w:r>
          <w:rPr>
            <w:rStyle w:val="Hipervnculo"/>
          </w:rPr>
          <w:t xml:space="preserve">Ecuación 3.9</w:t>
        </w:r>
      </w:hyperlink>
      <w:r>
        <w:t xml:space="preserve">:</w:t>
      </w:r>
    </w:p>
    <w:p>
      <w:pPr>
        <w:pStyle w:val="Textoindependiente"/>
        <w:spacing w:line="360" w:lineRule="auto"/>
        <w:jc w:val="both"/>
      </w:pPr>
      <w:bookmarkStart w:id="146" w:name="eq-varianza-bloque"/>
      <ns5:oMathPara>
        <ns5:oMathParaPr>
          <ns5:jc ns5:val="center"/>
        </ns5:oMathParaPr>
        <ns5:oMath>
          <ns5:r>
            <ns5:rPr>
              <ns5:nor/>
              <ns5:sty ns5:val="p"/>
            </ns5:rPr>
            <ns5:t>Var</ns5:t>
          </ns5:r>
          <ns5:r>
            <ns5:t>​</ns5:t>
          </ns5:r>
          <ns5:d>
            <ns5:dPr>
              <ns5:begChr ns5:val="("/>
              <ns5:sepChr ns5:val=""/>
              <ns5:endChr ns5:val=")"/>
              <ns5:grow/>
            </ns5:dPr>
            <ns5:e>
              <ns5:sSub>
                <ns5:e>
                  <ns5:acc>
                    <ns5:accPr>
                      <ns5:chr ns5:val="̂"/>
                    </ns5:accPr>
                    <ns5:e>
                      <ns5:r>
                        <ns5:t>μ</ns5:t>
                      </ns5:r>
                    </ns5:e>
                  </ns5:acc>
                </ns5:e>
                <ns5:sub>
                  <ns5:r>
                    <ns5:t>g</ns5:t>
                  </ns5:r>
                  <ns5:r>
                    <ns5:rPr>
                      <ns5:sty ns5:val="p"/>
                    </ns5:rPr>
                    <ns5:t>,</ns5:t>
                  </ns5:r>
                  <ns5:r>
                    <ns5:t>k</ns5:t>
                  </ns5:r>
                  <ns5:r>
                    <ns5:rPr>
                      <ns5:sty ns5:val="p"/>
                    </ns5:rPr>
                    <ns5:t>,</ns5:t>
                  </ns5:r>
                  <ns5:r>
                    <ns5:t>n</ns5:t>
                  </ns5:r>
                </ns5:sub>
              </ns5:sSub>
            </ns5:e>
          </ns5:d>
          <ns5:r>
            <ns5:rPr>
              <ns5:sty ns5:val="p"/>
            </ns5:rPr>
            <ns5:t>=</ns5:t>
          </ns5:r>
          <ns5:f>
            <ns5:fPr>
              <ns5:type ns5:val="bar"/>
            </ns5:fPr>
            <ns5:num>
              <ns5:sSubSup>
                <ns5:e>
                  <ns5:r>
                    <ns5:t>σ</ns5:t>
                  </ns5:r>
                </ns5:e>
                <ns5:sub>
                  <ns5:r>
                    <ns5:t>g</ns5:t>
                  </ns5:r>
                  <ns5:r>
                    <ns5:rPr>
                      <ns5:sty ns5:val="p"/>
                    </ns5:rPr>
                    <ns5:t>,</ns5:t>
                  </ns5:r>
                  <ns5:r>
                    <ns5:t>k</ns5:t>
                  </ns5:r>
                  <ns5:r>
                    <ns5:rPr>
                      <ns5:sty ns5:val="p"/>
                    </ns5:rPr>
                    <ns5:t>,</ns5:t>
                  </ns5:r>
                  <ns5:r>
                    <ns5:t>n</ns5:t>
                  </ns5:r>
                </ns5:sub>
                <ns5:sup>
                  <ns5:r>
                    <ns5:t>2</ns5:t>
                  </ns5:r>
                </ns5:sup>
              </ns5:sSubSup>
            </ns5:num>
            <ns5:den>
              <ns5:r>
                <ns5:t>r</ns5:t>
              </ns5:r>
            </ns5:den>
          </ns5:f>
          <ns5:r>
            <ns5:t>  </ns5:t>
          </ns5:r>
          <ns5:r>
            <ns5:rPr>
              <ns5:sty ns5:val="p"/>
            </ns5:rPr>
            <ns5:t>(</ns5:t>
          </ns5:r>
          <ns5:r>
            <ns5:t>3.9</ns5:t>
          </ns5:r>
          <ns5:r>
            <ns5:rPr>
              <ns5:sty ns5:val="p"/>
            </ns5:rPr>
            <ns5:t>)</ns5:t>
          </ns5:r>
        </ns5:oMath>
      </ns5:oMathPara>
      <w:bookmarkEnd w:id="146"/>
    </w:p>
    <w:p>
      <w:pPr>
        <w:pStyle w:val="FirstParagraph"/>
        <w:spacing w:line="360" w:lineRule="auto"/>
        <w:jc w:val="both"/>
      </w:pPr>
      <w:r>
        <w:t xml:space="preserve">Con</w:t>
      </w:r>
      <w:r>
        <w:t xml:space="preserve"> </w:t>
      </w:r>
      <ns5:oMath>
        <ns5:r>
          <ns5:t>r</ns5:t>
        </ns5:r>
        <ns5:r>
          <ns5:rPr>
            <ns5:sty ns5:val="p"/>
          </ns5:rPr>
          <ns5:t>=</ns5:t>
        </ns5:r>
        <ns5:r>
          <ns5:t>5</ns5:t>
        </ns5:r>
      </ns5:oMath>
      <w:r>
        <w:t xml:space="preserve"> </w:t>
      </w:r>
      <w:r>
        <w:t xml:space="preserve">planificados versus</w:t>
      </w:r>
      <w:r>
        <w:t xml:space="preserve"> </w:t>
      </w:r>
      <ns5:oMath>
        <ns5:r>
          <ns5:t>r</ns5:t>
        </ns5:r>
        <ns5:r>
          <ns5:rPr>
            <ns5:sty ns5:val="p"/>
          </ns5:rPr>
          <ns5:t>≈</ns5:t>
        </ns5:r>
        <ns5:r>
          <ns5:t>2.3</ns5:t>
        </ns5:r>
      </ns5:oMath>
      <w:r>
        <w:t xml:space="preserve"> </w:t>
      </w:r>
      <w:r>
        <w:t xml:space="preserve">observados, el error estándar</w:t>
      </w:r>
      <w:r>
        <w:t xml:space="preserve"> </w:t>
      </w:r>
      <w:r>
        <w:t xml:space="preserve">se infla por un factor de</w:t>
      </w:r>
      <w:r>
        <w:t xml:space="preserve"> </w:t>
      </w:r>
      <ns5:oMath>
        <ns5:rad>
          <ns5:radPr>
            <ns5:degHide ns5:val="on"/>
          </ns5:radPr>
          <ns5:deg/>
          <ns5:e>
            <ns5:r>
              <ns5:t>5</ns5:t>
            </ns5:r>
            <ns5:r>
              <ns5:rPr>
                <ns5:sty ns5:val="p"/>
              </ns5:rPr>
              <ns5:t>/</ns5:t>
            </ns5:r>
            <ns5:r>
              <ns5:t>2.3</ns5:t>
            </ns5:r>
          </ns5:e>
        </ns5:rad>
        <ns5:r>
          <ns5:rPr>
            <ns5:sty ns5:val="p"/>
          </ns5:rPr>
          <ns5:t>≈</ns5:t>
        </ns5:r>
        <ns5:r>
          <ns5:t>1.47</ns5:t>
        </ns5:r>
      </ns5:oMath>
      <w:r>
        <w:t xml:space="preserve"> </w:t>
      </w:r>
      <w:r>
        <w:t xml:space="preserve">(incremento del 47%).</w:t>
      </w:r>
      <w:r>
        <w:t xml:space="preserve"> </w:t>
      </w:r>
      <w:r>
        <w:t xml:space="preserve">Este incremento amplía los intervalos de confianza de las medias de Anchors</w:t>
      </w:r>
      <w:r>
        <w:t xml:space="preserve"> </w:t>
      </w:r>
      <w:r>
        <w:t xml:space="preserve">en esos bloques, pero no invalida el test de Friedman por tres razones: (i)</w:t>
      </w:r>
      <w:r>
        <w:t xml:space="preserve"> </w:t>
      </w:r>
      <w:r>
        <w:t xml:space="preserve">el test de Friedman es un procedimiento de rangos, robusto a la inflación de</w:t>
      </w:r>
      <w:r>
        <w:t xml:space="preserve"> </w:t>
      </w:r>
      <w:r>
        <w:t xml:space="preserve">varianza en bloques individuales; (ii) los estadísticos de Friedman del</w:t>
      </w:r>
      <w:r>
        <w:t xml:space="preserve"> </w:t>
      </w:r>
      <w:r>
        <w:t xml:space="preserve">estudio omnibus superan</w:t>
      </w:r>
      <w:r>
        <w:t xml:space="preserve"> </w:t>
      </w:r>
      <ns5:oMath>
        <ns5:sSup>
          <ns5:e>
            <ns5:r>
              <ns5:t>χ</ns5:t>
            </ns5:r>
          </ns5:e>
          <ns5:sup>
            <ns5:r>
              <ns5:t>2</ns5:t>
            </ns5:r>
          </ns5:sup>
        </ns5:sSup>
        <ns5:r>
          <ns5:rPr>
            <ns5:sty ns5:val="p"/>
          </ns5:rPr>
          <ns5:t>=</ns5:t>
        </ns5:r>
        <ns5:r>
          <ns5:t>30.44</ns5:t>
        </ns5:r>
      </ns5:oMath>
      <w:r>
        <w:t xml:space="preserve"> </w:t>
      </w:r>
      <w:r>
        <w:t xml:space="preserve">en todas las métricas, muy por</w:t>
      </w:r>
      <w:r>
        <w:t xml:space="preserve"> </w:t>
      </w:r>
      <w:r>
        <w:t xml:space="preserve">encima del umbral crítico</w:t>
      </w:r>
      <w:r>
        <w:t xml:space="preserve"> </w:t>
      </w:r>
      <ns5:oMath>
        <ns5:sSubSup>
          <ns5:e>
            <ns5:r>
              <ns5:t>χ</ns5:t>
            </ns5:r>
          </ns5:e>
          <ns5:sub>
            <ns5:r>
              <ns5:t>0.05</ns5:t>
            </ns5:r>
            <ns5:r>
              <ns5:rPr>
                <ns5:sty ns5:val="p"/>
              </ns5:rPr>
              <ns5:t>,</ns5:t>
            </ns5:r>
            <ns5:r>
              <ns5:t>3</ns5:t>
            </ns5:r>
          </ns5:sub>
          <ns5:sup>
            <ns5:r>
              <ns5:t>2</ns5:t>
            </ns5:r>
          </ns5:sup>
        </ns5:sSubSup>
        <ns5:r>
          <ns5:rPr>
            <ns5:sty ns5:val="p"/>
          </ns5:rPr>
          <ns5:t>=</ns5:t>
        </ns5:r>
        <ns5:r>
          <ns5:t>7.81</ns5:t>
        </ns5:r>
      </ns5:oMath>
      <w:r>
        <w:t xml:space="preserve">; (iii) el margen de seguridad para</w:t>
      </w:r>
      <w:r>
        <w:t xml:space="preserve"> </w:t>
      </w:r>
      <w:r>
        <w:t xml:space="preserve">la métrica con menor estadístico (Coste) es el de la</w:t>
      </w:r>
      <w:r>
        <w:t xml:space="preserve"> </w:t>
      </w:r>
      <w:hyperlink w:anchor="eq-margen-coste">
        <w:r>
          <w:rPr>
            <w:rStyle w:val="Hipervnculo"/>
          </w:rPr>
          <w:t xml:space="preserve">Ecuación 3.10</w:t>
        </w:r>
      </w:hyperlink>
      <w:r>
        <w:t xml:space="preserve">:</w:t>
      </w:r>
    </w:p>
    <w:p>
      <w:pPr>
        <w:pStyle w:val="Textoindependiente"/>
        <w:spacing w:line="360" w:lineRule="auto"/>
        <w:jc w:val="both"/>
      </w:pPr>
      <w:bookmarkStart w:id="147" w:name="eq-margen-coste"/>
      <ns5:oMathPara>
        <ns5:oMathParaPr>
          <ns5:jc ns5:val="center"/>
        </ns5:oMathParaPr>
        <ns5:oMath>
          <ns5:r>
            <ns5:rPr>
              <ns5:nor/>
              <ns5:sty ns5:val="p"/>
            </ns5:rPr>
            <ns5:t>Margen</ns5:t>
          </ns5:r>
          <ns5:r>
            <ns5:rPr>
              <ns5:sty ns5:val="p"/>
            </ns5:rPr>
            <ns5:t>=</ns5:t>
          </ns5:r>
          <ns5:f>
            <ns5:fPr>
              <ns5:type ns5:val="bar"/>
            </ns5:fPr>
            <ns5:num>
              <ns5:r>
                <ns5:t>30.44</ns5:t>
              </ns5:r>
              <ns5:r>
                <ns5:rPr>
                  <ns5:sty ns5:val="p"/>
                </ns5:rPr>
                <ns5:t>−</ns5:t>
              </ns5:r>
              <ns5:r>
                <ns5:t>7.81</ns5:t>
              </ns5:r>
            </ns5:num>
            <ns5:den>
              <ns5:r>
                <ns5:t>7.81</ns5:t>
              </ns5:r>
            </ns5:den>
          </ns5:f>
          <ns5:r>
            <ns5:rPr>
              <ns5:sty ns5:val="p"/>
            </ns5:rPr>
            <ns5:t>×</ns5:t>
          </ns5:r>
          <ns5:r>
            <ns5:t>100</ns5:t>
          </ns5:r>
          <ns5:r>
            <ns5:rPr>
              <ns5:sty ns5:val="p"/>
            </ns5:rPr>
            <ns5:t>%</ns5:t>
          </ns5:r>
          <ns5:r>
            <ns5:rPr>
              <ns5:sty ns5:val="p"/>
            </ns5:rPr>
            <ns5:t>=</ns5:t>
          </ns5:r>
          <ns5:r>
            <ns5:t>290</ns5:t>
          </ns5:r>
          <ns5:r>
            <ns5:rPr>
              <ns5:sty ns5:val="p"/>
            </ns5:rPr>
            <ns5:t>%</ns5:t>
          </ns5:r>
          <ns5:r>
            <ns5:t>  </ns5:t>
          </ns5:r>
          <ns5:r>
            <ns5:rPr>
              <ns5:sty ns5:val="p"/>
            </ns5:rPr>
            <ns5:t>(</ns5:t>
          </ns5:r>
          <ns5:r>
            <ns5:t>3.10</ns5:t>
          </ns5:r>
          <ns5:r>
            <ns5:rPr>
              <ns5:sty ns5:val="p"/>
            </ns5:rPr>
            <ns5:t>)</ns5:t>
          </ns5:r>
        </ns5:oMath>
      </ns5:oMathPara>
      <w:bookmarkEnd w:id="147"/>
    </w:p>
    <w:p>
      <w:pPr>
        <w:pStyle w:val="FirstParagraph"/>
        <w:spacing w:line="360" w:lineRule="auto"/>
        <w:jc w:val="both"/>
      </w:pPr>
      <w:r>
        <w:t xml:space="preserve">Para acotar el margen de forma explícita se aplica una prueba de esfuerzo</w:t>
      </w:r>
      <w:r>
        <w:t xml:space="preserve"> </w:t>
      </w:r>
      <w:r>
        <w:t xml:space="preserve">deliberadamente severa sobre la métrica menos favorable: se divide por dos el</w:t>
      </w:r>
      <w:r>
        <w:t xml:space="preserve"> </w:t>
      </w:r>
      <w:r>
        <w:t xml:space="preserve">estadístico observado de Coste, una degradación que excede con holgura la</w:t>
      </w:r>
      <w:r>
        <w:t xml:space="preserve"> </w:t>
      </w:r>
      <w:r>
        <w:t xml:space="preserve">inflación de varianza calculada de 1.47. El resultado sigue siendo significativo (</w:t>
      </w:r>
      <w:hyperlink w:anchor="eq-prueba-esfuerzo">
        <w:r>
          <w:rPr>
            <w:rStyle w:val="Hipervnculo"/>
          </w:rPr>
          <w:t xml:space="preserve">Ecuación 3.11</w:t>
        </w:r>
      </w:hyperlink>
      <w:r>
        <w:t xml:space="preserve">):</w:t>
      </w:r>
    </w:p>
    <w:p>
      <w:pPr>
        <w:pStyle w:val="Textoindependiente"/>
        <w:spacing w:line="360" w:lineRule="auto"/>
        <w:jc w:val="both"/>
      </w:pPr>
      <w:bookmarkStart w:id="148" w:name="eq-prueba-esfuerzo"/>
      <ns5:oMathPara>
        <ns5:oMathParaPr>
          <ns5:jc ns5:val="center"/>
        </ns5:oMathParaPr>
        <ns5:oMath>
          <ns5:sSubSup>
            <ns5:e>
              <ns5:r>
                <ns5:t>χ</ns5:t>
              </ns5:r>
            </ns5:e>
            <ns5:sub>
              <ns5:r>
                <ns5:rPr>
                  <ns5:nor/>
                  <ns5:sty ns5:val="p"/>
                </ns5:rPr>
                <ns5:t>estrés</ns5:t>
              </ns5:r>
            </ns5:sub>
            <ns5:sup>
              <ns5:r>
                <ns5:t>2</ns5:t>
              </ns5:r>
            </ns5:sup>
          </ns5:sSubSup>
          <ns5:r>
            <ns5:rPr>
              <ns5:sty ns5:val="p"/>
            </ns5:rPr>
            <ns5:t>=</ns5:t>
          </ns5:r>
          <ns5:f>
            <ns5:fPr>
              <ns5:type ns5:val="bar"/>
            </ns5:fPr>
            <ns5:num>
              <ns5:r>
                <ns5:t>30.44</ns5:t>
              </ns5:r>
            </ns5:num>
            <ns5:den>
              <ns5:r>
                <ns5:t>2</ns5:t>
              </ns5:r>
            </ns5:den>
          </ns5:f>
          <ns5:r>
            <ns5:rPr>
              <ns5:sty ns5:val="p"/>
            </ns5:rPr>
            <ns5:t>=</ns5:t>
          </ns5:r>
          <ns5:r>
            <ns5:t>15.22</ns5:t>
          </ns5:r>
          <ns5:r>
            <ns5:t> </ns5:t>
          </ns5:r>
          <ns5:r>
            <ns5:rPr>
              <ns5:sty ns5:val="p"/>
            </ns5:rPr>
            <ns5:t>⇒</ns5:t>
          </ns5:r>
          <ns5:r>
            <ns5:t> </ns5:t>
          </ns5:r>
          <ns5:r>
            <ns5:t>p</ns5:t>
          </ns5:r>
          <ns5:r>
            <ns5:rPr>
              <ns5:sty ns5:val="p"/>
            </ns5:rPr>
            <ns5:t>=</ns5:t>
          </ns5:r>
          <ns5:r>
            <ns5:t>P</ns5:t>
          </ns5:r>
          <ns5:r>
            <ns5:t>​</ns5:t>
          </ns5:r>
          <ns5:d>
            <ns5:dPr>
              <ns5:begChr ns5:val="("/>
              <ns5:sepChr ns5:val=""/>
              <ns5:endChr ns5:val=")"/>
              <ns5:grow/>
            </ns5:dPr>
            <ns5:e>
              <ns5:sSubSup>
                <ns5:e>
                  <ns5:r>
                    <ns5:t>χ</ns5:t>
                  </ns5:r>
                </ns5:e>
                <ns5:sub>
                  <ns5:r>
                    <ns5:t>3</ns5:t>
                  </ns5:r>
                </ns5:sub>
                <ns5:sup>
                  <ns5:r>
                    <ns5:t>2</ns5:t>
                  </ns5:r>
                </ns5:sup>
              </ns5:sSubSup>
              <ns5:r>
                <ns5:rPr>
                  <ns5:sty ns5:val="p"/>
                </ns5:rPr>
                <ns5:t>&gt;</ns5:t>
              </ns5:r>
              <ns5:r>
                <ns5:t>15.22</ns5:t>
              </ns5:r>
            </ns5:e>
          </ns5:d>
          <ns5:r>
            <ns5:rPr>
              <ns5:sty ns5:val="p"/>
            </ns5:rPr>
            <ns5:t>=</ns5:t>
          </ns5:r>
          <ns5:r>
            <ns5:t>0.0016</ns5:t>
          </ns5:r>
          <ns5:r>
            <ns5:rPr>
              <ns5:sty ns5:val="p"/>
            </ns5:rPr>
            <ns5:t>&lt;</ns5:t>
          </ns5:r>
          <ns5:r>
            <ns5:t>0.05</ns5:t>
          </ns5:r>
          <ns5:r>
            <ns5:t>  </ns5:t>
          </ns5:r>
          <ns5:r>
            <ns5:rPr>
              <ns5:sty ns5:val="p"/>
            </ns5:rPr>
            <ns5:t>(</ns5:t>
          </ns5:r>
          <ns5:r>
            <ns5:t>3.11</ns5:t>
          </ns5:r>
          <ns5:r>
            <ns5:rPr>
              <ns5:sty ns5:val="p"/>
            </ns5:rPr>
            <ns5:t>)</ns5:t>
          </ns5:r>
        </ns5:oMath>
      </ns5:oMathPara>
      <w:bookmarkEnd w:id="148"/>
    </w:p>
    <w:p>
      <w:pPr>
        <w:pStyle w:val="FirstParagraph"/>
        <w:spacing w:line="360" w:lineRule="auto"/>
        <w:jc w:val="both"/>
      </w:pPr>
      <w:r>
        <w:t xml:space="preserve">Conviene precisar qué operación es esta y qué no es. Dividir el estadístico por</w:t>
      </w:r>
      <w:r>
        <w:t xml:space="preserve"> </w:t>
      </w:r>
      <w:r>
        <w:t xml:space="preserve">dos no equivale a una reducción del poder del 50%: es una degradación directa de</w:t>
      </w:r>
      <w:r>
        <w:t xml:space="preserve"> </w:t>
      </w:r>
      <w:r>
        <w:t xml:space="preserve">la evidencia observada, aplicada como cota inferior conservadora. Bajo la</w:t>
      </w:r>
      <w:r>
        <w:t xml:space="preserve"> </w:t>
      </w:r>
      <w:r>
        <w:t xml:space="preserve">interpretación alternativa —reducir a la mitad el parámetro de no centralidad</w:t>
      </w:r>
      <w:r>
        <w:t xml:space="preserve"> </w:t>
      </w:r>
      <ns5:oMath>
        <ns5:r>
          <ns5:t>λ</ns5:t>
        </ns5:r>
        <ns5:r>
          <ns5:rPr>
            <ns5:sty ns5:val="p"/>
          </ns5:rPr>
          <ns5:t>=</ns5:t>
        </ns5:r>
        <ns5:sSubSup>
          <ns5:e>
            <ns5:r>
              <ns5:t>χ</ns5:t>
            </ns5:r>
          </ns5:e>
          <ns5:sub>
            <ns5:r>
              <ns5:t>F</ns5:t>
            </ns5:r>
          </ns5:sub>
          <ns5:sup>
            <ns5:r>
              <ns5:t>2</ns5:t>
            </ns5:r>
          </ns5:sup>
        </ns5:sSubSup>
        <ns5:r>
          <ns5:rPr>
            <ns5:sty ns5:val="p"/>
          </ns5:rPr>
          <ns5:t>−</ns5:t>
        </ns5:r>
        <ns5:r>
          <ns5:t>g</ns5:t>
        </ns5:r>
        <ns5:r>
          <ns5:t>l</ns5:t>
        </ns5:r>
        <ns5:r>
          <ns5:rPr>
            <ns5:sty ns5:val="p"/>
          </ns5:rPr>
          <ns5:t>=</ns5:t>
        </ns5:r>
        <ns5:r>
          <ns5:t>27.44</ns5:t>
        </ns5:r>
      </ns5:oMath>
      <w:r>
        <w:t xml:space="preserve">, de modo que</w:t>
      </w:r>
      <w:r>
        <w:t xml:space="preserve"> </w:t>
      </w:r>
      <ns5:oMath>
        <ns5:r>
          <ns5:rPr>
            <ns5:scr ns5:val="double-struck"/>
            <ns5:sty ns5:val="p"/>
          </ns5:rPr>
          <ns5:t>E</ns5:t>
        </ns5:r>
        <ns5:r>
          <ns5:rPr>
            <ns5:sty ns5:val="p"/>
          </ns5:rPr>
          <ns5:t>[</ns5:t>
        </ns5:r>
        <ns5:sSup>
          <ns5:e>
            <ns5:r>
              <ns5:t>χ</ns5:t>
            </ns5:r>
          </ns5:e>
          <ns5:sup>
            <ns5:r>
              <ns5:t>2</ns5:t>
            </ns5:r>
          </ns5:sup>
        </ns5:sSup>
        <ns5:r>
          <ns5:rPr>
            <ns5:sty ns5:val="p"/>
          </ns5:rPr>
          <ns5:t>]</ns5:t>
        </ns5:r>
        <ns5:r>
          <ns5:rPr>
            <ns5:sty ns5:val="p"/>
          </ns5:rPr>
          <ns5:t>=</ns5:t>
        </ns5:r>
        <ns5:r>
          <ns5:t>g</ns5:t>
        </ns5:r>
        <ns5:r>
          <ns5:t>l</ns5:t>
        </ns5:r>
        <ns5:r>
          <ns5:rPr>
            <ns5:sty ns5:val="p"/>
          </ns5:rPr>
          <ns5:t>+</ns5:t>
        </ns5:r>
        <ns5:r>
          <ns5:t>λ</ns5:t>
        </ns5:r>
        <ns5:r>
          <ns5:rPr>
            <ns5:sty ns5:val="p"/>
          </ns5:rPr>
          <ns5:t>/</ns5:t>
        </ns5:r>
        <ns5:r>
          <ns5:t>2</ns5:t>
        </ns5:r>
        <ns5:r>
          <ns5:rPr>
            <ns5:sty ns5:val="p"/>
          </ns5:rPr>
          <ns5:t>=</ns5:t>
        </ns5:r>
        <ns5:r>
          <ns5:t>16.72</ns5:t>
        </ns5:r>
      </ns5:oMath>
      <w:r>
        <w:t xml:space="preserve">— la conclusión es todavía más holgada (</w:t>
      </w:r>
      <ns5:oMath>
        <ns5:r>
          <ns5:t>p</ns5:t>
        </ns5:r>
        <ns5:r>
          <ns5:rPr>
            <ns5:sty ns5:val="p"/>
          </ns5:rPr>
          <ns5:t>=</ns5:t>
        </ns5:r>
        <ns5:r>
          <ns5:t>0.0008</ns5:t>
        </ns5:r>
      </ns5:oMath>
      <w:r>
        <w:t xml:space="preserve">). Ambas</w:t>
      </w:r>
      <w:r>
        <w:t xml:space="preserve"> </w:t>
      </w:r>
      <w:r>
        <w:t xml:space="preserve">lecturas dejan el estadístico por encima del umbral crítico</w:t>
      </w:r>
      <w:r>
        <w:t xml:space="preserve"> </w:t>
      </w:r>
      <ns5:oMath>
        <ns5:sSubSup>
          <ns5:e>
            <ns5:r>
              <ns5:t>χ</ns5:t>
            </ns5:r>
          </ns5:e>
          <ns5:sub>
            <ns5:r>
              <ns5:t>0.05</ns5:t>
            </ns5:r>
            <ns5:r>
              <ns5:rPr>
                <ns5:sty ns5:val="p"/>
              </ns5:rPr>
              <ns5:t>,</ns5:t>
            </ns5:r>
            <ns5:r>
              <ns5:t>3</ns5:t>
            </ns5:r>
          </ns5:sub>
          <ns5:sup>
            <ns5:r>
              <ns5:t>2</ns5:t>
            </ns5:r>
          </ns5:sup>
        </ns5:sSubSup>
        <ns5:r>
          <ns5:rPr>
            <ns5:sty ns5:val="p"/>
          </ns5:rPr>
          <ns5:t>=</ns5:t>
        </ns5:r>
        <ns5:r>
          <ns5:t>7.815</ns5:t>
        </ns5:r>
      </ns5:oMath>
      <w:r>
        <w:t xml:space="preserve">, de modo que la significación de Coste no depende de</w:t>
      </w:r>
      <w:r>
        <w:t xml:space="preserve"> </w:t>
      </w:r>
      <w:r>
        <w:t xml:space="preserve">cuál de las dos se adopte.</w:t>
      </w:r>
    </w:p>
    <w:p>
      <w:pPr>
        <w:pStyle w:val="Textoindependiente"/>
        <w:spacing w:line="360" w:lineRule="auto"/>
        <w:jc w:val="both"/>
      </w:pPr>
      <w:r>
        <w:rPr>
          <w:b/>
          <w:bCs/>
        </w:rPr>
        <w:t xml:space="preserve">Integridad del Estudio Pareado LIME–SHAP.</w:t>
      </w:r>
      <w:r>
        <w:t xml:space="preserve"> </w:t>
      </w:r>
      <w:r>
        <w:t xml:space="preserve">Con cobertura completa de</w:t>
      </w:r>
      <w:r>
        <w:t xml:space="preserve"> </w:t>
      </w:r>
      <w:r>
        <w:t xml:space="preserve">SHAP (75/75) y LIME (75/75), su cobertura pareada es del 100%. Los datos</w:t>
      </w:r>
      <w:r>
        <w:t xml:space="preserve"> </w:t>
      </w:r>
      <w:r>
        <w:t xml:space="preserve">faltantes de Anchors y DiCE</w:t>
      </w:r>
      <w:r>
        <w:t xml:space="preserve"> </w:t>
      </w:r>
      <w:r>
        <w:rPr>
          <w:b/>
          <w:bCs/>
        </w:rPr>
        <w:t xml:space="preserve">no afectan</w:t>
      </w:r>
      <w:r>
        <w:t xml:space="preserve"> </w:t>
      </w:r>
      <w:r>
        <w:t xml:space="preserve">a este estudio.</w:t>
      </w:r>
    </w:p>
    <w:p>
      <w:pPr>
        <w:pStyle w:val="Textoindependiente"/>
        <w:spacing w:line="360" w:lineRule="auto"/>
        <w:jc w:val="both"/>
      </w:pPr>
      <w:r>
        <w:rPr>
          <w:b/>
          <w:bCs/>
        </w:rPr>
        <w:t xml:space="preserve">Dirección del sesgo de selección en Anchors.</w:t>
      </w:r>
      <w:r>
        <w:t xml:space="preserve"> </w:t>
      </w:r>
      <w:r>
        <w:t xml:space="preserve">El análisis anterior cuantifica</w:t>
      </w:r>
      <w:r>
        <w:t xml:space="preserve"> </w:t>
      </w:r>
      <w:r>
        <w:t xml:space="preserve">el efecto de la cobertura reducida sobre la</w:t>
      </w:r>
      <w:r>
        <w:t xml:space="preserve"> </w:t>
      </w:r>
      <w:r>
        <w:rPr>
          <w:i/>
          <w:iCs/>
        </w:rPr>
        <w:t xml:space="preserve">varianza</w:t>
      </w:r>
      <w:r>
        <w:t xml:space="preserve"> </w:t>
      </w:r>
      <w:r>
        <w:t xml:space="preserve">de los estimadores, pero</w:t>
      </w:r>
      <w:r>
        <w:t xml:space="preserve"> </w:t>
      </w:r>
      <w:r>
        <w:t xml:space="preserve">la ausencia de datos en Anchors no es aleatoria y exige además una consideración</w:t>
      </w:r>
      <w:r>
        <w:t xml:space="preserve"> </w:t>
      </w:r>
      <w:r>
        <w:t xml:space="preserve">sobre el</w:t>
      </w:r>
      <w:r>
        <w:t xml:space="preserve"> </w:t>
      </w:r>
      <w:r>
        <w:rPr>
          <w:i/>
          <w:iCs/>
        </w:rPr>
        <w:t xml:space="preserve">sesgo</w:t>
      </w:r>
      <w:r>
        <w:t xml:space="preserve">. Las 18 celdas ausentes lo están porque el algoritmo no</w:t>
      </w:r>
      <w:r>
        <w:t xml:space="preserve"> </w:t>
      </w:r>
      <w:r>
        <w:t xml:space="preserve">convergió a una regla con precisión</w:t>
      </w:r>
      <w:r>
        <w:t xml:space="preserve"> </w:t>
      </w:r>
      <ns5:oMath>
        <ns5:r>
          <ns5:rPr>
            <ns5:sty ns5:val="p"/>
          </ns5:rPr>
          <ns5:t>≥</ns5:t>
        </ns5:r>
        <ns5:r>
          <ns5:t>τ</ns5:t>
        </ns5:r>
      </ns5:oMath>
      <w:r>
        <w:t xml:space="preserve"> </w:t>
      </w:r>
      <w:r>
        <w:t xml:space="preserve">dentro del límite de búsqueda:</w:t>
      </w:r>
      <w:r>
        <w:t xml:space="preserve"> </w:t>
      </w:r>
      <w:r>
        <w:t xml:space="preserve">la ausencia depende del resultado que se habría observado, es decir, es</w:t>
      </w:r>
      <w:r>
        <w:t xml:space="preserve"> </w:t>
      </w:r>
      <w:r>
        <w:rPr>
          <w:i/>
          <w:iCs/>
        </w:rPr>
        <w:t xml:space="preserve">missing not at random</w:t>
      </w:r>
      <w:r>
        <w:t xml:space="preserve"> </w:t>
      </w:r>
      <w:r>
        <w:t xml:space="preserve">(MNAR) y se concentra en los estratos de mayor</w:t>
      </w:r>
      <w:r>
        <w:t xml:space="preserve"> </w:t>
      </w:r>
      <w:r>
        <w:t xml:space="preserve">incertidumbre local, precisamente aquellos en los que Anchors habría obtenido</w:t>
      </w:r>
      <w:r>
        <w:t xml:space="preserve"> </w:t>
      </w:r>
      <w:r>
        <w:t xml:space="preserve">previsiblemente sus peores métricas. La consecuencia es direccional: las medias</w:t>
      </w:r>
      <w:r>
        <w:t xml:space="preserve"> </w:t>
      </w:r>
      <w:r>
        <w:t xml:space="preserve">de calidad reportadas para Anchors son, con toda probabilidad,</w:t>
      </w:r>
      <w:r>
        <w:t xml:space="preserve"> </w:t>
      </w:r>
      <w:r>
        <w:rPr>
          <w:b/>
          <w:bCs/>
        </w:rPr>
        <w:t xml:space="preserve">optimistas</w:t>
      </w:r>
      <w:r>
        <w:t xml:space="preserve"> </w:t>
      </w:r>
      <w:r>
        <w:t xml:space="preserve">respecto a su rendimiento sobre el conjunto completo de celdas intentadas.</w:t>
      </w:r>
    </w:p>
    <w:p>
      <w:pPr>
        <w:pStyle w:val="Textoindependiente"/>
        <w:spacing w:line="360" w:lineRule="auto"/>
        <w:jc w:val="both"/>
      </w:pPr>
      <w:r>
        <w:t xml:space="preserve">El análisis de sensibilidad al umbral (</w:t>
      </w:r>
      <w:hyperlink w:anchor="tbl-appendix-anchors-sensitivity">
        <w:r>
          <w:rPr>
            <w:rStyle w:val="Hipervnculo"/>
          </w:rPr>
          <w:t xml:space="preserve">Tabla 7.10</w:t>
        </w:r>
      </w:hyperlink>
      <w:r>
        <w:t xml:space="preserve">) ofrece</w:t>
      </w:r>
      <w:r>
        <w:t xml:space="preserve"> </w:t>
      </w:r>
      <w:r>
        <w:t xml:space="preserve">una estimación empírica de la magnitud de este efecto. Al relajar</w:t>
      </w:r>
      <w:r>
        <w:t xml:space="preserve"> </w:t>
      </w:r>
      <ns5:oMath>
        <ns5:r>
          <ns5:t>τ</ns5:t>
        </ns5:r>
      </ns5:oMath>
      <w:r>
        <w:t xml:space="preserve"> </w:t>
      </w:r>
      <w:r>
        <w:t xml:space="preserve">de 0.95</w:t>
      </w:r>
      <w:r>
        <w:t xml:space="preserve"> </w:t>
      </w:r>
      <w:r>
        <w:t xml:space="preserve">a 0.90, la cobertura asciende de 57/75 (76%) a 72/75 (96%) y la fidelidad media</w:t>
      </w:r>
      <w:r>
        <w:t xml:space="preserve"> </w:t>
      </w:r>
      <w:r>
        <w:rPr>
          <w:i/>
          <w:iCs/>
        </w:rPr>
        <w:t xml:space="preserve">aumenta</w:t>
      </w:r>
      <w:r>
        <w:t xml:space="preserve"> </w:t>
      </w:r>
      <w:r>
        <w:t xml:space="preserve">de 0.386 a 0.421 —no disminuye—, lo que confirma que las celdas</w:t>
      </w:r>
      <w:r>
        <w:t xml:space="preserve"> </w:t>
      </w:r>
      <w:r>
        <w:t xml:space="preserve">recuperadas al relajar el criterio no son las de peor calidad bajo la métrica de</w:t>
      </w:r>
      <w:r>
        <w:t xml:space="preserve"> </w:t>
      </w:r>
      <w:r>
        <w:t xml:space="preserve">correlación de importancias, sino que el umbral y la métrica de fidelidad no</w:t>
      </w:r>
      <w:r>
        <w:t xml:space="preserve"> </w:t>
      </w:r>
      <w:r>
        <w:t xml:space="preserve">están alineados. El sesgo existe, por tanto, pero su magnitud es moderada y su</w:t>
      </w:r>
      <w:r>
        <w:t xml:space="preserve"> </w:t>
      </w:r>
      <w:r>
        <w:t xml:space="preserve">dirección no invalida la posición de Anchors en el ordenamiento: el método ya</w:t>
      </w:r>
      <w:r>
        <w:t xml:space="preserve"> </w:t>
      </w:r>
      <w:r>
        <w:t xml:space="preserve">ocupa la tercera o cuarta posición incluso bajo esta estimación potencialmente</w:t>
      </w:r>
      <w:r>
        <w:t xml:space="preserve"> </w:t>
      </w:r>
      <w:r>
        <w:t xml:space="preserve">favorable. Esta consideración refuerza —no debilita— la cautela con la que el</w:t>
      </w:r>
      <w:r>
        <w:t xml:space="preserve"> </w:t>
      </w:r>
      <w:r>
        <w:t xml:space="preserve">Capítulo 7 recomienda el uso de Anchors.</w:t>
      </w:r>
    </w:p>
    <w:p>
      <w:pPr>
        <w:pStyle w:val="Textoindependiente"/>
        <w:spacing w:line="360" w:lineRule="auto"/>
        <w:jc w:val="both"/>
      </w:pPr>
      <w:r>
        <w:rPr>
          <w:b/>
          <w:bCs/>
        </w:rPr>
        <w:t xml:space="preserve">Conclusión.</w:t>
      </w:r>
      <w:r>
        <w:t xml:space="preserve"> </w:t>
      </w:r>
      <w:r>
        <w:t xml:space="preserve">El impacto estadístico de los 25 artefactos analíticamente</w:t>
      </w:r>
      <w:r>
        <w:t xml:space="preserve"> </w:t>
      </w:r>
      <w:r>
        <w:t xml:space="preserve">ausentes es mínimo: los tests de Friedman permanecen significativos con</w:t>
      </w:r>
      <w:r>
        <w:t xml:space="preserve"> </w:t>
      </w:r>
      <w:r>
        <w:t xml:space="preserve">márgenes de seguridad</w:t>
      </w:r>
      <w:r>
        <w:t xml:space="preserve"> </w:t>
      </w:r>
      <ns5:oMath>
        <ns5:r>
          <ns5:rPr>
            <ns5:sty ns5:val="p"/>
          </ns5:rPr>
          <ns5:t>≥</ns5:t>
        </ns5:r>
        <ns5:r>
          <ns5:t>290</ns5:t>
        </ns5:r>
        <ns5:r>
          <ns5:rPr>
            <ns5:sty ns5:val="p"/>
          </ns5:rPr>
          <ns5:t>%</ns5:t>
        </ns5:r>
      </ns5:oMath>
      <w:r>
        <w:t xml:space="preserve">, el Estudio Pareado LIME–SHAP tiene</w:t>
      </w:r>
      <w:r>
        <w:t xml:space="preserve"> </w:t>
      </w:r>
      <w:r>
        <w:t xml:space="preserve">cobertura completa, y la única limitación real son los intervalos de confianza</w:t>
      </w:r>
      <w:r>
        <w:t xml:space="preserve"> </w:t>
      </w:r>
      <w:r>
        <w:t xml:space="preserve">de Anchors en los bloques</w:t>
      </w:r>
      <w:r>
        <w:t xml:space="preserve"> </w:t>
      </w:r>
      <w:r>
        <w:rPr>
          <w:rStyle w:val="VerbatimChar"/>
        </w:rPr>
        <w:t xml:space="preserve">logreg</w:t>
      </w:r>
      <w:r>
        <w:t xml:space="preserve"> </w:t>
      </w:r>
      <w:r>
        <w:t xml:space="preserve">y</w:t>
      </w:r>
      <w:r>
        <w:t xml:space="preserve"> </w:t>
      </w:r>
      <w:r>
        <w:rPr>
          <w:rStyle w:val="VerbatimChar"/>
        </w:rPr>
        <w:t xml:space="preserve">mlp</w:t>
      </w:r>
      <w:r>
        <w:t xml:space="preserve">. Esta limitación se registra como</w:t>
      </w:r>
      <w:r>
        <w:t xml:space="preserve"> </w:t>
      </w:r>
      <w:r>
        <w:t xml:space="preserve">caveat explícito en la interpretación de los resultados del Capítulo 4.</w:t>
      </w:r>
    </w:p>
    <w:bookmarkEnd w:id="149"/>
    <w:bookmarkEnd w:id="150"/>
    <w:bookmarkStart w:id="164" w:name="plan-de-inferencia-estadística"/>
    <w:p>
      <w:pPr>
        <w:pStyle w:val="Ttulo2"/>
        <w:spacing w:line="360" w:lineRule="auto"/>
        <w:jc w:val="both"/>
      </w:pPr>
      <w:r>
        <w:t xml:space="preserve">3.8 </w:t>
      </w:r>
      <w:r>
        <w:t xml:space="preserve">Plan de inferencia estadística</w:t>
      </w:r>
    </w:p>
    <w:bookmarkStart w:id="154" w:name="Xb1cf6929af397b34ac8b341602720570fd1cf16"/>
    <w:p>
      <w:pPr>
        <w:pStyle w:val="Ttulo3"/>
        <w:spacing w:line="360" w:lineRule="auto"/>
        <w:jc w:val="both"/>
      </w:pPr>
      <w:r>
        <w:t xml:space="preserve">3.8.1 </w:t>
      </w:r>
      <w:r>
        <w:t xml:space="preserve">Estudio Omnibus Multimétrico: test omnibus de Friedman</w:t>
      </w:r>
    </w:p>
    <w:p>
      <w:pPr>
        <w:pStyle w:val="FirstParagraph"/>
        <w:spacing w:line="360" w:lineRule="auto"/>
        <w:jc w:val="both"/>
      </w:pPr>
      <w:r>
        <w:t xml:space="preserve">Para contrastar H1 y H2, se aplica el test de Friedman</w:t>
      </w:r>
      <w:r>
        <w:t xml:space="preserve"> </w:t>
      </w:r>
      <w:r>
        <w:t xml:space="preserve">(Friedman 1937)</w:t>
      </w:r>
      <w:r>
        <w:t xml:space="preserve"> </w:t>
      </w:r>
      <w:r>
        <w:t xml:space="preserve">sobre los</w:t>
      </w:r>
      <w:r>
        <w:t xml:space="preserve"> </w:t>
      </w:r>
      <ns5:oMath>
        <ns5:r>
          <ns5:t>B</ns5:t>
        </ns5:r>
        <ns5:r>
          <ns5:rPr>
            <ns5:sty ns5:val="p"/>
          </ns5:rPr>
          <ns5:t>=</ns5:t>
        </ns5:r>
        <ns5:r>
          <ns5:t>15</ns5:t>
        </ns5:r>
      </ns5:oMath>
      <w:r>
        <w:t xml:space="preserve"> </w:t>
      </w:r>
      <w:r>
        <w:t xml:space="preserve">bloques completos con</w:t>
      </w:r>
      <w:r>
        <w:t xml:space="preserve"> </w:t>
      </w:r>
      <ns5:oMath>
        <ns5:r>
          <ns5:t>k</ns5:t>
        </ns5:r>
        <ns5:r>
          <ns5:rPr>
            <ns5:sty ns5:val="p"/>
          </ns5:rPr>
          <ns5:t>=</ns5:t>
        </ns5:r>
        <ns5:r>
          <ns5:t>4</ns5:t>
        </ns5:r>
      </ns5:oMath>
      <w:r>
        <w:t xml:space="preserve"> </w:t>
      </w:r>
      <w:r>
        <w:t xml:space="preserve">tratamientos. El estadístico</w:t>
      </w:r>
      <w:r>
        <w:t xml:space="preserve"> </w:t>
      </w:r>
      <w:r>
        <w:t xml:space="preserve">se calcula sobre los rangos</w:t>
      </w:r>
      <w:r>
        <w:t xml:space="preserve"> </w:t>
      </w:r>
      <ns5:oMath>
        <ns5:sSub>
          <ns5:e>
            <ns5:r>
              <ns5:t>r</ns5:t>
            </ns5:r>
          </ns5:e>
          <ns5:sub>
            <ns5:r>
              <ns5:t>b</ns5:t>
            </ns5:r>
            <ns5:r>
              <ns5:t>j</ns5:t>
            </ns5:r>
          </ns5:sub>
        </ns5:sSub>
      </ns5:oMath>
      <w:r>
        <w:t xml:space="preserve"> </w:t>
      </w:r>
      <w:r>
        <w:t xml:space="preserve">de cada tratamiento</w:t>
      </w:r>
      <w:r>
        <w:t xml:space="preserve"> </w:t>
      </w:r>
      <ns5:oMath>
        <ns5:r>
          <ns5:t>j</ns5:t>
        </ns5:r>
      </ns5:oMath>
      <w:r>
        <w:t xml:space="preserve"> </w:t>
      </w:r>
      <w:r>
        <w:t xml:space="preserve">dentro de</w:t>
      </w:r>
      <w:r>
        <w:t xml:space="preserve"> </w:t>
      </w:r>
      <w:r>
        <w:t xml:space="preserve">cada bloque</w:t>
      </w:r>
      <w:r>
        <w:t xml:space="preserve"> </w:t>
      </w:r>
      <ns5:oMath>
        <ns5:r>
          <ns5:t>b</ns5:t>
        </ns5:r>
      </ns5:oMath>
      <w:r>
        <w:t xml:space="preserve">:</w:t>
      </w:r>
    </w:p>
    <w:p>
      <w:pPr>
        <w:pStyle w:val="Textoindependiente"/>
        <w:spacing w:line="360" w:lineRule="auto"/>
        <w:jc w:val="both"/>
      </w:pPr>
      <w:r>
        <w:t xml:space="preserve">Cada observación de método dentro de un bloque es primero la media de sus</w:t>
      </w:r>
      <w:r>
        <w:t xml:space="preserve"> </w:t>
      </w:r>
      <w:r>
        <w:t xml:space="preserve">semillas calificadas. Si</w:t>
      </w:r>
      <w:r>
        <w:t xml:space="preserve"> </w:t>
      </w:r>
      <ns5:oMath>
        <ns5:sSub>
          <ns5:e>
            <ns5:r>
              <ns5:t>y</ns5:t>
            </ns5:r>
          </ns5:e>
          <ns5:sub>
            <ns5:r>
              <ns5:t>g</ns5:t>
            </ns5:r>
            <ns5:r>
              <ns5:rPr>
                <ns5:sty ns5:val="p"/>
              </ns5:rPr>
              <ns5:t>,</ns5:t>
            </ns5:r>
            <ns5:r>
              <ns5:t>k</ns5:t>
            </ns5:r>
            <ns5:r>
              <ns5:rPr>
                <ns5:sty ns5:val="p"/>
              </ns5:rPr>
              <ns5:t>,</ns5:t>
            </ns5:r>
            <ns5:r>
              <ns5:t>s</ns5:t>
            </ns5:r>
            <ns5:r>
              <ns5:rPr>
                <ns5:sty ns5:val="p"/>
              </ns5:rPr>
              <ns5:t>,</ns5:t>
            </ns5:r>
            <ns5:r>
              <ns5:t>n</ns5:t>
            </ns5:r>
            <ns5:r>
              <ns5:rPr>
                <ns5:sty ns5:val="p"/>
              </ns5:rPr>
              <ns5:t>,</ns5:t>
            </ns5:r>
            <ns5:r>
              <ns5:t>m</ns5:t>
            </ns5:r>
          </ns5:sub>
        </ns5:sSub>
      </ns5:oMath>
      <w:r>
        <w:t xml:space="preserve"> </w:t>
      </w:r>
      <w:r>
        <w:t xml:space="preserve">es la métrica</w:t>
      </w:r>
      <w:r>
        <w:t xml:space="preserve"> </w:t>
      </w:r>
      <ns5:oMath>
        <ns5:r>
          <ns5:t>m</ns5:t>
        </ns5:r>
      </ns5:oMath>
      <w:r>
        <w:t xml:space="preserve"> </w:t>
      </w:r>
      <w:r>
        <w:t xml:space="preserve">para el modelo</w:t>
      </w:r>
      <w:r>
        <w:t xml:space="preserve"> </w:t>
      </w:r>
      <ns5:oMath>
        <ns5:r>
          <ns5:t>g</ns5:t>
        </ns5:r>
      </ns5:oMath>
      <w:r>
        <w:t xml:space="preserve">,</w:t>
      </w:r>
      <w:r>
        <w:t xml:space="preserve"> </w:t>
      </w:r>
      <w:r>
        <w:t xml:space="preserve">el método</w:t>
      </w:r>
      <w:r>
        <w:t xml:space="preserve"> </w:t>
      </w:r>
      <ns5:oMath>
        <ns5:r>
          <ns5:t>k</ns5:t>
        </ns5:r>
      </ns5:oMath>
      <w:r>
        <w:t xml:space="preserve">, la semilla</w:t>
      </w:r>
      <w:r>
        <w:t xml:space="preserve"> </w:t>
      </w:r>
      <ns5:oMath>
        <ns5:r>
          <ns5:t>s</ns5:t>
        </ns5:r>
      </ns5:oMath>
      <w:r>
        <w:t xml:space="preserve"> </w:t>
      </w:r>
      <w:r>
        <w:t xml:space="preserve">y el tamaño</w:t>
      </w:r>
      <w:r>
        <w:t xml:space="preserve"> </w:t>
      </w:r>
      <ns5:oMath>
        <ns5:r>
          <ns5:t>n</ns5:t>
        </ns5:r>
      </ns5:oMath>
      <w:r>
        <w:t xml:space="preserve">, entonces la media de bloque es la de la</w:t>
      </w:r>
      <w:r>
        <w:t xml:space="preserve"> </w:t>
      </w:r>
      <w:hyperlink w:anchor="eq-media-bloque">
        <w:r>
          <w:rPr>
            <w:rStyle w:val="Hipervnculo"/>
          </w:rPr>
          <w:t xml:space="preserve">Ecuación 3.12</w:t>
        </w:r>
      </w:hyperlink>
      <w:r>
        <w:t xml:space="preserve">:</w:t>
      </w:r>
    </w:p>
    <w:p>
      <w:pPr>
        <w:pStyle w:val="Textoindependiente"/>
        <w:spacing w:line="360" w:lineRule="auto"/>
        <w:jc w:val="both"/>
      </w:pPr>
      <w:bookmarkStart w:id="151" w:name="eq-media-bloque"/>
      <ns5:oMathPara>
        <ns5:oMathParaPr>
          <ns5:jc ns5:val="center"/>
        </ns5:oMathParaPr>
        <ns5:oMath>
          <ns5:sSub>
            <ns5:e>
              <ns5:acc>
                <ns5:accPr>
                  <ns5:chr ns5:val="‾"/>
                </ns5:accPr>
                <ns5:e>
                  <ns5:r>
                    <ns5:t>y</ns5:t>
                  </ns5:r>
                </ns5:e>
              </ns5:acc>
            </ns5:e>
            <ns5:sub>
              <ns5:r>
                <ns5:t>g</ns5:t>
              </ns5:r>
              <ns5:r>
                <ns5:rPr>
                  <ns5:sty ns5:val="p"/>
                </ns5:rPr>
                <ns5:t>,</ns5:t>
              </ns5:r>
              <ns5:r>
                <ns5:t>k</ns5:t>
              </ns5:r>
              <ns5:r>
                <ns5:rPr>
                  <ns5:sty ns5:val="p"/>
                </ns5:rPr>
                <ns5:t>,</ns5:t>
              </ns5:r>
              <ns5:r>
                <ns5:t>n</ns5:t>
              </ns5:r>
              <ns5:r>
                <ns5:rPr>
                  <ns5:sty ns5:val="p"/>
                </ns5:rPr>
                <ns5:t>,</ns5:t>
              </ns5:r>
              <ns5:r>
                <ns5:t>m</ns5:t>
              </ns5:r>
            </ns5:sub>
          </ns5:sSub>
          <ns5:r>
            <ns5:rPr>
              <ns5:sty ns5:val="p"/>
            </ns5:rPr>
            <ns5:t>=</ns5:t>
          </ns5:r>
          <ns5:f>
            <ns5:fPr>
              <ns5:type ns5:val="bar"/>
            </ns5:fPr>
            <ns5:num>
              <ns5:r>
                <ns5:t>1</ns5:t>
              </ns5:r>
            </ns5:num>
            <ns5:den>
              <ns5:sSub>
                <ns5:e>
                  <ns5:r>
                    <ns5:t>r</ns5:t>
                  </ns5:r>
                </ns5:e>
                <ns5:sub>
                  <ns5:r>
                    <ns5:t>g</ns5:t>
                  </ns5:r>
                  <ns5:r>
                    <ns5:rPr>
                      <ns5:sty ns5:val="p"/>
                    </ns5:rPr>
                    <ns5:t>,</ns5:t>
                  </ns5:r>
                  <ns5:r>
                    <ns5:t>k</ns5:t>
                  </ns5:r>
                  <ns5:r>
                    <ns5:rPr>
                      <ns5:sty ns5:val="p"/>
                    </ns5:rPr>
                    <ns5:t>,</ns5:t>
                  </ns5:r>
                  <ns5:r>
                    <ns5:t>n</ns5:t>
                  </ns5:r>
                </ns5:sub>
              </ns5:sSub>
            </ns5:den>
          </ns5:f>
          <ns5:nary>
            <ns5:naryPr>
              <ns5:chr ns5:val="∑"/>
              <ns5:limLoc ns5:val="undOvr"/>
              <ns5:subHide ns5:val="off"/>
              <ns5:supHide ns5:val="on"/>
            </ns5:naryPr>
            <ns5:sub>
              <ns5:r>
                <ns5:t>s</ns5:t>
              </ns5:r>
              <ns5:r>
                <ns5:rPr>
                  <ns5:sty ns5:val="p"/>
                </ns5:rPr>
                <ns5:t>∈</ns5:t>
              </ns5:r>
              <ns5:sSub>
                <ns5:e>
                  <ns5:r>
                    <ns5:rPr>
                      <ns5:scr ns5:val="script"/>
                      <ns5:sty ns5:val="p"/>
                    </ns5:rPr>
                    <ns5:t>S</ns5:t>
                  </ns5:r>
                </ns5:e>
                <ns5:sub>
                  <ns5:r>
                    <ns5:t>g</ns5:t>
                  </ns5:r>
                  <ns5:r>
                    <ns5:rPr>
                      <ns5:sty ns5:val="p"/>
                    </ns5:rPr>
                    <ns5:t>,</ns5:t>
                  </ns5:r>
                  <ns5:r>
                    <ns5:t>k</ns5:t>
                  </ns5:r>
                  <ns5:r>
                    <ns5:rPr>
                      <ns5:sty ns5:val="p"/>
                    </ns5:rPr>
                    <ns5:t>,</ns5:t>
                  </ns5:r>
                  <ns5:r>
                    <ns5:t>n</ns5:t>
                  </ns5:r>
                </ns5:sub>
              </ns5:sSub>
            </ns5:sub>
            <ns5:sup>
              <ns5:r>
                <ns5:t>​</ns5:t>
              </ns5:r>
            </ns5:sup>
            <ns5:e>
              <ns5:sSub>
                <ns5:e>
                  <ns5:r>
                    <ns5:t>y</ns5:t>
                  </ns5:r>
                </ns5:e>
                <ns5:sub>
                  <ns5:r>
                    <ns5:t>g</ns5:t>
                  </ns5:r>
                  <ns5:r>
                    <ns5:rPr>
                      <ns5:sty ns5:val="p"/>
                    </ns5:rPr>
                    <ns5:t>,</ns5:t>
                  </ns5:r>
                  <ns5:r>
                    <ns5:t>k</ns5:t>
                  </ns5:r>
                  <ns5:r>
                    <ns5:rPr>
                      <ns5:sty ns5:val="p"/>
                    </ns5:rPr>
                    <ns5:t>,</ns5:t>
                  </ns5:r>
                  <ns5:r>
                    <ns5:t>s</ns5:t>
                  </ns5:r>
                  <ns5:r>
                    <ns5:rPr>
                      <ns5:sty ns5:val="p"/>
                    </ns5:rPr>
                    <ns5:t>,</ns5:t>
                  </ns5:r>
                  <ns5:r>
                    <ns5:t>n</ns5:t>
                  </ns5:r>
                  <ns5:r>
                    <ns5:rPr>
                      <ns5:sty ns5:val="p"/>
                    </ns5:rPr>
                    <ns5:t>,</ns5:t>
                  </ns5:r>
                  <ns5:r>
                    <ns5:t>m</ns5:t>
                  </ns5:r>
                </ns5:sub>
              </ns5:sSub>
            </ns5:e>
          </ns5:nary>
          <ns5:r>
            <ns5:rPr>
              <ns5:sty ns5:val="p"/>
            </ns5:rPr>
            <ns5:t>,</ns5:t>
          </ns5:r>
          <ns5:r>
            <ns5:t>  </ns5:t>
          </ns5:r>
          <ns5:r>
            <ns5:rPr>
              <ns5:sty ns5:val="p"/>
            </ns5:rPr>
            <ns5:t>(</ns5:t>
          </ns5:r>
          <ns5:r>
            <ns5:t>3.12</ns5:t>
          </ns5:r>
          <ns5:r>
            <ns5:rPr>
              <ns5:sty ns5:val="p"/>
            </ns5:rPr>
            <ns5:t>)</ns5:t>
          </ns5:r>
        </ns5:oMath>
      </ns5:oMathPara>
      <w:bookmarkEnd w:id="151"/>
    </w:p>
    <w:p>
      <w:pPr>
        <w:pStyle w:val="FirstParagraph"/>
        <w:spacing w:line="360" w:lineRule="auto"/>
        <w:jc w:val="both"/>
      </w:pPr>
      <w:r>
        <w:t xml:space="preserve">donde</w:t>
      </w:r>
      <w:r>
        <w:t xml:space="preserve"> </w:t>
      </w:r>
      <ns5:oMath>
        <ns5:sSub>
          <ns5:e>
            <ns5:r>
              <ns5:rPr>
                <ns5:scr ns5:val="script"/>
                <ns5:sty ns5:val="p"/>
              </ns5:rPr>
              <ns5:t>S</ns5:t>
            </ns5:r>
          </ns5:e>
          <ns5:sub>
            <ns5:r>
              <ns5:t>g</ns5:t>
            </ns5:r>
            <ns5:r>
              <ns5:rPr>
                <ns5:sty ns5:val="p"/>
              </ns5:rPr>
              <ns5:t>,</ns5:t>
            </ns5:r>
            <ns5:r>
              <ns5:t>k</ns5:t>
            </ns5:r>
            <ns5:r>
              <ns5:rPr>
                <ns5:sty ns5:val="p"/>
              </ns5:rPr>
              <ns5:t>,</ns5:t>
            </ns5:r>
            <ns5:r>
              <ns5:t>n</ns5:t>
            </ns5:r>
          </ns5:sub>
        </ns5:sSub>
      </ns5:oMath>
      <w:r>
        <w:t xml:space="preserve"> </w:t>
      </w:r>
      <w:r>
        <w:t xml:space="preserve">contiene únicamente semillas calificadas y</w:t>
      </w:r>
      <w:r>
        <w:t xml:space="preserve"> </w:t>
      </w:r>
      <ns5:oMath>
        <ns5:sSub>
          <ns5:e>
            <ns5:r>
              <ns5:t>r</ns5:t>
            </ns5:r>
          </ns5:e>
          <ns5:sub>
            <ns5:r>
              <ns5:t>g</ns5:t>
            </ns5:r>
            <ns5:r>
              <ns5:rPr>
                <ns5:sty ns5:val="p"/>
              </ns5:rPr>
              <ns5:t>,</ns5:t>
            </ns5:r>
            <ns5:r>
              <ns5:t>k</ns5:t>
            </ns5:r>
            <ns5:r>
              <ns5:rPr>
                <ns5:sty ns5:val="p"/>
              </ns5:rPr>
              <ns5:t>,</ns5:t>
            </ns5:r>
            <ns5:r>
              <ns5:t>n</ns5:t>
            </ns5:r>
          </ns5:sub>
        </ns5:sSub>
        <ns5:r>
          <ns5:rPr>
            <ns5:sty ns5:val="p"/>
          </ns5:rPr>
          <ns5:t>=</ns5:t>
        </ns5:r>
        <ns5:r>
          <ns5:rPr>
            <ns5:sty ns5:val="p"/>
          </ns5:rPr>
          <ns5:t>|</ns5:t>
        </ns5:r>
        <ns5:sSub>
          <ns5:e>
            <ns5:r>
              <ns5:rPr>
                <ns5:scr ns5:val="script"/>
                <ns5:sty ns5:val="p"/>
              </ns5:rPr>
              <ns5:t>S</ns5:t>
            </ns5:r>
          </ns5:e>
          <ns5:sub>
            <ns5:r>
              <ns5:t>g</ns5:t>
            </ns5:r>
            <ns5:r>
              <ns5:rPr>
                <ns5:sty ns5:val="p"/>
              </ns5:rPr>
              <ns5:t>,</ns5:t>
            </ns5:r>
            <ns5:r>
              <ns5:t>k</ns5:t>
            </ns5:r>
            <ns5:r>
              <ns5:rPr>
                <ns5:sty ns5:val="p"/>
              </ns5:rPr>
              <ns5:t>,</ns5:t>
            </ns5:r>
            <ns5:r>
              <ns5:t>n</ns5:t>
            </ns5:r>
          </ns5:sub>
        </ns5:sSub>
        <ns5:r>
          <ns5:rPr>
            <ns5:sty ns5:val="p"/>
          </ns5:rPr>
          <ns5:t>|</ns5:t>
        </ns5:r>
      </ns5:oMath>
      <w:r>
        <w:t xml:space="preserve">. SHAP y LIME aportan cinco semillas en cada</w:t>
      </w:r>
      <w:r>
        <w:t xml:space="preserve"> </w:t>
      </w:r>
      <w:r>
        <w:t xml:space="preserve">bloque; Anchors y DiCE aportan entre una y cinco según la cobertura documentada.</w:t>
      </w:r>
      <w:r>
        <w:t xml:space="preserve"> </w:t>
      </w:r>
      <w:r>
        <w:t xml:space="preserve">Las semillas reducen la incertidumbre de la puntuación del bloque, pero no se</w:t>
      </w:r>
      <w:r>
        <w:t xml:space="preserve"> </w:t>
      </w:r>
      <w:r>
        <w:t xml:space="preserve">tratan como 75 bloques Friedman independientes.</w:t>
      </w:r>
    </w:p>
    <w:p>
      <w:pPr>
        <w:pStyle w:val="Textoindependiente"/>
        <w:spacing w:line="360" w:lineRule="auto"/>
        <w:jc w:val="both"/>
      </w:pPr>
      <w:r>
        <w:t xml:space="preserve">Sobre esas medias de bloque, el estadístico de Friedman se calcula a partir de</w:t>
      </w:r>
      <w:r>
        <w:t xml:space="preserve"> </w:t>
      </w:r>
      <w:r>
        <w:t xml:space="preserve">los rangos medios de los</w:t>
      </w:r>
      <w:r>
        <w:t xml:space="preserve"> </w:t>
      </w:r>
      <ns5:oMath>
        <ns5:r>
          <ns5:t>k</ns5:t>
        </ns5:r>
      </ns5:oMath>
      <w:r>
        <w:t xml:space="preserve"> </w:t>
      </w:r>
      <w:r>
        <w:t xml:space="preserve">métodos en los</w:t>
      </w:r>
      <w:r>
        <w:t xml:space="preserve"> </w:t>
      </w:r>
      <ns5:oMath>
        <ns5:r>
          <ns5:t>B</ns5:t>
        </ns5:r>
      </ns5:oMath>
      <w:r>
        <w:t xml:space="preserve"> </w:t>
      </w:r>
      <w:r>
        <w:t xml:space="preserve">bloques (</w:t>
      </w:r>
      <w:hyperlink w:anchor="eq-friedman">
        <w:r>
          <w:rPr>
            <w:rStyle w:val="Hipervnculo"/>
          </w:rPr>
          <w:t xml:space="preserve">Ecuación 3.13</w:t>
        </w:r>
      </w:hyperlink>
      <w:r>
        <w:t xml:space="preserve">):</w:t>
      </w:r>
    </w:p>
    <w:p>
      <w:pPr>
        <w:pStyle w:val="Textoindependiente"/>
        <w:spacing w:line="360" w:lineRule="auto"/>
        <w:jc w:val="both"/>
      </w:pPr>
      <w:bookmarkStart w:id="152" w:name="eq-friedman"/>
      <ns5:oMathPara>
        <ns5:oMathParaPr>
          <ns5:jc ns5:val="center"/>
        </ns5:oMathParaPr>
        <ns5:oMath>
          <ns5:sSubSup>
            <ns5:e>
              <ns5:r>
                <ns5:t>χ</ns5:t>
              </ns5:r>
            </ns5:e>
            <ns5:sub>
              <ns5:r>
                <ns5:t>F</ns5:t>
              </ns5:r>
            </ns5:sub>
            <ns5:sup>
              <ns5:r>
                <ns5:t>2</ns5:t>
              </ns5:r>
            </ns5:sup>
          </ns5:sSubSup>
          <ns5:r>
            <ns5:rPr>
              <ns5:sty ns5:val="p"/>
            </ns5:rPr>
            <ns5:t>=</ns5:t>
          </ns5:r>
          <ns5:f>
            <ns5:fPr>
              <ns5:type ns5:val="bar"/>
            </ns5:fPr>
            <ns5:num>
              <ns5:r>
                <ns5:t>12</ns5:t>
              </ns5:r>
              <ns5:r>
                <ns5:t>B</ns5:t>
              </ns5:r>
            </ns5:num>
            <ns5:den>
              <ns5:r>
                <ns5:t>k</ns5:t>
              </ns5:r>
              <ns5:r>
                <ns5:rPr>
                  <ns5:sty ns5:val="p"/>
                </ns5:rPr>
                <ns5:t>(</ns5:t>
              </ns5:r>
              <ns5:r>
                <ns5:t>k</ns5:t>
              </ns5:r>
              <ns5:r>
                <ns5:rPr>
                  <ns5:sty ns5:val="p"/>
                </ns5:rPr>
                <ns5:t>+</ns5:t>
              </ns5:r>
              <ns5:r>
                <ns5:t>1</ns5:t>
              </ns5:r>
              <ns5:r>
                <ns5:rPr>
                  <ns5:sty ns5:val="p"/>
                </ns5:rPr>
                <ns5:t>)</ns5:t>
              </ns5:r>
            </ns5:den>
          </ns5:f>
          <ns5:nary>
            <ns5:naryPr>
              <ns5:chr ns5:val="∑"/>
              <ns5:limLoc ns5:val="undOvr"/>
              <ns5:subHide ns5:val="off"/>
              <ns5:supHide ns5:val="off"/>
            </ns5:naryPr>
            <ns5:sub>
              <ns5:r>
                <ns5:t>j</ns5:t>
              </ns5:r>
              <ns5:r>
                <ns5:rPr>
                  <ns5:sty ns5:val="p"/>
                </ns5:rPr>
                <ns5:t>=</ns5:t>
              </ns5:r>
              <ns5:r>
                <ns5:t>1</ns5:t>
              </ns5:r>
            </ns5:sub>
            <ns5:sup>
              <ns5:r>
                <ns5:t>k</ns5:t>
              </ns5:r>
            </ns5:sup>
            <ns5:e>
              <ns5:sSup>
                <ns5:e>
                  <ns5:d>
                    <ns5:dPr>
                      <ns5:begChr ns5:val="("/>
                      <ns5:sepChr ns5:val=""/>
                      <ns5:endChr ns5:val=")"/>
                      <ns5:grow/>
                    </ns5:dPr>
                    <ns5:e>
                      <ns5:sSub>
                        <ns5:e>
                          <ns5:acc>
                            <ns5:accPr>
                              <ns5:chr ns5:val="‾"/>
                            </ns5:accPr>
                            <ns5:e>
                              <ns5:r>
                                <ns5:t>r</ns5:t>
                              </ns5:r>
                            </ns5:e>
                          </ns5:acc>
                        </ns5:e>
                        <ns5:sub>
                          <ns5:r>
                            <ns5:t>j</ns5:t>
                          </ns5:r>
                        </ns5:sub>
                      </ns5:sSub>
                      <ns5:r>
                        <ns5:rPr>
                          <ns5:sty ns5:val="p"/>
                        </ns5:rPr>
                        <ns5:t>−</ns5:t>
                      </ns5:r>
                      <ns5:f>
                        <ns5:fPr>
                          <ns5:type ns5:val="bar"/>
                        </ns5:fPr>
                        <ns5:num>
                          <ns5:r>
                            <ns5:t>k</ns5:t>
                          </ns5:r>
                          <ns5:r>
                            <ns5:rPr>
                              <ns5:sty ns5:val="p"/>
                            </ns5:rPr>
                            <ns5:t>+</ns5:t>
                          </ns5:r>
                          <ns5:r>
                            <ns5:t>1</ns5:t>
                          </ns5:r>
                        </ns5:num>
                        <ns5:den>
                          <ns5:r>
                            <ns5:t>2</ns5:t>
                          </ns5:r>
                        </ns5:den>
                      </ns5:f>
                    </ns5:e>
                  </ns5:d>
                </ns5:e>
                <ns5:sup>
                  <ns5:r>
                    <ns5:t>2</ns5:t>
                  </ns5:r>
                </ns5:sup>
              </ns5:sSup>
            </ns5:e>
          </ns5:nary>
          <ns5:r>
            <ns5:t>  </ns5:t>
          </ns5:r>
          <ns5:r>
            <ns5:rPr>
              <ns5:sty ns5:val="p"/>
            </ns5:rPr>
            <ns5:t>(</ns5:t>
          </ns5:r>
          <ns5:r>
            <ns5:t>3.13</ns5:t>
          </ns5:r>
          <ns5:r>
            <ns5:rPr>
              <ns5:sty ns5:val="p"/>
            </ns5:rPr>
            <ns5:t>)</ns5:t>
          </ns5:r>
        </ns5:oMath>
      </ns5:oMathPara>
      <w:bookmarkEnd w:id="152"/>
    </w:p>
    <w:p>
      <w:pPr>
        <w:pStyle w:val="FirstParagraph"/>
        <w:spacing w:line="360" w:lineRule="auto"/>
        <w:jc w:val="both"/>
      </w:pPr>
      <w:r>
        <w:t xml:space="preserve">donde</w:t>
      </w:r>
      <w:r>
        <w:t xml:space="preserve"> </w:t>
      </w:r>
      <ns5:oMath>
        <ns5:sSub>
          <ns5:e>
            <ns5:acc>
              <ns5:accPr>
                <ns5:chr ns5:val="‾"/>
              </ns5:accPr>
              <ns5:e>
                <ns5:r>
                  <ns5:t>r</ns5:t>
                </ns5:r>
              </ns5:e>
            </ns5:acc>
          </ns5:e>
          <ns5:sub>
            <ns5:r>
              <ns5:t>j</ns5:t>
            </ns5:r>
          </ns5:sub>
        </ns5:sSub>
        <ns5:r>
          <ns5:rPr>
            <ns5:sty ns5:val="p"/>
          </ns5:rPr>
          <ns5:t>=</ns5:t>
        </ns5:r>
        <ns5:f>
          <ns5:fPr>
            <ns5:type ns5:val="bar"/>
          </ns5:fPr>
          <ns5:num>
            <ns5:r>
              <ns5:t>1</ns5:t>
            </ns5:r>
          </ns5:num>
          <ns5:den>
            <ns5:r>
              <ns5:t>B</ns5:t>
            </ns5:r>
          </ns5:den>
        </ns5:f>
        <ns5:nary>
          <ns5:naryPr>
            <ns5:chr ns5:val="∑"/>
            <ns5:limLoc ns5:val="undOvr"/>
            <ns5:subHide ns5:val="off"/>
            <ns5:supHide ns5:val="off"/>
          </ns5:naryPr>
          <ns5:sub>
            <ns5:r>
              <ns5:t>b</ns5:t>
            </ns5:r>
            <ns5:r>
              <ns5:rPr>
                <ns5:sty ns5:val="p"/>
              </ns5:rPr>
              <ns5:t>=</ns5:t>
            </ns5:r>
            <ns5:r>
              <ns5:t>1</ns5:t>
            </ns5:r>
          </ns5:sub>
          <ns5:sup>
            <ns5:r>
              <ns5:t>B</ns5:t>
            </ns5:r>
          </ns5:sup>
          <ns5:e>
            <ns5:sSub>
              <ns5:e>
                <ns5:r>
                  <ns5:t>r</ns5:t>
                </ns5:r>
              </ns5:e>
              <ns5:sub>
                <ns5:r>
                  <ns5:t>b</ns5:t>
                </ns5:r>
                <ns5:r>
                  <ns5:t>j</ns5:t>
                </ns5:r>
              </ns5:sub>
            </ns5:sSub>
          </ns5:e>
        </ns5:nary>
      </ns5:oMath>
      <w:r>
        <w:t xml:space="preserve">. Bajo</w:t>
      </w:r>
      <w:r>
        <w:t xml:space="preserve"> </w:t>
      </w:r>
      <ns5:oMath>
        <ns5:sSub>
          <ns5:e>
            <ns5:r>
              <ns5:t>H</ns5:t>
            </ns5:r>
          </ns5:e>
          <ns5:sub>
            <ns5:r>
              <ns5:t>0</ns5:t>
            </ns5:r>
          </ns5:sub>
        </ns5:sSub>
      </ns5:oMath>
      <w:r>
        <w:t xml:space="preserve">,</w:t>
      </w:r>
      <w:r>
        <w:t xml:space="preserve"> </w:t>
      </w:r>
      <ns5:oMath>
        <ns5:sSubSup>
          <ns5:e>
            <ns5:r>
              <ns5:t>χ</ns5:t>
            </ns5:r>
          </ns5:e>
          <ns5:sub>
            <ns5:r>
              <ns5:t>F</ns5:t>
            </ns5:r>
          </ns5:sub>
          <ns5:sup>
            <ns5:r>
              <ns5:t>2</ns5:t>
            </ns5:r>
          </ns5:sup>
        </ns5:sSubSup>
        <ns5:r>
          <ns5:rPr>
            <ns5:sty ns5:val="p"/>
          </ns5:rPr>
          <ns5:t>∼</ns5:t>
        </ns5:r>
        <ns5:sSubSup>
          <ns5:e>
            <ns5:r>
              <ns5:t>χ</ns5:t>
            </ns5:r>
          </ns5:e>
          <ns5:sub>
            <ns5:r>
              <ns5:t>k</ns5:t>
            </ns5:r>
            <ns5:r>
              <ns5:rPr>
                <ns5:sty ns5:val="p"/>
              </ns5:rPr>
              <ns5:t>−</ns5:t>
            </ns5:r>
            <ns5:r>
              <ns5:t>1</ns5:t>
            </ns5:r>
          </ns5:sub>
          <ns5:sup>
            <ns5:r>
              <ns5:t>2</ns5:t>
            </ns5:r>
          </ns5:sup>
        </ns5:sSubSup>
      </ns5:oMath>
      <w:r>
        <w:t xml:space="preserve"> </w:t>
      </w:r>
      <w:r>
        <w:t xml:space="preserve">asintóticamente para</w:t>
      </w:r>
      <w:r>
        <w:t xml:space="preserve"> </w:t>
      </w:r>
      <ns5:oMath>
        <ns5:r>
          <ns5:t>B</ns5:t>
        </ns5:r>
        <ns5:r>
          <ns5:rPr>
            <ns5:sty ns5:val="p"/>
          </ns5:rPr>
          <ns5:t>≥</ns5:t>
        </ns5:r>
        <ns5:r>
          <ns5:t>10</ns5:t>
        </ns5:r>
      </ns5:oMath>
      <w:r>
        <w:t xml:space="preserve"> </w:t>
      </w:r>
      <w:r>
        <w:t xml:space="preserve">(Demšar 2006)</w:t>
      </w:r>
      <w:r>
        <w:t xml:space="preserve">. El tamaño del efecto se reporta mediante la</w:t>
      </w:r>
      <w:r>
        <w:t xml:space="preserve"> </w:t>
      </w:r>
      <ns5:oMath>
        <ns5:r>
          <ns5:t>W</ns5:t>
        </ns5:r>
      </ns5:oMath>
      <w:r>
        <w:t xml:space="preserve"> </w:t>
      </w:r>
      <w:r>
        <w:t xml:space="preserve">de Kendall (</w:t>
      </w:r>
      <w:hyperlink w:anchor="eq-kendall-w">
        <w:r>
          <w:rPr>
            <w:rStyle w:val="Hipervnculo"/>
          </w:rPr>
          <w:t xml:space="preserve">Ecuación 3.14</w:t>
        </w:r>
      </w:hyperlink>
      <w:r>
        <w:t xml:space="preserve">):</w:t>
      </w:r>
    </w:p>
    <w:p>
      <w:pPr>
        <w:pStyle w:val="Textoindependiente"/>
        <w:spacing w:line="360" w:lineRule="auto"/>
        <w:jc w:val="both"/>
      </w:pPr>
      <w:bookmarkStart w:id="153" w:name="eq-kendall-w"/>
      <ns5:oMathPara>
        <ns5:oMathParaPr>
          <ns5:jc ns5:val="center"/>
        </ns5:oMathParaPr>
        <ns5:oMath>
          <ns5:r>
            <ns5:t>W</ns5:t>
          </ns5:r>
          <ns5:r>
            <ns5:rPr>
              <ns5:sty ns5:val="p"/>
            </ns5:rPr>
            <ns5:t>=</ns5:t>
          </ns5:r>
          <ns5:f>
            <ns5:fPr>
              <ns5:type ns5:val="bar"/>
            </ns5:fPr>
            <ns5:num>
              <ns5:sSubSup>
                <ns5:e>
                  <ns5:r>
                    <ns5:t>χ</ns5:t>
                  </ns5:r>
                </ns5:e>
                <ns5:sub>
                  <ns5:r>
                    <ns5:t>F</ns5:t>
                  </ns5:r>
                </ns5:sub>
                <ns5:sup>
                  <ns5:r>
                    <ns5:t>2</ns5:t>
                  </ns5:r>
                </ns5:sup>
              </ns5:sSubSup>
            </ns5:num>
            <ns5:den>
              <ns5:r>
                <ns5:t>B</ns5:t>
              </ns5:r>
              <ns5:r>
                <ns5:rPr>
                  <ns5:sty ns5:val="p"/>
                </ns5:rPr>
                <ns5:t>(</ns5:t>
              </ns5:r>
              <ns5:r>
                <ns5:t>k</ns5:t>
              </ns5:r>
              <ns5:r>
                <ns5:rPr>
                  <ns5:sty ns5:val="p"/>
                </ns5:rPr>
                <ns5:t>−</ns5:t>
              </ns5:r>
              <ns5:r>
                <ns5:t>1</ns5:t>
              </ns5:r>
              <ns5:r>
                <ns5:rPr>
                  <ns5:sty ns5:val="p"/>
                </ns5:rPr>
                <ns5:t>)</ns5:t>
              </ns5:r>
            </ns5:den>
          </ns5:f>
          <ns5:r>
            <ns5:t>  </ns5:t>
          </ns5:r>
          <ns5:r>
            <ns5:rPr>
              <ns5:sty ns5:val="p"/>
            </ns5:rPr>
            <ns5:t>(</ns5:t>
          </ns5:r>
          <ns5:r>
            <ns5:t>3.14</ns5:t>
          </ns5:r>
          <ns5:r>
            <ns5:rPr>
              <ns5:sty ns5:val="p"/>
            </ns5:rPr>
            <ns5:t>)</ns5:t>
          </ns5:r>
        </ns5:oMath>
      </ns5:oMathPara>
      <w:bookmarkEnd w:id="153"/>
    </w:p>
    <w:p>
      <w:pPr>
        <w:pStyle w:val="FirstParagraph"/>
        <w:spacing w:line="360" w:lineRule="auto"/>
        <w:jc w:val="both"/>
      </w:pPr>
      <w:r>
        <w:t xml:space="preserve">donde</w:t>
      </w:r>
      <w:r>
        <w:t xml:space="preserve"> </w:t>
      </w:r>
      <ns5:oMath>
        <ns5:r>
          <ns5:t>W</ns5:t>
        </ns5:r>
        <ns5:r>
          <ns5:rPr>
            <ns5:sty ns5:val="p"/>
          </ns5:rPr>
          <ns5:t>=</ns5:t>
        </ns5:r>
        <ns5:r>
          <ns5:t>1</ns5:t>
        </ns5:r>
      </ns5:oMath>
      <w:r>
        <w:t xml:space="preserve"> </w:t>
      </w:r>
      <w:r>
        <w:t xml:space="preserve">indica concordancia perfecta entre bloques.</w:t>
      </w:r>
    </w:p>
    <w:bookmarkEnd w:id="154"/>
    <w:bookmarkStart w:id="156" w:name="localización-post-hoc-nemenyi"/>
    <w:p>
      <w:pPr>
        <w:pStyle w:val="Ttulo3"/>
        <w:spacing w:line="360" w:lineRule="auto"/>
        <w:jc w:val="both"/>
      </w:pPr>
      <w:r>
        <w:t xml:space="preserve">3.8.2 </w:t>
      </w:r>
      <w:r>
        <w:t xml:space="preserve">Localización post-hoc: Nemenyi</w:t>
      </w:r>
    </w:p>
    <w:p>
      <w:pPr>
        <w:pStyle w:val="FirstParagraph"/>
        <w:spacing w:line="360" w:lineRule="auto"/>
        <w:jc w:val="both"/>
      </w:pPr>
      <w:r>
        <w:t xml:space="preserve">Cuando Friedman rechaza</w:t>
      </w:r>
      <w:r>
        <w:t xml:space="preserve"> </w:t>
      </w:r>
      <ns5:oMath>
        <ns5:sSub>
          <ns5:e>
            <ns5:r>
              <ns5:t>H</ns5:t>
            </ns5:r>
          </ns5:e>
          <ns5:sub>
            <ns5:r>
              <ns5:t>0</ns5:t>
            </ns5:r>
          </ns5:sub>
        </ns5:sSub>
      </ns5:oMath>
      <w:r>
        <w:t xml:space="preserve">, se aplica la prueba post-hoc de Nemenyi</w:t>
      </w:r>
      <w:r>
        <w:t xml:space="preserve"> </w:t>
      </w:r>
      <w:r>
        <w:t xml:space="preserve">(Nemenyi 1963)</w:t>
      </w:r>
      <w:r>
        <w:t xml:space="preserve">. La diferencia crítica al nivel</w:t>
      </w:r>
      <w:r>
        <w:t xml:space="preserve"> </w:t>
      </w:r>
      <ns5:oMath>
        <ns5:r>
          <ns5:t>α</ns5:t>
        </ns5:r>
        <ns5:r>
          <ns5:rPr>
            <ns5:sty ns5:val="p"/>
          </ns5:rPr>
          <ns5:t>=</ns5:t>
        </ns5:r>
        <ns5:r>
          <ns5:t>0.05</ns5:t>
        </ns5:r>
      </ns5:oMath>
      <w:r>
        <w:t xml:space="preserve"> </w:t>
      </w:r>
      <w:r>
        <w:t xml:space="preserve">con</w:t>
      </w:r>
      <w:r>
        <w:t xml:space="preserve"> </w:t>
      </w:r>
      <ns5:oMath>
        <ns5:r>
          <ns5:t>k</ns5:t>
        </ns5:r>
        <ns5:r>
          <ns5:rPr>
            <ns5:sty ns5:val="p"/>
          </ns5:rPr>
          <ns5:t>=</ns5:t>
        </ns5:r>
        <ns5:r>
          <ns5:t>4</ns5:t>
        </ns5:r>
      </ns5:oMath>
      <w:r>
        <w:t xml:space="preserve"> </w:t>
      </w:r>
      <w:r>
        <w:t xml:space="preserve">y</w:t>
      </w:r>
      <w:r>
        <w:t xml:space="preserve"> </w:t>
      </w:r>
      <ns5:oMath>
        <ns5:r>
          <ns5:t>B</ns5:t>
        </ns5:r>
        <ns5:r>
          <ns5:rPr>
            <ns5:sty ns5:val="p"/>
          </ns5:rPr>
          <ns5:t>=</ns5:t>
        </ns5:r>
        <ns5:r>
          <ns5:t>15</ns5:t>
        </ns5:r>
      </ns5:oMath>
      <w:r>
        <w:t xml:space="preserve"> </w:t>
      </w:r>
      <w:r>
        <w:t xml:space="preserve">es la de la</w:t>
      </w:r>
      <w:r>
        <w:t xml:space="preserve"> </w:t>
      </w:r>
      <w:hyperlink w:anchor="eq-diferencia-critica">
        <w:r>
          <w:rPr>
            <w:rStyle w:val="Hipervnculo"/>
          </w:rPr>
          <w:t xml:space="preserve">Ecuación 3.15</w:t>
        </w:r>
      </w:hyperlink>
      <w:r>
        <w:t xml:space="preserve">:</w:t>
      </w:r>
    </w:p>
    <w:p>
      <w:pPr>
        <w:pStyle w:val="Textoindependiente"/>
        <w:spacing w:line="360" w:lineRule="auto"/>
        <w:jc w:val="both"/>
      </w:pPr>
      <w:bookmarkStart w:id="155" w:name="eq-diferencia-critica"/>
      <ns5:oMathPara>
        <ns5:oMathParaPr>
          <ns5:jc ns5:val="center"/>
        </ns5:oMathParaPr>
        <ns5:oMath>
          <ns5:r>
            <ns5:rPr>
              <ns5:nor/>
              <ns5:sty ns5:val="p"/>
            </ns5:rPr>
            <ns5:t>CD</ns5:t>
          </ns5:r>
          <ns5:r>
            <ns5:rPr>
              <ns5:sty ns5:val="p"/>
            </ns5:rPr>
            <ns5:t>=</ns5:t>
          </ns5:r>
          <ns5:sSub>
            <ns5:e>
              <ns5:r>
                <ns5:t>q</ns5:t>
              </ns5:r>
            </ns5:e>
            <ns5:sub>
              <ns5:r>
                <ns5:t>α</ns5:t>
              </ns5:r>
            </ns5:sub>
          </ns5:sSub>
          <ns5:rad>
            <ns5:radPr>
              <ns5:degHide ns5:val="on"/>
            </ns5:radPr>
            <ns5:deg/>
            <ns5:e>
              <ns5:f>
                <ns5:fPr>
                  <ns5:type ns5:val="bar"/>
                </ns5:fPr>
                <ns5:num>
                  <ns5:r>
                    <ns5:t>k</ns5:t>
                  </ns5:r>
                  <ns5:r>
                    <ns5:rPr>
                      <ns5:sty ns5:val="p"/>
                    </ns5:rPr>
                    <ns5:t>(</ns5:t>
                  </ns5:r>
                  <ns5:r>
                    <ns5:t>k</ns5:t>
                  </ns5:r>
                  <ns5:r>
                    <ns5:rPr>
                      <ns5:sty ns5:val="p"/>
                    </ns5:rPr>
                    <ns5:t>+</ns5:t>
                  </ns5:r>
                  <ns5:r>
                    <ns5:t>1</ns5:t>
                  </ns5:r>
                  <ns5:r>
                    <ns5:rPr>
                      <ns5:sty ns5:val="p"/>
                    </ns5:rPr>
                    <ns5:t>)</ns5:t>
                  </ns5:r>
                </ns5:num>
                <ns5:den>
                  <ns5:r>
                    <ns5:t>6</ns5:t>
                  </ns5:r>
                  <ns5:r>
                    <ns5:t>B</ns5:t>
                  </ns5:r>
                </ns5:den>
              </ns5:f>
            </ns5:e>
          </ns5:rad>
          <ns5:r>
            <ns5:rPr>
              <ns5:sty ns5:val="p"/>
            </ns5:rPr>
            <ns5:t>≈</ns5:t>
          </ns5:r>
          <ns5:r>
            <ns5:t>2.569</ns5:t>
          </ns5:r>
          <ns5:r>
            <ns5:rPr>
              <ns5:sty ns5:val="p"/>
            </ns5:rPr>
            <ns5:t>×</ns5:t>
          </ns5:r>
          <ns5:rad>
            <ns5:radPr>
              <ns5:degHide ns5:val="on"/>
            </ns5:radPr>
            <ns5:deg/>
            <ns5:e>
              <ns5:f>
                <ns5:fPr>
                  <ns5:type ns5:val="bar"/>
                </ns5:fPr>
                <ns5:num>
                  <ns5:r>
                    <ns5:t>4</ns5:t>
                  </ns5:r>
                  <ns5:r>
                    <ns5:rPr>
                      <ns5:sty ns5:val="p"/>
                    </ns5:rPr>
                    <ns5:t>×</ns5:t>
                  </ns5:r>
                  <ns5:r>
                    <ns5:t>5</ns5:t>
                  </ns5:r>
                </ns5:num>
                <ns5:den>
                  <ns5:r>
                    <ns5:t>6</ns5:t>
                  </ns5:r>
                  <ns5:r>
                    <ns5:rPr>
                      <ns5:sty ns5:val="p"/>
                    </ns5:rPr>
                    <ns5:t>×</ns5:t>
                  </ns5:r>
                  <ns5:r>
                    <ns5:t>15</ns5:t>
                  </ns5:r>
                </ns5:den>
              </ns5:f>
            </ns5:e>
          </ns5:rad>
          <ns5:r>
            <ns5:rPr>
              <ns5:sty ns5:val="p"/>
            </ns5:rPr>
            <ns5:t>≈</ns5:t>
          </ns5:r>
          <ns5:r>
            <ns5:t>1.211</ns5:t>
          </ns5:r>
          <ns5:r>
            <ns5:rPr>
              <ns5:nor/>
              <ns5:sty ns5:val="p"/>
            </ns5:rPr>
            <ns5:t> rangos</ns5:t>
          </ns5:r>
          <ns5:r>
            <ns5:t>  </ns5:t>
          </ns5:r>
          <ns5:r>
            <ns5:rPr>
              <ns5:sty ns5:val="p"/>
            </ns5:rPr>
            <ns5:t>(</ns5:t>
          </ns5:r>
          <ns5:r>
            <ns5:t>3.15</ns5:t>
          </ns5:r>
          <ns5:r>
            <ns5:rPr>
              <ns5:sty ns5:val="p"/>
            </ns5:rPr>
            <ns5:t>)</ns5:t>
          </ns5:r>
        </ns5:oMath>
      </ns5:oMathPara>
      <w:bookmarkEnd w:id="155"/>
    </w:p>
    <w:p>
      <w:pPr>
        <w:pStyle w:val="FirstParagraph"/>
        <w:spacing w:line="360" w:lineRule="auto"/>
        <w:jc w:val="both"/>
      </w:pPr>
      <w:r>
        <w:t xml:space="preserve">Dos métodos se consideran significativamente distintos si</w:t>
      </w:r>
      <w:r>
        <w:t xml:space="preserve"> </w:t>
      </w:r>
      <ns5:oMath>
        <ns5:r>
          <ns5:rPr>
            <ns5:sty ns5:val="p"/>
          </ns5:rPr>
          <ns5:t>|</ns5:t>
        </ns5:r>
        <ns5:sSub>
          <ns5:e>
            <ns5:acc>
              <ns5:accPr>
                <ns5:chr ns5:val="‾"/>
              </ns5:accPr>
              <ns5:e>
                <ns5:r>
                  <ns5:t>r</ns5:t>
                </ns5:r>
              </ns5:e>
            </ns5:acc>
          </ns5:e>
          <ns5:sub>
            <ns5:r>
              <ns5:t>i</ns5:t>
            </ns5:r>
          </ns5:sub>
        </ns5:sSub>
        <ns5:r>
          <ns5:rPr>
            <ns5:sty ns5:val="p"/>
          </ns5:rPr>
          <ns5:t>−</ns5:t>
        </ns5:r>
        <ns5:sSub>
          <ns5:e>
            <ns5:acc>
              <ns5:accPr>
                <ns5:chr ns5:val="‾"/>
              </ns5:accPr>
              <ns5:e>
                <ns5:r>
                  <ns5:t>r</ns5:t>
                </ns5:r>
              </ns5:e>
            </ns5:acc>
          </ns5:e>
          <ns5:sub>
            <ns5:r>
              <ns5:t>j</ns5:t>
            </ns5:r>
          </ns5:sub>
        </ns5:sSub>
        <ns5:r>
          <ns5:rPr>
            <ns5:sty ns5:val="p"/>
          </ns5:rPr>
          <ns5:t>|</ns5:t>
        </ns5:r>
        <ns5:r>
          <ns5:rPr>
            <ns5:sty ns5:val="p"/>
          </ns5:rPr>
          <ns5:t>&gt;</ns5:t>
        </ns5:r>
        <ns5:r>
          <ns5:rPr>
            <ns5:nor/>
            <ns5:sty ns5:val="p"/>
          </ns5:rPr>
          <ns5:t>CD</ns5:t>
        </ns5:r>
      </ns5:oMath>
      <w:r>
        <w:t xml:space="preserve">.</w:t>
      </w:r>
    </w:p>
    <w:bookmarkEnd w:id="156"/>
    <w:bookmarkStart w:id="157" w:name="X08bdaeec7e5b5ab89fd5fd5e96115413f920248"/>
    <w:p>
      <w:pPr>
        <w:pStyle w:val="Ttulo3"/>
        <w:spacing w:line="360" w:lineRule="auto"/>
        <w:jc w:val="both"/>
      </w:pPr>
      <w:r>
        <w:t xml:space="preserve">3.8.3 </w:t>
      </w:r>
      <w:r>
        <w:t xml:space="preserve">Seguimiento dirigido SHAP–LIME sobre bloques agregados</w:t>
      </w:r>
    </w:p>
    <w:p>
      <w:pPr>
        <w:pStyle w:val="FirstParagraph"/>
        <w:spacing w:line="360" w:lineRule="auto"/>
        <w:jc w:val="both"/>
      </w:pPr>
      <w:r>
        <w:t xml:space="preserve">Para responder a la observación del revisor en la misma unidad de análisis que</w:t>
      </w:r>
      <w:r>
        <w:t xml:space="preserve"> </w:t>
      </w:r>
      <w:r>
        <w:t xml:space="preserve">Friedman, se añade un seguimiento dirigido, motivado por la revisión y no</w:t>
      </w:r>
      <w:r>
        <w:t xml:space="preserve"> </w:t>
      </w:r>
      <w:r>
        <w:t xml:space="preserve">preespecificado, sobre 15 bloques agregados</w:t>
      </w:r>
      <w:r>
        <w:t xml:space="preserve"> </w:t>
      </w:r>
      <ns5:oMath>
        <ns5:r>
          <ns5:rPr>
            <ns5:sty ns5:val="p"/>
          </ns5:rPr>
          <ns5:t>(</ns5:t>
        </ns5:r>
        <ns5:r>
          <ns5:t>g</ns5:t>
        </ns5:r>
        <ns5:r>
          <ns5:rPr>
            <ns5:sty ns5:val="p"/>
          </ns5:rPr>
          <ns5:t>,</ns5:t>
        </ns5:r>
        <ns5:r>
          <ns5:t>n</ns5:t>
        </ns5:r>
        <ns5:r>
          <ns5:rPr>
            <ns5:sty ns5:val="p"/>
          </ns5:rPr>
          <ns5:t>)</ns5:t>
        </ns5:r>
      </ns5:oMath>
      <w:r>
        <w:t xml:space="preserve">. En cada bloque se parean</w:t>
      </w:r>
      <w:r>
        <w:t xml:space="preserve"> </w:t>
      </w:r>
      <w:r>
        <w:t xml:space="preserve">las medias de semillas de SHAP y LIME y se aplica un Wilcoxon bilateral de</w:t>
      </w:r>
      <w:r>
        <w:t xml:space="preserve"> </w:t>
      </w:r>
      <w:r>
        <w:t xml:space="preserve">rangos con signo a las cinco métricas primarias. Los cinco valores</w:t>
      </w:r>
      <w:r>
        <w:t xml:space="preserve"> </w:t>
      </w:r>
      <ns5:oMath>
        <ns5:r>
          <ns5:t>p</ns5:t>
        </ns5:r>
      </ns5:oMath>
      <w:r>
        <w:t xml:space="preserve"> </w:t>
      </w:r>
      <w:r>
        <w:t xml:space="preserve">forman</w:t>
      </w:r>
      <w:r>
        <w:t xml:space="preserve"> </w:t>
      </w:r>
      <w:r>
        <w:t xml:space="preserve">una familia propia con corrección de Holm-Bonferroni. Para fidelidad se reporta</w:t>
      </w:r>
      <w:r>
        <w:t xml:space="preserve"> </w:t>
      </w:r>
      <w:r>
        <w:t xml:space="preserve">además una prueba exacta bilateral de signos como corroboración direccional.</w:t>
      </w:r>
    </w:p>
    <w:p>
      <w:pPr>
        <w:pStyle w:val="Textoindependiente"/>
        <w:spacing w:line="360" w:lineRule="auto"/>
        <w:jc w:val="both"/>
      </w:pPr>
      <w:r>
        <w:t xml:space="preserve">Este seguimiento no reemplaza a Friedman ni a Nemenyi: Friedman conserva la</w:t>
      </w:r>
      <w:r>
        <w:t xml:space="preserve"> </w:t>
      </w:r>
      <w:r>
        <w:t xml:space="preserve">decisión global de H1, Nemenyi conserva la localización simultánea entre los</w:t>
      </w:r>
      <w:r>
        <w:t xml:space="preserve"> </w:t>
      </w:r>
      <w:r>
        <w:t xml:space="preserve">cuatro métodos, y el nuevo contraste responde solamente a la diferencia</w:t>
      </w:r>
      <w:r>
        <w:t xml:space="preserve"> </w:t>
      </w:r>
      <w:r>
        <w:t xml:space="preserve">dirigida SHAP–LIME con puntuaciones agregadas por bloque. Tampoco reemplaza el</w:t>
      </w:r>
      <w:r>
        <w:t xml:space="preserve"> </w:t>
      </w:r>
      <w:r>
        <w:t xml:space="preserve">Wilcoxon de H3 sobre 75 celdas</w:t>
      </w:r>
      <w:r>
        <w:t xml:space="preserve"> </w:t>
      </w:r>
      <ns5:oMath>
        <ns5:r>
          <ns5:rPr>
            <ns5:sty ns5:val="p"/>
          </ns5:rPr>
          <ns5:t>(</ns5:t>
        </ns5:r>
        <ns5:r>
          <ns5:t>g</ns5:t>
        </ns5:r>
        <ns5:r>
          <ns5:rPr>
            <ns5:sty ns5:val="p"/>
          </ns5:rPr>
          <ns5:t>,</ns5:t>
        </ns5:r>
        <ns5:r>
          <ns5:t>s</ns5:t>
        </ns5:r>
        <ns5:r>
          <ns5:rPr>
            <ns5:sty ns5:val="p"/>
          </ns5:rPr>
          <ns5:t>,</ns5:t>
        </ns5:r>
        <ns5:r>
          <ns5:t>n</ns5:t>
        </ns5:r>
        <ns5:r>
          <ns5:rPr>
            <ns5:sty ns5:val="p"/>
          </ns5:rPr>
          <ns5:t>)</ns5:t>
        </ns5:r>
      </ns5:oMath>
      <w:r>
        <w:t xml:space="preserve">, cuya unidad inferencial conserva cada</w:t>
      </w:r>
      <w:r>
        <w:t xml:space="preserve"> </w:t>
      </w:r>
      <w:r>
        <w:t xml:space="preserve">semilla emparejada.</w:t>
      </w:r>
    </w:p>
    <w:bookmarkEnd w:id="157"/>
    <w:bookmarkStart w:id="159" w:name="X82a710d830240cc18776e0ef609d9e71b3f53e7"/>
    <w:p>
      <w:pPr>
        <w:pStyle w:val="Ttulo3"/>
        <w:spacing w:line="360" w:lineRule="auto"/>
        <w:jc w:val="both"/>
      </w:pPr>
      <w:r>
        <w:t xml:space="preserve">3.8.4 </w:t>
      </w:r>
      <w:r>
        <w:t xml:space="preserve">Wilcoxon pareado: conjuntos de 45 y 75 celdas</w:t>
      </w:r>
    </w:p>
    <w:p>
      <w:pPr>
        <w:pStyle w:val="FirstParagraph"/>
        <w:spacing w:line="360" w:lineRule="auto"/>
        <w:jc w:val="both"/>
      </w:pPr>
      <w:r>
        <w:t xml:space="preserve">Para contrastar H3 se aplica el test de Wilcoxon con rangos con signo</w:t>
      </w:r>
      <w:r>
        <w:t xml:space="preserve"> </w:t>
      </w:r>
      <w:r>
        <w:t xml:space="preserve">bilateral</w:t>
      </w:r>
      <w:r>
        <w:t xml:space="preserve"> </w:t>
      </w:r>
      <w:r>
        <w:t xml:space="preserve">(Wilcoxon 1945)</w:t>
      </w:r>
      <w:r>
        <w:t xml:space="preserve"> </w:t>
      </w:r>
      <w:r>
        <w:t xml:space="preserve">sobre diferencias pareadas</w:t>
      </w:r>
      <w:r>
        <w:t xml:space="preserve"> </w:t>
      </w:r>
      <ns5:oMath>
        <ns5:sSub>
          <ns5:e>
            <ns5:r>
              <ns5:t>d</ns5:t>
            </ns5:r>
          </ns5:e>
          <ns5:sub>
            <ns5:r>
              <ns5:t>i</ns5:t>
            </ns5:r>
          </ns5:sub>
        </ns5:sSub>
        <ns5:r>
          <ns5:rPr>
            <ns5:sty ns5:val="p"/>
          </ns5:rPr>
          <ns5:t>=</ns5:t>
        </ns5:r>
        <ns5:sSub>
          <ns5:e>
            <ns5:r>
              <ns5:t>y</ns5:t>
            </ns5:r>
          </ns5:e>
          <ns5:sub>
            <ns5:r>
              <ns5:rPr>
                <ns5:nor/>
                <ns5:sty ns5:val="p"/>
              </ns5:rPr>
              <ns5:t>SHAP</ns5:t>
            </ns5:r>
            <ns5:r>
              <ns5:rPr>
                <ns5:sty ns5:val="p"/>
              </ns5:rPr>
              <ns5:t>,</ns5:t>
            </ns5:r>
            <ns5:r>
              <ns5:t>i</ns5:t>
            </ns5:r>
          </ns5:sub>
        </ns5:sSub>
        <ns5:r>
          <ns5:rPr>
            <ns5:sty ns5:val="p"/>
          </ns5:rPr>
          <ns5:t>−</ns5:t>
        </ns5:r>
        <ns5:sSub>
          <ns5:e>
            <ns5:r>
              <ns5:t>y</ns5:t>
            </ns5:r>
          </ns5:e>
          <ns5:sub>
            <ns5:r>
              <ns5:rPr>
                <ns5:nor/>
                <ns5:sty ns5:val="p"/>
              </ns5:rPr>
              <ns5:t>LIME</ns5:t>
            </ns5:r>
            <ns5:r>
              <ns5:rPr>
                <ns5:sty ns5:val="p"/>
              </ns5:rPr>
              <ns5:t>,</ns5:t>
            </ns5:r>
            <ns5:r>
              <ns5:t>i</ns5:t>
            </ns5:r>
          </ns5:sub>
        </ns5:sSub>
      </ns5:oMath>
      <w:r>
        <w:t xml:space="preserve"> </w:t>
      </w:r>
      <w:r>
        <w:t xml:space="preserve">en dos conjuntos:</w:t>
      </w:r>
    </w:p>
    <w:p>
      <w:pPr>
        <w:pStyle w:val="Compact"/>
        <w:numPr>
          <w:ilvl w:val="0"/>
          <w:numId w:val="1009"/>
        </w:numPr>
        <w:spacing w:line="360" w:lineRule="auto"/>
        <w:jc w:val="both"/>
      </w:pPr>
      <w:r>
        <w:rPr>
          <w:b/>
          <w:bCs/>
        </w:rPr>
        <w:t xml:space="preserve">Wilcoxon-45</w:t>
      </w:r>
      <w:r>
        <w:t xml:space="preserve">: 45 celdas con</w:t>
      </w:r>
      <w:r>
        <w:t xml:space="preserve"> </w:t>
      </w:r>
      <ns5:oMath>
        <ns5:r>
          <ns5:t>g</ns5:t>
        </ns5:r>
        <ns5:r>
          <ns5:rPr>
            <ns5:sty ns5:val="p"/>
          </ns5:rPr>
          <ns5:t>∈</ns5:t>
        </ns5:r>
        <ns5:r>
          <ns5:rPr>
            <ns5:sty ns5:val="p"/>
          </ns5:rPr>
          <ns5:t>{</ns5:t>
        </ns5:r>
      </ns5:oMath>
      <w:r>
        <w:t xml:space="preserve">logreg, rf, xgb</w:t>
      </w:r>
      <ns5:oMath>
        <ns5:r>
          <ns5:rPr>
            <ns5:sty ns5:val="p"/>
          </ns5:rPr>
          <ns5:t>}</ns5:t>
        </ns5:r>
      </ns5:oMath>
      <w:r>
        <w:t xml:space="preserve"> </w:t>
      </w:r>
      <w:r>
        <w:t xml:space="preserve">(conjunto</w:t>
      </w:r>
      <w:r>
        <w:t xml:space="preserve"> </w:t>
      </w:r>
      <w:r>
        <w:t xml:space="preserve">primario con TreeSHAP exacto).</w:t>
      </w:r>
    </w:p>
    <w:p>
      <w:pPr>
        <w:pStyle w:val="Compact"/>
        <w:numPr>
          <w:ilvl w:val="0"/>
          <w:numId w:val="1009"/>
        </w:numPr>
        <w:spacing w:line="360" w:lineRule="auto"/>
        <w:jc w:val="both"/>
      </w:pPr>
      <w:r>
        <w:rPr>
          <w:b/>
          <w:bCs/>
        </w:rPr>
        <w:t xml:space="preserve">Wilcoxon-75</w:t>
      </w:r>
      <w:r>
        <w:t xml:space="preserve">: 75 celdas completas (análisis de sensibilidad que incluye</w:t>
      </w:r>
      <w:r>
        <w:t xml:space="preserve"> </w:t>
      </w:r>
      <w:r>
        <w:t xml:space="preserve">SVM y MLP con KernelSHAP).</w:t>
      </w:r>
    </w:p>
    <w:p>
      <w:pPr>
        <w:pStyle w:val="FirstParagraph"/>
        <w:spacing w:line="360" w:lineRule="auto"/>
        <w:jc w:val="both"/>
      </w:pPr>
      <w:r>
        <w:t xml:space="preserve">El tamaño del efecto se reporta como</w:t>
      </w:r>
      <w:r>
        <w:t xml:space="preserve"> </w:t>
      </w:r>
      <ns5:oMath>
        <ns5:sSub>
          <ns5:e>
            <ns5:r>
              <ns5:t>d</ns5:t>
            </ns5:r>
          </ns5:e>
          <ns5:sub>
            <ns5:r>
              <ns5:t>z</ns5:t>
            </ns5:r>
          </ns5:sub>
        </ns5:sSub>
      </ns5:oMath>
      <w:r>
        <w:t xml:space="preserve"> </w:t>
      </w:r>
      <w:r>
        <w:t xml:space="preserve">de Cohen</w:t>
      </w:r>
      <w:r>
        <w:t xml:space="preserve"> </w:t>
      </w:r>
      <w:r>
        <w:t xml:space="preserve">(Lakens 2013)</w:t>
      </w:r>
      <w:r>
        <w:t xml:space="preserve">, definido en la</w:t>
      </w:r>
      <w:r>
        <w:t xml:space="preserve"> </w:t>
      </w:r>
      <w:hyperlink w:anchor="eq-dz">
        <w:r>
          <w:rPr>
            <w:rStyle w:val="Hipervnculo"/>
          </w:rPr>
          <w:t xml:space="preserve">Ecuación 3.16</w:t>
        </w:r>
      </w:hyperlink>
      <w:r>
        <w:t xml:space="preserve">:</w:t>
      </w:r>
    </w:p>
    <w:p>
      <w:pPr>
        <w:pStyle w:val="Textoindependiente"/>
        <w:spacing w:line="360" w:lineRule="auto"/>
        <w:jc w:val="both"/>
      </w:pPr>
      <w:bookmarkStart w:id="158" w:name="eq-dz"/>
      <ns5:oMathPara>
        <ns5:oMathParaPr>
          <ns5:jc ns5:val="center"/>
        </ns5:oMathParaPr>
        <ns5:oMath>
          <ns5:sSub>
            <ns5:e>
              <ns5:r>
                <ns5:t>d</ns5:t>
              </ns5:r>
            </ns5:e>
            <ns5:sub>
              <ns5:r>
                <ns5:t>z</ns5:t>
              </ns5:r>
            </ns5:sub>
          </ns5:sSub>
          <ns5:r>
            <ns5:rPr>
              <ns5:sty ns5:val="p"/>
            </ns5:rPr>
            <ns5:t>=</ns5:t>
          </ns5:r>
          <ns5:f>
            <ns5:fPr>
              <ns5:type ns5:val="bar"/>
            </ns5:fPr>
            <ns5:num>
              <ns5:acc>
                <ns5:accPr>
                  <ns5:chr ns5:val="‾"/>
                </ns5:accPr>
                <ns5:e>
                  <ns5:r>
                    <ns5:t>d</ns5:t>
                  </ns5:r>
                </ns5:e>
              </ns5:acc>
            </ns5:num>
            <ns5:den>
              <ns5:sSub>
                <ns5:e>
                  <ns5:r>
                    <ns5:t>s</ns5:t>
                  </ns5:r>
                </ns5:e>
                <ns5:sub>
                  <ns5:r>
                    <ns5:t>d</ns5:t>
                  </ns5:r>
                </ns5:sub>
              </ns5:sSub>
            </ns5:den>
          </ns5:f>
          <ns5:r>
            <ns5:t>  </ns5:t>
          </ns5:r>
          <ns5:r>
            <ns5:rPr>
              <ns5:sty ns5:val="p"/>
            </ns5:rPr>
            <ns5:t>(</ns5:t>
          </ns5:r>
          <ns5:r>
            <ns5:t>3.16</ns5:t>
          </ns5:r>
          <ns5:r>
            <ns5:rPr>
              <ns5:sty ns5:val="p"/>
            </ns5:rPr>
            <ns5:t>)</ns5:t>
          </ns5:r>
        </ns5:oMath>
      </ns5:oMathPara>
      <w:bookmarkEnd w:id="158"/>
    </w:p>
    <w:p>
      <w:pPr>
        <w:pStyle w:val="FirstParagraph"/>
        <w:spacing w:line="360" w:lineRule="auto"/>
        <w:jc w:val="both"/>
      </w:pPr>
      <w:r>
        <w:t xml:space="preserve">con interpretación convencional: pequeño (</w:t>
      </w:r>
      <ns5:oMath>
        <ns5:r>
          <ns5:t>0.2</ns5:t>
        </ns5:r>
        <ns5:r>
          <ns5:rPr>
            <ns5:sty ns5:val="p"/>
          </ns5:rPr>
          <ns5:t>≤</ns5:t>
        </ns5:r>
        <ns5:sSub>
          <ns5:e>
            <ns5:r>
              <ns5:t>d</ns5:t>
            </ns5:r>
          </ns5:e>
          <ns5:sub>
            <ns5:r>
              <ns5:t>z</ns5:t>
            </ns5:r>
          </ns5:sub>
        </ns5:sSub>
        <ns5:r>
          <ns5:rPr>
            <ns5:sty ns5:val="p"/>
          </ns5:rPr>
          <ns5:t>&lt;</ns5:t>
        </ns5:r>
        <ns5:r>
          <ns5:t>0.5</ns5:t>
        </ns5:r>
      </ns5:oMath>
      <w:r>
        <w:t xml:space="preserve">), mediano</w:t>
      </w:r>
      <w:r>
        <w:t xml:space="preserve"> </w:t>
      </w:r>
      <w:r>
        <w:t xml:space="preserve">(</w:t>
      </w:r>
      <ns5:oMath>
        <ns5:r>
          <ns5:t>0.5</ns5:t>
        </ns5:r>
        <ns5:r>
          <ns5:rPr>
            <ns5:sty ns5:val="p"/>
          </ns5:rPr>
          <ns5:t>≤</ns5:t>
        </ns5:r>
        <ns5:sSub>
          <ns5:e>
            <ns5:r>
              <ns5:t>d</ns5:t>
            </ns5:r>
          </ns5:e>
          <ns5:sub>
            <ns5:r>
              <ns5:t>z</ns5:t>
            </ns5:r>
          </ns5:sub>
        </ns5:sSub>
        <ns5:r>
          <ns5:rPr>
            <ns5:sty ns5:val="p"/>
          </ns5:rPr>
          <ns5:t>&lt;</ns5:t>
        </ns5:r>
        <ns5:r>
          <ns5:t>0.8</ns5:t>
        </ns5:r>
      </ns5:oMath>
      <w:r>
        <w:t xml:space="preserve">), grande (</w:t>
      </w:r>
      <ns5:oMath>
        <ns5:sSub>
          <ns5:e>
            <ns5:r>
              <ns5:t>d</ns5:t>
            </ns5:r>
          </ns5:e>
          <ns5:sub>
            <ns5:r>
              <ns5:t>z</ns5:t>
            </ns5:r>
          </ns5:sub>
        </ns5:sSub>
        <ns5:r>
          <ns5:rPr>
            <ns5:sty ns5:val="p"/>
          </ns5:rPr>
          <ns5:t>≥</ns5:t>
        </ns5:r>
        <ns5:r>
          <ns5:t>0.8</ns5:t>
        </ns5:r>
      </ns5:oMath>
      <w:r>
        <w:t xml:space="preserve">).</w:t>
      </w:r>
    </w:p>
    <w:bookmarkEnd w:id="159"/>
    <w:bookmarkStart w:id="161" w:name="control-de-multiplicidad"/>
    <w:p>
      <w:pPr>
        <w:pStyle w:val="Ttulo3"/>
        <w:spacing w:line="360" w:lineRule="auto"/>
        <w:jc w:val="both"/>
      </w:pPr>
      <w:r>
        <w:t xml:space="preserve">3.8.5 </w:t>
      </w:r>
      <w:r>
        <w:t xml:space="preserve">Control de multiplicidad</w:t>
      </w:r>
    </w:p>
    <w:p>
      <w:pPr>
        <w:pStyle w:val="FirstParagraph"/>
        <w:spacing w:line="360" w:lineRule="auto"/>
        <w:jc w:val="both"/>
      </w:pPr>
      <w:r>
        <w:t xml:space="preserve">Las pruebas se organizan en cuatro familias inferenciales independientes, con</w:t>
      </w:r>
      <w:r>
        <w:t xml:space="preserve"> </w:t>
      </w:r>
      <w:r>
        <w:t xml:space="preserve">corrección de Holm-Bonferroni dentro de cada familia:</w:t>
      </w:r>
    </w:p>
    <w:tbl>
      <w:tblPr>
        <w:tblStyle w:val="Table"/>
        <w:tblW w:type="pct" w:w="5000"/>
        <w:jc w:val="center"/>
        <w:tblLayout w:type="fixed"/>
        <w:tblLook w:firstRow="0" w:lastRow="0" w:firstColumn="0" w:lastColumn="0" w:noHBand="0" w:noVBand="0" w:val="0000"/>
      </w:tblPr>
      <w:tblGrid>
        <w:gridCol w:w="7920"/>
      </w:tblGrid>
      <w:tr>
        <w:tc>
          <w:tcPr/>
          <w:bookmarkStart w:id="160" w:name="tbl-stat-plan"/>
          <w:p>
            <w:pPr>
              <w:pStyle w:val="ImageCaption"/>
              <w:spacing w:before="200" w:line="360" w:lineRule="auto"/>
              <w:jc w:val="center"/>
            </w:pPr>
            <w:r>
              <w:t xml:space="preserve">Tabla 3.6: Familias inferenciales y control de multiplicidad. No se aplica corrección</w:t>
            </w:r>
            <w:r>
              <w:t xml:space="preserve"> </w:t>
            </w:r>
            <w:r>
              <w:t xml:space="preserve">conjunta entre familias; cada familia responde a una pregunta con unidades</w:t>
            </w:r>
            <w:r>
              <w:t xml:space="preserve"> </w:t>
            </w:r>
            <w:r>
              <w:t xml:space="preserve">de análisis distintas</w:t>
            </w:r>
            <w:r>
              <w:t xml:space="preserve"> </w:t>
            </w:r>
            <w:r>
              <w:t xml:space="preserve">(Demšar 2006)</w:t>
            </w:r>
            <w:r>
              <w:t xml:space="preserve">.</w:t>
            </w:r>
          </w:p>
          <w:tbl>
            <w:tblPr>
              <w:tblStyle w:val="Table"/>
              <w:tblW w:type="pct" w:w="500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Row="1" w:lastRow="0" w:firstColumn="0" w:lastColumn="0" w:noHBand="0" w:noVBand="0" w:val="0020"/>
            </w:tblPr>
            <w:tblGrid>
              <w:gridCol w:w="2160"/>
              <w:gridCol w:w="1680"/>
              <w:gridCol w:w="1200"/>
              <w:gridCol w:w="2880"/>
            </w:tblGrid>
            <w:tr>
              <w:trPr>
                <w:tblHeader w:val="on"/>
              </w:trPr>
              <w:tc>
                <w:tcPr/>
                <w:p>
                  <w:pPr>
                    <w:pStyle w:val="Compact"/>
                    <w:jc w:val="both"/>
                    <w:jc w:val="center"/>
                    <w:spacing w:line="360" w:lineRule="auto"/>
                  </w:pPr>
                  <w:r>
                    <w:rPr>
                      <w:bCs/>
                      <w:b/>
                    </w:rPr>
                    <w:t xml:space="preserve">Familia</w:t>
                  </w:r>
                </w:p>
              </w:tc>
              <w:tc>
                <w:tcPr/>
                <w:p>
                  <w:pPr>
                    <w:pStyle w:val="Compact"/>
                    <w:jc w:val="both"/>
                    <w:jc w:val="center"/>
                    <w:spacing w:line="360" w:lineRule="auto"/>
                  </w:pPr>
                  <w:r>
                    <w:rPr>
                      <w:bCs/>
                      <w:b/>
                    </w:rPr>
                    <w:t xml:space="preserve">Tests</w:t>
                  </w:r>
                </w:p>
              </w:tc>
              <w:tc>
                <w:tcPr/>
                <w:p>
                  <w:pPr>
                    <w:pStyle w:val="Compact"/>
                    <w:jc w:val="both"/>
                    <w:jc w:val="center"/>
                    <w:spacing w:line="360" w:lineRule="auto"/>
                  </w:pPr>
                  <ns5:oMath>
                    <ns5:r>
                      <ns5:t>n</ns5:t>
                    </ns5:r>
                  </ns5:oMath>
                  <w:r>
                    <w:rPr>
                      <w:bCs/>
                      <w:b/>
                    </w:rPr>
                    <w:t xml:space="preserve">​</w:t>
                  </w:r>
                </w:p>
              </w:tc>
              <w:tc>
                <w:tcPr/>
                <w:p>
                  <w:pPr>
                    <w:pStyle w:val="Compact"/>
                    <w:jc w:val="both"/>
                    <w:jc w:val="center"/>
                    <w:spacing w:line="360" w:lineRule="auto"/>
                  </w:pPr>
                  <w:r>
                    <w:rPr>
                      <w:bCs/>
                      <w:b/>
                    </w:rPr>
                    <w:t xml:space="preserve">Corrección</w:t>
                  </w:r>
                </w:p>
              </w:tc>
            </w:tr>
            <w:tr>
              <w:tc>
                <w:tcPr/>
                <w:p>
                  <w:pPr>
                    <w:pStyle w:val="Compact"/>
                    <w:jc w:val="both"/>
                    <w:jc w:val="center"/>
                    <w:spacing w:line="360" w:lineRule="auto"/>
                  </w:pPr>
                  <w:r>
                    <w:t xml:space="preserve">Friedman (estudio omnibus)</w:t>
                  </w:r>
                </w:p>
              </w:tc>
              <w:tc>
                <w:tcPr/>
                <w:p>
                  <w:pPr>
                    <w:pStyle w:val="Compact"/>
                    <w:jc w:val="both"/>
                    <w:jc w:val="center"/>
                    <w:spacing w:line="360" w:lineRule="auto"/>
                  </w:pPr>
                  <w:r>
                    <w:t xml:space="preserve">5 (uno por métrica)</w:t>
                  </w:r>
                </w:p>
              </w:tc>
              <w:tc>
                <w:tcPr/>
                <w:p>
                  <w:pPr>
                    <w:pStyle w:val="Compact"/>
                    <w:jc w:val="both"/>
                    <w:jc w:val="center"/>
                    <w:spacing w:line="360" w:lineRule="auto"/>
                  </w:pPr>
                  <w:r>
                    <w:t xml:space="preserve">15 bloques</w:t>
                  </w:r>
                </w:p>
              </w:tc>
              <w:tc>
                <w:tcPr/>
                <w:p>
                  <w:pPr>
                    <w:pStyle w:val="Compact"/>
                    <w:jc w:val="both"/>
                    <w:jc w:val="center"/>
                    <w:spacing w:line="360" w:lineRule="auto"/>
                  </w:pPr>
                  <w:r>
                    <w:t xml:space="preserve">Holm-Bonferroni</w:t>
                  </w:r>
                </w:p>
              </w:tc>
            </w:tr>
            <w:tr>
              <w:tc>
                <w:tcPr/>
                <w:p>
                  <w:pPr>
                    <w:pStyle w:val="Compact"/>
                    <w:jc w:val="both"/>
                    <w:jc w:val="center"/>
                    <w:spacing w:line="360" w:lineRule="auto"/>
                  </w:pPr>
                  <w:r>
                    <w:t xml:space="preserve">Wilcoxon-15 (seguimiento dirigido)</w:t>
                  </w:r>
                </w:p>
              </w:tc>
              <w:tc>
                <w:tcPr/>
                <w:p>
                  <w:pPr>
                    <w:pStyle w:val="Compact"/>
                    <w:jc w:val="both"/>
                    <w:jc w:val="center"/>
                    <w:spacing w:line="360" w:lineRule="auto"/>
                  </w:pPr>
                  <w:r>
                    <w:t xml:space="preserve">5</w:t>
                  </w:r>
                </w:p>
              </w:tc>
              <w:tc>
                <w:tcPr/>
                <w:p>
                  <w:pPr>
                    <w:pStyle w:val="Compact"/>
                    <w:jc w:val="both"/>
                    <w:jc w:val="center"/>
                    <w:spacing w:line="360" w:lineRule="auto"/>
                  </w:pPr>
                  <w:r>
                    <w:t xml:space="preserve">15 bloques agregados</w:t>
                  </w:r>
                </w:p>
              </w:tc>
              <w:tc>
                <w:tcPr/>
                <w:p>
                  <w:pPr>
                    <w:pStyle w:val="Compact"/>
                    <w:jc w:val="both"/>
                    <w:jc w:val="center"/>
                    <w:spacing w:line="360" w:lineRule="auto"/>
                  </w:pPr>
                  <w:r>
                    <w:t xml:space="preserve">Holm-Bonferroni</w:t>
                  </w:r>
                </w:p>
              </w:tc>
            </w:tr>
            <w:tr>
              <w:tc>
                <w:tcPr/>
                <w:p>
                  <w:pPr>
                    <w:pStyle w:val="Compact"/>
                    <w:jc w:val="both"/>
                    <w:jc w:val="center"/>
                    <w:spacing w:line="360" w:lineRule="auto"/>
                  </w:pPr>
                  <w:r>
                    <w:t xml:space="preserve">Wilcoxon-45 (estudio omnibus)</w:t>
                  </w:r>
                </w:p>
              </w:tc>
              <w:tc>
                <w:tcPr/>
                <w:p>
                  <w:pPr>
                    <w:pStyle w:val="Compact"/>
                    <w:jc w:val="both"/>
                    <w:jc w:val="center"/>
                    <w:spacing w:line="360" w:lineRule="auto"/>
                  </w:pPr>
                  <w:r>
                    <w:t xml:space="preserve">5</w:t>
                  </w:r>
                </w:p>
              </w:tc>
              <w:tc>
                <w:tcPr/>
                <w:p>
                  <w:pPr>
                    <w:pStyle w:val="Compact"/>
                    <w:jc w:val="both"/>
                    <w:jc w:val="center"/>
                    <w:spacing w:line="360" w:lineRule="auto"/>
                  </w:pPr>
                  <w:r>
                    <w:t xml:space="preserve">45 celdas</w:t>
                  </w:r>
                </w:p>
              </w:tc>
              <w:tc>
                <w:tcPr/>
                <w:p>
                  <w:pPr>
                    <w:pStyle w:val="Compact"/>
                    <w:jc w:val="both"/>
                    <w:jc w:val="center"/>
                    <w:spacing w:line="360" w:lineRule="auto"/>
                  </w:pPr>
                  <w:r>
                    <w:t xml:space="preserve">Holm-Bonferroni</w:t>
                  </w:r>
                </w:p>
              </w:tc>
            </w:tr>
            <w:tr>
              <w:tc>
                <w:tcPr/>
                <w:p>
                  <w:pPr>
                    <w:pStyle w:val="Compact"/>
                    <w:jc w:val="both"/>
                    <w:jc w:val="center"/>
                    <w:spacing w:line="360" w:lineRule="auto"/>
                  </w:pPr>
                  <w:r>
                    <w:t xml:space="preserve">Wilcoxon-75 (omnibus y pareado)</w:t>
                  </w:r>
                </w:p>
              </w:tc>
              <w:tc>
                <w:tcPr/>
                <w:p>
                  <w:pPr>
                    <w:pStyle w:val="Compact"/>
                    <w:jc w:val="both"/>
                    <w:jc w:val="center"/>
                    <w:spacing w:line="360" w:lineRule="auto"/>
                  </w:pPr>
                  <w:r>
                    <w:t xml:space="preserve">5</w:t>
                  </w:r>
                </w:p>
              </w:tc>
              <w:tc>
                <w:tcPr/>
                <w:p>
                  <w:pPr>
                    <w:pStyle w:val="Compact"/>
                    <w:jc w:val="both"/>
                    <w:jc w:val="center"/>
                    <w:spacing w:line="360" w:lineRule="auto"/>
                  </w:pPr>
                  <w:r>
                    <w:t xml:space="preserve">75 celdas</w:t>
                  </w:r>
                </w:p>
              </w:tc>
              <w:tc>
                <w:tcPr/>
                <w:p>
                  <w:pPr>
                    <w:pStyle w:val="Compact"/>
                    <w:jc w:val="both"/>
                    <w:jc w:val="center"/>
                    <w:spacing w:line="360" w:lineRule="auto"/>
                  </w:pPr>
                  <w:r>
                    <w:t xml:space="preserve">Holm-Bonferroni</w:t>
                  </w:r>
                </w:p>
              </w:tc>
            </w:tr>
          </w:tbl>
          <w:bookmarkEnd w:id="160"/>
          <w:p>
            <w:pPr>
              <w:spacing w:line="360" w:lineRule="auto"/>
              <w:jc w:val="both"/>
            </w:pPr>
          </w:p>
        </w:tc>
      </w:tr>
    </w:tbl>
    <w:bookmarkEnd w:id="161"/>
    <w:bookmarkStart w:id="163" w:name="X8d8a6fe44143f1c1b581a8bcb7389a6bd938df3"/>
    <w:p>
      <w:pPr>
        <w:pStyle w:val="Ttulo3"/>
        <w:spacing w:line="360" w:lineRule="auto"/>
        <w:jc w:val="both"/>
      </w:pPr>
      <w:r>
        <w:t xml:space="preserve">3.8.6 </w:t>
      </w:r>
      <w:r>
        <w:t xml:space="preserve">Resumen del plan estadístico por hipótesis</w:t>
      </w:r>
    </w:p>
    <w:p>
      <w:pPr>
        <w:pStyle w:val="FirstParagraph"/>
        <w:spacing w:line="360" w:lineRule="auto"/>
        <w:jc w:val="both"/>
      </w:pPr>
      <w:r>
        <w:t xml:space="preserve">La</w:t>
      </w:r>
      <w:r>
        <w:t xml:space="preserve"> </w:t>
      </w:r>
      <w:hyperlink w:anchor="tbl-hypo-plan">
        <w:r>
          <w:rPr>
            <w:rStyle w:val="Hipervnculo"/>
          </w:rPr>
          <w:t xml:space="preserve">Tabla 3.7</w:t>
        </w:r>
      </w:hyperlink>
      <w:r>
        <w:t xml:space="preserve"> </w:t>
      </w:r>
      <w:r>
        <w:t xml:space="preserve">asocia cada hipótesis con su prueba, el número de unidades</w:t>
      </w:r>
      <w:r>
        <w:t xml:space="preserve"> </w:t>
      </w:r>
      <w:r>
        <w:t xml:space="preserve">sobre las que se aplica y el diseño.</w:t>
      </w:r>
    </w:p>
    <w:tbl>
      <w:tblPr>
        <w:tblStyle w:val="Table"/>
        <w:tblW w:type="pct" w:w="5000"/>
        <w:jc w:val="center"/>
        <w:tblLayout w:type="fixed"/>
        <w:tblLook w:firstRow="0" w:lastRow="0" w:firstColumn="0" w:lastColumn="0" w:noHBand="0" w:noVBand="0" w:val="0000"/>
      </w:tblPr>
      <w:tblGrid>
        <w:gridCol w:w="7920"/>
      </w:tblGrid>
      <w:tr>
        <w:tc>
          <w:tcPr/>
          <w:bookmarkStart w:id="162" w:name="tbl-hypo-plan"/>
          <w:p>
            <w:pPr>
              <w:pStyle w:val="ImageCaption"/>
              <w:spacing w:before="200" w:line="360" w:lineRule="auto"/>
              <w:jc w:val="center"/>
            </w:pPr>
            <w:r>
              <w:t xml:space="preserve">Tabla 3.7: Plan de decisiones estadísticas por hipótesis.</w:t>
            </w:r>
          </w:p>
          <w:tbl>
            <w:tblPr>
              <w:tblStyle w:val="Table"/>
              <w:tblW w:type="pct" w:w="500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Row="1" w:lastRow="0" w:firstColumn="0" w:lastColumn="0" w:noHBand="0" w:noVBand="0" w:val="0020"/>
            </w:tblPr>
            <w:tblGrid>
              <w:gridCol w:w="2904"/>
              <w:gridCol w:w="1584"/>
              <w:gridCol w:w="1320"/>
              <w:gridCol w:w="2112"/>
            </w:tblGrid>
            <w:tr>
              <w:trPr>
                <w:tblHeader w:val="on"/>
              </w:trPr>
              <w:tc>
                <w:tcPr/>
                <w:p>
                  <w:pPr>
                    <w:pStyle w:val="Compact"/>
                    <w:jc w:val="both"/>
                    <w:jc w:val="center"/>
                    <w:spacing w:line="360" w:lineRule="auto"/>
                  </w:pPr>
                  <w:r>
                    <w:rPr>
                      <w:bCs/>
                      <w:b/>
                    </w:rPr>
                    <w:t xml:space="preserve">Hipótesis</w:t>
                  </w:r>
                </w:p>
              </w:tc>
              <w:tc>
                <w:tcPr/>
                <w:p>
                  <w:pPr>
                    <w:pStyle w:val="Compact"/>
                    <w:jc w:val="both"/>
                    <w:jc w:val="center"/>
                    <w:spacing w:line="360" w:lineRule="auto"/>
                  </w:pPr>
                  <w:r>
                    <w:rPr>
                      <w:bCs/>
                      <w:b/>
                    </w:rPr>
                    <w:t xml:space="preserve">Test</w:t>
                  </w:r>
                </w:p>
              </w:tc>
              <w:tc>
                <w:tcPr/>
                <w:p>
                  <w:pPr>
                    <w:pStyle w:val="Compact"/>
                    <w:jc w:val="both"/>
                    <w:jc w:val="center"/>
                    <w:spacing w:line="360" w:lineRule="auto"/>
                  </w:pPr>
                  <ns5:oMath>
                    <ns5:r>
                      <ns5:t>n</ns5:t>
                    </ns5:r>
                  </ns5:oMath>
                  <w:r>
                    <w:rPr>
                      <w:bCs/>
                      <w:b/>
                    </w:rPr>
                    <w:t xml:space="preserve">​</w:t>
                  </w:r>
                </w:p>
              </w:tc>
              <w:tc>
                <w:tcPr/>
                <w:p>
                  <w:pPr>
                    <w:pStyle w:val="Compact"/>
                    <w:jc w:val="both"/>
                    <w:jc w:val="center"/>
                    <w:spacing w:line="360" w:lineRule="auto"/>
                  </w:pPr>
                  <w:r>
                    <w:rPr>
                      <w:bCs/>
                      <w:b/>
                    </w:rPr>
                    <w:t xml:space="preserve">Diseño</w:t>
                  </w:r>
                </w:p>
              </w:tc>
            </w:tr>
            <w:tr>
              <w:tc>
                <w:tcPr/>
                <w:p>
                  <w:pPr>
                    <w:pStyle w:val="Compact"/>
                    <w:jc w:val="both"/>
                    <w:jc w:val="center"/>
                    <w:spacing w:line="360" w:lineRule="auto"/>
                  </w:pPr>
                  <w:r>
                    <w:t xml:space="preserve">H1 (fidelidad)</w:t>
                  </w:r>
                </w:p>
              </w:tc>
              <w:tc>
                <w:tcPr/>
                <w:p>
                  <w:pPr>
                    <w:pStyle w:val="Compact"/>
                    <w:jc w:val="both"/>
                    <w:jc w:val="center"/>
                    <w:spacing w:line="360" w:lineRule="auto"/>
                  </w:pPr>
                  <w:r>
                    <w:t xml:space="preserve">Friedman + Nemenyi; seguimiento dirigido SHAP–LIME</w:t>
                  </w:r>
                </w:p>
              </w:tc>
              <w:tc>
                <w:tcPr/>
                <w:p>
                  <w:pPr>
                    <w:pStyle w:val="Compact"/>
                    <w:jc w:val="both"/>
                    <w:jc w:val="center"/>
                    <w:spacing w:line="360" w:lineRule="auto"/>
                  </w:pPr>
                  <w:r>
                    <w:t xml:space="preserve">15 bloques</w:t>
                  </w:r>
                </w:p>
              </w:tc>
              <w:tc>
                <w:tcPr/>
                <w:p>
                  <w:pPr>
                    <w:pStyle w:val="Compact"/>
                    <w:jc w:val="both"/>
                    <w:jc w:val="center"/>
                    <w:spacing w:line="360" w:lineRule="auto"/>
                  </w:pPr>
                  <w:r>
                    <w:t xml:space="preserve">4 métodos × 15 bloques; contraste dirigido sobre las mismas medias de bloque</w:t>
                  </w:r>
                </w:p>
              </w:tc>
            </w:tr>
            <w:tr>
              <w:tc>
                <w:tcPr/>
                <w:p>
                  <w:pPr>
                    <w:pStyle w:val="Compact"/>
                    <w:jc w:val="both"/>
                    <w:jc w:val="center"/>
                    <w:spacing w:line="360" w:lineRule="auto"/>
                  </w:pPr>
                  <w:r>
                    <w:t xml:space="preserve">H2 (estabilidad)</w:t>
                  </w:r>
                </w:p>
              </w:tc>
              <w:tc>
                <w:tcPr/>
                <w:p>
                  <w:pPr>
                    <w:pStyle w:val="Compact"/>
                    <w:jc w:val="both"/>
                    <w:jc w:val="center"/>
                    <w:spacing w:line="360" w:lineRule="auto"/>
                  </w:pPr>
                  <w:r>
                    <w:t xml:space="preserve">Friedman + Nemenyi</w:t>
                  </w:r>
                </w:p>
              </w:tc>
              <w:tc>
                <w:tcPr/>
                <w:p>
                  <w:pPr>
                    <w:pStyle w:val="Compact"/>
                    <w:jc w:val="both"/>
                    <w:jc w:val="center"/>
                    <w:spacing w:line="360" w:lineRule="auto"/>
                  </w:pPr>
                  <w:r>
                    <w:t xml:space="preserve">15 bloques</w:t>
                  </w:r>
                </w:p>
              </w:tc>
              <w:tc>
                <w:tcPr/>
                <w:p>
                  <w:pPr>
                    <w:pStyle w:val="Compact"/>
                    <w:jc w:val="both"/>
                    <w:jc w:val="center"/>
                    <w:spacing w:line="360" w:lineRule="auto"/>
                  </w:pPr>
                  <w:r>
                    <w:t xml:space="preserve">4 métodos × 15 bloques</w:t>
                  </w:r>
                </w:p>
              </w:tc>
            </w:tr>
            <w:tr>
              <w:tc>
                <w:tcPr/>
                <w:p>
                  <w:pPr>
                    <w:pStyle w:val="Compact"/>
                    <w:jc w:val="both"/>
                    <w:jc w:val="center"/>
                    <w:spacing w:line="360" w:lineRule="auto"/>
                  </w:pPr>
                  <w:r>
                    <w:t xml:space="preserve">H3 (relación SHAP-LIME)</w:t>
                  </w:r>
                </w:p>
              </w:tc>
              <w:tc>
                <w:tcPr/>
                <w:p>
                  <w:pPr>
                    <w:pStyle w:val="Compact"/>
                    <w:jc w:val="both"/>
                    <w:jc w:val="center"/>
                    <w:spacing w:line="360" w:lineRule="auto"/>
                  </w:pPr>
                  <w:r>
                    <w:t xml:space="preserve">Wilcoxon bilateral</w:t>
                  </w:r>
                </w:p>
              </w:tc>
              <w:tc>
                <w:tcPr/>
                <w:p>
                  <w:pPr>
                    <w:pStyle w:val="Compact"/>
                    <w:jc w:val="both"/>
                    <w:jc w:val="center"/>
                    <w:spacing w:line="360" w:lineRule="auto"/>
                  </w:pPr>
                  <w:r>
                    <w:t xml:space="preserve">75 pares</w:t>
                  </w:r>
                </w:p>
              </w:tc>
              <w:tc>
                <w:tcPr/>
                <w:p>
                  <w:pPr>
                    <w:pStyle w:val="Compact"/>
                    <w:jc w:val="both"/>
                    <w:jc w:val="center"/>
                    <w:spacing w:line="360" w:lineRule="auto"/>
                  </w:pPr>
                  <ns5:oMath>
                    <ns5:r>
                      <ns5:rPr>
                        <ns5:sty ns5:val="p"/>
                      </ns5:rPr>
                      <ns5:t>(</ns5:t>
                    </ns5:r>
                    <ns5:r>
                      <ns5:t>g</ns5:t>
                    </ns5:r>
                    <ns5:r>
                      <ns5:rPr>
                        <ns5:sty ns5:val="p"/>
                      </ns5:rPr>
                      <ns5:t>,</ns5:t>
                    </ns5:r>
                    <ns5:r>
                      <ns5:t>s</ns5:t>
                    </ns5:r>
                    <ns5:r>
                      <ns5:rPr>
                        <ns5:sty ns5:val="p"/>
                      </ns5:rPr>
                      <ns5:t>,</ns5:t>
                    </ns5:r>
                    <ns5:r>
                      <ns5:t>n</ns5:t>
                    </ns5:r>
                    <ns5:r>
                      <ns5:rPr>
                        <ns5:sty ns5:val="p"/>
                      </ns5:rPr>
                      <ns5:t>)</ns5:t>
                    </ns5:r>
                  </ns5:oMath>
                  <w:r>
                    <w:t xml:space="preserve"> </w:t>
                  </w:r>
                  <w:r>
                    <w:t xml:space="preserve">idénticos</w:t>
                  </w:r>
                </w:p>
              </w:tc>
            </w:tr>
            <w:tr>
              <w:tc>
                <w:tcPr/>
                <w:p>
                  <w:pPr>
                    <w:pStyle w:val="Compact"/>
                    <w:jc w:val="both"/>
                    <w:jc w:val="center"/>
                    <w:spacing w:line="360" w:lineRule="auto"/>
                  </w:pPr>
                  <w:r>
                    <w:t xml:space="preserve">P1 (reproducibilidad)</w:t>
                  </w:r>
                </w:p>
              </w:tc>
              <w:tc>
                <w:tcPr/>
                <w:p>
                  <w:pPr>
                    <w:pStyle w:val="Compact"/>
                    <w:jc w:val="both"/>
                    <w:jc w:val="center"/>
                    <w:spacing w:line="360" w:lineRule="auto"/>
                  </w:pPr>
                  <w:r>
                    <w:t xml:space="preserve">CV sobre EXP1</w:t>
                  </w:r>
                </w:p>
              </w:tc>
              <w:tc>
                <w:tcPr/>
                <w:p>
                  <w:pPr>
                    <w:pStyle w:val="Compact"/>
                    <w:jc w:val="both"/>
                    <w:jc w:val="center"/>
                    <w:spacing w:line="360" w:lineRule="auto"/>
                  </w:pPr>
                  <w:r>
                    <w:t xml:space="preserve">5 semillas</w:t>
                  </w:r>
                </w:p>
              </w:tc>
              <w:tc>
                <w:tcPr/>
                <w:p>
                  <w:pPr>
                    <w:pStyle w:val="Compact"/>
                    <w:jc w:val="both"/>
                    <w:jc w:val="center"/>
                    <w:spacing w:line="360" w:lineRule="auto"/>
                  </w:pPr>
                  <w:r>
                    <w:t xml:space="preserve">Por método</w:t>
                  </w:r>
                </w:p>
              </w:tc>
            </w:tr>
          </w:tbl>
          <w:bookmarkEnd w:id="162"/>
          <w:p>
            <w:pPr>
              <w:spacing w:line="360" w:lineRule="auto"/>
              <w:jc w:val="both"/>
            </w:pPr>
          </w:p>
        </w:tc>
      </w:tr>
    </w:tbl>
    <w:bookmarkEnd w:id="163"/>
    <w:bookmarkEnd w:id="164"/>
    <w:bookmarkStart w:id="166" w:name="amenazas-a-la-validez"/>
    <w:p>
      <w:pPr>
        <w:pStyle w:val="Ttulo2"/>
        <w:spacing w:line="360" w:lineRule="auto"/>
        <w:jc w:val="both"/>
      </w:pPr>
      <w:r>
        <w:t xml:space="preserve">3.9 </w:t>
      </w:r>
      <w:r>
        <w:t xml:space="preserve">Amenazas a la validez</w:t>
      </w:r>
    </w:p>
    <w:p>
      <w:pPr>
        <w:pStyle w:val="FirstParagraph"/>
        <w:spacing w:line="360" w:lineRule="auto"/>
        <w:jc w:val="both"/>
      </w:pPr>
      <w:r>
        <w:t xml:space="preserve">La interpretación de los resultados se acota mediante cinco familias de amenazas.</w:t>
      </w:r>
      <w:r>
        <w:t xml:space="preserve"> </w:t>
      </w:r>
      <w:r>
        <w:t xml:space="preserve">Estas amenazas no invalidan el diseño, pero delimitan qué tipo de afirmación</w:t>
      </w:r>
      <w:r>
        <w:t xml:space="preserve"> </w:t>
      </w:r>
      <w:r>
        <w:t xml:space="preserve">puede sostenerse a partir del benchmark. La</w:t>
      </w:r>
      <w:r>
        <w:t xml:space="preserve"> </w:t>
      </w:r>
      <w:hyperlink w:anchor="tbl-validity-threats">
        <w:r>
          <w:rPr>
            <w:rStyle w:val="Hipervnculo"/>
          </w:rPr>
          <w:t xml:space="preserve">Tabla 3.8</w:t>
        </w:r>
      </w:hyperlink>
      <w:r>
        <w:t xml:space="preserve"> </w:t>
      </w:r>
      <w:r>
        <w:t xml:space="preserve">indica, para</w:t>
      </w:r>
      <w:r>
        <w:t xml:space="preserve"> </w:t>
      </w:r>
      <w:r>
        <w:t xml:space="preserve">cada familia, el control aplicado y el riesgo residual.</w:t>
      </w:r>
    </w:p>
    <w:tbl>
      <w:tblPr>
        <w:tblStyle w:val="Table"/>
        <w:tblW w:type="pct" w:w="5000"/>
        <w:jc w:val="center"/>
        <w:tblLayout w:type="fixed"/>
        <w:tblLook w:firstRow="0" w:lastRow="0" w:firstColumn="0" w:lastColumn="0" w:noHBand="0" w:noVBand="0" w:val="0000"/>
      </w:tblPr>
      <w:tblGrid>
        <w:gridCol w:w="7920"/>
      </w:tblGrid>
      <w:tr>
        <w:tc>
          <w:tcPr/>
          <w:bookmarkStart w:id="165" w:name="tbl-validity-threats"/>
          <w:p>
            <w:pPr>
              <w:pStyle w:val="ImageCaption"/>
              <w:spacing w:before="200" w:line="360" w:lineRule="auto"/>
              <w:jc w:val="center"/>
            </w:pPr>
            <w:r>
              <w:t xml:space="preserve">Tabla 3.8: Amenazas a la validez, controles y riesgo residual.</w:t>
            </w:r>
          </w:p>
          <w:tbl>
            <w:tblPr>
              <w:tblStyle w:val="Table"/>
              <w:tblW w:type="pct" w:w="500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Row="1" w:lastRow="0" w:firstColumn="0" w:lastColumn="0" w:noHBand="0" w:noVBand="0" w:val="0020"/>
            </w:tblPr>
            <w:tblGrid>
              <w:gridCol w:w="1980"/>
              <w:gridCol w:w="1980"/>
              <w:gridCol w:w="1980"/>
              <w:gridCol w:w="1980"/>
            </w:tblGrid>
            <w:tr>
              <w:trPr>
                <w:tblHeader w:val="on"/>
              </w:trPr>
              <w:tc>
                <w:tcPr/>
                <w:p>
                  <w:pPr>
                    <w:pStyle w:val="Compact"/>
                    <w:jc w:val="both"/>
                    <w:jc w:val="center"/>
                    <w:spacing w:line="360" w:lineRule="auto"/>
                  </w:pPr>
                  <w:r>
                    <w:rPr>
                      <w:bCs/>
                      <w:b/>
                    </w:rPr>
                    <w:t xml:space="preserve">Familia</w:t>
                  </w:r>
                </w:p>
              </w:tc>
              <w:tc>
                <w:tcPr/>
                <w:p>
                  <w:pPr>
                    <w:pStyle w:val="Compact"/>
                    <w:jc w:val="both"/>
                    <w:jc w:val="center"/>
                    <w:spacing w:line="360" w:lineRule="auto"/>
                  </w:pPr>
                  <w:r>
                    <w:rPr>
                      <w:bCs/>
                      <w:b/>
                    </w:rPr>
                    <w:t xml:space="preserve">Amenaza principal</w:t>
                  </w:r>
                </w:p>
              </w:tc>
              <w:tc>
                <w:tcPr/>
                <w:p>
                  <w:pPr>
                    <w:pStyle w:val="Compact"/>
                    <w:jc w:val="both"/>
                    <w:jc w:val="center"/>
                    <w:spacing w:line="360" w:lineRule="auto"/>
                  </w:pPr>
                  <w:r>
                    <w:rPr>
                      <w:bCs/>
                      <w:b/>
                    </w:rPr>
                    <w:t xml:space="preserve">Control aplicado</w:t>
                  </w:r>
                </w:p>
              </w:tc>
              <w:tc>
                <w:tcPr/>
                <w:p>
                  <w:pPr>
                    <w:pStyle w:val="Compact"/>
                    <w:jc w:val="both"/>
                    <w:jc w:val="center"/>
                    <w:spacing w:line="360" w:lineRule="auto"/>
                  </w:pPr>
                  <w:r>
                    <w:rPr>
                      <w:bCs/>
                      <w:b/>
                    </w:rPr>
                    <w:t xml:space="preserve">Riesgo residual</w:t>
                  </w:r>
                </w:p>
              </w:tc>
            </w:tr>
            <w:tr>
              <w:tc>
                <w:tcPr/>
                <w:p>
                  <w:pPr>
                    <w:pStyle w:val="Compact"/>
                    <w:jc w:val="both"/>
                    <w:jc w:val="center"/>
                    <w:spacing w:line="360" w:lineRule="auto"/>
                  </w:pPr>
                  <w:r>
                    <w:t xml:space="preserve">Validez interna</w:t>
                  </w:r>
                </w:p>
              </w:tc>
              <w:tc>
                <w:tcPr/>
                <w:p>
                  <w:pPr>
                    <w:pStyle w:val="Compact"/>
                    <w:jc w:val="both"/>
                    <w:jc w:val="center"/>
                    <w:spacing w:line="360" w:lineRule="auto"/>
                  </w:pPr>
                  <w:r>
                    <w:t xml:space="preserve">Diferencias atribuibles al modelo o preprocesamiento, no al explicador</w:t>
                  </w:r>
                </w:p>
              </w:tc>
              <w:tc>
                <w:tcPr/>
                <w:p>
                  <w:pPr>
                    <w:pStyle w:val="Compact"/>
                    <w:jc w:val="both"/>
                    <w:jc w:val="center"/>
                    <w:spacing w:line="360" w:lineRule="auto"/>
                  </w:pPr>
                  <w:r>
                    <w:t xml:space="preserve">Modelos y preprocesador congelados; misma partición y mismas semillas por celda</w:t>
                  </w:r>
                </w:p>
              </w:tc>
              <w:tc>
                <w:tcPr/>
                <w:p>
                  <w:pPr>
                    <w:pStyle w:val="Compact"/>
                    <w:jc w:val="both"/>
                    <w:jc w:val="center"/>
                    <w:spacing w:line="360" w:lineRule="auto"/>
                  </w:pPr>
                  <w:r>
                    <w:t xml:space="preserve">Variación no observada por implementación interna de cada librería</w:t>
                  </w:r>
                </w:p>
              </w:tc>
            </w:tr>
            <w:tr>
              <w:tc>
                <w:tcPr/>
                <w:p>
                  <w:pPr>
                    <w:pStyle w:val="Compact"/>
                    <w:jc w:val="both"/>
                    <w:jc w:val="center"/>
                    <w:spacing w:line="360" w:lineRule="auto"/>
                  </w:pPr>
                  <w:r>
                    <w:t xml:space="preserve">Validez de constructo</w:t>
                  </w:r>
                </w:p>
              </w:tc>
              <w:tc>
                <w:tcPr/>
                <w:p>
                  <w:pPr>
                    <w:pStyle w:val="Compact"/>
                    <w:jc w:val="both"/>
                    <w:jc w:val="center"/>
                    <w:spacing w:line="360" w:lineRule="auto"/>
                  </w:pPr>
                  <w:r>
                    <w:t xml:space="preserve">Métricas automáticas que no capturan utilidad humana, plausibilidad o causalidad; enmascaramiento independiente potencialmente OOD</w:t>
                  </w:r>
                </w:p>
              </w:tc>
              <w:tc>
                <w:tcPr/>
                <w:p>
                  <w:pPr>
                    <w:pStyle w:val="Compact"/>
                    <w:jc w:val="both"/>
                    <w:jc w:val="center"/>
                    <w:spacing w:line="360" w:lineRule="auto"/>
                  </w:pPr>
                  <w:r>
                    <w:t xml:space="preserve">Definición previa de las métricas como proxies functionally-grounded; mismo operador de media de entrenamiento para todos los métodos; alcance declarado</w:t>
                  </w:r>
                </w:p>
              </w:tc>
              <w:tc>
                <w:tcPr/>
                <w:p>
                  <w:pPr>
                    <w:pStyle w:val="Compact"/>
                    <w:jc w:val="both"/>
                    <w:jc w:val="center"/>
                    <w:spacing w:line="360" w:lineRule="auto"/>
                  </w:pPr>
                  <w:r>
                    <w:t xml:space="preserve">No se preserva la distribución conjunta y puede persistir sesgo diferencial entre explicadores; no se infiere utilidad humana directa ni verdad causal</w:t>
                  </w:r>
                </w:p>
              </w:tc>
            </w:tr>
            <w:tr>
              <w:tc>
                <w:tcPr/>
                <w:p>
                  <w:pPr>
                    <w:pStyle w:val="Compact"/>
                    <w:jc w:val="both"/>
                    <w:jc w:val="center"/>
                    <w:spacing w:line="360" w:lineRule="auto"/>
                  </w:pPr>
                  <w:r>
                    <w:t xml:space="preserve">Validez externa</w:t>
                  </w:r>
                </w:p>
              </w:tc>
              <w:tc>
                <w:tcPr/>
                <w:p>
                  <w:pPr>
                    <w:pStyle w:val="Compact"/>
                    <w:jc w:val="both"/>
                    <w:jc w:val="center"/>
                    <w:spacing w:line="360" w:lineRule="auto"/>
                  </w:pPr>
                  <w:r>
                    <w:t xml:space="preserve">Generalización fuera de Adult Income y clasificación tabular binaria</w:t>
                  </w:r>
                </w:p>
              </w:tc>
              <w:tc>
                <w:tcPr/>
                <w:p>
                  <w:pPr>
                    <w:pStyle w:val="Compact"/>
                    <w:jc w:val="both"/>
                    <w:jc w:val="center"/>
                    <w:spacing w:line="360" w:lineRule="auto"/>
                  </w:pPr>
                  <w:r>
                    <w:t xml:space="preserve">Framing explícito como benchmark tabular Adult; comparación con literatura XAI tabular; estudio de seguimiento sobre 16 conjuntos de datos tabulares (§</w:t>
                  </w:r>
                  <w:hyperlink w:anchor="sec-seg-transferencia">
                    <w:r>
                      <w:rPr>
                        <w:rStyle w:val="Hipervnculo"/>
                      </w:rPr>
                      <w:t xml:space="preserve">6.4</w:t>
                    </w:r>
                  </w:hyperlink>
                  <w:r>
                    <w:t xml:space="preserve">)</w:t>
                  </w:r>
                </w:p>
              </w:tc>
              <w:tc>
                <w:tcPr/>
                <w:p>
                  <w:pPr>
                    <w:pStyle w:val="Compact"/>
                    <w:jc w:val="both"/>
                    <w:jc w:val="center"/>
                    <w:spacing w:line="360" w:lineRule="auto"/>
                  </w:pPr>
                  <w:r>
                    <w:t xml:space="preserve">El seguimiento cubre el orden de los métodos bajo un protocolo propio, no los valores de este benchmark; no cubre imágenes, texto, series temporales ni dominios causales</w:t>
                  </w:r>
                </w:p>
              </w:tc>
            </w:tr>
            <w:tr>
              <w:tc>
                <w:tcPr/>
                <w:p>
                  <w:pPr>
                    <w:pStyle w:val="Compact"/>
                    <w:jc w:val="both"/>
                    <w:jc w:val="center"/>
                    <w:spacing w:line="360" w:lineRule="auto"/>
                  </w:pPr>
                  <w:r>
                    <w:t xml:space="preserve">Conclusión estadística</w:t>
                  </w:r>
                </w:p>
              </w:tc>
              <w:tc>
                <w:tcPr/>
                <w:p>
                  <w:pPr>
                    <w:pStyle w:val="Compact"/>
                    <w:jc w:val="both"/>
                    <w:jc w:val="center"/>
                    <w:spacing w:line="360" w:lineRule="auto"/>
                  </w:pPr>
                  <w:r>
                    <w:t xml:space="preserve">Pseudorreplicación, multiplicidad y datos faltantes</w:t>
                  </w:r>
                </w:p>
              </w:tc>
              <w:tc>
                <w:tcPr/>
                <w:p>
                  <w:pPr>
                    <w:pStyle w:val="Compact"/>
                    <w:jc w:val="both"/>
                    <w:jc w:val="center"/>
                    <w:spacing w:line="360" w:lineRule="auto"/>
                  </w:pPr>
                  <w:r>
                    <w:t xml:space="preserve">Unidad inferencial por bloque/celda; Friedman, Nemenyi, Wilcoxon y Holm-Bonferroni; análisis de cobertura</w:t>
                  </w:r>
                </w:p>
              </w:tc>
              <w:tc>
                <w:tcPr/>
                <w:p>
                  <w:pPr>
                    <w:pStyle w:val="Compact"/>
                    <w:jc w:val="both"/>
                    <w:jc w:val="center"/>
                    <w:spacing w:line="360" w:lineRule="auto"/>
                  </w:pPr>
                  <w:r>
                    <w:t xml:space="preserve">Menor precisión en Anchors para bloques con baja cobertura</w:t>
                  </w:r>
                </w:p>
              </w:tc>
            </w:tr>
            <w:tr>
              <w:tc>
                <w:tcPr/>
                <w:p>
                  <w:pPr>
                    <w:pStyle w:val="Compact"/>
                    <w:jc w:val="both"/>
                    <w:jc w:val="center"/>
                    <w:spacing w:line="360" w:lineRule="auto"/>
                  </w:pPr>
                  <w:r>
                    <w:t xml:space="preserve">Reproducibilidad</w:t>
                  </w:r>
                </w:p>
              </w:tc>
              <w:tc>
                <w:tcPr/>
                <w:p>
                  <w:pPr>
                    <w:pStyle w:val="Compact"/>
                    <w:jc w:val="both"/>
                    <w:jc w:val="center"/>
                    <w:spacing w:line="360" w:lineRule="auto"/>
                  </w:pPr>
                  <w:r>
                    <w:t xml:space="preserve">Dependencia de versiones, semillas, recursos y artefactos locales</w:t>
                  </w:r>
                </w:p>
              </w:tc>
              <w:tc>
                <w:tcPr/>
                <w:p>
                  <w:pPr>
                    <w:pStyle w:val="Compact"/>
                    <w:jc w:val="both"/>
                    <w:jc w:val="center"/>
                    <w:spacing w:line="360" w:lineRule="auto"/>
                  </w:pPr>
                  <w:r>
                    <w:t xml:space="preserve">Manifiestos YAML, artefactos versionados, scripts de análisis y DOI Zenodo</w:t>
                  </w:r>
                </w:p>
              </w:tc>
              <w:tc>
                <w:tcPr/>
                <w:p>
                  <w:pPr>
                    <w:pStyle w:val="Compact"/>
                    <w:jc w:val="both"/>
                    <w:jc w:val="center"/>
                    <w:spacing w:line="360" w:lineRule="auto"/>
                  </w:pPr>
                  <w:r>
                    <w:t xml:space="preserve">Reproducción completa requiere entorno compatible con Python 3.11 y dependencias fijadas</w:t>
                  </w:r>
                </w:p>
              </w:tc>
            </w:tr>
          </w:tbl>
          <w:bookmarkEnd w:id="165"/>
          <w:p>
            <w:pPr>
              <w:spacing w:line="360" w:lineRule="auto"/>
              <w:jc w:val="both"/>
            </w:pPr>
          </w:p>
        </w:tc>
      </w:tr>
    </w:tbl>
    <w:p>
      <w:pPr>
        <w:pStyle w:val="Textoindependiente"/>
        <w:spacing w:line="360" w:lineRule="auto"/>
        <w:jc w:val="both"/>
      </w:pPr>
      <w:r>
        <w:t xml:space="preserve">El límite más importante es de constructo: el estudio produce evidencia</w:t>
      </w:r>
      <w:r>
        <w:t xml:space="preserve"> </w:t>
      </w:r>
      <w:r>
        <w:t xml:space="preserve">computacional reproducible sobre artefactos explicativos, no una validación</w:t>
      </w:r>
      <w:r>
        <w:t xml:space="preserve"> </w:t>
      </w:r>
      <w:r>
        <w:t xml:space="preserve">psicológica o causal de la explicación. Esta delimitación es consistente con el</w:t>
      </w:r>
      <w:r>
        <w:t xml:space="preserve"> </w:t>
      </w:r>
      <w:r>
        <w:t xml:space="preserve">Capítulo 2 y protege la interpretación de los resultados del Capítulo 4.</w:t>
      </w:r>
    </w:p>
    <w:bookmarkEnd w:id="166"/>
    <w:bookmarkStart w:id="167" w:name="trazabilidad-y-reproducibilidad"/>
    <w:p>
      <w:pPr>
        <w:pStyle w:val="Ttulo2"/>
        <w:spacing w:line="360" w:lineRule="auto"/>
        <w:jc w:val="both"/>
      </w:pPr>
      <w:r>
        <w:t xml:space="preserve">3.10 </w:t>
      </w:r>
      <w:r>
        <w:t xml:space="preserve">Trazabilidad y reproducibilidad</w:t>
      </w:r>
    </w:p>
    <w:p>
      <w:pPr>
        <w:pStyle w:val="FirstParagraph"/>
        <w:spacing w:line="360" w:lineRule="auto"/>
        <w:jc w:val="both"/>
      </w:pPr>
      <w:r>
        <w:t xml:space="preserve">Todos los análisis del Capítulo 4 son reproducibles desde el repositorio</w:t>
      </w:r>
      <w:r>
        <w:t xml:space="preserve"> </w:t>
      </w:r>
      <w:r>
        <w:t xml:space="preserve">público</w:t>
      </w:r>
      <w:r>
        <w:t xml:space="preserve"> </w:t>
      </w:r>
      <w:r>
        <w:rPr>
          <w:rStyle w:val="VerbatimChar"/>
        </w:rPr>
        <w:t xml:space="preserve">https://github.com/jonnabio/xai-eval-framework</w:t>
      </w:r>
      <w:r>
        <w:t xml:space="preserve">, archivado con DOI</w:t>
      </w:r>
      <w:r>
        <w:t xml:space="preserve"> </w:t>
      </w:r>
      <w:r>
        <w:rPr>
          <w:rStyle w:val="VerbatimChar"/>
        </w:rPr>
        <w:t xml:space="preserve">10.5281/zenodo.21538180</w:t>
      </w:r>
      <w:r>
        <w:t xml:space="preserve"> </w:t>
      </w:r>
      <w:r>
        <w:t xml:space="preserve">(commit</w:t>
      </w:r>
      <w:r>
        <w:t xml:space="preserve"> </w:t>
      </w:r>
      <w:r>
        <w:rPr>
          <w:rStyle w:val="VerbatimChar"/>
        </w:rPr>
        <w:t xml:space="preserve">553f65d71b077ec181ad36da7bb6e7c9942fe116</w:t>
      </w:r>
      <w:r>
        <w:t xml:space="preserve">,</w:t>
      </w:r>
      <w:r>
        <w:t xml:space="preserve"> </w:t>
      </w:r>
      <w:r>
        <w:t xml:space="preserve">2026-07-24), que es el corte de evidencia efectivamente reportado en el</w:t>
      </w:r>
      <w:r>
        <w:t xml:space="preserve"> </w:t>
      </w:r>
      <w:r>
        <w:t xml:space="preserve">Capítulo 4: 299 artefactos comprometidos y 275 ejecuciones analizables tras la</w:t>
      </w:r>
      <w:r>
        <w:t xml:space="preserve"> </w:t>
      </w:r>
      <w:r>
        <w:t xml:space="preserve">superposición de recuperación. El DOI de concepto</w:t>
      </w:r>
      <w:r>
        <w:t xml:space="preserve"> </w:t>
      </w:r>
      <w:r>
        <w:rPr>
          <w:rStyle w:val="VerbatimChar"/>
        </w:rPr>
        <w:t xml:space="preserve">10.5281/zenodo.19297723</w:t>
      </w:r>
      <w:r>
        <w:t xml:space="preserve"> </w:t>
      </w:r>
      <w:r>
        <w:t xml:space="preserve">resuelve siempre a la versión más reciente. La</w:t>
      </w:r>
      <w:r>
        <w:t xml:space="preserve"> </w:t>
      </w:r>
      <w:r>
        <w:t xml:space="preserve">instantánea previa</w:t>
      </w:r>
      <w:r>
        <w:t xml:space="preserve"> </w:t>
      </w:r>
      <w:r>
        <w:rPr>
          <w:rStyle w:val="VerbatimChar"/>
        </w:rPr>
        <w:t xml:space="preserve">10.5281/zenodo.19297724</w:t>
      </w:r>
      <w:r>
        <w:t xml:space="preserve"> </w:t>
      </w:r>
      <w:r>
        <w:t xml:space="preserve">(abril de 2026) permanece</w:t>
      </w:r>
      <w:r>
        <w:t xml:space="preserve"> </w:t>
      </w:r>
      <w:r>
        <w:t xml:space="preserve">archivada por procedencia, pero es anterior a la superposición de recuperación</w:t>
      </w:r>
      <w:r>
        <w:t xml:space="preserve"> </w:t>
      </w:r>
      <w:r>
        <w:t xml:space="preserve">y no corresponde a las cifras reportadas aquí.</w:t>
      </w:r>
      <w:r>
        <w:t xml:space="preserve"> </w:t>
      </w:r>
      <w:r>
        <w:t xml:space="preserve">Los anclajes de reproducibilidad principales son:</w:t>
      </w:r>
    </w:p>
    <w:p>
      <w:pPr>
        <w:pStyle w:val="Compact"/>
        <w:numPr>
          <w:ilvl w:val="0"/>
          <w:numId w:val="1010"/>
        </w:numPr>
        <w:spacing w:line="360" w:lineRule="auto"/>
        <w:jc w:val="both"/>
      </w:pPr>
      <w:r>
        <w:rPr>
          <w:rStyle w:val="VerbatimChar"/>
        </w:rPr>
        <w:t xml:space="preserve">configs/experiments/exp2_scaled/manifest.yaml</w:t>
      </w:r>
      <w:r>
        <w:t xml:space="preserve"> </w:t>
      </w:r>
      <w:r>
        <w:t xml:space="preserve">— diseño factorial</w:t>
      </w:r>
      <w:r>
        <w:t xml:space="preserve"> </w:t>
      </w:r>
      <w:r>
        <w:t xml:space="preserve">declarado (300 celdas).</w:t>
      </w:r>
    </w:p>
    <w:p>
      <w:pPr>
        <w:pStyle w:val="Compact"/>
        <w:numPr>
          <w:ilvl w:val="0"/>
          <w:numId w:val="1010"/>
        </w:numPr>
        <w:spacing w:line="360" w:lineRule="auto"/>
        <w:jc w:val="both"/>
      </w:pPr>
      <w:r>
        <w:rPr>
          <w:rStyle w:val="VerbatimChar"/>
        </w:rPr>
        <w:t xml:space="preserve">experiments/exp2_scaled/results/</w:t>
      </w:r>
      <w:r>
        <w:t xml:space="preserve"> </w:t>
      </w:r>
      <w:r>
        <w:t xml:space="preserve">— árbol de artefactos por ejecución</w:t>
      </w:r>
      <w:r>
        <w:t xml:space="preserve"> </w:t>
      </w:r>
      <w:r>
        <w:t xml:space="preserve">(299 archivos</w:t>
      </w:r>
      <w:r>
        <w:t xml:space="preserve"> </w:t>
      </w:r>
      <w:r>
        <w:rPr>
          <w:rStyle w:val="VerbatimChar"/>
        </w:rPr>
        <w:t xml:space="preserve">results.json</w:t>
      </w:r>
      <w:r>
        <w:t xml:space="preserve"> </w:t>
      </w:r>
      <w:r>
        <w:t xml:space="preserve">no vacíos).</w:t>
      </w:r>
    </w:p>
    <w:p>
      <w:pPr>
        <w:pStyle w:val="Compact"/>
        <w:numPr>
          <w:ilvl w:val="0"/>
          <w:numId w:val="1010"/>
        </w:numPr>
        <w:spacing w:line="360" w:lineRule="auto"/>
        <w:jc w:val="both"/>
      </w:pPr>
      <w:r>
        <w:rPr>
          <w:rStyle w:val="VerbatimChar"/>
        </w:rPr>
        <w:t xml:space="preserve">outputs/batch_results.csv</w:t>
      </w:r>
      <w:r>
        <w:t xml:space="preserve"> </w:t>
      </w:r>
      <w:r>
        <w:t xml:space="preserve">— superposición de recuperación (30 filas).</w:t>
      </w:r>
    </w:p>
    <w:p>
      <w:pPr>
        <w:pStyle w:val="Compact"/>
        <w:numPr>
          <w:ilvl w:val="0"/>
          <w:numId w:val="1010"/>
        </w:numPr>
        <w:spacing w:line="360" w:lineRule="auto"/>
        <w:jc w:val="both"/>
      </w:pPr>
      <w:r>
        <w:rPr>
          <w:rStyle w:val="VerbatimChar"/>
        </w:rPr>
        <w:t xml:space="preserve">scripts/run_exp2_statistical_analysis.py</w:t>
      </w:r>
      <w:r>
        <w:t xml:space="preserve"> </w:t>
      </w:r>
      <w:r>
        <w:t xml:space="preserve">— generación determinista de</w:t>
      </w:r>
      <w:r>
        <w:t xml:space="preserve"> </w:t>
      </w:r>
      <w:r>
        <w:t xml:space="preserve">tablas inferenciales.</w:t>
      </w:r>
    </w:p>
    <w:p>
      <w:pPr>
        <w:pStyle w:val="Compact"/>
        <w:numPr>
          <w:ilvl w:val="0"/>
          <w:numId w:val="1010"/>
        </w:numPr>
        <w:spacing w:line="360" w:lineRule="auto"/>
        <w:jc w:val="both"/>
      </w:pPr>
      <w:r>
        <w:rPr>
          <w:rStyle w:val="VerbatimChar"/>
        </w:rPr>
        <w:t xml:space="preserve">scripts/run_exp2_block_paired_analysis.py</w:t>
      </w:r>
      <w:r>
        <w:t xml:space="preserve"> </w:t>
      </w:r>
      <w:r>
        <w:t xml:space="preserve">— seguimiento dirigido</w:t>
      </w:r>
      <w:r>
        <w:t xml:space="preserve"> </w:t>
      </w:r>
      <w:r>
        <w:t xml:space="preserve">SHAP–LIME sobre los 15 bloques agregados y prueba exacta de signos.</w:t>
      </w:r>
    </w:p>
    <w:p>
      <w:pPr>
        <w:pStyle w:val="Compact"/>
        <w:numPr>
          <w:ilvl w:val="0"/>
          <w:numId w:val="1010"/>
        </w:numPr>
        <w:spacing w:line="360" w:lineRule="auto"/>
        <w:jc w:val="both"/>
      </w:pPr>
      <w:r>
        <w:rPr>
          <w:rStyle w:val="VerbatimChar"/>
        </w:rPr>
        <w:t xml:space="preserve">outputs/analysis/paper_a_exp2_stats/</w:t>
      </w:r>
      <w:r>
        <w:t xml:space="preserve"> </w:t>
      </w:r>
      <w:r>
        <w:t xml:space="preserve">— exportaciones inferenciales de</w:t>
      </w:r>
      <w:r>
        <w:t xml:space="preserve"> </w:t>
      </w:r>
      <w:r>
        <w:t xml:space="preserve">referencia.</w:t>
      </w:r>
    </w:p>
    <w:p>
      <w:pPr>
        <w:pStyle w:val="FirstParagraph"/>
        <w:spacing w:line="360" w:lineRule="auto"/>
        <w:jc w:val="both"/>
      </w:pPr>
      <w:r>
        <w:t xml:space="preserve">Las especificaciones completas del entorno de ejecución, los parámetros de</w:t>
      </w:r>
      <w:r>
        <w:t xml:space="preserve"> </w:t>
      </w:r>
      <w:r>
        <w:t xml:space="preserve">restricción de recursos y las instrucciones de reproducción paso a paso</w:t>
      </w:r>
      <w:r>
        <w:t xml:space="preserve"> </w:t>
      </w:r>
      <w:r>
        <w:t xml:space="preserve">figuran en el Apéndice E.</w:t>
      </w:r>
    </w:p>
    <w:bookmarkEnd w:id="167"/>
    <w:bookmarkStart w:id="170" w:name="sec-estudios-complementarios"/>
    <w:p>
      <w:pPr>
        <w:pStyle w:val="Ttulo2"/>
        <w:spacing w:line="360" w:lineRule="auto"/>
        <w:jc w:val="both"/>
      </w:pPr>
      <w:r>
        <w:t xml:space="preserve">3.11 </w:t>
      </w:r>
      <w:r>
        <w:t xml:space="preserve">Estudios complementarios: EXP3 y EXP4</w:t>
      </w:r>
    </w:p>
    <w:p>
      <w:pPr>
        <w:pStyle w:val="FirstParagraph"/>
        <w:spacing w:line="360" w:lineRule="auto"/>
        <w:jc w:val="both"/>
      </w:pPr>
      <w:r>
        <w:t xml:space="preserve">El diseño experimental principal comprende las fases EXP1 y EXP2 descritas en</w:t>
      </w:r>
      <w:r>
        <w:t xml:space="preserve"> </w:t>
      </w:r>
      <w:r>
        <w:t xml:space="preserve">las secciones anteriores. Dos estudios complementarios amplían el alcance de la</w:t>
      </w:r>
      <w:r>
        <w:t xml:space="preserve"> </w:t>
      </w:r>
      <w:r>
        <w:t xml:space="preserve">evidencia sin alterar el protocolo confirmativo: EXP3 extiende la validación</w:t>
      </w:r>
      <w:r>
        <w:t xml:space="preserve"> </w:t>
      </w:r>
      <w:r>
        <w:t xml:space="preserve">de fidelidad a datasets adicionales y EXP4 cuantifica la fiabilidad de los</w:t>
      </w:r>
      <w:r>
        <w:t xml:space="preserve"> </w:t>
      </w:r>
      <w:r>
        <w:t xml:space="preserve">evaluadores semánticos LLM como instrumento de medición.</w:t>
      </w:r>
    </w:p>
    <w:p>
      <w:pPr>
        <w:pStyle w:val="Textoindependiente"/>
        <w:spacing w:line="360" w:lineRule="auto"/>
        <w:jc w:val="both"/>
      </w:pPr>
      <w:r>
        <w:t xml:space="preserve">Con posterioridad se realizaron tres estudios de seguimiento, que no forman</w:t>
      </w:r>
      <w:r>
        <w:t xml:space="preserve"> </w:t>
      </w:r>
      <w:r>
        <w:t xml:space="preserve">parte del plan descrito en este capítulo y cuyo diseño se expone junto a sus</w:t>
      </w:r>
      <w:r>
        <w:t xml:space="preserve"> </w:t>
      </w:r>
      <w:r>
        <w:t xml:space="preserve">resultados en el Capítulo 6 (§</w:t>
      </w:r>
      <w:hyperlink w:anchor="sec-seguimiento">
        <w:r>
          <w:rPr>
            <w:rStyle w:val="Hipervnculo"/>
          </w:rPr>
          <w:t xml:space="preserve">6</w:t>
        </w:r>
      </w:hyperlink>
      <w:r>
        <w:t xml:space="preserve">). El muestreo por cuadrante de</w:t>
      </w:r>
      <w:r>
        <w:t xml:space="preserve"> </w:t>
      </w:r>
      <w:r>
        <w:t xml:space="preserve">error de §</w:t>
      </w:r>
      <w:hyperlink w:anchor="sec-muestreo">
        <w:r>
          <w:rPr>
            <w:rStyle w:val="Hipervnculo"/>
          </w:rPr>
          <w:t xml:space="preserve">3.4</w:t>
        </w:r>
      </w:hyperlink>
      <w:r>
        <w:t xml:space="preserve"> </w:t>
      </w:r>
      <w:r>
        <w:t xml:space="preserve">es el que permite uno de ellos, el reanálisis por</w:t>
      </w:r>
      <w:r>
        <w:t xml:space="preserve"> </w:t>
      </w:r>
      <w:r>
        <w:t xml:space="preserve">corrección de la predicción.</w:t>
      </w:r>
    </w:p>
    <w:bookmarkStart w:id="168" w:name="sec-exp3-diseno"/>
    <w:p>
      <w:pPr>
        <w:pStyle w:val="Ttulo3"/>
        <w:spacing w:line="360" w:lineRule="auto"/>
        <w:jc w:val="both"/>
      </w:pPr>
      <w:r>
        <w:t xml:space="preserve">3.11.1 </w:t>
      </w:r>
      <w:r>
        <w:t xml:space="preserve">EXP3: Validación cruzada de fidelidad en datasets adicionales</w:t>
      </w:r>
    </w:p>
    <w:p>
      <w:pPr>
        <w:pStyle w:val="FirstParagraph"/>
        <w:spacing w:line="360" w:lineRule="auto"/>
        <w:jc w:val="both"/>
      </w:pPr>
      <w:r>
        <w:t xml:space="preserve">EXP3 replica parcialmente los ordenamientos de fidelidad fuera del dataset</w:t>
      </w:r>
      <w:r>
        <w:t xml:space="preserve"> </w:t>
      </w:r>
      <w:r>
        <w:t xml:space="preserve">primario mediante dos datasets tabulares de clasificación binaria:</w:t>
      </w:r>
    </w:p>
    <w:p>
      <w:pPr>
        <w:pStyle w:val="Compact"/>
        <w:numPr>
          <w:ilvl w:val="0"/>
          <w:numId w:val="1011"/>
        </w:numPr>
        <w:spacing w:line="360" w:lineRule="auto"/>
        <w:jc w:val="both"/>
      </w:pPr>
      <w:r>
        <w:rPr>
          <w:b/>
          <w:bCs/>
        </w:rPr>
        <w:t xml:space="preserve">Breast Cancer Wisconsin</w:t>
      </w:r>
      <w:r>
        <w:t xml:space="preserve"> </w:t>
      </w:r>
      <w:r>
        <w:t xml:space="preserve">(Dua y Graff 2019)</w:t>
      </w:r>
      <w:r>
        <w:t xml:space="preserve">:</w:t>
      </w:r>
      <w:r>
        <w:t xml:space="preserve"> </w:t>
      </w:r>
      <ns5:oMath>
        <ns5:r>
          <ns5:t>n</ns5:t>
        </ns5:r>
        <ns5:r>
          <ns5:rPr>
            <ns5:sty ns5:val="p"/>
          </ns5:rPr>
          <ns5:t>=</ns5:t>
        </ns5:r>
        <ns5:r>
          <ns5:t>569</ns5:t>
        </ns5:r>
      </ns5:oMath>
      <w:r>
        <w:t xml:space="preserve"> </w:t>
      </w:r>
      <w:r>
        <w:t xml:space="preserve">instancias, 30</w:t>
      </w:r>
      <w:r>
        <w:t xml:space="preserve"> </w:t>
      </w:r>
      <w:r>
        <w:t xml:space="preserve">características numéricas continuas (sin categóricas), clasificación binaria</w:t>
      </w:r>
      <w:r>
        <w:t xml:space="preserve"> </w:t>
      </w:r>
      <w:r>
        <w:t xml:space="preserve">maligno/benigno.</w:t>
      </w:r>
    </w:p>
    <w:p>
      <w:pPr>
        <w:pStyle w:val="Compact"/>
        <w:numPr>
          <w:ilvl w:val="0"/>
          <w:numId w:val="1011"/>
        </w:numPr>
        <w:spacing w:line="360" w:lineRule="auto"/>
        <w:jc w:val="both"/>
      </w:pPr>
      <w:r>
        <w:rPr>
          <w:b/>
          <w:bCs/>
        </w:rPr>
        <w:t xml:space="preserve">German Credit</w:t>
      </w:r>
      <w:r>
        <w:t xml:space="preserve"> </w:t>
      </w:r>
      <w:r>
        <w:t xml:space="preserve">(Dua y Graff 2019)</w:t>
      </w:r>
      <w:r>
        <w:t xml:space="preserve">:</w:t>
      </w:r>
      <w:r>
        <w:t xml:space="preserve"> </w:t>
      </w:r>
      <ns5:oMath>
        <ns5:r>
          <ns5:t>n</ns5:t>
        </ns5:r>
        <ns5:r>
          <ns5:rPr>
            <ns5:sty ns5:val="p"/>
          </ns5:rPr>
          <ns5:t>=</ns5:t>
        </ns5:r>
        <ns5:r>
          <ns5:t>1</ns5:t>
        </ns5:r>
        <ns5:r>
          <ns5:rPr>
            <ns5:sty ns5:val="p"/>
          </ns5:rPr>
          <ns5:t>,</ns5:t>
        </ns5:r>
        <ns5:r>
          <ns5:t>000</ns5:t>
        </ns5:r>
      </ns5:oMath>
      <w:r>
        <w:t xml:space="preserve"> </w:t>
      </w:r>
      <w:r>
        <w:t xml:space="preserve">instancias, 20 características</w:t>
      </w:r>
      <w:r>
        <w:t xml:space="preserve"> </w:t>
      </w:r>
      <w:r>
        <w:t xml:space="preserve">(mixtas numéricas y codificadas), clasificación binaria crédito-bueno/malo.</w:t>
      </w:r>
    </w:p>
    <w:p>
      <w:pPr>
        <w:pStyle w:val="FirstParagraph"/>
        <w:spacing w:line="360" w:lineRule="auto"/>
        <w:jc w:val="both"/>
      </w:pPr>
      <w:r>
        <w:t xml:space="preserve">El diseño base de EXP3 cruza dos modelos (Random Forest y XGBoost), tres</w:t>
      </w:r>
      <w:r>
        <w:t xml:space="preserve"> </w:t>
      </w:r>
      <w:r>
        <w:t xml:space="preserve">semillas (</w:t>
      </w:r>
      <ns5:oMath>
        <ns5:r>
          <ns5:rPr>
            <ns5:sty ns5:val="p"/>
          </ns5:rPr>
          <ns5:t>{</ns5:t>
        </ns5:r>
        <ns5:r>
          <ns5:t>42</ns5:t>
        </ns5:r>
        <ns5:r>
          <ns5:rPr>
            <ns5:sty ns5:val="p"/>
          </ns5:rPr>
          <ns5:t>,</ns5:t>
        </ns5:r>
        <ns5:r>
          <ns5:t>123</ns5:t>
        </ns5:r>
        <ns5:r>
          <ns5:rPr>
            <ns5:sty ns5:val="p"/>
          </ns5:rPr>
          <ns5:t>,</ns5:t>
        </ns5:r>
        <ns5:r>
          <ns5:t>456</ns5:t>
        </ns5:r>
        <ns5:r>
          <ns5:rPr>
            <ns5:sty ns5:val="p"/>
          </ns5:rPr>
          <ns5:t>}</ns5:t>
        </ns5:r>
      </ns5:oMath>
      <w:r>
        <w:t xml:space="preserve">) y los dos datasets, produciendo</w:t>
      </w:r>
      <w:r>
        <w:t xml:space="preserve"> </w:t>
      </w:r>
      <ns5:oMath>
        <ns5:r>
          <ns5:t>2</ns5:t>
        </ns5:r>
        <ns5:r>
          <ns5:rPr>
            <ns5:sty ns5:val="p"/>
          </ns5:rPr>
          <ns5:t>×</ns5:t>
        </ns5:r>
        <ns5:r>
          <ns5:t>2</ns5:t>
        </ns5:r>
        <ns5:r>
          <ns5:rPr>
            <ns5:sty ns5:val="p"/>
          </ns5:rPr>
          <ns5:t>×</ns5:t>
        </ns5:r>
        <ns5:r>
          <ns5:t>3</ns5:t>
        </ns5:r>
        <ns5:r>
          <ns5:rPr>
            <ns5:sty ns5:val="p"/>
          </ns5:rPr>
          <ns5:t>=</ns5:t>
        </ns5:r>
        <ns5:r>
          <ns5:t>12</ns5:t>
        </ns5:r>
      </ns5:oMath>
      <w:r>
        <w:t xml:space="preserve"> </w:t>
      </w:r>
      <w:r>
        <w:t xml:space="preserve">comparaciones pareadas SHAP–Anchors. La métrica evaluada es</w:t>
      </w:r>
      <w:r>
        <w:t xml:space="preserve"> </w:t>
      </w:r>
      <w:r>
        <w:t xml:space="preserve">fidelidad con la misma operacionalización que EXP2</w:t>
      </w:r>
      <w:r>
        <w:t xml:space="preserve"> </w:t>
      </w:r>
      <w:r>
        <w:t xml:space="preserve">(correlación importancias–enmascaramiento). Una extensión posterior incorporó</w:t>
      </w:r>
      <w:r>
        <w:t xml:space="preserve"> </w:t>
      </w:r>
      <w:r>
        <w:t xml:space="preserve">LIME en los mismos datasets y modelos, reportando fidelidad y estabilidad de</w:t>
      </w:r>
      <w:r>
        <w:t xml:space="preserve"> </w:t>
      </w:r>
      <w:r>
        <w:t xml:space="preserve">LIME bajo el protocolo EXP2. Sin embargo, la estabilidad de SHAP no fue</w:t>
      </w:r>
      <w:r>
        <w:t xml:space="preserve"> </w:t>
      </w:r>
      <w:r>
        <w:t xml:space="preserve">instrumentada en esa extensión, por lo que EXP3 proporciona validación</w:t>
      </w:r>
      <w:r>
        <w:t xml:space="preserve"> </w:t>
      </w:r>
      <w:r>
        <w:t xml:space="preserve">cross-dataset parcial de los ordenamientos de fidelidad, pero no un contraste</w:t>
      </w:r>
      <w:r>
        <w:t xml:space="preserve"> </w:t>
      </w:r>
      <w:r>
        <w:t xml:space="preserve">pareado SHAP-LIME completo de estabilidad fuera de UCI Adult Income.</w:t>
      </w:r>
    </w:p>
    <w:bookmarkEnd w:id="168"/>
    <w:bookmarkStart w:id="169" w:name="sec-exp4-diseno"/>
    <w:p>
      <w:pPr>
        <w:pStyle w:val="Ttulo3"/>
        <w:spacing w:line="360" w:lineRule="auto"/>
        <w:jc w:val="both"/>
      </w:pPr>
      <w:r>
        <w:t xml:space="preserve">3.11.2 </w:t>
      </w:r>
      <w:r>
        <w:t xml:space="preserve">EXP4: Estudio de fiabilidad de jueces LLM para evaluación semántica</w:t>
      </w:r>
    </w:p>
    <w:p>
      <w:pPr>
        <w:pStyle w:val="FirstParagraph"/>
        <w:spacing w:line="360" w:lineRule="auto"/>
        <w:jc w:val="both"/>
      </w:pPr>
      <w:r>
        <w:t xml:space="preserve">EXP4 es un estudio de calibración empírica cuyo propósito es cuantificar la</w:t>
      </w:r>
      <w:r>
        <w:t xml:space="preserve"> </w:t>
      </w:r>
      <w:r>
        <w:t xml:space="preserve">convergencia inter-juez de evaluadores LLM sobre explicaciones de los corpus</w:t>
      </w:r>
      <w:r>
        <w:t xml:space="preserve"> </w:t>
      </w:r>
      <w:r>
        <w:t xml:space="preserve">experimentales de EXP2 y EXP3. Su función en la tesis es proporcionar evidencia</w:t>
      </w:r>
      <w:r>
        <w:t xml:space="preserve"> </w:t>
      </w:r>
      <w:r>
        <w:t xml:space="preserve">cuantitativa de la brecha de evaluación semántica identificada en la taxonomía</w:t>
      </w:r>
      <w:r>
        <w:t xml:space="preserve"> </w:t>
      </w:r>
      <w:r>
        <w:t xml:space="preserve">del Capítulo 5 (Brecha 3, §</w:t>
      </w:r>
      <w:hyperlink w:anchor="sec-taxonomia-brechas">
        <w:r>
          <w:rPr>
            <w:rStyle w:val="Hipervnculo"/>
          </w:rPr>
          <w:t xml:space="preserve">5.6</w:t>
        </w:r>
      </w:hyperlink>
      <w:r>
        <w:t xml:space="preserve">: la evaluación semántica crece más rápido que su base</w:t>
      </w:r>
      <w:r>
        <w:t xml:space="preserve"> </w:t>
      </w:r>
      <w:r>
        <w:t xml:space="preserve">de validación empírica).</w:t>
      </w:r>
    </w:p>
    <w:p>
      <w:pPr>
        <w:pStyle w:val="Textoindependiente"/>
        <w:spacing w:line="360" w:lineRule="auto"/>
        <w:jc w:val="both"/>
      </w:pPr>
      <w:r>
        <w:rPr>
          <w:b/>
          <w:bCs/>
        </w:rPr>
        <w:t xml:space="preserve">Muestra.</w:t>
      </w:r>
      <w:r>
        <w:t xml:space="preserve"> </w:t>
      </w:r>
      <w:r>
        <w:t xml:space="preserve">El inventario de EXP4 comprende</w:t>
      </w:r>
      <w:r>
        <w:t xml:space="preserve"> </w:t>
      </w:r>
      <ns5:oMath>
        <ns5:r>
          <ns5:t>n</ns5:t>
        </ns5:r>
        <ns5:r>
          <ns5:rPr>
            <ns5:sty ns5:val="p"/>
          </ns5:rPr>
          <ns5:t>=</ns5:t>
        </ns5:r>
        <ns5:r>
          <ns5:t>192</ns5:t>
        </ns5:r>
      </ns5:oMath>
      <w:r>
        <w:t xml:space="preserve"> </w:t>
      </w:r>
      <w:r>
        <w:t xml:space="preserve">casos. Cada caso es una</w:t>
      </w:r>
      <w:r>
        <w:t xml:space="preserve"> </w:t>
      </w:r>
      <w:r>
        <w:t xml:space="preserve">explicación individual de una instancia, no un par de explicaciones: 96 casos</w:t>
      </w:r>
      <w:r>
        <w:t xml:space="preserve"> </w:t>
      </w:r>
      <w:r>
        <w:t xml:space="preserve">proceden de EXP2 (Adult Income) y 96 de EXP3 (53 de German Credit y 43 de</w:t>
      </w:r>
      <w:r>
        <w:t xml:space="preserve"> </w:t>
      </w:r>
      <w:r>
        <w:t xml:space="preserve">Breast Cancer). Cubren cuatro familias de modelos (regresión logística, MLP,</w:t>
      </w:r>
      <w:r>
        <w:t xml:space="preserve"> </w:t>
      </w:r>
      <w:r>
        <w:t xml:space="preserve">Random Forest y XGBoost) y los cuatro métodos explicadores (76 casos de</w:t>
      </w:r>
      <w:r>
        <w:t xml:space="preserve"> </w:t>
      </w:r>
      <w:r>
        <w:t xml:space="preserve">Anchors, 52 de SHAP, 32 de DiCE y 32 de LIME). El ICC exige que los tres jueces</w:t>
      </w:r>
      <w:r>
        <w:t xml:space="preserve"> </w:t>
      </w:r>
      <w:r>
        <w:t xml:space="preserve">hayan puntuado el caso; en la cohorte original ese subconjunto completo fue de</w:t>
      </w:r>
      <w:r>
        <w:t xml:space="preserve"> </w:t>
      </w:r>
      <ns5:oMath>
        <ns5:r>
          <ns5:t>n</ns5:t>
        </ns5:r>
        <ns5:r>
          <ns5:rPr>
            <ns5:sty ns5:val="p"/>
          </ns5:rPr>
          <ns5:t>=</ns5:t>
        </ns5:r>
        <ns5:r>
          <ns5:t>147</ns5:t>
        </ns5:r>
      </ns5:oMath>
      <w:r>
        <w:t xml:space="preserve"> </w:t>
      </w:r>
      <w:r>
        <w:t xml:space="preserve">casos (§</w:t>
      </w:r>
      <w:hyperlink w:anchor="sec-exp4-fiabilidad">
        <w:r>
          <w:rPr>
            <w:rStyle w:val="Hipervnculo"/>
          </w:rPr>
          <w:t xml:space="preserve">5.8</w:t>
        </w:r>
      </w:hyperlink>
      <w:r>
        <w:t xml:space="preserve">).</w:t>
      </w:r>
    </w:p>
    <w:p>
      <w:pPr>
        <w:pStyle w:val="Textoindependiente"/>
        <w:spacing w:line="360" w:lineRule="auto"/>
        <w:jc w:val="both"/>
      </w:pPr>
      <w:r>
        <w:rPr>
          <w:b/>
          <w:bCs/>
        </w:rPr>
        <w:t xml:space="preserve">Jueces.</w:t>
      </w:r>
      <w:r>
        <w:t xml:space="preserve"> </w:t>
      </w:r>
      <w:r>
        <w:t xml:space="preserve">Tres jueces LLM independientes puntuaron cada caso de forma</w:t>
      </w:r>
      <w:r>
        <w:t xml:space="preserve"> </w:t>
      </w:r>
      <w:r>
        <w:t xml:space="preserve">ciega (sin conocer la puntuación de los otros jueces) sobre siete dimensiones</w:t>
      </w:r>
      <w:r>
        <w:t xml:space="preserve"> </w:t>
      </w:r>
      <w:r>
        <w:t xml:space="preserve">semánticas estructuradas mediante una rúbrica de escala 1–5 por dimensión</w:t>
      </w:r>
      <w:r>
        <w:t xml:space="preserve"> </w:t>
      </w:r>
      <w:r>
        <w:t xml:space="preserve">(las siete dimensiones se enumeran en la Tabla</w:t>
      </w:r>
      <w:r>
        <w:t xml:space="preserve"> </w:t>
      </w:r>
      <w:hyperlink w:anchor="tbl-exp4-icc">
        <w:r>
          <w:rPr>
            <w:rStyle w:val="Hipervnculo"/>
          </w:rPr>
          <w:t xml:space="preserve">5.3</w:t>
        </w:r>
      </w:hyperlink>
      <w:r>
        <w:t xml:space="preserve"> </w:t>
      </w:r>
      <w:r>
        <w:t xml:space="preserve">del Capítulo 5).</w:t>
      </w:r>
      <w:r>
        <w:t xml:space="preserve"> </w:t>
      </w:r>
      <w:r>
        <w:t xml:space="preserve">El diseño prevé tres condiciones de consigna, con tres réplicas por caso y</w:t>
      </w:r>
      <w:r>
        <w:t xml:space="preserve"> </w:t>
      </w:r>
      <w:r>
        <w:t xml:space="preserve">juez: la condición primaria, con la etiqueta verdadera oculta; una sonda de</w:t>
      </w:r>
      <w:r>
        <w:t xml:space="preserve"> </w:t>
      </w:r>
      <w:r>
        <w:t xml:space="preserve">sesgo, con la etiqueta visible; y una sonda de sensibilidad, con una redacción</w:t>
      </w:r>
      <w:r>
        <w:t xml:space="preserve"> </w:t>
      </w:r>
      <w:r>
        <w:t xml:space="preserve">alternativa de la rúbrica. Una revisión posterior encontró que el registro</w:t>
      </w:r>
      <w:r>
        <w:t xml:space="preserve"> </w:t>
      </w:r>
      <w:r>
        <w:t xml:space="preserve">entregado a los jueces permitía deducir la etiqueta también en la condición</w:t>
      </w:r>
      <w:r>
        <w:t xml:space="preserve"> </w:t>
      </w:r>
      <w:r>
        <w:t xml:space="preserve">primaria; §</w:t>
      </w:r>
      <w:hyperlink w:anchor="sec-seg-jueces">
        <w:r>
          <w:rPr>
            <w:rStyle w:val="Hipervnculo"/>
          </w:rPr>
          <w:t xml:space="preserve">6.5</w:t>
        </w:r>
      </w:hyperlink>
      <w:r>
        <w:t xml:space="preserve"> </w:t>
      </w:r>
      <w:r>
        <w:t xml:space="preserve">lo documenta y añade una condición sin esa</w:t>
      </w:r>
      <w:r>
        <w:t xml:space="preserve"> </w:t>
      </w:r>
      <w:r>
        <w:t xml:space="preserve">información.</w:t>
      </w:r>
      <w:r>
        <w:t xml:space="preserve"> </w:t>
      </w:r>
      <w:r>
        <w:t xml:space="preserve">El uso de modelos de lenguaje como instrumento de medida exige cautela: estos</w:t>
      </w:r>
      <w:r>
        <w:t xml:space="preserve"> </w:t>
      </w:r>
      <w:r>
        <w:t xml:space="preserve">sistemas producen salidas fluidas y plausibles con independencia de su</w:t>
      </w:r>
      <w:r>
        <w:t xml:space="preserve"> </w:t>
      </w:r>
      <w:r>
        <w:t xml:space="preserve">corrección factual, un modo de fallo ampliamente documentado en generación de</w:t>
      </w:r>
      <w:r>
        <w:t xml:space="preserve"> </w:t>
      </w:r>
      <w:r>
        <w:t xml:space="preserve">lenguaje natural</w:t>
      </w:r>
      <w:r>
        <w:t xml:space="preserve"> </w:t>
      </w:r>
      <w:r>
        <w:t xml:space="preserve">(Ji 2022)</w:t>
      </w:r>
      <w:r>
        <w:t xml:space="preserve">, por lo que su convergencia inter-juez debe</w:t>
      </w:r>
      <w:r>
        <w:t xml:space="preserve"> </w:t>
      </w:r>
      <w:r>
        <w:t xml:space="preserve">establecerse empíricamente antes de tratarla como evidencia.</w:t>
      </w:r>
    </w:p>
    <w:p>
      <w:pPr>
        <w:pStyle w:val="Textoindependiente"/>
        <w:spacing w:line="360" w:lineRule="auto"/>
        <w:jc w:val="both"/>
      </w:pPr>
      <w:r>
        <w:rPr>
          <w:b/>
          <w:bCs/>
        </w:rPr>
        <w:t xml:space="preserve">Análisis.</w:t>
      </w:r>
      <w:r>
        <w:t xml:space="preserve"> </w:t>
      </w:r>
      <w:r>
        <w:t xml:space="preserve">La fiabilidad inter-juez se cuantifica mediante la correlación</w:t>
      </w:r>
      <w:r>
        <w:t xml:space="preserve"> </w:t>
      </w:r>
      <w:r>
        <w:t xml:space="preserve">intraclase ICC(1,1) —modelo de efectos aleatorios unidireccional, evaluador</w:t>
      </w:r>
      <w:r>
        <w:t xml:space="preserve"> </w:t>
      </w:r>
      <w:r>
        <w:t xml:space="preserve">único— y el</w:t>
      </w:r>
      <w:r>
        <w:t xml:space="preserve"> </w:t>
      </w:r>
      <ns5:oMath>
        <ns5:r>
          <ns5:t>α</ns5:t>
        </ns5:r>
      </ns5:oMath>
      <w:r>
        <w:t xml:space="preserve"> </w:t>
      </w:r>
      <w:r>
        <w:t xml:space="preserve">de Krippendorff</w:t>
      </w:r>
      <w:r>
        <w:t xml:space="preserve"> </w:t>
      </w:r>
      <w:r>
        <w:t xml:space="preserve">(Krippendorff 2018)</w:t>
      </w:r>
      <w:r>
        <w:t xml:space="preserve">, estadístico que tolera</w:t>
      </w:r>
      <w:r>
        <w:t xml:space="preserve"> </w:t>
      </w:r>
      <w:r>
        <w:t xml:space="preserve">puntuaciones ausentes y admite escalas ordinales. Se prefieren ambos al</w:t>
      </w:r>
      <w:r>
        <w:t xml:space="preserve"> </w:t>
      </w:r>
      <w:r>
        <w:t xml:space="preserve">coeficiente</w:t>
      </w:r>
      <w:r>
        <w:t xml:space="preserve"> </w:t>
      </w:r>
      <ns5:oMath>
        <ns5:r>
          <ns5:t>κ</ns5:t>
        </ns5:r>
      </ns5:oMath>
      <w:r>
        <w:t xml:space="preserve"> </w:t>
      </w:r>
      <w:r>
        <w:t xml:space="preserve">de Cohen</w:t>
      </w:r>
      <w:r>
        <w:t xml:space="preserve"> </w:t>
      </w:r>
      <w:r>
        <w:t xml:space="preserve">(Cohen 1960)</w:t>
      </w:r>
      <w:r>
        <w:t xml:space="preserve"> </w:t>
      </w:r>
      <w:r>
        <w:t xml:space="preserve">porque este último se define para dos</w:t>
      </w:r>
      <w:r>
        <w:t xml:space="preserve"> </w:t>
      </w:r>
      <w:r>
        <w:t xml:space="preserve">evaluadores y escalas nominales, mientras que el diseño de EXP4 involucra tres</w:t>
      </w:r>
      <w:r>
        <w:t xml:space="preserve"> </w:t>
      </w:r>
      <w:r>
        <w:t xml:space="preserve">jueces y puntuaciones ordinales de 1 a 5. El umbral de fiabilidad</w:t>
      </w:r>
      <w:r>
        <w:t xml:space="preserve"> </w:t>
      </w:r>
      <w:r>
        <w:t xml:space="preserve">aceptable es</w:t>
      </w:r>
      <w:r>
        <w:t xml:space="preserve"> </w:t>
      </w:r>
      <ns5:oMath>
        <ns5:r>
          <ns5:rPr>
            <ns5:sty ns5:val="p"/>
          </ns5:rPr>
          <ns5:t>≥</ns5:t>
        </ns5:r>
        <ns5:r>
          <ns5:t>0.75</ns5:t>
        </ns5:r>
      </ns5:oMath>
      <w:r>
        <w:t xml:space="preserve"> </w:t>
      </w:r>
      <w:r>
        <w:t xml:space="preserve">(Koo y Li 2016)</w:t>
      </w:r>
      <w:r>
        <w:t xml:space="preserve">, que corresponde a la categoría</w:t>
      </w:r>
      <w:r>
        <w:t xml:space="preserve"> </w:t>
      </w:r>
      <w:r>
        <w:rPr>
          <w:i/>
          <w:iCs/>
        </w:rPr>
        <w:t xml:space="preserve">good</w:t>
      </w:r>
      <w:r>
        <w:t xml:space="preserve"> </w:t>
      </w:r>
      <w:r>
        <w:t xml:space="preserve">o superior según</w:t>
      </w:r>
      <w:r>
        <w:t xml:space="preserve"> </w:t>
      </w:r>
      <w:r>
        <w:t xml:space="preserve">los criterios de</w:t>
      </w:r>
      <w:r>
        <w:t xml:space="preserve"> </w:t>
      </w:r>
      <w:r>
        <w:t xml:space="preserve">Koo y Li (2016)</w:t>
      </w:r>
      <w:r>
        <w:t xml:space="preserve">.</w:t>
      </w:r>
    </w:p>
    <w:p>
      <w:pPr>
        <w:pStyle w:val="Textoindependiente"/>
        <w:spacing w:line="360" w:lineRule="auto"/>
        <w:jc w:val="both"/>
      </w:pPr>
      <w:r>
        <w:rPr>
          <w:b/>
          <w:bCs/>
        </w:rPr>
        <w:t xml:space="preserve">Alcance.</w:t>
      </w:r>
      <w:r>
        <w:t xml:space="preserve"> </w:t>
      </w:r>
      <w:r>
        <w:t xml:space="preserve">EXP4 evalúa la fiabilidad del instrumento de medición semántico,</w:t>
      </w:r>
      <w:r>
        <w:t xml:space="preserve"> </w:t>
      </w:r>
      <w:r>
        <w:t xml:space="preserve">no la calidad de los métodos explicadores. Sus resultados no modifican las</w:t>
      </w:r>
      <w:r>
        <w:t xml:space="preserve"> </w:t>
      </w:r>
      <w:r>
        <w:t xml:space="preserve">conclusiones confirmativas de H1–H3; aportan evidencia sobre el diseño de</w:t>
      </w:r>
      <w:r>
        <w:t xml:space="preserve"> </w:t>
      </w:r>
      <w:r>
        <w:t xml:space="preserve">rúbricas para evaluación semántica futura. EXP4 tiene carácter exploratorio y</w:t>
      </w:r>
      <w:r>
        <w:t xml:space="preserve"> </w:t>
      </w:r>
      <w:r>
        <w:t xml:space="preserve">no genera hipótesis confirmativas propias; su resultado se clasifica como</w:t>
      </w:r>
      <w:r>
        <w:t xml:space="preserve"> </w:t>
      </w:r>
      <w:r>
        <w:t xml:space="preserve">proposición de calibración P2, declarada con su estatuto epistémico diferenciado</w:t>
      </w:r>
      <w:r>
        <w:t xml:space="preserve"> </w:t>
      </w:r>
      <w:r>
        <w:t xml:space="preserve">en el Capítulo 1 y reportada en los Capítulos 5, 6 y 7.</w:t>
      </w:r>
    </w:p>
    <w:p>
      <w:pPr>
        <w:pStyle w:val="Textoindependiente"/>
        <w:spacing w:line="360" w:lineRule="auto"/>
        <w:jc w:val="both"/>
      </w:pPr>
      <w:r>
        <w:rPr>
          <w:b/>
          <w:bCs/>
        </w:rPr>
        <w:t xml:space="preserve">Cohorte de replicación.</w:t>
      </w:r>
      <w:r>
        <w:t xml:space="preserve"> </w:t>
      </w:r>
      <w:r>
        <w:t xml:space="preserve">De la cohorte original se conservan los agregados</w:t>
      </w:r>
      <w:r>
        <w:t xml:space="preserve"> </w:t>
      </w:r>
      <w:r>
        <w:t xml:space="preserve">de fiabilidad, pero no las respuestas brutas de los jueces ni las plantillas de</w:t>
      </w:r>
      <w:r>
        <w:t xml:space="preserve"> </w:t>
      </w:r>
      <w:r>
        <w:t xml:space="preserve">consigna. Para disponer de datos brutos, EXP4 se ejecutó de nuevo en</w:t>
      </w:r>
      <w:r>
        <w:t xml:space="preserve"> </w:t>
      </w:r>
      <w:r>
        <w:t xml:space="preserve">septiembre de 2026 (cohorte 2) sobre los mismos 192 casos, recuperados por su</w:t>
      </w:r>
      <w:r>
        <w:t xml:space="preserve"> </w:t>
      </w:r>
      <w:r>
        <w:t xml:space="preserve">identificador a partir de la lista de casos de la cohorte original. El panel de</w:t>
      </w:r>
      <w:r>
        <w:t xml:space="preserve"> </w:t>
      </w:r>
      <w:r>
        <w:t xml:space="preserve">jueces es nuevo (GPT-5.4 mini, Claude Haiku 4.5 y Gemini 3.8 Flash), porque los</w:t>
      </w:r>
      <w:r>
        <w:t xml:space="preserve"> </w:t>
      </w:r>
      <w:r>
        <w:t xml:space="preserve">modelos originales ya no están todos disponibles. Las plantillas se</w:t>
      </w:r>
      <w:r>
        <w:t xml:space="preserve"> </w:t>
      </w:r>
      <w:r>
        <w:t xml:space="preserve">reconstruyeron a partir de la rúbrica documentada, y la redacción de la rúbrica</w:t>
      </w:r>
      <w:r>
        <w:t xml:space="preserve"> </w:t>
      </w:r>
      <w:r>
        <w:t xml:space="preserve">alternativa es nueva. La cohorte 2 cubre las tres condiciones con tres réplicas</w:t>
      </w:r>
      <w:r>
        <w:t xml:space="preserve"> </w:t>
      </w:r>
      <w:r>
        <w:t xml:space="preserve">y conserva todas las respuestas brutas. Es una replicación con otro panel, no</w:t>
      </w:r>
      <w:r>
        <w:t xml:space="preserve"> </w:t>
      </w:r>
      <w:r>
        <w:t xml:space="preserve">una reproducción: sus valores se reportan junto a los de la cohorte original,</w:t>
      </w:r>
      <w:r>
        <w:t xml:space="preserve"> </w:t>
      </w:r>
      <w:r>
        <w:t xml:space="preserve">sin sustituirlos. La estimación primaria de fiabilidad es el ICC(1,1) de la</w:t>
      </w:r>
      <w:r>
        <w:t xml:space="preserve"> </w:t>
      </w:r>
      <w:r>
        <w:t xml:space="preserve">condición primaria. La estimación que agrega todas las condiciones y réplicas,</w:t>
      </w:r>
      <w:r>
        <w:t xml:space="preserve"> </w:t>
      </w:r>
      <w:r>
        <w:t xml:space="preserve">que es la opción por defecto del código de análisis, y las estimaciones por</w:t>
      </w:r>
      <w:r>
        <w:t xml:space="preserve"> </w:t>
      </w:r>
      <w:r>
        <w:t xml:space="preserve">condición se reportan como análisis de sensibilidad.</w:t>
      </w:r>
    </w:p>
    <w:p>
      <w:pPr>
        <w:pStyle w:val="Textoindependiente"/>
        <w:spacing w:line="360" w:lineRule="auto"/>
        <w:jc w:val="both"/>
      </w:pPr>
      <w:r>
        <w:t xml:space="preserve">Este capítulo ha operacionalizado el protocolo FOM-7 y ha establecido las</w:t>
      </w:r>
      <w:r>
        <w:t xml:space="preserve"> </w:t>
      </w:r>
      <w:r>
        <w:t xml:space="preserve">condiciones bajo las cuales los resultados del Capítulo 4 son estadísticamente</w:t>
      </w:r>
      <w:r>
        <w:t xml:space="preserve"> </w:t>
      </w:r>
      <w:r>
        <w:t xml:space="preserve">admisibles: 275 artefactos calificados de 300 planificados, con separación</w:t>
      </w:r>
      <w:r>
        <w:t xml:space="preserve"> </w:t>
      </w:r>
      <w:r>
        <w:t xml:space="preserve">EXP1/EXP2, semillas declarativas, auditoría de integridad y plan inferencial</w:t>
      </w:r>
      <w:r>
        <w:t xml:space="preserve"> </w:t>
      </w:r>
      <w:r>
        <w:t xml:space="preserve">fijado antes de la ejecución confirmativa. Los estudios complementarios EXP3 y</w:t>
      </w:r>
      <w:r>
        <w:t xml:space="preserve"> </w:t>
      </w:r>
      <w:r>
        <w:t xml:space="preserve">EXP4 amplían la evidencia disponible sin alterar el protocolo confirmativo</w:t>
      </w:r>
      <w:r>
        <w:t xml:space="preserve"> </w:t>
      </w:r>
      <w:r>
        <w:t xml:space="preserve">central. El Capítulo 4 presenta los resultados de H1, H2, H3 y P1; el Capítulo 5</w:t>
      </w:r>
      <w:r>
        <w:t xml:space="preserve"> </w:t>
      </w:r>
      <w:r>
        <w:t xml:space="preserve">incorpora los resultados de EXP4 como componente empírico de la taxonomía; el</w:t>
      </w:r>
      <w:r>
        <w:t xml:space="preserve"> </w:t>
      </w:r>
      <w:r>
        <w:t xml:space="preserve">Capítulo 6 reporta los estudios de seguimiento.</w:t>
      </w:r>
    </w:p>
    <w:bookmarkEnd w:id="169"/>
    <w:bookmarkEnd w:id="170"/>
    <w:bookmarkEnd w:id="171"/>
    <w:bookmarkStart w:id="236" w:name="resultados-y-discusión"/>
    <w:p>
      <w:pPr>
        <w:pStyle w:val="Ttulo1"/>
        <w:spacing w:line="360" w:lineRule="auto"/>
        <w:jc w:val="both"/>
      </w:pPr>
      <w:r>
        <w:t xml:space="preserve">Capítulo 4. </w:t>
      </w:r>
      <w:r>
        <w:t xml:space="preserve">Resultados y discusión</w:t>
      </w:r>
    </w:p>
    <w:p>
      <w:pPr>
        <w:pStyle w:val="FirstParagraph"/>
        <w:spacing w:line="360" w:lineRule="auto"/>
        <w:jc w:val="both"/>
      </w:pPr>
      <w:r>
        <w:t xml:space="preserve">Este capítulo presenta los resultados empíricos del Estudio Omnibus</w:t>
      </w:r>
      <w:r>
        <w:t xml:space="preserve"> </w:t>
      </w:r>
      <w:r>
        <w:t xml:space="preserve">Multimétrico y del Estudio Pareado LIME–SHAP, organizados conforme a las</w:t>
      </w:r>
      <w:r>
        <w:t xml:space="preserve"> </w:t>
      </w:r>
      <w:r>
        <w:t xml:space="preserve">hipótesis y proposición de trabajo establecidas en el Capítulo 1. La</w:t>
      </w:r>
      <w:r>
        <w:t xml:space="preserve"> </w:t>
      </w:r>
      <w:r>
        <w:t xml:space="preserve">exposición sigue la secuencia lógica del protocolo FOM-7: primero se</w:t>
      </w:r>
      <w:r>
        <w:t xml:space="preserve"> </w:t>
      </w:r>
      <w:r>
        <w:t xml:space="preserve">documentan los resultados del análisis omnibus multimétrico, luego el análisis</w:t>
      </w:r>
      <w:r>
        <w:t xml:space="preserve"> </w:t>
      </w:r>
      <w:r>
        <w:t xml:space="preserve">pareado SHAP-LIME, y finalmente la verificación de la proposición de</w:t>
      </w:r>
      <w:r>
        <w:t xml:space="preserve"> </w:t>
      </w:r>
      <w:r>
        <w:t xml:space="preserve">reproducibilidad (P1). La discusión integradora al final del capítulo articula</w:t>
      </w:r>
      <w:r>
        <w:t xml:space="preserve"> </w:t>
      </w:r>
      <w:r>
        <w:t xml:space="preserve">los hallazgos con la literatura y deriva criterios operativos de selección de</w:t>
      </w:r>
      <w:r>
        <w:t xml:space="preserve"> </w:t>
      </w:r>
      <w:r>
        <w:t xml:space="preserve">métodos.</w:t>
      </w:r>
    </w:p>
    <w:p>
      <w:pPr>
        <w:pStyle w:val="Textoindependiente"/>
        <w:spacing w:line="360" w:lineRule="auto"/>
        <w:jc w:val="both"/>
      </w:pPr>
      <w:r>
        <w:t xml:space="preserve">Todos los valores reportados en este capítulo se calcularon a partir de los</w:t>
      </w:r>
      <w:r>
        <w:t xml:space="preserve"> </w:t>
      </w:r>
      <w:r>
        <w:t xml:space="preserve">artefactos de la etapa de benchmark primario de robustez (EXP2), compuesta</w:t>
      </w:r>
      <w:r>
        <w:t xml:space="preserve"> </w:t>
      </w:r>
      <w:r>
        <w:t xml:space="preserve">por 275 celdas calificadas del diseño factorial</w:t>
      </w:r>
      <w:r>
        <w:t xml:space="preserve"> </w:t>
      </w:r>
      <ns5:oMath>
        <ns5:r>
          <ns5:t>5</ns5:t>
        </ns5:r>
        <ns5:r>
          <ns5:rPr>
            <ns5:sty ns5:val="p"/>
          </ns5:rPr>
          <ns5:t>×</ns5:t>
        </ns5:r>
        <ns5:r>
          <ns5:t>4</ns5:t>
        </ns5:r>
        <ns5:r>
          <ns5:rPr>
            <ns5:sty ns5:val="p"/>
          </ns5:rPr>
          <ns5:t>×</ns5:t>
        </ns5:r>
        <ns5:r>
          <ns5:t>5</ns5:t>
        </ns5:r>
        <ns5:r>
          <ns5:rPr>
            <ns5:sty ns5:val="p"/>
          </ns5:rPr>
          <ns5:t>×</ns5:t>
        </ns5:r>
        <ns5:r>
          <ns5:t>3</ns5:t>
        </ns5:r>
      </ns5:oMath>
      <w:r>
        <w:t xml:space="preserve">.</w:t>
      </w:r>
      <w:r>
        <w:t xml:space="preserve"> </w:t>
      </w:r>
      <w:r>
        <w:t xml:space="preserve">Las 25 celdas faltantes (todas ellas del tipo Anchors o DiCE) fueron excluidas</w:t>
      </w:r>
      <w:r>
        <w:t xml:space="preserve"> </w:t>
      </w:r>
      <w:r>
        <w:t xml:space="preserve">por la puerta 3 del protocolo y no afectan las pruebas confirmativas (véase</w:t>
      </w:r>
      <w:r>
        <w:t xml:space="preserve"> </w:t>
      </w:r>
      <w:r>
        <w:t xml:space="preserve">Capítulo 3, sección de cobertura y calificación).</w:t>
      </w:r>
    </w:p>
    <w:bookmarkStart w:id="173" w:name="X265f56e886428ba30debc49e85dcc5a7469d3ae"/>
    <w:p>
      <w:pPr>
        <w:pStyle w:val="Ttulo2"/>
        <w:spacing w:line="360" w:lineRule="auto"/>
        <w:jc w:val="both"/>
      </w:pPr>
      <w:r>
        <w:t xml:space="preserve">4.1 </w:t>
      </w:r>
      <w:r>
        <w:t xml:space="preserve">Descripción general de la cobertura analítica</w:t>
      </w:r>
    </w:p>
    <w:p>
      <w:pPr>
        <w:pStyle w:val="FirstParagraph"/>
        <w:spacing w:line="360" w:lineRule="auto"/>
        <w:jc w:val="both"/>
      </w:pPr>
      <w:r>
        <w:t xml:space="preserve">Antes de presentar las pruebas confirmativas, conviene establecer la</w:t>
      </w:r>
      <w:r>
        <w:t xml:space="preserve"> </w:t>
      </w:r>
      <w:r>
        <w:t xml:space="preserve">distribución real de los datos. De las 300 celdas planificadas en EXP2</w:t>
      </w:r>
      <w:r>
        <w:t xml:space="preserve"> </w:t>
      </w:r>
      <w:r>
        <w:t xml:space="preserve">(</w:t>
      </w:r>
      <ns5:oMath>
        <ns5:r>
          <ns5:t>D</ns5:t>
        </ns5:r>
        <ns5:r>
          <ns5:rPr>
            <ns5:sty ns5:val="p"/>
          </ns5:rPr>
          <ns5:t>=</ns5:t>
        </ns5:r>
        <ns5:r>
          <ns5:t>g</ns5:t>
        </ns5:r>
        <ns5:r>
          <ns5:rPr>
            <ns5:sty ns5:val="p"/>
          </ns5:rPr>
          <ns5:t>×</ns5:t>
        </ns5:r>
        <ns5:r>
          <ns5:t>k</ns5:t>
        </ns5:r>
        <ns5:r>
          <ns5:rPr>
            <ns5:sty ns5:val="p"/>
          </ns5:rPr>
          <ns5:t>×</ns5:t>
        </ns5:r>
        <ns5:r>
          <ns5:t>s</ns5:t>
        </ns5:r>
        <ns5:r>
          <ns5:rPr>
            <ns5:sty ns5:val="p"/>
          </ns5:rPr>
          <ns5:t>×</ns5:t>
        </ns5:r>
        <ns5:r>
          <ns5:t>n</ns5:t>
        </ns5:r>
        <ns5:r>
          <ns5:rPr>
            <ns5:sty ns5:val="p"/>
          </ns5:rPr>
          <ns5:t>=</ns5:t>
        </ns5:r>
        <ns5:r>
          <ns5:t>5</ns5:t>
        </ns5:r>
        <ns5:r>
          <ns5:rPr>
            <ns5:sty ns5:val="p"/>
          </ns5:rPr>
          <ns5:t>×</ns5:t>
        </ns5:r>
        <ns5:r>
          <ns5:t>4</ns5:t>
        </ns5:r>
        <ns5:r>
          <ns5:rPr>
            <ns5:sty ns5:val="p"/>
          </ns5:rPr>
          <ns5:t>×</ns5:t>
        </ns5:r>
        <ns5:r>
          <ns5:t>5</ns5:t>
        </ns5:r>
        <ns5:r>
          <ns5:rPr>
            <ns5:sty ns5:val="p"/>
          </ns5:rPr>
          <ns5:t>×</ns5:t>
        </ns5:r>
        <ns5:r>
          <ns5:t>3</ns5:t>
        </ns5:r>
      </ns5:oMath>
      <w:r>
        <w:t xml:space="preserve">), se</w:t>
      </w:r>
      <w:r>
        <w:t xml:space="preserve"> </w:t>
      </w:r>
      <w:r>
        <w:t xml:space="preserve">obtuvieron artefactos calificados en 275, distribuidos como sigue:</w:t>
      </w:r>
    </w:p>
    <w:p>
      <w:pPr>
        <w:numPr>
          <w:ilvl w:val="0"/>
          <w:numId w:val="1012"/>
        </w:numPr>
        <w:spacing w:line="360" w:lineRule="auto"/>
        <w:jc w:val="both"/>
      </w:pPr>
      <w:r>
        <w:rPr>
          <w:b/>
          <w:bCs/>
        </w:rPr>
        <w:t xml:space="preserve">SHAP</w:t>
      </w:r>
      <w:r>
        <w:t xml:space="preserve">: 75 de 75 celdas (100%). La superposición de recuperación</w:t>
      </w:r>
      <w:r>
        <w:t xml:space="preserve"> </w:t>
      </w:r>
      <w:r>
        <w:t xml:space="preserve">(</w:t>
      </w:r>
      <w:r>
        <w:rPr>
          <w:rStyle w:val="VerbatimChar"/>
        </w:rPr>
        <w:t xml:space="preserve">outputs/batch_results.csv</w:t>
      </w:r>
      <w:r>
        <w:t xml:space="preserve">) completa la única celda físicamente faltante</w:t>
      </w:r>
      <w:r>
        <w:t xml:space="preserve"> </w:t>
      </w:r>
      <w:r>
        <w:t xml:space="preserve">del árbol</w:t>
      </w:r>
      <w:r>
        <w:t xml:space="preserve"> </w:t>
      </w:r>
      <w:r>
        <w:rPr>
          <w:rStyle w:val="VerbatimChar"/>
        </w:rPr>
        <w:t xml:space="preserve">exp2_scaled</w:t>
      </w:r>
      <w:r>
        <w:t xml:space="preserve"> </w:t>
      </w:r>
      <w:r>
        <w:t xml:space="preserve">(</w:t>
      </w:r>
      <w:r>
        <w:rPr>
          <w:rStyle w:val="VerbatimChar"/>
        </w:rPr>
        <w:t xml:space="preserve">svm_shap_s456_n200</w:t>
      </w:r>
      <w:r>
        <w:t xml:space="preserve">) y sustituye las ejecuciones</w:t>
      </w:r>
      <w:r>
        <w:t xml:space="preserve"> </w:t>
      </w:r>
      <w:r>
        <w:t xml:space="preserve">SHAP de</w:t>
      </w:r>
      <w:r>
        <w:t xml:space="preserve"> </w:t>
      </w:r>
      <w:r>
        <w:rPr>
          <w:rStyle w:val="VerbatimChar"/>
        </w:rPr>
        <w:t xml:space="preserve">mlp</w:t>
      </w:r>
      <w:r>
        <w:t xml:space="preserve">/</w:t>
      </w:r>
      <w:r>
        <w:rPr>
          <w:rStyle w:val="VerbatimChar"/>
        </w:rPr>
        <w:t xml:space="preserve">svm</w:t>
      </w:r>
      <w:r>
        <w:t xml:space="preserve"> </w:t>
      </w:r>
      <w:r>
        <w:t xml:space="preserve">para evitar sesgos por truncamiento de tiempo.</w:t>
      </w:r>
    </w:p>
    <w:p>
      <w:pPr>
        <w:numPr>
          <w:ilvl w:val="0"/>
          <w:numId w:val="1012"/>
        </w:numPr>
        <w:spacing w:line="360" w:lineRule="auto"/>
        <w:jc w:val="both"/>
      </w:pPr>
      <w:r>
        <w:rPr>
          <w:b/>
          <w:bCs/>
        </w:rPr>
        <w:t xml:space="preserve">LIME</w:t>
      </w:r>
      <w:r>
        <w:t xml:space="preserve">: 75 de 75 celdas (100%). Cobertura completa.</w:t>
      </w:r>
    </w:p>
    <w:p>
      <w:pPr>
        <w:numPr>
          <w:ilvl w:val="0"/>
          <w:numId w:val="1012"/>
        </w:numPr>
        <w:spacing w:line="360" w:lineRule="auto"/>
        <w:jc w:val="both"/>
      </w:pPr>
      <w:r>
        <w:rPr>
          <w:b/>
          <w:bCs/>
        </w:rPr>
        <w:t xml:space="preserve">DiCE</w:t>
      </w:r>
      <w:r>
        <w:t xml:space="preserve">: 68 de 75 celdas (90.7%). Las 7 celdas faltantes se distribuyen</w:t>
      </w:r>
      <w:r>
        <w:t xml:space="preserve"> </w:t>
      </w:r>
      <w:r>
        <w:t xml:space="preserve">entre varias combinaciones con semillas específicas (2 en</w:t>
      </w:r>
      <w:r>
        <w:t xml:space="preserve"> </w:t>
      </w:r>
      <w:r>
        <w:rPr>
          <w:rStyle w:val="VerbatimChar"/>
        </w:rPr>
        <w:t xml:space="preserve">logreg_dice</w:t>
      </w:r>
      <w:r>
        <w:t xml:space="preserve">, 2 en</w:t>
      </w:r>
      <w:r>
        <w:t xml:space="preserve"> </w:t>
      </w:r>
      <w:r>
        <w:rPr>
          <w:rStyle w:val="VerbatimChar"/>
        </w:rPr>
        <w:t xml:space="preserve">mlp_dice</w:t>
      </w:r>
      <w:r>
        <w:t xml:space="preserve">, 2 en</w:t>
      </w:r>
      <w:r>
        <w:t xml:space="preserve"> </w:t>
      </w:r>
      <w:r>
        <w:rPr>
          <w:rStyle w:val="VerbatimChar"/>
        </w:rPr>
        <w:t xml:space="preserve">svm_dice</w:t>
      </w:r>
      <w:r>
        <w:t xml:space="preserve"> </w:t>
      </w:r>
      <w:r>
        <w:t xml:space="preserve">y 1 en</w:t>
      </w:r>
      <w:r>
        <w:t xml:space="preserve"> </w:t>
      </w:r>
      <w:r>
        <w:rPr>
          <w:rStyle w:val="VerbatimChar"/>
        </w:rPr>
        <w:t xml:space="preserve">xgb_dice</w:t>
      </w:r>
      <w:r>
        <w:t xml:space="preserve">).</w:t>
      </w:r>
    </w:p>
    <w:p>
      <w:pPr>
        <w:numPr>
          <w:ilvl w:val="0"/>
          <w:numId w:val="1012"/>
        </w:numPr>
        <w:spacing w:line="360" w:lineRule="auto"/>
        <w:jc w:val="both"/>
      </w:pPr>
      <w:r>
        <w:rPr>
          <w:b/>
          <w:bCs/>
        </w:rPr>
        <w:t xml:space="preserve">Anchors</w:t>
      </w:r>
      <w:r>
        <w:t xml:space="preserve">: 57 de 75 celdas (76.0%). Las 18 celdas faltantes se concentran</w:t>
      </w:r>
      <w:r>
        <w:t xml:space="preserve"> </w:t>
      </w:r>
      <w:r>
        <w:t xml:space="preserve">en</w:t>
      </w:r>
      <w:r>
        <w:t xml:space="preserve"> </w:t>
      </w:r>
      <w:r>
        <w:rPr>
          <w:rStyle w:val="VerbatimChar"/>
        </w:rPr>
        <w:t xml:space="preserve">logreg_anchors</w:t>
      </w:r>
      <w:r>
        <w:t xml:space="preserve"> </w:t>
      </w:r>
      <w:r>
        <w:t xml:space="preserve">y</w:t>
      </w:r>
      <w:r>
        <w:t xml:space="preserve"> </w:t>
      </w:r>
      <w:r>
        <w:rPr>
          <w:rStyle w:val="VerbatimChar"/>
        </w:rPr>
        <w:t xml:space="preserve">mlp_anchors</w:t>
      </w:r>
      <w:r>
        <w:t xml:space="preserve"> </w:t>
      </w:r>
      <w:r>
        <w:t xml:space="preserve">(con 2 celdas adicionales en</w:t>
      </w:r>
      <w:r>
        <w:t xml:space="preserve"> </w:t>
      </w:r>
      <w:r>
        <w:rPr>
          <w:rStyle w:val="VerbatimChar"/>
        </w:rPr>
        <w:t xml:space="preserve">xgb_anchors</w:t>
      </w:r>
      <w:r>
        <w:t xml:space="preserve">) y reflejan la falta de convergencia del algoritmo a una regla</w:t>
      </w:r>
      <w:r>
        <w:t xml:space="preserve"> </w:t>
      </w:r>
      <w:r>
        <w:t xml:space="preserve">con precisión ≥ 0.95 dentro del límite de búsqueda.</w:t>
      </w:r>
    </w:p>
    <w:p>
      <w:pPr>
        <w:pStyle w:val="FirstParagraph"/>
        <w:spacing w:line="360" w:lineRule="auto"/>
        <w:jc w:val="both"/>
      </w:pPr>
      <w:r>
        <w:t xml:space="preserve">Para el análisis Friedman (H1 y H2), se utilizan los 15 bloques completos</w:t>
      </w:r>
      <w:r>
        <w:t xml:space="preserve"> </w:t>
      </w:r>
      <ns5:oMath>
        <ns5:r>
          <ns5:rPr>
            <ns5:sty ns5:val="p"/>
          </ns5:rPr>
          <ns5:t>(</ns5:t>
        </ns5:r>
        <ns5:r>
          <ns5:t>g</ns5:t>
        </ns5:r>
        <ns5:r>
          <ns5:rPr>
            <ns5:sty ns5:val="p"/>
          </ns5:rPr>
          <ns5:t>,</ns5:t>
        </ns5:r>
        <ns5:r>
          <ns5:t>n</ns5:t>
        </ns5:r>
        <ns5:r>
          <ns5:rPr>
            <ns5:sty ns5:val="p"/>
          </ns5:rPr>
          <ns5:t>)</ns5:t>
        </ns5:r>
      </ns5:oMath>
      <w:r>
        <w:t xml:space="preserve"> </w:t>
      </w:r>
      <w:r>
        <w:t xml:space="preserve">(</w:t>
      </w:r>
      <w:r>
        <w:rPr>
          <w:i/>
          <w:iCs/>
        </w:rPr>
        <w:t xml:space="preserve">model-size blocks</w:t>
      </w:r>
      <w:r>
        <w:t xml:space="preserve">) para los cuales los cuatro métodos disponen de</w:t>
      </w:r>
      <w:r>
        <w:t xml:space="preserve"> </w:t>
      </w:r>
      <w:r>
        <w:t xml:space="preserve">al menos una ejecución calificada (véase Capítulo 3). Para el análisis pareado</w:t>
      </w:r>
      <w:r>
        <w:t xml:space="preserve"> </w:t>
      </w:r>
      <w:r>
        <w:t xml:space="preserve">SHAP-LIME (H3), se utilizan las 75 celdas</w:t>
      </w:r>
      <w:r>
        <w:t xml:space="preserve"> </w:t>
      </w:r>
      <ns5:oMath>
        <ns5:r>
          <ns5:rPr>
            <ns5:sty ns5:val="p"/>
          </ns5:rPr>
          <ns5:t>(</ns5:t>
        </ns5:r>
        <ns5:r>
          <ns5:t>g</ns5:t>
        </ns5:r>
        <ns5:r>
          <ns5:rPr>
            <ns5:sty ns5:val="p"/>
          </ns5:rPr>
          <ns5:t>,</ns5:t>
        </ns5:r>
        <ns5:r>
          <ns5:t>s</ns5:t>
        </ns5:r>
        <ns5:r>
          <ns5:rPr>
            <ns5:sty ns5:val="p"/>
          </ns5:rPr>
          <ns5:t>,</ns5:t>
        </ns5:r>
        <ns5:r>
          <ns5:t>n</ns5:t>
        </ns5:r>
        <ns5:r>
          <ns5:rPr>
            <ns5:sty ns5:val="p"/>
          </ns5:rPr>
          <ns5:t>)</ns5:t>
        </ns5:r>
      </ns5:oMath>
      <w:r>
        <w:t xml:space="preserve"> </w:t>
      </w:r>
      <w:r>
        <w:t xml:space="preserve">coincidentes en las que</w:t>
      </w:r>
      <w:r>
        <w:t xml:space="preserve"> </w:t>
      </w:r>
      <w:r>
        <w:t xml:space="preserve">ambos métodos producen resultados calificados.</w:t>
      </w:r>
    </w:p>
    <w:p>
      <w:pPr>
        <w:pStyle w:val="Textoindependiente"/>
        <w:spacing w:line="360" w:lineRule="auto"/>
        <w:jc w:val="both"/>
      </w:pPr>
      <w:r>
        <w:t xml:space="preserve">La Tabla</w:t>
      </w:r>
      <w:r>
        <w:t xml:space="preserve"> </w:t>
      </w:r>
      <w:hyperlink w:anchor="tbl-results-overview">
        <w:r>
          <w:rPr>
            <w:rStyle w:val="Hipervnculo"/>
          </w:rPr>
          <w:t xml:space="preserve">4.1</w:t>
        </w:r>
      </w:hyperlink>
      <w:r>
        <w:t xml:space="preserve"> </w:t>
      </w:r>
      <w:r>
        <w:t xml:space="preserve">resume las decisiones inferenciales principales</w:t>
      </w:r>
      <w:r>
        <w:t xml:space="preserve"> </w:t>
      </w:r>
      <w:r>
        <w:t xml:space="preserve">antes de desarrollar cada resultado. Su función es separar la evidencia</w:t>
      </w:r>
      <w:r>
        <w:t xml:space="preserve"> </w:t>
      </w:r>
      <w:r>
        <w:t xml:space="preserve">estadística de la interpretación sustantiva y hacer explícita la unidad de</w:t>
      </w:r>
      <w:r>
        <w:t xml:space="preserve"> </w:t>
      </w:r>
      <w:r>
        <w:t xml:space="preserve">análisis de cada claim.</w:t>
      </w:r>
    </w:p>
    <w:tbl>
      <w:tblPr>
        <w:tblStyle w:val="Table"/>
        <w:tblW w:type="pct" w:w="5000"/>
        <w:jc w:val="center"/>
        <w:tblLayout w:type="fixed"/>
        <w:tblLook w:firstRow="0" w:lastRow="0" w:firstColumn="0" w:lastColumn="0" w:noHBand="0" w:noVBand="0" w:val="0000"/>
      </w:tblPr>
      <w:tblGrid>
        <w:gridCol w:w="7920"/>
      </w:tblGrid>
      <w:tr>
        <w:tc>
          <w:tcPr/>
          <w:bookmarkStart w:id="172" w:name="tbl-results-overview"/>
          <w:p>
            <w:pPr>
              <w:pStyle w:val="ImageCaption"/>
              <w:spacing w:before="200" w:line="360" w:lineRule="auto"/>
              <w:jc w:val="center"/>
            </w:pPr>
            <w:r>
              <w:t xml:space="preserve">Tabla 4.1: Resumen auditable de hipótesis, pruebas y decisiones.</w:t>
            </w:r>
          </w:p>
          <w:tbl>
            <w:tblPr>
              <w:tblStyle w:val="Table"/>
              <w:tblW w:type="pct" w:w="500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both"/>
                    <w:jc w:val="center"/>
                    <w:spacing w:line="360" w:lineRule="auto"/>
                  </w:pPr>
                  <w:r>
                    <w:rPr>
                      <w:bCs/>
                      <w:b/>
                    </w:rPr>
                    <w:t xml:space="preserve">Claim</w:t>
                  </w:r>
                </w:p>
              </w:tc>
              <w:tc>
                <w:tcPr/>
                <w:p>
                  <w:pPr>
                    <w:pStyle w:val="Compact"/>
                    <w:jc w:val="both"/>
                    <w:jc w:val="center"/>
                    <w:spacing w:line="360" w:lineRule="auto"/>
                  </w:pPr>
                  <w:r>
                    <w:rPr>
                      <w:bCs/>
                      <w:b/>
                    </w:rPr>
                    <w:t xml:space="preserve">Test</w:t>
                  </w:r>
                </w:p>
              </w:tc>
              <w:tc>
                <w:tcPr/>
                <w:p>
                  <w:pPr>
                    <w:pStyle w:val="Compact"/>
                    <w:jc w:val="both"/>
                    <w:jc w:val="center"/>
                    <w:spacing w:line="360" w:lineRule="auto"/>
                  </w:pPr>
                  <w:r>
                    <w:rPr>
                      <w:bCs/>
                      <w:b/>
                    </w:rPr>
                    <w:t xml:space="preserve">Unidad /</w:t>
                  </w:r>
                  <w:r>
                    <w:rPr>
                      <w:bCs/>
                      <w:b/>
                    </w:rPr>
                    <w:t xml:space="preserve"> </w:t>
                  </w:r>
                  <ns5:oMath>
                    <ns5:r>
                      <ns5:t>n</ns5:t>
                    </ns5:r>
                  </ns5:oMath>
                </w:p>
              </w:tc>
              <w:tc>
                <w:tcPr/>
                <w:p>
                  <w:pPr>
                    <w:pStyle w:val="Compact"/>
                    <w:jc w:val="both"/>
                    <w:jc w:val="center"/>
                    <w:spacing w:line="360" w:lineRule="auto"/>
                  </w:pPr>
                  <w:r>
                    <w:rPr>
                      <w:bCs/>
                      <w:b/>
                    </w:rPr>
                    <w:t xml:space="preserve">Estadístico</w:t>
                  </w:r>
                </w:p>
              </w:tc>
              <w:tc>
                <w:tcPr/>
                <w:p>
                  <w:pPr>
                    <w:pStyle w:val="Compact"/>
                    <w:jc w:val="both"/>
                    <w:jc w:val="center"/>
                    <w:spacing w:line="360" w:lineRule="auto"/>
                  </w:pPr>
                  <ns5:oMath>
                    <ns5:sSub>
                      <ns5:e>
                        <ns5:r>
                          <ns5:t>p</ns5:t>
                        </ns5:r>
                      </ns5:e>
                      <ns5:sub>
                        <ns5:r>
                          <ns5:rPr>
                            <ns5:sty ns5:val="p"/>
                          </ns5:rPr>
                          <ns5:t>H</ns5:t>
                        </ns5:r>
                        <ns5:r>
                          <ns5:rPr>
                            <ns5:sty ns5:val="p"/>
                          </ns5:rPr>
                          <ns5:t>o</ns5:t>
                        </ns5:r>
                        <ns5:r>
                          <ns5:rPr>
                            <ns5:sty ns5:val="p"/>
                          </ns5:rPr>
                          <ns5:t>l</ns5:t>
                        </ns5:r>
                        <ns5:r>
                          <ns5:rPr>
                            <ns5:sty ns5:val="p"/>
                          </ns5:rPr>
                          <ns5:t>m</ns5:t>
                        </ns5:r>
                      </ns5:sub>
                    </ns5:sSub>
                  </ns5:oMath>
                  <w:r>
                    <w:rPr>
                      <w:bCs/>
                      <w:b/>
                    </w:rPr>
                    <w:t xml:space="preserve">​</w:t>
                  </w:r>
                </w:p>
              </w:tc>
              <w:tc>
                <w:tcPr/>
                <w:p>
                  <w:pPr>
                    <w:pStyle w:val="Compact"/>
                    <w:jc w:val="both"/>
                    <w:jc w:val="center"/>
                    <w:spacing w:line="360" w:lineRule="auto"/>
                  </w:pPr>
                  <w:r>
                    <w:rPr>
                      <w:bCs/>
                      <w:b/>
                    </w:rPr>
                    <w:t xml:space="preserve">Efecto</w:t>
                  </w:r>
                </w:p>
              </w:tc>
              <w:tc>
                <w:tcPr/>
                <w:p>
                  <w:pPr>
                    <w:pStyle w:val="Compact"/>
                    <w:jc w:val="both"/>
                    <w:jc w:val="center"/>
                    <w:spacing w:line="360" w:lineRule="auto"/>
                  </w:pPr>
                  <w:r>
                    <w:rPr>
                      <w:bCs/>
                      <w:b/>
                    </w:rPr>
                    <w:t xml:space="preserve">Decisión</w:t>
                  </w:r>
                </w:p>
              </w:tc>
            </w:tr>
            <w:tr>
              <w:tc>
                <w:tcPr/>
                <w:p>
                  <w:pPr>
                    <w:pStyle w:val="Compact"/>
                    <w:jc w:val="both"/>
                    <w:jc w:val="center"/>
                    <w:spacing w:line="360" w:lineRule="auto"/>
                  </w:pPr>
                  <w:r>
                    <w:t xml:space="preserve">H1: existen diferencias de fidelidad entre métodos</w:t>
                  </w:r>
                </w:p>
              </w:tc>
              <w:tc>
                <w:tcPr/>
                <w:p>
                  <w:pPr>
                    <w:pStyle w:val="Compact"/>
                    <w:jc w:val="both"/>
                    <w:jc w:val="center"/>
                    <w:spacing w:line="360" w:lineRule="auto"/>
                  </w:pPr>
                  <w:r>
                    <w:t xml:space="preserve">Friedman + Nemenyi; seguimiento dirigido SHAP–LIME</w:t>
                  </w:r>
                </w:p>
              </w:tc>
              <w:tc>
                <w:tcPr/>
                <w:p>
                  <w:pPr>
                    <w:pStyle w:val="Compact"/>
                    <w:jc w:val="both"/>
                    <w:jc w:val="center"/>
                    <w:spacing w:line="360" w:lineRule="auto"/>
                  </w:pPr>
                  <w:r>
                    <w:t xml:space="preserve">15 bloques</w:t>
                  </w:r>
                  <w:r>
                    <w:t xml:space="preserve"> </w:t>
                  </w:r>
                  <ns5:oMath>
                    <ns5:r>
                      <ns5:rPr>
                        <ns5:sty ns5:val="p"/>
                      </ns5:rPr>
                      <ns5:t>(</ns5:t>
                    </ns5:r>
                    <ns5:r>
                      <ns5:t>g</ns5:t>
                    </ns5:r>
                    <ns5:r>
                      <ns5:rPr>
                        <ns5:sty ns5:val="p"/>
                      </ns5:rPr>
                      <ns5:t>,</ns5:t>
                    </ns5:r>
                    <ns5:r>
                      <ns5:t>n</ns5:t>
                    </ns5:r>
                    <ns5:r>
                      <ns5:rPr>
                        <ns5:sty ns5:val="p"/>
                      </ns5:rPr>
                      <ns5:t>)</ns5:t>
                    </ns5:r>
                  </ns5:oMath>
                </w:p>
              </w:tc>
              <w:tc>
                <w:tcPr/>
                <w:p>
                  <w:pPr>
                    <w:pStyle w:val="Compact"/>
                    <w:jc w:val="both"/>
                    <w:jc w:val="center"/>
                    <w:spacing w:line="360" w:lineRule="auto"/>
                  </w:pPr>
                  <ns5:oMath>
                    <ns5:sSubSup>
                      <ns5:e>
                        <ns5:r>
                          <ns5:t>χ</ns5:t>
                        </ns5:r>
                      </ns5:e>
                      <ns5:sub>
                        <ns5:r>
                          <ns5:t>F</ns5:t>
                        </ns5:r>
                      </ns5:sub>
                      <ns5:sup>
                        <ns5:r>
                          <ns5:t>2</ns5:t>
                        </ns5:r>
                      </ns5:sup>
                    </ns5:sSubSup>
                    <ns5:r>
                      <ns5:rPr>
                        <ns5:sty ns5:val="p"/>
                      </ns5:rPr>
                      <ns5:t>=</ns5:t>
                    </ns5:r>
                    <ns5:r>
                      <ns5:t>42.12</ns5:t>
                    </ns5:r>
                  </ns5:oMath>
                  <w:r>
                    <w:t xml:space="preserve">; Wilcoxon</w:t>
                  </w:r>
                  <w:r>
                    <w:t xml:space="preserve"> </w:t>
                  </w:r>
                  <ns5:oMath>
                    <ns5:r>
                      <ns5:t>W</ns5:t>
                    </ns5:r>
                    <ns5:r>
                      <ns5:rPr>
                        <ns5:sty ns5:val="p"/>
                      </ns5:rPr>
                      <ns5:t>=</ns5:t>
                    </ns5:r>
                    <ns5:r>
                      <ns5:t>0</ns5:t>
                    </ns5:r>
                  </ns5:oMath>
                </w:p>
              </w:tc>
              <w:tc>
                <w:tcPr/>
                <w:p>
                  <w:pPr>
                    <w:pStyle w:val="Compact"/>
                    <w:jc w:val="both"/>
                    <w:jc w:val="center"/>
                    <w:spacing w:line="360" w:lineRule="auto"/>
                  </w:pPr>
                  <ns5:oMath>
                    <ns5:r>
                      <ns5:t>1.51</ns5:t>
                    </ns5:r>
                    <ns5:r>
                      <ns5:rPr>
                        <ns5:sty ns5:val="p"/>
                      </ns5:rPr>
                      <ns5:t>×</ns5:t>
                    </ns5:r>
                    <ns5:sSup>
                      <ns5:e>
                        <ns5:r>
                          <ns5:t>10</ns5:t>
                        </ns5:r>
                      </ns5:e>
                      <ns5:sup>
                        <ns5:r>
                          <ns5:rPr>
                            <ns5:sty ns5:val="p"/>
                          </ns5:rPr>
                          <ns5:t>−</ns5:t>
                        </ns5:r>
                        <ns5:r>
                          <ns5:t>8</ns5:t>
                        </ns5:r>
                      </ns5:sup>
                    </ns5:sSup>
                  </ns5:oMath>
                  <w:r>
                    <w:t xml:space="preserve"> </w:t>
                  </w:r>
                  <w:r>
                    <w:t xml:space="preserve">(Friedman);</w:t>
                  </w:r>
                  <w:r>
                    <w:t xml:space="preserve"> </w:t>
                  </w:r>
                  <ns5:oMath>
                    <ns5:r>
                      <ns5:t>3.05</ns5:t>
                    </ns5:r>
                    <ns5:r>
                      <ns5:rPr>
                        <ns5:sty ns5:val="p"/>
                      </ns5:rPr>
                      <ns5:t>×</ns5:t>
                    </ns5:r>
                    <ns5:sSup>
                      <ns5:e>
                        <ns5:r>
                          <ns5:t>10</ns5:t>
                        </ns5:r>
                      </ns5:e>
                      <ns5:sup>
                        <ns5:r>
                          <ns5:rPr>
                            <ns5:sty ns5:val="p"/>
                          </ns5:rPr>
                          <ns5:t>−</ns5:t>
                        </ns5:r>
                        <ns5:r>
                          <ns5:t>4</ns5:t>
                        </ns5:r>
                      </ns5:sup>
                    </ns5:sSup>
                  </ns5:oMath>
                  <w:r>
                    <w:t xml:space="preserve"> </w:t>
                  </w:r>
                  <w:r>
                    <w:t xml:space="preserve">(seguimiento)</w:t>
                  </w:r>
                </w:p>
              </w:tc>
              <w:tc>
                <w:tcPr/>
                <w:p>
                  <w:pPr>
                    <w:pStyle w:val="Compact"/>
                    <w:jc w:val="both"/>
                    <w:jc w:val="center"/>
                    <w:spacing w:line="360" w:lineRule="auto"/>
                  </w:pPr>
                  <w:r>
                    <w:t xml:space="preserve">Kendall</w:t>
                  </w:r>
                  <w:r>
                    <w:t xml:space="preserve"> </w:t>
                  </w:r>
                  <ns5:oMath>
                    <ns5:r>
                      <ns5:t>W</ns5:t>
                    </ns5:r>
                    <ns5:r>
                      <ns5:rPr>
                        <ns5:sty ns5:val="p"/>
                      </ns5:rPr>
                      <ns5:t>=</ns5:t>
                    </ns5:r>
                    <ns5:r>
                      <ns5:t>0.936</ns5:t>
                    </ns5:r>
                  </ns5:oMath>
                  <w:r>
                    <w:t xml:space="preserve">; diferencia media SHAP–LIME</w:t>
                  </w:r>
                  <w:r>
                    <w:t xml:space="preserve"> </w:t>
                  </w:r>
                  <ns5:oMath>
                    <ns5:r>
                      <ns5:rPr>
                        <ns5:sty ns5:val="p"/>
                      </ns5:rPr>
                      <ns5:t>+</ns5:t>
                    </ns5:r>
                    <ns5:r>
                      <ns5:t>0.2479</ns5:t>
                    </ns5:r>
                  </ns5:oMath>
                </w:p>
              </w:tc>
              <w:tc>
                <w:tcPr/>
                <w:p>
                  <w:pPr>
                    <w:pStyle w:val="Compact"/>
                    <w:jc w:val="both"/>
                    <w:jc w:val="center"/>
                    <w:spacing w:line="360" w:lineRule="auto"/>
                  </w:pPr>
                  <w:r>
                    <w:t xml:space="preserve">Rechazar</w:t>
                  </w:r>
                  <w:r>
                    <w:t xml:space="preserve"> </w:t>
                  </w:r>
                  <ns5:oMath>
                    <ns5:sSub>
                      <ns5:e>
                        <ns5:r>
                          <ns5:t>H</ns5:t>
                        </ns5:r>
                      </ns5:e>
                      <ns5:sub>
                        <ns5:r>
                          <ns5:t>0</ns5:t>
                        </ns5:r>
                        <ns5:r>
                          <ns5:rPr>
                            <ns5:sty ns5:val="p"/>
                          </ns5:rPr>
                          <ns5:t>,</ns5:t>
                        </ns5:r>
                        <ns5:r>
                          <ns5:t>1</ns5:t>
                        </ns5:r>
                      </ns5:sub>
                    </ns5:sSub>
                  </ns5:oMath>
                  <w:r>
                    <w:t xml:space="preserve">; Nemenyi localiza tres pares y el seguimiento distingue SHAP de LIME</w:t>
                  </w:r>
                </w:p>
              </w:tc>
            </w:tr>
            <w:tr>
              <w:tc>
                <w:tcPr/>
                <w:p>
                  <w:pPr>
                    <w:pStyle w:val="Compact"/>
                    <w:jc w:val="both"/>
                    <w:jc w:val="center"/>
                    <w:spacing w:line="360" w:lineRule="auto"/>
                  </w:pPr>
                  <w:r>
                    <w:t xml:space="preserve">H2: existen diferencias de estabilidad entre métodos</w:t>
                  </w:r>
                </w:p>
              </w:tc>
              <w:tc>
                <w:tcPr/>
                <w:p>
                  <w:pPr>
                    <w:pStyle w:val="Compact"/>
                    <w:jc w:val="both"/>
                    <w:jc w:val="center"/>
                    <w:spacing w:line="360" w:lineRule="auto"/>
                  </w:pPr>
                  <w:r>
                    <w:t xml:space="preserve">Friedman + Nemenyi</w:t>
                  </w:r>
                </w:p>
              </w:tc>
              <w:tc>
                <w:tcPr/>
                <w:p>
                  <w:pPr>
                    <w:pStyle w:val="Compact"/>
                    <w:jc w:val="both"/>
                    <w:jc w:val="center"/>
                    <w:spacing w:line="360" w:lineRule="auto"/>
                  </w:pPr>
                  <w:r>
                    <w:t xml:space="preserve">15 bloques</w:t>
                  </w:r>
                  <w:r>
                    <w:t xml:space="preserve"> </w:t>
                  </w:r>
                  <ns5:oMath>
                    <ns5:r>
                      <ns5:rPr>
                        <ns5:sty ns5:val="p"/>
                      </ns5:rPr>
                      <ns5:t>(</ns5:t>
                    </ns5:r>
                    <ns5:r>
                      <ns5:t>g</ns5:t>
                    </ns5:r>
                    <ns5:r>
                      <ns5:rPr>
                        <ns5:sty ns5:val="p"/>
                      </ns5:rPr>
                      <ns5:t>,</ns5:t>
                    </ns5:r>
                    <ns5:r>
                      <ns5:t>n</ns5:t>
                    </ns5:r>
                    <ns5:r>
                      <ns5:rPr>
                        <ns5:sty ns5:val="p"/>
                      </ns5:rPr>
                      <ns5:t>)</ns5:t>
                    </ns5:r>
                  </ns5:oMath>
                </w:p>
              </w:tc>
              <w:tc>
                <w:tcPr/>
                <w:p>
                  <w:pPr>
                    <w:pStyle w:val="Compact"/>
                    <w:jc w:val="both"/>
                    <w:jc w:val="center"/>
                    <w:spacing w:line="360" w:lineRule="auto"/>
                  </w:pPr>
                  <ns5:oMath>
                    <ns5:sSubSup>
                      <ns5:e>
                        <ns5:r>
                          <ns5:t>χ</ns5:t>
                        </ns5:r>
                      </ns5:e>
                      <ns5:sub>
                        <ns5:r>
                          <ns5:t>F</ns5:t>
                        </ns5:r>
                      </ns5:sub>
                      <ns5:sup>
                        <ns5:r>
                          <ns5:t>2</ns5:t>
                        </ns5:r>
                      </ns5:sup>
                    </ns5:sSubSup>
                    <ns5:r>
                      <ns5:rPr>
                        <ns5:sty ns5:val="p"/>
                      </ns5:rPr>
                      <ns5:t>=</ns5:t>
                    </ns5:r>
                    <ns5:r>
                      <ns5:t>40.68</ns5:t>
                    </ns5:r>
                  </ns5:oMath>
                  <w:r>
                    <w:t xml:space="preserve">​</w:t>
                  </w:r>
                </w:p>
              </w:tc>
              <w:tc>
                <w:tcPr/>
                <w:p>
                  <w:pPr>
                    <w:pStyle w:val="Compact"/>
                    <w:jc w:val="both"/>
                    <w:jc w:val="center"/>
                    <w:spacing w:line="360" w:lineRule="auto"/>
                  </w:pPr>
                  <ns5:oMath>
                    <ns5:r>
                      <ns5:t>2.29</ns5:t>
                    </ns5:r>
                    <ns5:r>
                      <ns5:rPr>
                        <ns5:sty ns5:val="p"/>
                      </ns5:rPr>
                      <ns5:t>×</ns5:t>
                    </ns5:r>
                    <ns5:sSup>
                      <ns5:e>
                        <ns5:r>
                          <ns5:t>10</ns5:t>
                        </ns5:r>
                      </ns5:e>
                      <ns5:sup>
                        <ns5:r>
                          <ns5:rPr>
                            <ns5:sty ns5:val="p"/>
                          </ns5:rPr>
                          <ns5:t>−</ns5:t>
                        </ns5:r>
                        <ns5:r>
                          <ns5:t>8</ns5:t>
                        </ns5:r>
                      </ns5:sup>
                    </ns5:sSup>
                  </ns5:oMath>
                  <w:r>
                    <w:t xml:space="preserve">​</w:t>
                  </w:r>
                </w:p>
              </w:tc>
              <w:tc>
                <w:tcPr/>
                <w:p>
                  <w:pPr>
                    <w:pStyle w:val="Compact"/>
                    <w:jc w:val="both"/>
                    <w:jc w:val="center"/>
                    <w:spacing w:line="360" w:lineRule="auto"/>
                  </w:pPr>
                  <ns5:oMath>
                    <ns5:r>
                      <ns5:t>W</ns5:t>
                    </ns5:r>
                    <ns5:r>
                      <ns5:rPr>
                        <ns5:sty ns5:val="p"/>
                      </ns5:rPr>
                      <ns5:t>=</ns5:t>
                    </ns5:r>
                    <ns5:r>
                      <ns5:t>0.904</ns5:t>
                    </ns5:r>
                  </ns5:oMath>
                  <w:r>
                    <w:t xml:space="preserve">​</w:t>
                  </w:r>
                </w:p>
              </w:tc>
              <w:tc>
                <w:tcPr/>
                <w:p>
                  <w:pPr>
                    <w:pStyle w:val="Compact"/>
                    <w:jc w:val="both"/>
                    <w:jc w:val="center"/>
                    <w:spacing w:line="360" w:lineRule="auto"/>
                  </w:pPr>
                  <w:r>
                    <w:t xml:space="preserve">Rechazar</w:t>
                  </w:r>
                  <w:r>
                    <w:t xml:space="preserve"> </w:t>
                  </w:r>
                  <ns5:oMath>
                    <ns5:sSub>
                      <ns5:e>
                        <ns5:r>
                          <ns5:t>H</ns5:t>
                        </ns5:r>
                      </ns5:e>
                      <ns5:sub>
                        <ns5:r>
                          <ns5:t>0</ns5:t>
                        </ns5:r>
                        <ns5:r>
                          <ns5:rPr>
                            <ns5:sty ns5:val="p"/>
                          </ns5:rPr>
                          <ns5:t>,</ns5:t>
                        </ns5:r>
                        <ns5:r>
                          <ns5:t>2</ns5:t>
                        </ns5:r>
                      </ns5:sub>
                    </ns5:sSub>
                  </ns5:oMath>
                  <w:r>
                    <w:t xml:space="preserve">; SHAP/DiCE forman el grupo más estable</w:t>
                  </w:r>
                </w:p>
              </w:tc>
            </w:tr>
            <w:tr>
              <w:tc>
                <w:tcPr/>
                <w:p>
                  <w:pPr>
                    <w:pStyle w:val="Compact"/>
                    <w:jc w:val="both"/>
                    <w:jc w:val="center"/>
                    <w:spacing w:line="360" w:lineRule="auto"/>
                  </w:pPr>
                  <w:r>
                    <w:t xml:space="preserve">H3: SHAP y LIME difieren en calidad-coste</w:t>
                  </w:r>
                </w:p>
              </w:tc>
              <w:tc>
                <w:tcPr/>
                <w:p>
                  <w:pPr>
                    <w:pStyle w:val="Compact"/>
                    <w:jc w:val="both"/>
                    <w:jc w:val="center"/>
                    <w:spacing w:line="360" w:lineRule="auto"/>
                  </w:pPr>
                  <w:r>
                    <w:t xml:space="preserve">Wilcoxon pareado bilateral</w:t>
                  </w:r>
                </w:p>
              </w:tc>
              <w:tc>
                <w:tcPr/>
                <w:p>
                  <w:pPr>
                    <w:pStyle w:val="Compact"/>
                    <w:jc w:val="both"/>
                    <w:jc w:val="center"/>
                    <w:spacing w:line="360" w:lineRule="auto"/>
                  </w:pPr>
                  <w:r>
                    <w:t xml:space="preserve">75 celdas</w:t>
                  </w:r>
                  <w:r>
                    <w:t xml:space="preserve"> </w:t>
                  </w:r>
                  <ns5:oMath>
                    <ns5:r>
                      <ns5:rPr>
                        <ns5:sty ns5:val="p"/>
                      </ns5:rPr>
                      <ns5:t>(</ns5:t>
                    </ns5:r>
                    <ns5:r>
                      <ns5:t>g</ns5:t>
                    </ns5:r>
                    <ns5:r>
                      <ns5:rPr>
                        <ns5:sty ns5:val="p"/>
                      </ns5:rPr>
                      <ns5:t>,</ns5:t>
                    </ns5:r>
                    <ns5:r>
                      <ns5:t>s</ns5:t>
                    </ns5:r>
                    <ns5:r>
                      <ns5:rPr>
                        <ns5:sty ns5:val="p"/>
                      </ns5:rPr>
                      <ns5:t>,</ns5:t>
                    </ns5:r>
                    <ns5:r>
                      <ns5:t>n</ns5:t>
                    </ns5:r>
                    <ns5:r>
                      <ns5:rPr>
                        <ns5:sty ns5:val="p"/>
                      </ns5:rPr>
                      <ns5:t>)</ns5:t>
                    </ns5:r>
                  </ns5:oMath>
                </w:p>
              </w:tc>
              <w:tc>
                <w:tcPr/>
                <w:p>
                  <w:pPr>
                    <w:pStyle w:val="Compact"/>
                    <w:jc w:val="both"/>
                    <w:jc w:val="center"/>
                    <w:spacing w:line="360" w:lineRule="auto"/>
                  </w:pPr>
                  <ns5:oMath>
                    <ns5:r>
                      <ns5:t>W</ns5:t>
                    </ns5:r>
                    <ns5:r>
                      <ns5:rPr>
                        <ns5:sty ns5:val="p"/>
                      </ns5:rPr>
                      <ns5:t>=</ns5:t>
                    </ns5:r>
                    <ns5:r>
                      <ns5:t>0</ns5:t>
                    </ns5:r>
                  </ns5:oMath>
                  <w:r>
                    <w:t xml:space="preserve"> </w:t>
                  </w:r>
                  <w:r>
                    <w:t xml:space="preserve">a</w:t>
                  </w:r>
                  <w:r>
                    <w:t xml:space="preserve"> </w:t>
                  </w:r>
                  <ns5:oMath>
                    <ns5:r>
                      <ns5:t>205</ns5:t>
                    </ns5:r>
                  </ns5:oMath>
                </w:p>
              </w:tc>
              <w:tc>
                <w:tcPr/>
                <w:p>
                  <w:pPr>
                    <w:pStyle w:val="Compact"/>
                    <w:jc w:val="both"/>
                    <w:jc w:val="center"/>
                    <w:spacing w:line="360" w:lineRule="auto"/>
                  </w:pPr>
                  <ns5:oMath>
                    <ns5:r>
                      <ns5:rPr>
                        <ns5:sty ns5:val="p"/>
                      </ns5:rPr>
                      <ns5:t>≤</ns5:t>
                    </ns5:r>
                    <ns5:r>
                      <ns5:t>2.64</ns5:t>
                    </ns5:r>
                    <ns5:r>
                      <ns5:rPr>
                        <ns5:sty ns5:val="p"/>
                      </ns5:rPr>
                      <ns5:t>×</ns5:t>
                    </ns5:r>
                    <ns5:sSup>
                      <ns5:e>
                        <ns5:r>
                          <ns5:t>10</ns5:t>
                        </ns5:r>
                      </ns5:e>
                      <ns5:sup>
                        <ns5:r>
                          <ns5:rPr>
                            <ns5:sty ns5:val="p"/>
                          </ns5:rPr>
                          <ns5:t>−</ns5:t>
                        </ns5:r>
                        <ns5:r>
                          <ns5:t>13</ns5:t>
                        </ns5:r>
                      </ns5:sup>
                    </ns5:sSup>
                  </ns5:oMath>
                  <w:r>
                    <w:t xml:space="preserve"> </w:t>
                  </w:r>
                  <w:r>
                    <w:t xml:space="preserve">para calidad;</w:t>
                  </w:r>
                  <w:r>
                    <w:t xml:space="preserve"> </w:t>
                  </w:r>
                  <ns5:oMath>
                    <ns5:r>
                      <ns5:t>1.18</ns5:t>
                    </ns5:r>
                    <ns5:r>
                      <ns5:rPr>
                        <ns5:sty ns5:val="p"/>
                      </ns5:rPr>
                      <ns5:t>×</ns5:t>
                    </ns5:r>
                    <ns5:sSup>
                      <ns5:e>
                        <ns5:r>
                          <ns5:t>10</ns5:t>
                        </ns5:r>
                      </ns5:e>
                      <ns5:sup>
                        <ns5:r>
                          <ns5:rPr>
                            <ns5:sty ns5:val="p"/>
                          </ns5:rPr>
                          <ns5:t>−</ns5:t>
                        </ns5:r>
                        <ns5:r>
                          <ns5:t>10</ns5:t>
                        </ns5:r>
                      </ns5:sup>
                    </ns5:sSup>
                  </ns5:oMath>
                  <w:r>
                    <w:t xml:space="preserve"> </w:t>
                  </w:r>
                  <w:r>
                    <w:t xml:space="preserve">para coste</w:t>
                  </w:r>
                </w:p>
              </w:tc>
              <w:tc>
                <w:tcPr/>
                <w:p>
                  <w:pPr>
                    <w:pStyle w:val="Compact"/>
                    <w:jc w:val="both"/>
                    <w:jc w:val="center"/>
                    <w:spacing w:line="360" w:lineRule="auto"/>
                  </w:pPr>
                  <ns5:oMath>
                    <ns5:sSub>
                      <ns5:e>
                        <ns5:r>
                          <ns5:t>d</ns5:t>
                        </ns5:r>
                      </ns5:e>
                      <ns5:sub>
                        <ns5:r>
                          <ns5:t>z</ns5:t>
                        </ns5:r>
                      </ns5:sub>
                    </ns5:sSub>
                    <ns5:r>
                      <ns5:rPr>
                        <ns5:sty ns5:val="p"/>
                      </ns5:rPr>
                      <ns5:t>=</ns5:t>
                    </ns5:r>
                    <ns5:r>
                      <ns5:t>0.451</ns5:t>
                    </ns5:r>
                  </ns5:oMath>
                  <w:r>
                    <w:t xml:space="preserve"> </w:t>
                  </w:r>
                  <w:r>
                    <w:t xml:space="preserve">a</w:t>
                  </w:r>
                  <w:r>
                    <w:t xml:space="preserve"> </w:t>
                  </w:r>
                  <ns5:oMath>
                    <ns5:r>
                      <ns5:t>4.820</ns5:t>
                    </ns5:r>
                  </ns5:oMath>
                </w:p>
              </w:tc>
              <w:tc>
                <w:tcPr/>
                <w:p>
                  <w:pPr>
                    <w:pStyle w:val="Compact"/>
                    <w:jc w:val="both"/>
                    <w:jc w:val="center"/>
                    <w:spacing w:line="360" w:lineRule="auto"/>
                  </w:pPr>
                  <w:r>
                    <w:t xml:space="preserve">Rechazar</w:t>
                  </w:r>
                  <w:r>
                    <w:t xml:space="preserve"> </w:t>
                  </w:r>
                  <ns5:oMath>
                    <ns5:sSub>
                      <ns5:e>
                        <ns5:r>
                          <ns5:t>H</ns5:t>
                        </ns5:r>
                      </ns5:e>
                      <ns5:sub>
                        <ns5:r>
                          <ns5:t>0</ns5:t>
                        </ns5:r>
                        <ns5:r>
                          <ns5:rPr>
                            <ns5:sty ns5:val="p"/>
                          </ns5:rPr>
                          <ns5:t>,</ns5:t>
                        </ns5:r>
                        <ns5:r>
                          <ns5:t>3</ns5:t>
                        </ns5:r>
                      </ns5:sub>
                    </ns5:sSub>
                  </ns5:oMath>
                  <w:r>
                    <w:t xml:space="preserve">; SHAP mejora calidad y aumenta coste medio</w:t>
                  </w:r>
                </w:p>
              </w:tc>
            </w:tr>
            <w:tr>
              <w:tc>
                <w:tcPr/>
                <w:p>
                  <w:pPr>
                    <w:pStyle w:val="Compact"/>
                    <w:jc w:val="both"/>
                    <w:jc w:val="center"/>
                    <w:spacing w:line="360" w:lineRule="auto"/>
                  </w:pPr>
                  <w:r>
                    <w:t xml:space="preserve">P1: el protocolo es reproducible bajo semillas</w:t>
                  </w:r>
                </w:p>
              </w:tc>
              <w:tc>
                <w:tcPr/>
                <w:p>
                  <w:pPr>
                    <w:pStyle w:val="Compact"/>
                    <w:jc w:val="both"/>
                    <w:jc w:val="center"/>
                    <w:spacing w:line="360" w:lineRule="auto"/>
                  </w:pPr>
                  <w:r>
                    <w:t xml:space="preserve">CV sobre el estrato replicado</w:t>
                  </w:r>
                </w:p>
              </w:tc>
              <w:tc>
                <w:tcPr/>
                <w:p>
                  <w:pPr>
                    <w:pStyle w:val="Compact"/>
                    <w:jc w:val="both"/>
                    <w:jc w:val="center"/>
                    <w:spacing w:line="360" w:lineRule="auto"/>
                  </w:pPr>
                  <w:r>
                    <w:t xml:space="preserve">5 semillas RF,</w:t>
                  </w:r>
                  <w:r>
                    <w:t xml:space="preserve"> </w:t>
                  </w:r>
                  <ns5:oMath>
                    <ns5:r>
                      <ns5:t>N</ns5:t>
                    </ns5:r>
                    <ns5:r>
                      <ns5:rPr>
                        <ns5:sty ns5:val="p"/>
                      </ns5:rPr>
                      <ns5:t>=</ns5:t>
                    </ns5:r>
                    <ns5:r>
                      <ns5:t>100</ns5:t>
                    </ns5:r>
                  </ns5:oMath>
                </w:p>
              </w:tc>
              <w:tc>
                <w:tcPr/>
                <w:p>
                  <w:pPr>
                    <w:pStyle w:val="Compact"/>
                    <w:jc w:val="both"/>
                    <w:jc w:val="center"/>
                    <w:spacing w:line="360" w:lineRule="auto"/>
                  </w:pPr>
                  <w:r>
                    <w:t xml:space="preserve">CV por métrica</w:t>
                  </w:r>
                </w:p>
              </w:tc>
              <w:tc>
                <w:tcPr/>
                <w:p>
                  <w:pPr>
                    <w:pStyle w:val="Compact"/>
                    <w:jc w:val="both"/>
                    <w:jc w:val="center"/>
                    <w:spacing w:line="360" w:lineRule="auto"/>
                  </w:pPr>
                  <w:r>
                    <w:t xml:space="preserve">No aplica</w:t>
                  </w:r>
                </w:p>
              </w:tc>
              <w:tc>
                <w:tcPr/>
                <w:p>
                  <w:pPr>
                    <w:pStyle w:val="Compact"/>
                    <w:jc w:val="both"/>
                    <w:jc w:val="center"/>
                    <w:spacing w:line="360" w:lineRule="auto"/>
                  </w:pPr>
                  <w:r>
                    <w:t xml:space="preserve">CV &lt; 3% en señales principales</w:t>
                  </w:r>
                </w:p>
              </w:tc>
              <w:tc>
                <w:tcPr/>
                <w:p>
                  <w:pPr>
                    <w:pStyle w:val="Compact"/>
                    <w:jc w:val="both"/>
                    <w:jc w:val="center"/>
                    <w:spacing w:line="360" w:lineRule="auto"/>
                  </w:pPr>
                  <w:r>
                    <w:t xml:space="preserve">Confirmación parcial; LIME-estabilidad queda fuera por media cercana a cero</w:t>
                  </w:r>
                </w:p>
              </w:tc>
            </w:tr>
          </w:tbl>
          <w:bookmarkEnd w:id="172"/>
          <w:p>
            <w:pPr>
              <w:spacing w:line="360" w:lineRule="auto"/>
              <w:jc w:val="both"/>
            </w:pPr>
          </w:p>
        </w:tc>
      </w:tr>
    </w:tbl>
    <w:bookmarkEnd w:id="173"/>
    <w:bookmarkStart w:id="182" w:name="sec-estudio-a"/>
    <w:p>
      <w:pPr>
        <w:pStyle w:val="Ttulo2"/>
        <w:spacing w:line="360" w:lineRule="auto"/>
        <w:jc w:val="both"/>
      </w:pPr>
      <w:r>
        <w:t xml:space="preserve">4.2 </w:t>
      </w:r>
      <w:r>
        <w:t xml:space="preserve">Estudio Omnibus Multimétrico: H1 y H2</w:t>
      </w:r>
    </w:p>
    <w:bookmarkStart w:id="178" w:name="X41be5df394949178755daa825e68dc45d5470c0"/>
    <w:p>
      <w:pPr>
        <w:pStyle w:val="Ttulo3"/>
        <w:spacing w:line="360" w:lineRule="auto"/>
        <w:jc w:val="both"/>
      </w:pPr>
      <w:r>
        <w:t xml:space="preserve">4.2.1 </w:t>
      </w:r>
      <w:r>
        <w:t xml:space="preserve">H1: Diferencias entre métodos en fidelidad</w:t>
      </w:r>
    </w:p>
    <w:p>
      <w:pPr>
        <w:pStyle w:val="FirstParagraph"/>
        <w:spacing w:line="360" w:lineRule="auto"/>
        <w:jc w:val="both"/>
      </w:pPr>
      <w:r>
        <w:t xml:space="preserve">La prueba de Friedman para bloques</w:t>
      </w:r>
      <w:r>
        <w:t xml:space="preserve"> </w:t>
      </w:r>
      <ns5:oMath>
        <ns5:r>
          <ns5:rPr>
            <ns5:sty ns5:val="p"/>
          </ns5:rPr>
          <ns5:t>(</ns5:t>
        </ns5:r>
        <ns5:r>
          <ns5:t>g</ns5:t>
        </ns5:r>
        <ns5:r>
          <ns5:rPr>
            <ns5:sty ns5:val="p"/>
          </ns5:rPr>
          <ns5:t>,</ns5:t>
        </ns5:r>
        <ns5:r>
          <ns5:t>n</ns5:t>
        </ns5:r>
        <ns5:r>
          <ns5:rPr>
            <ns5:sty ns5:val="p"/>
          </ns5:rPr>
          <ns5:t>)</ns5:t>
        </ns5:r>
      </ns5:oMath>
      <w:r>
        <w:t xml:space="preserve"> </w:t>
      </w:r>
      <w:r>
        <w:t xml:space="preserve">sobre la métrica de fidelidad</w:t>
      </w:r>
      <w:r>
        <w:t xml:space="preserve"> </w:t>
      </w:r>
      <w:r>
        <w:t xml:space="preserve">arrojó una estadística</w:t>
      </w:r>
      <w:r>
        <w:t xml:space="preserve"> </w:t>
      </w:r>
      <ns5:oMath>
        <ns5:sSubSup>
          <ns5:e>
            <ns5:r>
              <ns5:t>χ</ns5:t>
            </ns5:r>
          </ns5:e>
          <ns5:sub>
            <ns5:r>
              <ns5:t>F</ns5:t>
            </ns5:r>
          </ns5:sub>
          <ns5:sup>
            <ns5:r>
              <ns5:t>2</ns5:t>
            </ns5:r>
          </ns5:sup>
        </ns5:sSubSup>
        <ns5:r>
          <ns5:rPr>
            <ns5:sty ns5:val="p"/>
          </ns5:rPr>
          <ns5:t>=</ns5:t>
        </ns5:r>
        <ns5:r>
          <ns5:t>42.12</ns5:t>
        </ns5:r>
      </ns5:oMath>
      <w:r>
        <w:t xml:space="preserve"> </w:t>
      </w:r>
      <w:r>
        <w:t xml:space="preserve">con</w:t>
      </w:r>
      <w:r>
        <w:t xml:space="preserve"> </w:t>
      </w:r>
      <ns5:oMath>
        <ns5:r>
          <ns5:t>k</ns5:t>
        </ns5:r>
        <ns5:r>
          <ns5:rPr>
            <ns5:sty ns5:val="p"/>
          </ns5:rPr>
          <ns5:t>−</ns5:t>
        </ns5:r>
        <ns5:r>
          <ns5:t>1</ns5:t>
        </ns5:r>
        <ns5:r>
          <ns5:rPr>
            <ns5:sty ns5:val="p"/>
          </ns5:rPr>
          <ns5:t>=</ns5:t>
        </ns5:r>
        <ns5:r>
          <ns5:t>3</ns5:t>
        </ns5:r>
      </ns5:oMath>
      <w:r>
        <w:t xml:space="preserve"> </w:t>
      </w:r>
      <w:r>
        <w:t xml:space="preserve">grados de libertad</w:t>
      </w:r>
      <w:r>
        <w:t xml:space="preserve"> </w:t>
      </w:r>
      <w:r>
        <w:t xml:space="preserve">sobre</w:t>
      </w:r>
      <w:r>
        <w:t xml:space="preserve"> </w:t>
      </w:r>
      <ns5:oMath>
        <ns5:r>
          <ns5:t>n</ns5:t>
        </ns5:r>
        <ns5:r>
          <ns5:rPr>
            <ns5:sty ns5:val="p"/>
          </ns5:rPr>
          <ns5:t>=</ns5:t>
        </ns5:r>
        <ns5:r>
          <ns5:t>15</ns5:t>
        </ns5:r>
      </ns5:oMath>
      <w:r>
        <w:t xml:space="preserve"> </w:t>
      </w:r>
      <w:r>
        <w:t xml:space="preserve">bloques completos. El valor crítico para</w:t>
      </w:r>
      <w:r>
        <w:t xml:space="preserve"> </w:t>
      </w:r>
      <ns5:oMath>
        <ns5:r>
          <ns5:t>α</ns5:t>
        </ns5:r>
        <ns5:r>
          <ns5:rPr>
            <ns5:sty ns5:val="p"/>
          </ns5:rPr>
          <ns5:t>=</ns5:t>
        </ns5:r>
        <ns5:r>
          <ns5:t>0.05</ns5:t>
        </ns5:r>
      </ns5:oMath>
      <w:r>
        <w:t xml:space="preserve"> </w:t>
      </w:r>
      <w:r>
        <w:t xml:space="preserve">es</w:t>
      </w:r>
      <w:r>
        <w:t xml:space="preserve"> </w:t>
      </w:r>
      <ns5:oMath>
        <ns5:sSubSup>
          <ns5:e>
            <ns5:r>
              <ns5:t>χ</ns5:t>
            </ns5:r>
          </ns5:e>
          <ns5:sub>
            <ns5:r>
              <ns5:t>c</ns5:t>
            </ns5:r>
            <ns5:r>
              <ns5:t>r</ns5:t>
            </ns5:r>
            <ns5:r>
              <ns5:t>i</ns5:t>
            </ns5:r>
            <ns5:r>
              <ns5:t>t</ns5:t>
            </ns5:r>
          </ns5:sub>
          <ns5:sup>
            <ns5:r>
              <ns5:t>2</ns5:t>
            </ns5:r>
          </ns5:sup>
        </ns5:sSubSup>
        <ns5:r>
          <ns5:rPr>
            <ns5:sty ns5:val="p"/>
          </ns5:rPr>
          <ns5:t>(</ns5:t>
        </ns5:r>
        <ns5:r>
          <ns5:t>3</ns5:t>
        </ns5:r>
        <ns5:r>
          <ns5:rPr>
            <ns5:sty ns5:val="p"/>
          </ns5:rPr>
          <ns5:t>)</ns5:t>
        </ns5:r>
        <ns5:r>
          <ns5:rPr>
            <ns5:sty ns5:val="p"/>
          </ns5:rPr>
          <ns5:t>=</ns5:t>
        </ns5:r>
        <ns5:r>
          <ns5:t>7.815</ns5:t>
        </ns5:r>
      </ns5:oMath>
      <w:r>
        <w:t xml:space="preserve">, de modo que el margen de seguridad inferencial es el de la</w:t>
      </w:r>
      <w:r>
        <w:t xml:space="preserve"> </w:t>
      </w:r>
      <w:hyperlink w:anchor="eq-margen-fidelidad">
        <w:r>
          <w:rPr>
            <w:rStyle w:val="Hipervnculo"/>
          </w:rPr>
          <w:t xml:space="preserve">Ecuación 4.1</w:t>
        </w:r>
      </w:hyperlink>
      <w:r>
        <w:t xml:space="preserve">:</w:t>
      </w:r>
    </w:p>
    <w:p>
      <w:pPr>
        <w:pStyle w:val="Textoindependiente"/>
        <w:spacing w:line="360" w:lineRule="auto"/>
        <w:jc w:val="both"/>
      </w:pPr>
      <w:bookmarkStart w:id="174" w:name="eq-margen-fidelidad"/>
      <ns5:oMathPara>
        <ns5:oMathParaPr>
          <ns5:jc ns5:val="center"/>
        </ns5:oMathParaPr>
        <ns5:oMath>
          <ns5:r>
            <ns5:rPr>
              <ns5:nor/>
              <ns5:sty ns5:val="p"/>
            </ns5:rPr>
            <ns5:t>Margen</ns5:t>
          </ns5:r>
          <ns5:r>
            <ns5:rPr>
              <ns5:sty ns5:val="p"/>
            </ns5:rPr>
            <ns5:t>=</ns5:t>
          </ns5:r>
          <ns5:f>
            <ns5:fPr>
              <ns5:type ns5:val="bar"/>
            </ns5:fPr>
            <ns5:num>
              <ns5:sSubSup>
                <ns5:e>
                  <ns5:r>
                    <ns5:t>χ</ns5:t>
                  </ns5:r>
                </ns5:e>
                <ns5:sub>
                  <ns5:r>
                    <ns5:t>F</ns5:t>
                  </ns5:r>
                </ns5:sub>
                <ns5:sup>
                  <ns5:r>
                    <ns5:t>2</ns5:t>
                  </ns5:r>
                </ns5:sup>
              </ns5:sSubSup>
              <ns5:r>
                <ns5:rPr>
                  <ns5:sty ns5:val="p"/>
                </ns5:rPr>
                <ns5:t>−</ns5:t>
              </ns5:r>
              <ns5:sSubSup>
                <ns5:e>
                  <ns5:r>
                    <ns5:t>χ</ns5:t>
                  </ns5:r>
                </ns5:e>
                <ns5:sub>
                  <ns5:r>
                    <ns5:t>c</ns5:t>
                  </ns5:r>
                  <ns5:r>
                    <ns5:t>r</ns5:t>
                  </ns5:r>
                  <ns5:r>
                    <ns5:t>i</ns5:t>
                  </ns5:r>
                  <ns5:r>
                    <ns5:t>t</ns5:t>
                  </ns5:r>
                </ns5:sub>
                <ns5:sup>
                  <ns5:r>
                    <ns5:t>2</ns5:t>
                  </ns5:r>
                </ns5:sup>
              </ns5:sSubSup>
            </ns5:num>
            <ns5:den>
              <ns5:sSubSup>
                <ns5:e>
                  <ns5:r>
                    <ns5:t>χ</ns5:t>
                  </ns5:r>
                </ns5:e>
                <ns5:sub>
                  <ns5:r>
                    <ns5:t>c</ns5:t>
                  </ns5:r>
                  <ns5:r>
                    <ns5:t>r</ns5:t>
                  </ns5:r>
                  <ns5:r>
                    <ns5:t>i</ns5:t>
                  </ns5:r>
                  <ns5:r>
                    <ns5:t>t</ns5:t>
                  </ns5:r>
                </ns5:sub>
                <ns5:sup>
                  <ns5:r>
                    <ns5:t>2</ns5:t>
                  </ns5:r>
                </ns5:sup>
              </ns5:sSubSup>
            </ns5:den>
          </ns5:f>
          <ns5:r>
            <ns5:rPr>
              <ns5:sty ns5:val="p"/>
            </ns5:rPr>
            <ns5:t>×</ns5:t>
          </ns5:r>
          <ns5:r>
            <ns5:t>100</ns5:t>
          </ns5:r>
          <ns5:r>
            <ns5:rPr>
              <ns5:sty ns5:val="p"/>
            </ns5:rPr>
            <ns5:t>=</ns5:t>
          </ns5:r>
          <ns5:f>
            <ns5:fPr>
              <ns5:type ns5:val="bar"/>
            </ns5:fPr>
            <ns5:num>
              <ns5:r>
                <ns5:t>42.12</ns5:t>
              </ns5:r>
              <ns5:r>
                <ns5:rPr>
                  <ns5:sty ns5:val="p"/>
                </ns5:rPr>
                <ns5:t>−</ns5:t>
              </ns5:r>
              <ns5:r>
                <ns5:t>7.815</ns5:t>
              </ns5:r>
            </ns5:num>
            <ns5:den>
              <ns5:r>
                <ns5:t>7.815</ns5:t>
              </ns5:r>
            </ns5:den>
          </ns5:f>
          <ns5:r>
            <ns5:rPr>
              <ns5:sty ns5:val="p"/>
            </ns5:rPr>
            <ns5:t>×</ns5:t>
          </ns5:r>
          <ns5:r>
            <ns5:t>100</ns5:t>
          </ns5:r>
          <ns5:r>
            <ns5:rPr>
              <ns5:sty ns5:val="p"/>
            </ns5:rPr>
            <ns5:t>=</ns5:t>
          </ns5:r>
          <ns5:r>
            <ns5:t>439</ns5:t>
          </ns5:r>
          <ns5:r>
            <ns5:rPr>
              <ns5:sty ns5:val="p"/>
            </ns5:rPr>
            <ns5:t>%</ns5:t>
          </ns5:r>
          <ns5:r>
            <ns5:t>  </ns5:t>
          </ns5:r>
          <ns5:r>
            <ns5:rPr>
              <ns5:sty ns5:val="p"/>
            </ns5:rPr>
            <ns5:t>(</ns5:t>
          </ns5:r>
          <ns5:r>
            <ns5:t>4.1</ns5:t>
          </ns5:r>
          <ns5:r>
            <ns5:rPr>
              <ns5:sty ns5:val="p"/>
            </ns5:rPr>
            <ns5:t>)</ns5:t>
          </ns5:r>
        </ns5:oMath>
      </ns5:oMathPara>
      <w:bookmarkEnd w:id="174"/>
    </w:p>
    <w:p>
      <w:pPr>
        <w:pStyle w:val="FirstParagraph"/>
        <w:spacing w:line="360" w:lineRule="auto"/>
        <w:jc w:val="both"/>
      </w:pPr>
      <w:r>
        <w:t xml:space="preserve">Este resultado rechaza</w:t>
      </w:r>
      <w:r>
        <w:t xml:space="preserve"> </w:t>
      </w:r>
      <ns5:oMath>
        <ns5:sSub>
          <ns5:e>
            <ns5:r>
              <ns5:t>H</ns5:t>
            </ns5:r>
          </ns5:e>
          <ns5:sub>
            <ns5:r>
              <ns5:t>0</ns5:t>
            </ns5:r>
            <ns5:r>
              <ns5:rPr>
                <ns5:sty ns5:val="p"/>
              </ns5:rPr>
              <ns5:t>,</ns5:t>
            </ns5:r>
            <ns5:r>
              <ns5:t>1</ns5:t>
            </ns5:r>
          </ns5:sub>
        </ns5:sSub>
      </ns5:oMath>
      <w:r>
        <w:t xml:space="preserve"> </w:t>
      </w:r>
      <w:r>
        <w:t xml:space="preserve">con una holgura de más de cinco veces el</w:t>
      </w:r>
      <w:r>
        <w:t xml:space="preserve"> </w:t>
      </w:r>
      <w:r>
        <w:t xml:space="preserve">umbral crítico, lo que ofrece evidencia fuerte de diferencias sistemáticas</w:t>
      </w:r>
      <w:r>
        <w:t xml:space="preserve"> </w:t>
      </w:r>
      <w:r>
        <w:t xml:space="preserve">entre métodos bajo las condiciones del benchmark. La distribución empírica de</w:t>
      </w:r>
      <w:r>
        <w:t xml:space="preserve"> </w:t>
      </w:r>
      <w:r>
        <w:t xml:space="preserve">los rangos muestra a SHAP en la primera posición en los 15 bloques, con LIME</w:t>
      </w:r>
      <w:r>
        <w:t xml:space="preserve"> </w:t>
      </w:r>
      <w:r>
        <w:t xml:space="preserve">como segundo en los 15 bloques y alternancia Anchors–DiCE en las posiciones</w:t>
      </w:r>
      <w:r>
        <w:t xml:space="preserve"> </w:t>
      </w:r>
      <w:r>
        <w:t xml:space="preserve">3–4:</w:t>
      </w:r>
    </w:p>
    <w:tbl>
      <w:tblPr>
        <w:tblStyle w:val="Table"/>
        <w:tblW w:type="pct" w:w="5000"/>
        <w:jc w:val="center"/>
        <w:tblLayout w:type="fixed"/>
        <w:tblLook w:firstRow="0" w:lastRow="0" w:firstColumn="0" w:lastColumn="0" w:noHBand="0" w:noVBand="0" w:val="0000"/>
      </w:tblPr>
      <w:tblGrid>
        <w:gridCol w:w="7920"/>
      </w:tblGrid>
      <w:tr>
        <w:tc>
          <w:tcPr/>
          <w:bookmarkStart w:id="175" w:name="tbl-friedman-fidelity"/>
          <w:p>
            <w:pPr>
              <w:pStyle w:val="ImageCaption"/>
              <w:spacing w:before="200" w:line="360" w:lineRule="auto"/>
              <w:jc w:val="center"/>
            </w:pPr>
            <w:r>
              <w:t xml:space="preserve">Tabla 4.2: Suma y media de rangos de fidelidad — prueba de Friedman (</w:t>
            </w:r>
            <ns5:oMath>
              <ns5:r>
                <ns5:t>n</ns5:t>
              </ns5:r>
              <ns5:r>
                <ns5:rPr>
                  <ns5:sty ns5:val="p"/>
                </ns5:rPr>
                <ns5:t>=</ns5:t>
              </ns5:r>
              <ns5:r>
                <ns5:t>15</ns5:t>
              </ns5:r>
            </ns5:oMath>
            <w:r>
              <w:t xml:space="preserve"> </w:t>
            </w:r>
            <w:r>
              <w:t xml:space="preserve">bloques).</w:t>
            </w:r>
          </w:p>
          <w:tbl>
            <w:tblPr>
              <w:tblStyle w:val="Table"/>
              <w:tblW w:type="auto" w:w="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firstRow="1" w:lastRow="0" w:firstColumn="0" w:lastColumn="0" w:noHBand="0" w:noVBand="0" w:val="0020"/>
            </w:tblPr>
            <w:tblGrid>
              <w:gridCol w:w="1980"/>
              <w:gridCol w:w="1980"/>
              <w:gridCol w:w="1980"/>
              <w:gridCol w:w="1980"/>
            </w:tblGrid>
            <w:tr>
              <w:trPr>
                <w:tblHeader w:val="on"/>
              </w:trPr>
              <w:tc>
                <w:tcPr/>
                <w:p>
                  <w:pPr>
                    <w:pStyle w:val="Compact"/>
                    <w:jc w:val="both"/>
                    <w:spacing w:line="360" w:lineRule="auto"/>
                  </w:pPr>
                  <w:r>
                    <w:rPr>
                      <w:bCs/>
                      <w:b/>
                    </w:rPr>
                    <w:t xml:space="preserve">Método</w:t>
                  </w:r>
                </w:p>
              </w:tc>
              <w:tc>
                <w:tcPr/>
                <w:p>
                  <w:pPr>
                    <w:pStyle w:val="Compact"/>
                    <w:jc w:val="both"/>
                    <w:spacing w:line="360" w:lineRule="auto"/>
                  </w:pPr>
                  <w:r>
                    <w:rPr>
                      <w:bCs/>
                      <w:b/>
                    </w:rPr>
                    <w:t xml:space="preserve">Suma de rangos</w:t>
                  </w:r>
                </w:p>
              </w:tc>
              <w:tc>
                <w:tcPr/>
                <w:p>
                  <w:pPr>
                    <w:pStyle w:val="Compact"/>
                    <w:jc w:val="both"/>
                    <w:spacing w:line="360" w:lineRule="auto"/>
                  </w:pPr>
                  <w:r>
                    <w:rPr>
                      <w:bCs/>
                      <w:b/>
                    </w:rPr>
                    <w:t xml:space="preserve">Rango medio</w:t>
                  </w:r>
                </w:p>
              </w:tc>
              <w:tc>
                <w:tcPr/>
                <w:p>
                  <w:pPr>
                    <w:pStyle w:val="Compact"/>
                    <w:jc w:val="both"/>
                    <w:spacing w:line="360" w:lineRule="auto"/>
                  </w:pPr>
                  <w:r>
                    <w:rPr>
                      <w:bCs/>
                      <w:b/>
                    </w:rPr>
                    <w:t xml:space="preserve">Posición</w:t>
                  </w:r>
                </w:p>
              </w:tc>
            </w:tr>
            <w:tr>
              <w:tc>
                <w:tcPr/>
                <w:p>
                  <w:pPr>
                    <w:pStyle w:val="Compact"/>
                    <w:jc w:val="both"/>
                    <w:spacing w:line="360" w:lineRule="auto"/>
                  </w:pPr>
                  <w:r>
                    <w:t xml:space="preserve">SHAP</w:t>
                  </w:r>
                </w:p>
              </w:tc>
              <w:tc>
                <w:tcPr/>
                <w:p>
                  <w:pPr>
                    <w:pStyle w:val="Compact"/>
                    <w:jc w:val="both"/>
                    <w:spacing w:line="360" w:lineRule="auto"/>
                  </w:pPr>
                  <w:r>
                    <w:t xml:space="preserve">15</w:t>
                  </w:r>
                </w:p>
              </w:tc>
              <w:tc>
                <w:tcPr/>
                <w:p>
                  <w:pPr>
                    <w:pStyle w:val="Compact"/>
                    <w:jc w:val="both"/>
                    <w:spacing w:line="360" w:lineRule="auto"/>
                  </w:pPr>
                  <w:r>
                    <w:t xml:space="preserve">1.000</w:t>
                  </w:r>
                </w:p>
              </w:tc>
              <w:tc>
                <w:tcPr/>
                <w:p>
                  <w:pPr>
                    <w:pStyle w:val="Compact"/>
                    <w:jc w:val="both"/>
                    <w:spacing w:line="360" w:lineRule="auto"/>
                  </w:pPr>
                  <w:r>
                    <w:t xml:space="preserve">1.ª</w:t>
                  </w:r>
                </w:p>
              </w:tc>
            </w:tr>
            <w:tr>
              <w:tc>
                <w:tcPr/>
                <w:p>
                  <w:pPr>
                    <w:pStyle w:val="Compact"/>
                    <w:jc w:val="both"/>
                    <w:spacing w:line="360" w:lineRule="auto"/>
                  </w:pPr>
                  <w:r>
                    <w:t xml:space="preserve">LIME</w:t>
                  </w:r>
                </w:p>
              </w:tc>
              <w:tc>
                <w:tcPr/>
                <w:p>
                  <w:pPr>
                    <w:pStyle w:val="Compact"/>
                    <w:jc w:val="both"/>
                    <w:spacing w:line="360" w:lineRule="auto"/>
                  </w:pPr>
                  <w:r>
                    <w:t xml:space="preserve">30</w:t>
                  </w:r>
                </w:p>
              </w:tc>
              <w:tc>
                <w:tcPr/>
                <w:p>
                  <w:pPr>
                    <w:pStyle w:val="Compact"/>
                    <w:jc w:val="both"/>
                    <w:spacing w:line="360" w:lineRule="auto"/>
                  </w:pPr>
                  <w:r>
                    <w:t xml:space="preserve">2.000</w:t>
                  </w:r>
                </w:p>
              </w:tc>
              <w:tc>
                <w:tcPr/>
                <w:p>
                  <w:pPr>
                    <w:pStyle w:val="Compact"/>
                    <w:jc w:val="both"/>
                    <w:spacing w:line="360" w:lineRule="auto"/>
                  </w:pPr>
                  <w:r>
                    <w:t xml:space="preserve">2.ª</w:t>
                  </w:r>
                </w:p>
              </w:tc>
            </w:tr>
            <w:tr>
              <w:tc>
                <w:tcPr/>
                <w:p>
                  <w:pPr>
                    <w:pStyle w:val="Compact"/>
                    <w:jc w:val="both"/>
                    <w:spacing w:line="360" w:lineRule="auto"/>
                  </w:pPr>
                  <w:r>
                    <w:t xml:space="preserve">Anchors</w:t>
                  </w:r>
                </w:p>
              </w:tc>
              <w:tc>
                <w:tcPr/>
                <w:p>
                  <w:pPr>
                    <w:pStyle w:val="Compact"/>
                    <w:jc w:val="both"/>
                    <w:spacing w:line="360" w:lineRule="auto"/>
                  </w:pPr>
                  <w:r>
                    <w:t xml:space="preserve">48</w:t>
                  </w:r>
                </w:p>
              </w:tc>
              <w:tc>
                <w:tcPr/>
                <w:p>
                  <w:pPr>
                    <w:pStyle w:val="Compact"/>
                    <w:jc w:val="both"/>
                    <w:spacing w:line="360" w:lineRule="auto"/>
                  </w:pPr>
                  <w:r>
                    <w:t xml:space="preserve">3.200</w:t>
                  </w:r>
                </w:p>
              </w:tc>
              <w:tc>
                <w:tcPr/>
                <w:p>
                  <w:pPr>
                    <w:pStyle w:val="Compact"/>
                    <w:jc w:val="both"/>
                    <w:spacing w:line="360" w:lineRule="auto"/>
                  </w:pPr>
                  <w:r>
                    <w:t xml:space="preserve">3.ª</w:t>
                  </w:r>
                </w:p>
              </w:tc>
            </w:tr>
            <w:tr>
              <w:tc>
                <w:tcPr/>
                <w:p>
                  <w:pPr>
                    <w:pStyle w:val="Compact"/>
                    <w:jc w:val="both"/>
                    <w:spacing w:line="360" w:lineRule="auto"/>
                  </w:pPr>
                  <w:r>
                    <w:t xml:space="preserve">DiCE</w:t>
                  </w:r>
                </w:p>
              </w:tc>
              <w:tc>
                <w:tcPr/>
                <w:p>
                  <w:pPr>
                    <w:pStyle w:val="Compact"/>
                    <w:jc w:val="both"/>
                    <w:spacing w:line="360" w:lineRule="auto"/>
                  </w:pPr>
                  <w:r>
                    <w:t xml:space="preserve">57</w:t>
                  </w:r>
                </w:p>
              </w:tc>
              <w:tc>
                <w:tcPr/>
                <w:p>
                  <w:pPr>
                    <w:pStyle w:val="Compact"/>
                    <w:jc w:val="both"/>
                    <w:spacing w:line="360" w:lineRule="auto"/>
                  </w:pPr>
                  <w:r>
                    <w:t xml:space="preserve">3.800</w:t>
                  </w:r>
                </w:p>
              </w:tc>
              <w:tc>
                <w:tcPr/>
                <w:p>
                  <w:pPr>
                    <w:pStyle w:val="Compact"/>
                    <w:jc w:val="both"/>
                    <w:spacing w:line="360" w:lineRule="auto"/>
                  </w:pPr>
                  <w:r>
                    <w:t xml:space="preserve">4.ª</w:t>
                  </w:r>
                </w:p>
              </w:tc>
            </w:tr>
          </w:tbl>
          <w:bookmarkEnd w:id="175"/>
          <w:p>
            <w:pPr>
              <w:spacing w:line="360" w:lineRule="auto"/>
              <w:jc w:val="both"/>
            </w:pPr>
          </w:p>
        </w:tc>
      </w:tr>
    </w:tbl>
    <w:p>
      <w:pPr>
        <w:pStyle w:val="Textoindependiente"/>
        <w:spacing w:line="360" w:lineRule="auto"/>
        <w:jc w:val="both"/>
      </w:pPr>
      <w:r>
        <w:t xml:space="preserve">El hecho de que SHAP obtenga rango 1 en la totalidad de los 15 bloques</w:t>
      </w:r>
      <w:r>
        <w:t xml:space="preserve"> </w:t>
      </w:r>
      <w:r>
        <w:t xml:space="preserve">(suma = 15, media = 1.000) implica que en ningún contexto de bloque</w:t>
      </w:r>
      <w:r>
        <w:t xml:space="preserve"> </w:t>
      </w:r>
      <ns5:oMath>
        <ns5:r>
          <ns5:rPr>
            <ns5:sty ns5:val="p"/>
          </ns5:rPr>
          <ns5:t>(</ns5:t>
        </ns5:r>
        <ns5:r>
          <ns5:t>g</ns5:t>
        </ns5:r>
        <ns5:r>
          <ns5:rPr>
            <ns5:sty ns5:val="p"/>
          </ns5:rPr>
          <ns5:t>,</ns5:t>
        </ns5:r>
        <ns5:r>
          <ns5:t>n</ns5:t>
        </ns5:r>
        <ns5:r>
          <ns5:rPr>
            <ns5:sty ns5:val="p"/>
          </ns5:rPr>
          <ns5:t>)</ns5:t>
        </ns5:r>
      </ns5:oMath>
      <w:r>
        <w:t xml:space="preserve"> </w:t>
      </w:r>
      <w:r>
        <w:t xml:space="preserve">ningún otro método superó a SHAP en fidelidad. Las medias brutas (promedio</w:t>
      </w:r>
      <w:r>
        <w:t xml:space="preserve"> </w:t>
      </w:r>
      <ns5:oMath>
        <ns5:r>
          <ns5:rPr>
            <ns5:sty ns5:val="p"/>
          </ns5:rPr>
          <ns5:t>±</ns5:t>
        </ns5:r>
      </ns5:oMath>
      <w:r>
        <w:t xml:space="preserve"> </w:t>
      </w:r>
      <w:r>
        <w:t xml:space="preserve">desviación estándar entre bloques) son: SHAP = 0.808</w:t>
      </w:r>
      <w:r>
        <w:t xml:space="preserve"> </w:t>
      </w:r>
      <ns5:oMath>
        <ns5:r>
          <ns5:rPr>
            <ns5:sty ns5:val="p"/>
          </ns5:rPr>
          <ns5:t>±</ns5:t>
        </ns5:r>
      </ns5:oMath>
      <w:r>
        <w:t xml:space="preserve"> </w:t>
      </w:r>
      <w:r>
        <w:t xml:space="preserve">0.093, LIME = 0.560</w:t>
      </w:r>
      <w:r>
        <w:t xml:space="preserve"> </w:t>
      </w:r>
      <ns5:oMath>
        <ns5:r>
          <ns5:rPr>
            <ns5:sty ns5:val="p"/>
          </ns5:rPr>
          <ns5:t>±</ns5:t>
        </ns5:r>
      </ns5:oMath>
      <w:r>
        <w:t xml:space="preserve"> </w:t>
      </w:r>
      <w:r>
        <w:t xml:space="preserve">0.068, Anchors = 0.389</w:t>
      </w:r>
      <w:r>
        <w:t xml:space="preserve"> </w:t>
      </w:r>
      <ns5:oMath>
        <ns5:r>
          <ns5:rPr>
            <ns5:sty ns5:val="p"/>
          </ns5:rPr>
          <ns5:t>±</ns5:t>
        </ns5:r>
      </ns5:oMath>
      <w:r>
        <w:t xml:space="preserve"> </w:t>
      </w:r>
      <w:r>
        <w:t xml:space="preserve">0.100, DiCE = 0.170</w:t>
      </w:r>
      <w:r>
        <w:t xml:space="preserve"> </w:t>
      </w:r>
      <ns5:oMath>
        <ns5:r>
          <ns5:rPr>
            <ns5:sty ns5:val="p"/>
          </ns5:rPr>
          <ns5:t>±</ns5:t>
        </ns5:r>
      </ns5:oMath>
      <w:r>
        <w:t xml:space="preserve"> </w:t>
      </w:r>
      <w:r>
        <w:t xml:space="preserve">0.103.</w:t>
      </w:r>
    </w:p>
    <w:p>
      <w:pPr>
        <w:pStyle w:val="Textoindependiente"/>
        <w:spacing w:line="360" w:lineRule="auto"/>
        <w:jc w:val="both"/>
      </w:pPr>
      <w:r>
        <w:t xml:space="preserve">La escala de fidelidad es acotada en</w:t>
      </w:r>
      <w:r>
        <w:t xml:space="preserve"> </w:t>
      </w:r>
      <ns5:oMath>
        <ns5:r>
          <ns5:rPr>
            <ns5:sty ns5:val="p"/>
          </ns5:rPr>
          <ns5:t>[</ns5:t>
        </ns5:r>
        <ns5:r>
          <ns5:t>0</ns5:t>
        </ns5:r>
        <ns5:r>
          <ns5:rPr>
            <ns5:sty ns5:val="p"/>
          </ns5:rPr>
          <ns5:t>,</ns5:t>
        </ns5:r>
        <ns5:r>
          <ns5:t>1</ns5:t>
        </ns5:r>
        <ns5:r>
          <ns5:rPr>
            <ns5:sty ns5:val="p"/>
          </ns5:rPr>
          <ns5:t>]</ns5:t>
        </ns5:r>
      </ns5:oMath>
      <w:r>
        <w:t xml:space="preserve"> </w:t>
      </w:r>
      <w:r>
        <w:t xml:space="preserve">(correlación entre importancias</w:t>
      </w:r>
      <w:r>
        <w:t xml:space="preserve"> </w:t>
      </w:r>
      <w:r>
        <w:t xml:space="preserve">y efecto de enmascaramiento): valores superiores a 0.80 señalan explicaciones</w:t>
      </w:r>
      <w:r>
        <w:t xml:space="preserve"> </w:t>
      </w:r>
      <w:r>
        <w:t xml:space="preserve">que capturan fielmente el comportamiento local del modelo; valores inferiores</w:t>
      </w:r>
      <w:r>
        <w:t xml:space="preserve"> </w:t>
      </w:r>
      <w:r>
        <w:t xml:space="preserve">a 0.40 indican explicaciones poco representativas. Bajo estos criterios, SHAP</w:t>
      </w:r>
      <w:r>
        <w:t xml:space="preserve"> </w:t>
      </w:r>
      <w:r>
        <w:t xml:space="preserve">opera consistentemente en zona alta de fidelidad, LIME en zona media, y tanto</w:t>
      </w:r>
      <w:r>
        <w:t xml:space="preserve"> </w:t>
      </w:r>
      <w:r>
        <w:t xml:space="preserve">Anchors como DiCE en zona baja-media. La fidelidad baja de DiCE no es</w:t>
      </w:r>
      <w:r>
        <w:t xml:space="preserve"> </w:t>
      </w:r>
      <w:r>
        <w:t xml:space="preserve">sorprendente: como método contrafactual, DiCE no optimiza la correlación de</w:t>
      </w:r>
      <w:r>
        <w:t xml:space="preserve"> </w:t>
      </w:r>
      <w:r>
        <w:t xml:space="preserve">importancias, sino la generación de ejemplos alternativos, de modo que la</w:t>
      </w:r>
      <w:r>
        <w:t xml:space="preserve"> </w:t>
      </w:r>
      <w:r>
        <w:t xml:space="preserve">métrica de fidelidad captura una dimensión de calidad que no es el objetivo de</w:t>
      </w:r>
      <w:r>
        <w:t xml:space="preserve"> </w:t>
      </w:r>
      <w:r>
        <w:t xml:space="preserve">diseño primario de este método.</w:t>
      </w:r>
    </w:p>
    <w:p>
      <w:pPr>
        <w:pStyle w:val="Textoindependiente"/>
        <w:spacing w:line="360" w:lineRule="auto"/>
        <w:jc w:val="both"/>
      </w:pPr>
      <w:r>
        <w:t xml:space="preserve">Estas magnitudes describen el comportamiento bajo el operador declarado:</w:t>
      </w:r>
      <w:r>
        <w:t xml:space="preserve"> </w:t>
      </w:r>
      <w:r>
        <w:t xml:space="preserve">reemplazo independiente por la media de entrenamiento en el espacio</w:t>
      </w:r>
      <w:r>
        <w:t xml:space="preserve"> </w:t>
      </w:r>
      <w:r>
        <w:t xml:space="preserve">transformado. Aplicar el mismo operador mejora la comparabilidad interna, pero</w:t>
      </w:r>
      <w:r>
        <w:t xml:space="preserve"> </w:t>
      </w:r>
      <w:r>
        <w:t xml:space="preserve">no preserva la distribución conjunta ni elimina el riesgo de observaciones OOD</w:t>
      </w:r>
      <w:r>
        <w:t xml:space="preserve"> </w:t>
      </w:r>
      <w:r>
        <w:t xml:space="preserve">(Hooker et al. 2019; Rong et al. 2022)</w:t>
      </w:r>
      <w:r>
        <w:t xml:space="preserve">. Por ello, el ordenamiento se acota</w:t>
      </w:r>
      <w:r>
        <w:t xml:space="preserve"> </w:t>
      </w:r>
      <w:r>
        <w:t xml:space="preserve">a esta operacionalización y no constituye por sí solo una prueba irrestricta de</w:t>
      </w:r>
      <w:r>
        <w:t xml:space="preserve"> </w:t>
      </w:r>
      <w:r>
        <w:t xml:space="preserve">corrección de las atribuciones.</w:t>
      </w:r>
    </w:p>
    <w:p>
      <w:pPr>
        <w:pStyle w:val="Textoindependiente"/>
        <w:spacing w:line="360" w:lineRule="auto"/>
        <w:jc w:val="both"/>
      </w:pPr>
      <w:r>
        <w:rPr>
          <w:b/>
          <w:bCs/>
        </w:rPr>
        <w:t xml:space="preserve">Localización post-hoc (Nemenyi):</w:t>
      </w:r>
      <w:r>
        <w:t xml:space="preserve"> </w:t>
      </w:r>
      <w:r>
        <w:t xml:space="preserve">La diferencia crítica para comparaciones</w:t>
      </w:r>
      <w:r>
        <w:t xml:space="preserve"> </w:t>
      </w:r>
      <w:r>
        <w:t xml:space="preserve">pareadas con</w:t>
      </w:r>
      <w:r>
        <w:t xml:space="preserve"> </w:t>
      </w:r>
      <ns5:oMath>
        <ns5:r>
          <ns5:t>α</ns5:t>
        </ns5:r>
        <ns5:r>
          <ns5:rPr>
            <ns5:sty ns5:val="p"/>
          </ns5:rPr>
          <ns5:t>=</ns5:t>
        </ns5:r>
        <ns5:r>
          <ns5:t>0.05</ns5:t>
        </ns5:r>
      </ns5:oMath>
      <w:r>
        <w:t xml:space="preserve">,</w:t>
      </w:r>
      <w:r>
        <w:t xml:space="preserve"> </w:t>
      </w:r>
      <ns5:oMath>
        <ns5:r>
          <ns5:t>k</ns5:t>
        </ns5:r>
        <ns5:r>
          <ns5:rPr>
            <ns5:sty ns5:val="p"/>
          </ns5:rPr>
          <ns5:t>=</ns5:t>
        </ns5:r>
        <ns5:r>
          <ns5:t>4</ns5:t>
        </ns5:r>
      </ns5:oMath>
      <w:r>
        <w:t xml:space="preserve"> </w:t>
      </w:r>
      <w:r>
        <w:t xml:space="preserve">y</w:t>
      </w:r>
      <w:r>
        <w:t xml:space="preserve"> </w:t>
      </w:r>
      <ns5:oMath>
        <ns5:r>
          <ns5:t>n</ns5:t>
        </ns5:r>
        <ns5:r>
          <ns5:rPr>
            <ns5:sty ns5:val="p"/>
          </ns5:rPr>
          <ns5:t>=</ns5:t>
        </ns5:r>
        <ns5:r>
          <ns5:t>15</ns5:t>
        </ns5:r>
      </ns5:oMath>
      <w:r>
        <w:t xml:space="preserve">, definida en la</w:t>
      </w:r>
      <w:r>
        <w:t xml:space="preserve"> </w:t>
      </w:r>
      <w:hyperlink w:anchor="eq-diferencia-critica">
        <w:r>
          <w:rPr>
            <w:rStyle w:val="Hipervnculo"/>
          </w:rPr>
          <w:t xml:space="preserve">Ecuación 3.15</w:t>
        </w:r>
      </w:hyperlink>
      <w:r>
        <w:t xml:space="preserve">, se calcula en la</w:t>
      </w:r>
      <w:r>
        <w:t xml:space="preserve"> </w:t>
      </w:r>
      <w:hyperlink w:anchor="eq-diferencia-critica-calculo">
        <w:r>
          <w:rPr>
            <w:rStyle w:val="Hipervnculo"/>
          </w:rPr>
          <w:t xml:space="preserve">Ecuación 4.2</w:t>
        </w:r>
      </w:hyperlink>
      <w:r>
        <w:t xml:space="preserve">:</w:t>
      </w:r>
    </w:p>
    <w:p>
      <w:pPr>
        <w:pStyle w:val="Textoindependiente"/>
        <w:spacing w:line="360" w:lineRule="auto"/>
        <w:jc w:val="both"/>
      </w:pPr>
      <w:bookmarkStart w:id="176" w:name="eq-diferencia-critica-calculo"/>
      <ns5:oMathPara>
        <ns5:oMathParaPr>
          <ns5:jc ns5:val="center"/>
        </ns5:oMathParaPr>
        <ns5:oMath>
          <ns5:r>
            <ns5:t>C</ns5:t>
          </ns5:r>
          <ns5:r>
            <ns5:t>D</ns5:t>
          </ns5:r>
          <ns5:r>
            <ns5:rPr>
              <ns5:sty ns5:val="p"/>
            </ns5:rPr>
            <ns5:t>=</ns5:t>
          </ns5:r>
          <ns5:sSub>
            <ns5:e>
              <ns5:r>
                <ns5:t>q</ns5:t>
              </ns5:r>
            </ns5:e>
            <ns5:sub>
              <ns5:r>
                <ns5:t>α</ns5:t>
              </ns5:r>
            </ns5:sub>
          </ns5:sSub>
          <ns5:rad>
            <ns5:radPr>
              <ns5:degHide ns5:val="on"/>
            </ns5:radPr>
            <ns5:deg/>
            <ns5:e>
              <ns5:f>
                <ns5:fPr>
                  <ns5:type ns5:val="bar"/>
                </ns5:fPr>
                <ns5:num>
                  <ns5:r>
                    <ns5:t>k</ns5:t>
                  </ns5:r>
                  <ns5:r>
                    <ns5:rPr>
                      <ns5:sty ns5:val="p"/>
                    </ns5:rPr>
                    <ns5:t>(</ns5:t>
                  </ns5:r>
                  <ns5:r>
                    <ns5:t>k</ns5:t>
                  </ns5:r>
                  <ns5:r>
                    <ns5:rPr>
                      <ns5:sty ns5:val="p"/>
                    </ns5:rPr>
                    <ns5:t>+</ns5:t>
                  </ns5:r>
                  <ns5:r>
                    <ns5:t>1</ns5:t>
                  </ns5:r>
                  <ns5:r>
                    <ns5:rPr>
                      <ns5:sty ns5:val="p"/>
                    </ns5:rPr>
                    <ns5:t>)</ns5:t>
                  </ns5:r>
                </ns5:num>
                <ns5:den>
                  <ns5:r>
                    <ns5:t>6</ns5:t>
                  </ns5:r>
                  <ns5:r>
                    <ns5:t>n</ns5:t>
                  </ns5:r>
                </ns5:den>
              </ns5:f>
            </ns5:e>
          </ns5:rad>
          <ns5:r>
            <ns5:rPr>
              <ns5:sty ns5:val="p"/>
            </ns5:rPr>
            <ns5:t>=</ns5:t>
          </ns5:r>
          <ns5:r>
            <ns5:t>2.569</ns5:t>
          </ns5:r>
          <ns5:r>
            <ns5:rPr>
              <ns5:sty ns5:val="p"/>
            </ns5:rPr>
            <ns5:t>×</ns5:t>
          </ns5:r>
          <ns5:rad>
            <ns5:radPr>
              <ns5:degHide ns5:val="on"/>
            </ns5:radPr>
            <ns5:deg/>
            <ns5:e>
              <ns5:f>
                <ns5:fPr>
                  <ns5:type ns5:val="bar"/>
                </ns5:fPr>
                <ns5:num>
                  <ns5:r>
                    <ns5:t>4</ns5:t>
                  </ns5:r>
                  <ns5:r>
                    <ns5:rPr>
                      <ns5:sty ns5:val="p"/>
                    </ns5:rPr>
                    <ns5:t>×</ns5:t>
                  </ns5:r>
                  <ns5:r>
                    <ns5:t>5</ns5:t>
                  </ns5:r>
                </ns5:num>
                <ns5:den>
                  <ns5:r>
                    <ns5:t>6</ns5:t>
                  </ns5:r>
                  <ns5:r>
                    <ns5:rPr>
                      <ns5:sty ns5:val="p"/>
                    </ns5:rPr>
                    <ns5:t>×</ns5:t>
                  </ns5:r>
                  <ns5:r>
                    <ns5:t>15</ns5:t>
                  </ns5:r>
                </ns5:den>
              </ns5:f>
            </ns5:e>
          </ns5:rad>
          <ns5:r>
            <ns5:rPr>
              <ns5:sty ns5:val="p"/>
            </ns5:rPr>
            <ns5:t>=</ns5:t>
          </ns5:r>
          <ns5:r>
            <ns5:t>2.569</ns5:t>
          </ns5:r>
          <ns5:r>
            <ns5:rPr>
              <ns5:sty ns5:val="p"/>
            </ns5:rPr>
            <ns5:t>×</ns5:t>
          </ns5:r>
          <ns5:r>
            <ns5:t>0.4714</ns5:t>
          </ns5:r>
          <ns5:r>
            <ns5:rPr>
              <ns5:sty ns5:val="p"/>
            </ns5:rPr>
            <ns5:t>=</ns5:t>
          </ns5:r>
          <ns5:r>
            <ns5:t>1.211</ns5:t>
          </ns5:r>
          <ns5:r>
            <ns5:t>  </ns5:t>
          </ns5:r>
          <ns5:r>
            <ns5:rPr>
              <ns5:sty ns5:val="p"/>
            </ns5:rPr>
            <ns5:t>(</ns5:t>
          </ns5:r>
          <ns5:r>
            <ns5:t>4.2</ns5:t>
          </ns5:r>
          <ns5:r>
            <ns5:rPr>
              <ns5:sty ns5:val="p"/>
            </ns5:rPr>
            <ns5:t>)</ns5:t>
          </ns5:r>
        </ns5:oMath>
      </ns5:oMathPara>
      <w:bookmarkEnd w:id="176"/>
    </w:p>
    <w:p>
      <w:pPr>
        <w:pStyle w:val="FirstParagraph"/>
        <w:spacing w:line="360" w:lineRule="auto"/>
        <w:jc w:val="both"/>
      </w:pPr>
      <w:r>
        <w:t xml:space="preserve">Donde</w:t>
      </w:r>
      <w:r>
        <w:t xml:space="preserve"> </w:t>
      </w:r>
      <ns5:oMath>
        <ns5:sSub>
          <ns5:e>
            <ns5:r>
              <ns5:t>q</ns5:t>
            </ns5:r>
          </ns5:e>
          <ns5:sub>
            <ns5:r>
              <ns5:t>α</ns5:t>
            </ns5:r>
          </ns5:sub>
        </ns5:sSub>
        <ns5:r>
          <ns5:rPr>
            <ns5:sty ns5:val="p"/>
          </ns5:rPr>
          <ns5:t>=</ns5:t>
        </ns5:r>
        <ns5:r>
          <ns5:t>2.569</ns5:t>
        </ns5:r>
      </ns5:oMath>
      <w:r>
        <w:t xml:space="preserve"> </w:t>
      </w:r>
      <w:r>
        <w:t xml:space="preserve">es el valor crítico de la distribución de Nemenyi para</w:t>
      </w:r>
      <w:r>
        <w:t xml:space="preserve"> </w:t>
      </w:r>
      <ns5:oMath>
        <ns5:r>
          <ns5:t>k</ns5:t>
        </ns5:r>
        <ns5:r>
          <ns5:rPr>
            <ns5:sty ns5:val="p"/>
          </ns5:rPr>
          <ns5:t>=</ns5:t>
        </ns5:r>
        <ns5:r>
          <ns5:t>4</ns5:t>
        </ns5:r>
      </ns5:oMath>
      <w:r>
        <w:t xml:space="preserve"> </w:t>
      </w:r>
      <w:r>
        <w:t xml:space="preserve">con</w:t>
      </w:r>
      <w:r>
        <w:t xml:space="preserve"> </w:t>
      </w:r>
      <ns5:oMath>
        <ns5:r>
          <ns5:t>α</ns5:t>
        </ns5:r>
        <ns5:r>
          <ns5:rPr>
            <ns5:sty ns5:val="p"/>
          </ns5:rPr>
          <ns5:t>=</ns5:t>
        </ns5:r>
        <ns5:r>
          <ns5:t>0.05</ns5:t>
        </ns5:r>
      </ns5:oMath>
      <w:r>
        <w:t xml:space="preserve"> </w:t>
      </w:r>
      <w:r>
        <w:t xml:space="preserve">(Demšar 2006)</w:t>
      </w:r>
      <w:r>
        <w:t xml:space="preserve">. Tres de las seis diferencias en rangos</w:t>
      </w:r>
      <w:r>
        <w:t xml:space="preserve"> </w:t>
      </w:r>
      <w:r>
        <w:t xml:space="preserve">medios superan la diferencia crítica: SHAP–Anchors, SHAP–DiCE y LIME–DiCE:</w:t>
      </w:r>
    </w:p>
    <w:tbl>
      <w:tblPr>
        <w:tblStyle w:val="Table"/>
        <w:tblW w:type="pct" w:w="5000"/>
        <w:jc w:val="center"/>
        <w:tblLayout w:type="fixed"/>
        <w:tblLook w:firstRow="0" w:lastRow="0" w:firstColumn="0" w:lastColumn="0" w:noHBand="0" w:noVBand="0" w:val="0000"/>
      </w:tblPr>
      <w:tblGrid>
        <w:gridCol w:w="7920"/>
      </w:tblGrid>
      <w:tr>
        <w:tc>
          <w:tcPr/>
          <w:bookmarkStart w:id="177" w:name="tbl-nemenyi-fidelity"/>
          <w:p>
            <w:pPr>
              <w:pStyle w:val="ImageCaption"/>
              <w:spacing w:before="200" w:line="360" w:lineRule="auto"/>
              <w:jc w:val="center"/>
            </w:pPr>
            <w:r>
              <w:t xml:space="preserve">Tabla 4.3: Comparaciones post-hoc de Nemenyi para fidelidad.</w:t>
            </w:r>
          </w:p>
          <w:tbl>
            <w:tblPr>
              <w:tblStyle w:val="Table"/>
              <w:tblW w:type="auto" w:w="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firstRow="1" w:lastRow="0" w:firstColumn="0" w:lastColumn="0" w:noHBand="0" w:noVBand="0" w:val="0020"/>
            </w:tblPr>
            <w:tblGrid>
              <w:gridCol w:w="1980"/>
              <w:gridCol w:w="1980"/>
              <w:gridCol w:w="1980"/>
              <w:gridCol w:w="1980"/>
            </w:tblGrid>
            <w:tr>
              <w:trPr>
                <w:tblHeader w:val="on"/>
              </w:trPr>
              <w:tc>
                <w:tcPr/>
                <w:p>
                  <w:pPr>
                    <w:pStyle w:val="Compact"/>
                    <w:jc w:val="both"/>
                    <w:spacing w:line="360" w:lineRule="auto"/>
                  </w:pPr>
                  <w:r>
                    <w:rPr>
                      <w:bCs/>
                      <w:b/>
                    </w:rPr>
                    <w:t xml:space="preserve">Par</w:t>
                  </w:r>
                </w:p>
              </w:tc>
              <w:tc>
                <w:tcPr/>
                <w:p>
                  <w:pPr>
                    <w:pStyle w:val="Compact"/>
                    <w:jc w:val="both"/>
                    <w:spacing w:line="360" w:lineRule="auto"/>
                  </w:pPr>
                  <ns5:oMath>
                    <ns5:r>
                      <ns5:rPr>
                        <ns5:sty ns5:val="p"/>
                      </ns5:rPr>
                      <ns5:t>|</ns5:t>
                    </ns5:r>
                    <ns5:sSub>
                      <ns5:e>
                        <ns5:r>
                          <ns5:t>R</ns5:t>
                        </ns5:r>
                      </ns5:e>
                      <ns5:sub>
                        <ns5:r>
                          <ns5:t>i</ns5:t>
                        </ns5:r>
                      </ns5:sub>
                    </ns5:sSub>
                    <ns5:r>
                      <ns5:rPr>
                        <ns5:sty ns5:val="p"/>
                      </ns5:rPr>
                      <ns5:t>−</ns5:t>
                    </ns5:r>
                    <ns5:sSub>
                      <ns5:e>
                        <ns5:r>
                          <ns5:t>R</ns5:t>
                        </ns5:r>
                      </ns5:e>
                      <ns5:sub>
                        <ns5:r>
                          <ns5:t>j</ns5:t>
                        </ns5:r>
                      </ns5:sub>
                    </ns5:sSub>
                    <ns5:r>
                      <ns5:rPr>
                        <ns5:sty ns5:val="p"/>
                      </ns5:rPr>
                      <ns5:t>|</ns5:t>
                    </ns5:r>
                  </ns5:oMath>
                  <w:r>
                    <w:rPr>
                      <w:bCs/>
                      <w:b/>
                    </w:rPr>
                    <w:t xml:space="preserve">​</w:t>
                  </w:r>
                </w:p>
              </w:tc>
              <w:tc>
                <w:tcPr/>
                <w:p>
                  <w:pPr>
                    <w:pStyle w:val="Compact"/>
                    <w:jc w:val="both"/>
                    <w:spacing w:line="360" w:lineRule="auto"/>
                  </w:pPr>
                  <w:r>
                    <w:rPr>
                      <w:bCs/>
                      <w:b/>
                    </w:rPr>
                    <w:t xml:space="preserve">CD</w:t>
                  </w:r>
                </w:p>
              </w:tc>
              <w:tc>
                <w:tcPr/>
                <w:p>
                  <w:pPr>
                    <w:pStyle w:val="Compact"/>
                    <w:jc w:val="both"/>
                    <w:spacing w:line="360" w:lineRule="auto"/>
                  </w:pPr>
                  <w:r>
                    <w:rPr>
                      <w:bCs/>
                      <w:b/>
                    </w:rPr>
                    <w:t xml:space="preserve">Significativo</w:t>
                  </w:r>
                </w:p>
              </w:tc>
            </w:tr>
            <w:tr>
              <w:tc>
                <w:tcPr/>
                <w:p>
                  <w:pPr>
                    <w:pStyle w:val="Compact"/>
                    <w:jc w:val="both"/>
                    <w:spacing w:line="360" w:lineRule="auto"/>
                  </w:pPr>
                  <w:r>
                    <w:t xml:space="preserve">SHAP vs. LIME</w:t>
                  </w:r>
                </w:p>
              </w:tc>
              <w:tc>
                <w:tcPr/>
                <w:p>
                  <w:pPr>
                    <w:pStyle w:val="Compact"/>
                    <w:jc w:val="both"/>
                    <w:spacing w:line="360" w:lineRule="auto"/>
                  </w:pPr>
                  <w:r>
                    <w:t xml:space="preserve">1.000</w:t>
                  </w:r>
                </w:p>
              </w:tc>
              <w:tc>
                <w:tcPr/>
                <w:p>
                  <w:pPr>
                    <w:pStyle w:val="Compact"/>
                    <w:jc w:val="both"/>
                    <w:spacing w:line="360" w:lineRule="auto"/>
                  </w:pPr>
                  <w:r>
                    <w:t xml:space="preserve">1.211</w:t>
                  </w:r>
                </w:p>
              </w:tc>
              <w:tc>
                <w:tcPr/>
                <w:p>
                  <w:pPr>
                    <w:pStyle w:val="Compact"/>
                    <w:jc w:val="both"/>
                    <w:spacing w:line="360" w:lineRule="auto"/>
                  </w:pPr>
                  <w:r>
                    <w:t xml:space="preserve">No</w:t>
                  </w:r>
                </w:p>
              </w:tc>
            </w:tr>
            <w:tr>
              <w:tc>
                <w:tcPr/>
                <w:p>
                  <w:pPr>
                    <w:pStyle w:val="Compact"/>
                    <w:jc w:val="both"/>
                    <w:spacing w:line="360" w:lineRule="auto"/>
                  </w:pPr>
                  <w:r>
                    <w:t xml:space="preserve">SHAP vs. Anchors</w:t>
                  </w:r>
                </w:p>
              </w:tc>
              <w:tc>
                <w:tcPr/>
                <w:p>
                  <w:pPr>
                    <w:pStyle w:val="Compact"/>
                    <w:jc w:val="both"/>
                    <w:spacing w:line="360" w:lineRule="auto"/>
                  </w:pPr>
                  <w:r>
                    <w:t xml:space="preserve">2.200</w:t>
                  </w:r>
                </w:p>
              </w:tc>
              <w:tc>
                <w:tcPr/>
                <w:p>
                  <w:pPr>
                    <w:pStyle w:val="Compact"/>
                    <w:jc w:val="both"/>
                    <w:spacing w:line="360" w:lineRule="auto"/>
                  </w:pPr>
                  <w:r>
                    <w:t xml:space="preserve">1.211</w:t>
                  </w:r>
                </w:p>
              </w:tc>
              <w:tc>
                <w:tcPr/>
                <w:p>
                  <w:pPr>
                    <w:pStyle w:val="Compact"/>
                    <w:jc w:val="both"/>
                    <w:spacing w:line="360" w:lineRule="auto"/>
                  </w:pPr>
                  <w:r>
                    <w:t xml:space="preserve">Sí</w:t>
                  </w:r>
                </w:p>
              </w:tc>
            </w:tr>
            <w:tr>
              <w:tc>
                <w:tcPr/>
                <w:p>
                  <w:pPr>
                    <w:pStyle w:val="Compact"/>
                    <w:jc w:val="both"/>
                    <w:spacing w:line="360" w:lineRule="auto"/>
                  </w:pPr>
                  <w:r>
                    <w:t xml:space="preserve">SHAP vs. DiCE</w:t>
                  </w:r>
                </w:p>
              </w:tc>
              <w:tc>
                <w:tcPr/>
                <w:p>
                  <w:pPr>
                    <w:pStyle w:val="Compact"/>
                    <w:jc w:val="both"/>
                    <w:spacing w:line="360" w:lineRule="auto"/>
                  </w:pPr>
                  <w:r>
                    <w:t xml:space="preserve">2.800</w:t>
                  </w:r>
                </w:p>
              </w:tc>
              <w:tc>
                <w:tcPr/>
                <w:p>
                  <w:pPr>
                    <w:pStyle w:val="Compact"/>
                    <w:jc w:val="both"/>
                    <w:spacing w:line="360" w:lineRule="auto"/>
                  </w:pPr>
                  <w:r>
                    <w:t xml:space="preserve">1.211</w:t>
                  </w:r>
                </w:p>
              </w:tc>
              <w:tc>
                <w:tcPr/>
                <w:p>
                  <w:pPr>
                    <w:pStyle w:val="Compact"/>
                    <w:jc w:val="both"/>
                    <w:spacing w:line="360" w:lineRule="auto"/>
                  </w:pPr>
                  <w:r>
                    <w:t xml:space="preserve">Sí</w:t>
                  </w:r>
                </w:p>
              </w:tc>
            </w:tr>
            <w:tr>
              <w:tc>
                <w:tcPr/>
                <w:p>
                  <w:pPr>
                    <w:pStyle w:val="Compact"/>
                    <w:jc w:val="both"/>
                    <w:spacing w:line="360" w:lineRule="auto"/>
                  </w:pPr>
                  <w:r>
                    <w:t xml:space="preserve">LIME vs. Anchors</w:t>
                  </w:r>
                </w:p>
              </w:tc>
              <w:tc>
                <w:tcPr/>
                <w:p>
                  <w:pPr>
                    <w:pStyle w:val="Compact"/>
                    <w:jc w:val="both"/>
                    <w:spacing w:line="360" w:lineRule="auto"/>
                  </w:pPr>
                  <w:r>
                    <w:t xml:space="preserve">1.200</w:t>
                  </w:r>
                </w:p>
              </w:tc>
              <w:tc>
                <w:tcPr/>
                <w:p>
                  <w:pPr>
                    <w:pStyle w:val="Compact"/>
                    <w:jc w:val="both"/>
                    <w:spacing w:line="360" w:lineRule="auto"/>
                  </w:pPr>
                  <w:r>
                    <w:t xml:space="preserve">1.211</w:t>
                  </w:r>
                </w:p>
              </w:tc>
              <w:tc>
                <w:tcPr/>
                <w:p>
                  <w:pPr>
                    <w:pStyle w:val="Compact"/>
                    <w:jc w:val="both"/>
                    <w:spacing w:line="360" w:lineRule="auto"/>
                  </w:pPr>
                  <w:r>
                    <w:t xml:space="preserve">No</w:t>
                  </w:r>
                </w:p>
              </w:tc>
            </w:tr>
            <w:tr>
              <w:tc>
                <w:tcPr/>
                <w:p>
                  <w:pPr>
                    <w:pStyle w:val="Compact"/>
                    <w:jc w:val="both"/>
                    <w:spacing w:line="360" w:lineRule="auto"/>
                  </w:pPr>
                  <w:r>
                    <w:t xml:space="preserve">LIME vs. DiCE</w:t>
                  </w:r>
                </w:p>
              </w:tc>
              <w:tc>
                <w:tcPr/>
                <w:p>
                  <w:pPr>
                    <w:pStyle w:val="Compact"/>
                    <w:jc w:val="both"/>
                    <w:spacing w:line="360" w:lineRule="auto"/>
                  </w:pPr>
                  <w:r>
                    <w:t xml:space="preserve">1.800</w:t>
                  </w:r>
                </w:p>
              </w:tc>
              <w:tc>
                <w:tcPr/>
                <w:p>
                  <w:pPr>
                    <w:pStyle w:val="Compact"/>
                    <w:jc w:val="both"/>
                    <w:spacing w:line="360" w:lineRule="auto"/>
                  </w:pPr>
                  <w:r>
                    <w:t xml:space="preserve">1.211</w:t>
                  </w:r>
                </w:p>
              </w:tc>
              <w:tc>
                <w:tcPr/>
                <w:p>
                  <w:pPr>
                    <w:pStyle w:val="Compact"/>
                    <w:jc w:val="both"/>
                    <w:spacing w:line="360" w:lineRule="auto"/>
                  </w:pPr>
                  <w:r>
                    <w:t xml:space="preserve">Sí</w:t>
                  </w:r>
                </w:p>
              </w:tc>
            </w:tr>
            <w:tr>
              <w:tc>
                <w:tcPr/>
                <w:p>
                  <w:pPr>
                    <w:pStyle w:val="Compact"/>
                    <w:jc w:val="both"/>
                    <w:spacing w:line="360" w:lineRule="auto"/>
                  </w:pPr>
                  <w:r>
                    <w:t xml:space="preserve">Anchors vs. DiCE</w:t>
                  </w:r>
                </w:p>
              </w:tc>
              <w:tc>
                <w:tcPr/>
                <w:p>
                  <w:pPr>
                    <w:pStyle w:val="Compact"/>
                    <w:jc w:val="both"/>
                    <w:spacing w:line="360" w:lineRule="auto"/>
                  </w:pPr>
                  <w:r>
                    <w:t xml:space="preserve">0.600</w:t>
                  </w:r>
                </w:p>
              </w:tc>
              <w:tc>
                <w:tcPr/>
                <w:p>
                  <w:pPr>
                    <w:pStyle w:val="Compact"/>
                    <w:jc w:val="both"/>
                    <w:spacing w:line="360" w:lineRule="auto"/>
                  </w:pPr>
                  <w:r>
                    <w:t xml:space="preserve">1.211</w:t>
                  </w:r>
                </w:p>
              </w:tc>
              <w:tc>
                <w:tcPr/>
                <w:p>
                  <w:pPr>
                    <w:pStyle w:val="Compact"/>
                    <w:jc w:val="both"/>
                    <w:spacing w:line="360" w:lineRule="auto"/>
                  </w:pPr>
                  <w:r>
                    <w:t xml:space="preserve">No</w:t>
                  </w:r>
                </w:p>
              </w:tc>
            </w:tr>
          </w:tbl>
          <w:bookmarkEnd w:id="177"/>
          <w:p>
            <w:pPr>
              <w:spacing w:line="360" w:lineRule="auto"/>
              <w:jc w:val="both"/>
            </w:pPr>
          </w:p>
        </w:tc>
      </w:tr>
    </w:tbl>
    <w:p>
      <w:pPr>
        <w:pStyle w:val="Textoindependiente"/>
        <w:spacing w:line="360" w:lineRule="auto"/>
        <w:jc w:val="both"/>
      </w:pPr>
      <w:r>
        <w:t xml:space="preserve">La localización Nemenyi es conservadora cuando</w:t>
      </w:r>
      <w:r>
        <w:t xml:space="preserve"> </w:t>
      </w:r>
      <ns5:oMath>
        <ns5:r>
          <ns5:t>n</ns5:t>
        </ns5:r>
      </ns5:oMath>
      <w:r>
        <w:t xml:space="preserve"> </w:t>
      </w:r>
      <w:r>
        <w:t xml:space="preserve">es pequeño. En fidelidad,</w:t>
      </w:r>
      <w:r>
        <w:t xml:space="preserve"> </w:t>
      </w:r>
      <w:r>
        <w:t xml:space="preserve">se distinguen de forma robusta SHAP frente a Anchors/DiCE y LIME frente a DiCE;</w:t>
      </w:r>
      <w:r>
        <w:t xml:space="preserve"> </w:t>
      </w:r>
      <w:r>
        <w:t xml:space="preserve">las diferencias SHAP–LIME y LIME–Anchors no superan el umbral crítico bajo este</w:t>
      </w:r>
      <w:r>
        <w:t xml:space="preserve"> </w:t>
      </w:r>
      <w:r>
        <w:t xml:space="preserve">procedimiento. Este resultado no contradice la dominancia observada de SHAP</w:t>
      </w:r>
      <w:r>
        <w:t xml:space="preserve"> </w:t>
      </w:r>
      <w:r>
        <w:t xml:space="preserve">en rangos.</w:t>
      </w:r>
    </w:p>
    <w:p>
      <w:pPr>
        <w:pStyle w:val="Textoindependiente"/>
        <w:spacing w:line="360" w:lineRule="auto"/>
        <w:jc w:val="both"/>
      </w:pPr>
      <w:r>
        <w:rPr>
          <w:b/>
          <w:bCs/>
        </w:rPr>
        <w:t xml:space="preserve">Seguimiento dirigido SHAP–LIME.</w:t>
      </w:r>
      <w:r>
        <w:t xml:space="preserve"> </w:t>
      </w:r>
      <w:r>
        <w:t xml:space="preserve">Para evaluar esa diferencia con la misma</w:t>
      </w:r>
      <w:r>
        <w:t xml:space="preserve"> </w:t>
      </w:r>
      <w:r>
        <w:t xml:space="preserve">agregación que Friedman, se realizó un contraste bilateral de Wilcoxon sobre</w:t>
      </w:r>
      <w:r>
        <w:t xml:space="preserve"> </w:t>
      </w:r>
      <w:r>
        <w:t xml:space="preserve">los 15 bloques agregados</w:t>
      </w:r>
      <w:r>
        <w:t xml:space="preserve"> </w:t>
      </w:r>
      <ns5:oMath>
        <ns5:r>
          <ns5:rPr>
            <ns5:sty ns5:val="p"/>
          </ns5:rPr>
          <ns5:t>(</ns5:t>
        </ns5:r>
        <ns5:r>
          <ns5:t>g</ns5:t>
        </ns5:r>
        <ns5:r>
          <ns5:rPr>
            <ns5:sty ns5:val="p"/>
          </ns5:rPr>
          <ns5:t>,</ns5:t>
        </ns5:r>
        <ns5:r>
          <ns5:t>n</ns5:t>
        </ns5:r>
        <ns5:r>
          <ns5:rPr>
            <ns5:sty ns5:val="p"/>
          </ns5:rPr>
          <ns5:t>)</ns5:t>
        </ns5:r>
      </ns5:oMath>
      <w:r>
        <w:t xml:space="preserve">, cada uno construido como media de las cinco</w:t>
      </w:r>
      <w:r>
        <w:t xml:space="preserve"> </w:t>
      </w:r>
      <w:r>
        <w:t xml:space="preserve">semillas calificadas de cada método. SHAP superó a LIME en fidelidad en los 15</w:t>
      </w:r>
      <w:r>
        <w:t xml:space="preserve"> </w:t>
      </w:r>
      <w:r>
        <w:t xml:space="preserve">bloques: diferencia media por bloque de</w:t>
      </w:r>
      <w:r>
        <w:t xml:space="preserve"> </w:t>
      </w:r>
      <ns5:oMath>
        <ns5:r>
          <ns5:rPr>
            <ns5:sty ns5:val="p"/>
          </ns5:rPr>
          <ns5:t>+</ns5:t>
        </ns5:r>
        <ns5:r>
          <ns5:t>0.2479</ns5:t>
        </ns5:r>
      </ns5:oMath>
      <w:r>
        <w:t xml:space="preserve">, estadístico de rangos</w:t>
      </w:r>
      <w:r>
        <w:t xml:space="preserve"> </w:t>
      </w:r>
      <ns5:oMath>
        <ns5:r>
          <ns5:t>W</ns5:t>
        </ns5:r>
        <ns5:r>
          <ns5:rPr>
            <ns5:sty ns5:val="p"/>
          </ns5:rPr>
          <ns5:t>=</ns5:t>
        </ns5:r>
        <ns5:r>
          <ns5:t>0</ns5:t>
        </ns5:r>
      </ns5:oMath>
      <w:r>
        <w:t xml:space="preserve">,</w:t>
      </w:r>
      <w:r>
        <w:t xml:space="preserve"> </w:t>
      </w:r>
      <ns5:oMath>
        <ns5:sSub>
          <ns5:e>
            <ns5:r>
              <ns5:t>p</ns5:t>
            </ns5:r>
          </ns5:e>
          <ns5:sub>
            <ns5:r>
              <ns5:rPr>
                <ns5:sty ns5:val="p"/>
              </ns5:rPr>
              <ns5:t>r</ns5:t>
            </ns5:r>
            <ns5:r>
              <ns5:rPr>
                <ns5:sty ns5:val="p"/>
              </ns5:rPr>
              <ns5:t>a</ns5:t>
            </ns5:r>
            <ns5:r>
              <ns5:rPr>
                <ns5:sty ns5:val="p"/>
              </ns5:rPr>
              <ns5:t>w</ns5:t>
            </ns5:r>
          </ns5:sub>
        </ns5:sSub>
        <ns5:r>
          <ns5:rPr>
            <ns5:sty ns5:val="p"/>
          </ns5:rPr>
          <ns5:t>=</ns5:t>
        </ns5:r>
        <ns5:r>
          <ns5:t>6.10</ns5:t>
        </ns5:r>
        <ns5:r>
          <ns5:rPr>
            <ns5:sty ns5:val="p"/>
          </ns5:rPr>
          <ns5:t>×</ns5:t>
        </ns5:r>
        <ns5:sSup>
          <ns5:e>
            <ns5:r>
              <ns5:t>10</ns5:t>
            </ns5:r>
          </ns5:e>
          <ns5:sup>
            <ns5:r>
              <ns5:rPr>
                <ns5:sty ns5:val="p"/>
              </ns5:rPr>
              <ns5:t>−</ns5:t>
            </ns5:r>
            <ns5:r>
              <ns5:t>5</ns5:t>
            </ns5:r>
          </ns5:sup>
        </ns5:sSup>
      </ns5:oMath>
      <w:r>
        <w:t xml:space="preserve"> </w:t>
      </w:r>
      <w:r>
        <w:t xml:space="preserve">y</w:t>
      </w:r>
      <w:r>
        <w:t xml:space="preserve"> </w:t>
      </w:r>
      <ns5:oMath>
        <ns5:sSub>
          <ns5:e>
            <ns5:r>
              <ns5:t>p</ns5:t>
            </ns5:r>
          </ns5:e>
          <ns5:sub>
            <ns5:r>
              <ns5:rPr>
                <ns5:sty ns5:val="p"/>
              </ns5:rPr>
              <ns5:t>H</ns5:t>
            </ns5:r>
            <ns5:r>
              <ns5:rPr>
                <ns5:sty ns5:val="p"/>
              </ns5:rPr>
              <ns5:t>o</ns5:t>
            </ns5:r>
            <ns5:r>
              <ns5:rPr>
                <ns5:sty ns5:val="p"/>
              </ns5:rPr>
              <ns5:t>l</ns5:t>
            </ns5:r>
            <ns5:r>
              <ns5:rPr>
                <ns5:sty ns5:val="p"/>
              </ns5:rPr>
              <ns5:t>m</ns5:t>
            </ns5:r>
          </ns5:sub>
        </ns5:sSub>
        <ns5:r>
          <ns5:rPr>
            <ns5:sty ns5:val="p"/>
          </ns5:rPr>
          <ns5:t>=</ns5:t>
        </ns5:r>
        <ns5:r>
          <ns5:t>3.05</ns5:t>
        </ns5:r>
        <ns5:r>
          <ns5:rPr>
            <ns5:sty ns5:val="p"/>
          </ns5:rPr>
          <ns5:t>×</ns5:t>
        </ns5:r>
        <ns5:sSup>
          <ns5:e>
            <ns5:r>
              <ns5:t>10</ns5:t>
            </ns5:r>
          </ns5:e>
          <ns5:sup>
            <ns5:r>
              <ns5:rPr>
                <ns5:sty ns5:val="p"/>
              </ns5:rPr>
              <ns5:t>−</ns5:t>
            </ns5:r>
            <ns5:r>
              <ns5:t>4</ns5:t>
            </ns5:r>
          </ns5:sup>
        </ns5:sSup>
      </ns5:oMath>
      <w:r>
        <w:t xml:space="preserve"> </w:t>
      </w:r>
      <w:r>
        <w:t xml:space="preserve">dentro de la familia de cinco</w:t>
      </w:r>
      <w:r>
        <w:t xml:space="preserve"> </w:t>
      </w:r>
      <w:r>
        <w:t xml:space="preserve">métricas. Las diferencias tuvieron 15 positivas, 0 negativas y 0 empates; la</w:t>
      </w:r>
      <w:r>
        <w:t xml:space="preserve"> </w:t>
      </w:r>
      <w:r>
        <w:t xml:space="preserve">prueba exacta bilateral de signos (</w:t>
      </w:r>
      <ns5:oMath>
        <ns5:r>
          <ns5:t>p</ns5:t>
        </ns5:r>
        <ns5:r>
          <ns5:rPr>
            <ns5:sty ns5:val="p"/>
          </ns5:rPr>
          <ns5:t>=</ns5:t>
        </ns5:r>
        <ns5:r>
          <ns5:t>6.10</ns5:t>
        </ns5:r>
        <ns5:r>
          <ns5:rPr>
            <ns5:sty ns5:val="p"/>
          </ns5:rPr>
          <ns5:t>×</ns5:t>
        </ns5:r>
        <ns5:sSup>
          <ns5:e>
            <ns5:r>
              <ns5:t>10</ns5:t>
            </ns5:r>
          </ns5:e>
          <ns5:sup>
            <ns5:r>
              <ns5:rPr>
                <ns5:sty ns5:val="p"/>
              </ns5:rPr>
              <ns5:t>−</ns5:t>
            </ns5:r>
            <ns5:r>
              <ns5:t>5</ns5:t>
            </ns5:r>
          </ns5:sup>
        </ns5:sSup>
      </ns5:oMath>
      <w:r>
        <w:t xml:space="preserve">) confirma que la</w:t>
      </w:r>
      <w:r>
        <w:t xml:space="preserve"> </w:t>
      </w:r>
      <w:r>
        <w:t xml:space="preserve">dirección no depende de unos pocos bloques extremos.</w:t>
      </w:r>
    </w:p>
    <w:p>
      <w:pPr>
        <w:pStyle w:val="Textoindependiente"/>
        <w:spacing w:line="360" w:lineRule="auto"/>
        <w:jc w:val="both"/>
      </w:pPr>
      <w:r>
        <w:t xml:space="preserve">Este análisis es un seguimiento motivado por la revisión, no una prueba</w:t>
      </w:r>
      <w:r>
        <w:t xml:space="preserve"> </w:t>
      </w:r>
      <w:r>
        <w:t xml:space="preserve">preespecificada de H1. Nemenyi pregunta qué pares se separan bajo una</w:t>
      </w:r>
      <w:r>
        <w:t xml:space="preserve"> </w:t>
      </w:r>
      <w:r>
        <w:t xml:space="preserve">localización simultánea de cuatro métodos basada en rangos y, con solo 15</w:t>
      </w:r>
      <w:r>
        <w:t xml:space="preserve"> </w:t>
      </w:r>
      <w:r>
        <w:t xml:space="preserve">bloques, no separa SHAP de LIME. El seguimiento pregunta directamente si la</w:t>
      </w:r>
      <w:r>
        <w:t xml:space="preserve"> </w:t>
      </w:r>
      <w:r>
        <w:t xml:space="preserve">diferencia SHAP–LIME de magnitud es sistemática en esos mismos bloques y</w:t>
      </w:r>
      <w:r>
        <w:t xml:space="preserve"> </w:t>
      </w:r>
      <w:r>
        <w:t xml:space="preserve">controla multiplicidad sobre las cinco métricas. El Wilcoxon de H3 que se</w:t>
      </w:r>
      <w:r>
        <w:t xml:space="preserve"> </w:t>
      </w:r>
      <w:r>
        <w:t xml:space="preserve">presenta más adelante conserva otra unidad: 75 celdas</w:t>
      </w:r>
      <w:r>
        <w:t xml:space="preserve"> </w:t>
      </w:r>
      <ns5:oMath>
        <ns5:r>
          <ns5:rPr>
            <ns5:sty ns5:val="p"/>
          </ns5:rPr>
          <ns5:t>(</ns5:t>
        </ns5:r>
        <ns5:r>
          <ns5:t>g</ns5:t>
        </ns5:r>
        <ns5:r>
          <ns5:rPr>
            <ns5:sty ns5:val="p"/>
          </ns5:rPr>
          <ns5:t>,</ns5:t>
        </ns5:r>
        <ns5:r>
          <ns5:t>s</ns5:t>
        </ns5:r>
        <ns5:r>
          <ns5:rPr>
            <ns5:sty ns5:val="p"/>
          </ns5:rPr>
          <ns5:t>,</ns5:t>
        </ns5:r>
        <ns5:r>
          <ns5:t>n</ns5:t>
        </ns5:r>
        <ns5:r>
          <ns5:rPr>
            <ns5:sty ns5:val="p"/>
          </ns5:rPr>
          <ns5:t>)</ns5:t>
        </ns5:r>
      </ns5:oMath>
      <w:r>
        <w:t xml:space="preserve"> </w:t>
      </w:r>
      <w:r>
        <w:t xml:space="preserve">emparejadas.</w:t>
      </w:r>
    </w:p>
    <w:bookmarkEnd w:id="178"/>
    <w:bookmarkStart w:id="181" w:name="X117d71016dd8839ee57c9e60cc09d0400ac5f3d"/>
    <w:p>
      <w:pPr>
        <w:pStyle w:val="Ttulo3"/>
        <w:spacing w:line="360" w:lineRule="auto"/>
        <w:jc w:val="both"/>
      </w:pPr>
      <w:r>
        <w:t xml:space="preserve">4.2.2 </w:t>
      </w:r>
      <w:r>
        <w:t xml:space="preserve">H2: Diferencias entre métodos en estabilidad</w:t>
      </w:r>
    </w:p>
    <w:p>
      <w:pPr>
        <w:pStyle w:val="FirstParagraph"/>
        <w:spacing w:line="360" w:lineRule="auto"/>
        <w:jc w:val="both"/>
      </w:pPr>
      <w:r>
        <w:t xml:space="preserve">La prueba de Friedman para estabilidad arrojó</w:t>
      </w:r>
      <w:r>
        <w:t xml:space="preserve"> </w:t>
      </w:r>
      <ns5:oMath>
        <ns5:sSubSup>
          <ns5:e>
            <ns5:r>
              <ns5:t>χ</ns5:t>
            </ns5:r>
          </ns5:e>
          <ns5:sub>
            <ns5:r>
              <ns5:t>F</ns5:t>
            </ns5:r>
          </ns5:sub>
          <ns5:sup>
            <ns5:r>
              <ns5:t>2</ns5:t>
            </ns5:r>
          </ns5:sup>
        </ns5:sSubSup>
        <ns5:r>
          <ns5:rPr>
            <ns5:sty ns5:val="p"/>
          </ns5:rPr>
          <ns5:t>=</ns5:t>
        </ns5:r>
        <ns5:r>
          <ns5:t>40.68</ns5:t>
        </ns5:r>
      </ns5:oMath>
      <w:r>
        <w:t xml:space="preserve"> </w:t>
      </w:r>
      <w:r>
        <w:t xml:space="preserve">con</w:t>
      </w:r>
      <w:r>
        <w:t xml:space="preserve"> </w:t>
      </w:r>
      <ns5:oMath>
        <ns5:r>
          <ns5:t>n</ns5:t>
        </ns5:r>
        <ns5:r>
          <ns5:rPr>
            <ns5:sty ns5:val="p"/>
          </ns5:rPr>
          <ns5:t>=</ns5:t>
        </ns5:r>
        <ns5:r>
          <ns5:t>15</ns5:t>
        </ns5:r>
      </ns5:oMath>
      <w:r>
        <w:t xml:space="preserve"> </w:t>
      </w:r>
      <w:r>
        <w:t xml:space="preserve">bloques completos, lo que implica el margen de seguridad de la</w:t>
      </w:r>
      <w:r>
        <w:t xml:space="preserve"> </w:t>
      </w:r>
      <w:hyperlink w:anchor="eq-margen-estabilidad">
        <w:r>
          <w:rPr>
            <w:rStyle w:val="Hipervnculo"/>
          </w:rPr>
          <w:t xml:space="preserve">Ecuación 4.3</w:t>
        </w:r>
      </w:hyperlink>
      <w:r>
        <w:t xml:space="preserve">:</w:t>
      </w:r>
    </w:p>
    <w:p>
      <w:pPr>
        <w:pStyle w:val="Textoindependiente"/>
        <w:spacing w:line="360" w:lineRule="auto"/>
        <w:jc w:val="both"/>
      </w:pPr>
      <w:bookmarkStart w:id="179" w:name="eq-margen-estabilidad"/>
      <ns5:oMathPara>
        <ns5:oMathParaPr>
          <ns5:jc ns5:val="center"/>
        </ns5:oMathParaPr>
        <ns5:oMath>
          <ns5:r>
            <ns5:rPr>
              <ns5:nor/>
              <ns5:sty ns5:val="p"/>
            </ns5:rPr>
            <ns5:t>Margen</ns5:t>
          </ns5:r>
          <ns5:r>
            <ns5:rPr>
              <ns5:sty ns5:val="p"/>
            </ns5:rPr>
            <ns5:t>=</ns5:t>
          </ns5:r>
          <ns5:f>
            <ns5:fPr>
              <ns5:type ns5:val="bar"/>
            </ns5:fPr>
            <ns5:num>
              <ns5:r>
                <ns5:t>40.68</ns5:t>
              </ns5:r>
              <ns5:r>
                <ns5:rPr>
                  <ns5:sty ns5:val="p"/>
                </ns5:rPr>
                <ns5:t>−</ns5:t>
              </ns5:r>
              <ns5:r>
                <ns5:t>7.815</ns5:t>
              </ns5:r>
            </ns5:num>
            <ns5:den>
              <ns5:r>
                <ns5:t>7.815</ns5:t>
              </ns5:r>
            </ns5:den>
          </ns5:f>
          <ns5:r>
            <ns5:rPr>
              <ns5:sty ns5:val="p"/>
            </ns5:rPr>
            <ns5:t>×</ns5:t>
          </ns5:r>
          <ns5:r>
            <ns5:t>100</ns5:t>
          </ns5:r>
          <ns5:r>
            <ns5:rPr>
              <ns5:sty ns5:val="p"/>
            </ns5:rPr>
            <ns5:t>=</ns5:t>
          </ns5:r>
          <ns5:r>
            <ns5:t>421</ns5:t>
          </ns5:r>
          <ns5:r>
            <ns5:rPr>
              <ns5:sty ns5:val="p"/>
            </ns5:rPr>
            <ns5:t>%</ns5:t>
          </ns5:r>
          <ns5:r>
            <ns5:t>  </ns5:t>
          </ns5:r>
          <ns5:r>
            <ns5:rPr>
              <ns5:sty ns5:val="p"/>
            </ns5:rPr>
            <ns5:t>(</ns5:t>
          </ns5:r>
          <ns5:r>
            <ns5:t>4.3</ns5:t>
          </ns5:r>
          <ns5:r>
            <ns5:rPr>
              <ns5:sty ns5:val="p"/>
            </ns5:rPr>
            <ns5:t>)</ns5:t>
          </ns5:r>
        </ns5:oMath>
      </ns5:oMathPara>
      <w:bookmarkEnd w:id="179"/>
    </w:p>
    <w:p>
      <w:pPr>
        <w:pStyle w:val="FirstParagraph"/>
        <w:spacing w:line="360" w:lineRule="auto"/>
        <w:jc w:val="both"/>
      </w:pPr>
      <ns5:oMath>
        <ns5:sSub>
          <ns5:e>
            <ns5:r>
              <ns5:t>H</ns5:t>
            </ns5:r>
          </ns5:e>
          <ns5:sub>
            <ns5:r>
              <ns5:t>0</ns5:t>
            </ns5:r>
            <ns5:r>
              <ns5:rPr>
                <ns5:sty ns5:val="p"/>
              </ns5:rPr>
              <ns5:t>,</ns5:t>
            </ns5:r>
            <ns5:r>
              <ns5:t>2</ns5:t>
            </ns5:r>
          </ns5:sub>
        </ns5:sSub>
      </ns5:oMath>
      <w:r>
        <w:t xml:space="preserve"> </w:t>
      </w:r>
      <w:r>
        <w:t xml:space="preserve">se rechaza con la misma holgura que</w:t>
      </w:r>
      <w:r>
        <w:t xml:space="preserve"> </w:t>
      </w:r>
      <ns5:oMath>
        <ns5:sSub>
          <ns5:e>
            <ns5:r>
              <ns5:t>H</ns5:t>
            </ns5:r>
          </ns5:e>
          <ns5:sub>
            <ns5:r>
              <ns5:t>0</ns5:t>
            </ns5:r>
            <ns5:r>
              <ns5:rPr>
                <ns5:sty ns5:val="p"/>
              </ns5:rPr>
              <ns5:t>,</ns5:t>
            </ns5:r>
            <ns5:r>
              <ns5:t>1</ns5:t>
            </ns5:r>
          </ns5:sub>
        </ns5:sSub>
      </ns5:oMath>
      <w:r>
        <w:t xml:space="preserve">. Sin embargo, el</w:t>
      </w:r>
      <w:r>
        <w:t xml:space="preserve"> </w:t>
      </w:r>
      <w:r>
        <w:t xml:space="preserve">ordenamiento de los métodos en estabilidad difiere sustancialmente del</w:t>
      </w:r>
      <w:r>
        <w:t xml:space="preserve"> </w:t>
      </w:r>
      <w:r>
        <w:t xml:space="preserve">observado en fidelidad, lo que constituye en sí mismo un hallazgo teórico</w:t>
      </w:r>
      <w:r>
        <w:t xml:space="preserve"> </w:t>
      </w:r>
      <w:r>
        <w:t xml:space="preserve">relevante: las dimensiones de calidad no están correlacionadas monótonamente.</w:t>
      </w:r>
    </w:p>
    <w:tbl>
      <w:tblPr>
        <w:tblStyle w:val="Table"/>
        <w:tblW w:type="pct" w:w="5000"/>
        <w:jc w:val="center"/>
        <w:tblLayout w:type="fixed"/>
        <w:tblLook w:firstRow="0" w:lastRow="0" w:firstColumn="0" w:lastColumn="0" w:noHBand="0" w:noVBand="0" w:val="0000"/>
      </w:tblPr>
      <w:tblGrid>
        <w:gridCol w:w="7920"/>
      </w:tblGrid>
      <w:tr>
        <w:tc>
          <w:tcPr/>
          <w:bookmarkStart w:id="180" w:name="tbl-friedman-stability"/>
          <w:p>
            <w:pPr>
              <w:pStyle w:val="ImageCaption"/>
              <w:spacing w:before="200" w:line="360" w:lineRule="auto"/>
              <w:jc w:val="center"/>
            </w:pPr>
            <w:r>
              <w:t xml:space="preserve">Tabla 4.4: Suma y media de rangos de estabilidad — prueba de Friedman (</w:t>
            </w:r>
            <ns5:oMath>
              <ns5:r>
                <ns5:t>n</ns5:t>
              </ns5:r>
              <ns5:r>
                <ns5:rPr>
                  <ns5:sty ns5:val="p"/>
                </ns5:rPr>
                <ns5:t>=</ns5:t>
              </ns5:r>
              <ns5:r>
                <ns5:t>15</ns5:t>
              </ns5:r>
            </ns5:oMath>
            <w:r>
              <w:t xml:space="preserve"> </w:t>
            </w:r>
            <w:r>
              <w:t xml:space="preserve">bloques).</w:t>
            </w:r>
          </w:p>
          <w:tbl>
            <w:tblPr>
              <w:tblStyle w:val="Table"/>
              <w:tblW w:type="auto" w:w="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firstRow="1" w:lastRow="0" w:firstColumn="0" w:lastColumn="0" w:noHBand="0" w:noVBand="0" w:val="0020"/>
            </w:tblPr>
            <w:tblGrid>
              <w:gridCol w:w="1980"/>
              <w:gridCol w:w="1980"/>
              <w:gridCol w:w="1980"/>
              <w:gridCol w:w="1980"/>
            </w:tblGrid>
            <w:tr>
              <w:trPr>
                <w:tblHeader w:val="on"/>
              </w:trPr>
              <w:tc>
                <w:tcPr/>
                <w:p>
                  <w:pPr>
                    <w:pStyle w:val="Compact"/>
                    <w:jc w:val="both"/>
                    <w:spacing w:line="360" w:lineRule="auto"/>
                  </w:pPr>
                  <w:r>
                    <w:rPr>
                      <w:bCs/>
                      <w:b/>
                    </w:rPr>
                    <w:t xml:space="preserve">Método</w:t>
                  </w:r>
                </w:p>
              </w:tc>
              <w:tc>
                <w:tcPr/>
                <w:p>
                  <w:pPr>
                    <w:pStyle w:val="Compact"/>
                    <w:jc w:val="both"/>
                    <w:spacing w:line="360" w:lineRule="auto"/>
                  </w:pPr>
                  <w:r>
                    <w:rPr>
                      <w:bCs/>
                      <w:b/>
                    </w:rPr>
                    <w:t xml:space="preserve">Suma de rangos</w:t>
                  </w:r>
                </w:p>
              </w:tc>
              <w:tc>
                <w:tcPr/>
                <w:p>
                  <w:pPr>
                    <w:pStyle w:val="Compact"/>
                    <w:jc w:val="both"/>
                    <w:spacing w:line="360" w:lineRule="auto"/>
                  </w:pPr>
                  <w:r>
                    <w:rPr>
                      <w:bCs/>
                      <w:b/>
                    </w:rPr>
                    <w:t xml:space="preserve">Rango medio</w:t>
                  </w:r>
                </w:p>
              </w:tc>
              <w:tc>
                <w:tcPr/>
                <w:p>
                  <w:pPr>
                    <w:pStyle w:val="Compact"/>
                    <w:jc w:val="both"/>
                    <w:spacing w:line="360" w:lineRule="auto"/>
                  </w:pPr>
                  <w:r>
                    <w:rPr>
                      <w:bCs/>
                      <w:b/>
                    </w:rPr>
                    <w:t xml:space="preserve">Media bruta</w:t>
                  </w:r>
                </w:p>
              </w:tc>
            </w:tr>
            <w:tr>
              <w:tc>
                <w:tcPr/>
                <w:p>
                  <w:pPr>
                    <w:pStyle w:val="Compact"/>
                    <w:jc w:val="both"/>
                    <w:spacing w:line="360" w:lineRule="auto"/>
                  </w:pPr>
                  <w:r>
                    <w:t xml:space="preserve">SHAP</w:t>
                  </w:r>
                </w:p>
              </w:tc>
              <w:tc>
                <w:tcPr/>
                <w:p>
                  <w:pPr>
                    <w:pStyle w:val="Compact"/>
                    <w:jc w:val="both"/>
                    <w:spacing w:line="360" w:lineRule="auto"/>
                  </w:pPr>
                  <w:r>
                    <w:t xml:space="preserve">15</w:t>
                  </w:r>
                </w:p>
              </w:tc>
              <w:tc>
                <w:tcPr/>
                <w:p>
                  <w:pPr>
                    <w:pStyle w:val="Compact"/>
                    <w:jc w:val="both"/>
                    <w:spacing w:line="360" w:lineRule="auto"/>
                  </w:pPr>
                  <w:r>
                    <w:t xml:space="preserve">1.000</w:t>
                  </w:r>
                </w:p>
              </w:tc>
              <w:tc>
                <w:tcPr/>
                <w:p>
                  <w:pPr>
                    <w:pStyle w:val="Compact"/>
                    <w:jc w:val="both"/>
                    <w:spacing w:line="360" w:lineRule="auto"/>
                  </w:pPr>
                  <w:r>
                    <w:t xml:space="preserve">0.732</w:t>
                  </w:r>
                </w:p>
              </w:tc>
            </w:tr>
            <w:tr>
              <w:tc>
                <w:tcPr/>
                <w:p>
                  <w:pPr>
                    <w:pStyle w:val="Compact"/>
                    <w:jc w:val="both"/>
                    <w:spacing w:line="360" w:lineRule="auto"/>
                  </w:pPr>
                  <w:r>
                    <w:t xml:space="preserve">DiCE</w:t>
                  </w:r>
                </w:p>
              </w:tc>
              <w:tc>
                <w:tcPr/>
                <w:p>
                  <w:pPr>
                    <w:pStyle w:val="Compact"/>
                    <w:jc w:val="both"/>
                    <w:spacing w:line="360" w:lineRule="auto"/>
                  </w:pPr>
                  <w:r>
                    <w:t xml:space="preserve">30</w:t>
                  </w:r>
                </w:p>
              </w:tc>
              <w:tc>
                <w:tcPr/>
                <w:p>
                  <w:pPr>
                    <w:pStyle w:val="Compact"/>
                    <w:jc w:val="both"/>
                    <w:spacing w:line="360" w:lineRule="auto"/>
                  </w:pPr>
                  <w:r>
                    <w:t xml:space="preserve">2.000</w:t>
                  </w:r>
                </w:p>
              </w:tc>
              <w:tc>
                <w:tcPr/>
                <w:p>
                  <w:pPr>
                    <w:pStyle w:val="Compact"/>
                    <w:jc w:val="both"/>
                    <w:spacing w:line="360" w:lineRule="auto"/>
                  </w:pPr>
                  <w:r>
                    <w:t xml:space="preserve">0.361</w:t>
                  </w:r>
                </w:p>
              </w:tc>
            </w:tr>
            <w:tr>
              <w:tc>
                <w:tcPr/>
                <w:p>
                  <w:pPr>
                    <w:pStyle w:val="Compact"/>
                    <w:jc w:val="both"/>
                    <w:spacing w:line="360" w:lineRule="auto"/>
                  </w:pPr>
                  <w:r>
                    <w:t xml:space="preserve">LIME</w:t>
                  </w:r>
                </w:p>
              </w:tc>
              <w:tc>
                <w:tcPr/>
                <w:p>
                  <w:pPr>
                    <w:pStyle w:val="Compact"/>
                    <w:jc w:val="both"/>
                    <w:spacing w:line="360" w:lineRule="auto"/>
                  </w:pPr>
                  <w:r>
                    <w:t xml:space="preserve">51</w:t>
                  </w:r>
                </w:p>
              </w:tc>
              <w:tc>
                <w:tcPr/>
                <w:p>
                  <w:pPr>
                    <w:pStyle w:val="Compact"/>
                    <w:jc w:val="both"/>
                    <w:spacing w:line="360" w:lineRule="auto"/>
                  </w:pPr>
                  <w:r>
                    <w:t xml:space="preserve">3.400</w:t>
                  </w:r>
                </w:p>
              </w:tc>
              <w:tc>
                <w:tcPr/>
                <w:p>
                  <w:pPr>
                    <w:pStyle w:val="Compact"/>
                    <w:jc w:val="both"/>
                    <w:spacing w:line="360" w:lineRule="auto"/>
                  </w:pPr>
                  <w:r>
                    <w:t xml:space="preserve">0.014</w:t>
                  </w:r>
                </w:p>
              </w:tc>
            </w:tr>
            <w:tr>
              <w:tc>
                <w:tcPr/>
                <w:p>
                  <w:pPr>
                    <w:pStyle w:val="Compact"/>
                    <w:jc w:val="both"/>
                    <w:spacing w:line="360" w:lineRule="auto"/>
                  </w:pPr>
                  <w:r>
                    <w:t xml:space="preserve">Anchors</w:t>
                  </w:r>
                </w:p>
              </w:tc>
              <w:tc>
                <w:tcPr/>
                <w:p>
                  <w:pPr>
                    <w:pStyle w:val="Compact"/>
                    <w:jc w:val="both"/>
                    <w:spacing w:line="360" w:lineRule="auto"/>
                  </w:pPr>
                  <w:r>
                    <w:t xml:space="preserve">54</w:t>
                  </w:r>
                </w:p>
              </w:tc>
              <w:tc>
                <w:tcPr/>
                <w:p>
                  <w:pPr>
                    <w:pStyle w:val="Compact"/>
                    <w:jc w:val="both"/>
                    <w:spacing w:line="360" w:lineRule="auto"/>
                  </w:pPr>
                  <w:r>
                    <w:t xml:space="preserve">3.600</w:t>
                  </w:r>
                </w:p>
              </w:tc>
              <w:tc>
                <w:tcPr/>
                <w:p>
                  <w:pPr>
                    <w:pStyle w:val="Compact"/>
                    <w:jc w:val="both"/>
                    <w:spacing w:line="360" w:lineRule="auto"/>
                  </w:pPr>
                  <w:r>
                    <w:t xml:space="preserve">0.043</w:t>
                  </w:r>
                </w:p>
              </w:tc>
            </w:tr>
          </w:tbl>
          <w:bookmarkEnd w:id="180"/>
          <w:p>
            <w:pPr>
              <w:spacing w:line="360" w:lineRule="auto"/>
              <w:jc w:val="both"/>
            </w:pPr>
          </w:p>
        </w:tc>
      </w:tr>
    </w:tbl>
    <w:p>
      <w:pPr>
        <w:pStyle w:val="Textoindependiente"/>
        <w:spacing w:line="360" w:lineRule="auto"/>
        <w:jc w:val="both"/>
      </w:pPr>
      <w:r>
        <w:t xml:space="preserve">SHAP mantiene la primera posición en estabilidad (rango medio = 1.000), lo</w:t>
      </w:r>
      <w:r>
        <w:t xml:space="preserve"> </w:t>
      </w:r>
      <w:r>
        <w:t xml:space="preserve">que implica que ocupa el primer rango también en esta dimensión. DiCE, que ocupa el</w:t>
      </w:r>
      <w:r>
        <w:t xml:space="preserve"> </w:t>
      </w:r>
      <w:r>
        <w:t xml:space="preserve">último lugar en fidelidad, asciende a la segunda posición en estabilidad</w:t>
      </w:r>
      <w:r>
        <w:t xml:space="preserve"> </w:t>
      </w:r>
      <w:r>
        <w:t xml:space="preserve">(rango medio = 2.000; media bruta = 0.361), lo que refleja que las</w:t>
      </w:r>
      <w:r>
        <w:t xml:space="preserve"> </w:t>
      </w:r>
      <w:r>
        <w:t xml:space="preserve">explicaciones contrafactuales de DiCE tienen cierta coherencia estructural</w:t>
      </w:r>
      <w:r>
        <w:t xml:space="preserve"> </w:t>
      </w:r>
      <w:r>
        <w:t xml:space="preserve">aunque su correlación con la función del modelo sea baja. El resultado más</w:t>
      </w:r>
      <w:r>
        <w:t xml:space="preserve"> </w:t>
      </w:r>
      <w:r>
        <w:t xml:space="preserve">llamativo es la casi-nula estabilidad de LIME: su media bruta de 0.014</w:t>
      </w:r>
      <w:r>
        <w:t xml:space="preserve"> </w:t>
      </w:r>
      <w:r>
        <w:t xml:space="preserve">(similitud coseno en</w:t>
      </w:r>
      <w:r>
        <w:t xml:space="preserve"> </w:t>
      </w:r>
      <ns5:oMath>
        <ns5:r>
          <ns5:rPr>
            <ns5:sty ns5:val="p"/>
          </ns5:rPr>
          <ns5:t>[</ns5:t>
        </ns5:r>
        <ns5:r>
          <ns5:t>0</ns5:t>
        </ns5:r>
        <ns5:r>
          <ns5:rPr>
            <ns5:sty ns5:val="p"/>
          </ns5:rPr>
          <ns5:t>,</ns5:t>
        </ns5:r>
        <ns5:r>
          <ns5:t>1</ns5:t>
        </ns5:r>
        <ns5:r>
          <ns5:rPr>
            <ns5:sty ns5:val="p"/>
          </ns5:rPr>
          <ns5:t>]</ns5:t>
        </ns5:r>
      </ns5:oMath>
      <w:r>
        <w:t xml:space="preserve">) indica que explicaciones generadas sobre</w:t>
      </w:r>
      <w:r>
        <w:t xml:space="preserve"> </w:t>
      </w:r>
      <w:r>
        <w:t xml:space="preserve">instancias ligeramente perturbadas son prácticamente ortogonales entre sí.</w:t>
      </w:r>
      <w:r>
        <w:t xml:space="preserve"> </w:t>
      </w:r>
      <w:r>
        <w:t xml:space="preserve">Este es un rasgo conocido del diseño por muestreo local de LIME</w:t>
      </w:r>
      <w:r>
        <w:t xml:space="preserve"> </w:t>
      </w:r>
      <w:r>
        <w:t xml:space="preserve">(Ribeiro 2016)</w:t>
      </w:r>
      <w:r>
        <w:t xml:space="preserve">,</w:t>
      </w:r>
      <w:r>
        <w:t xml:space="preserve"> </w:t>
      </w:r>
      <w:r>
        <w:t xml:space="preserve">pero la cuantificación en este benchmark evidencia que la inestabilidad no es</w:t>
      </w:r>
      <w:r>
        <w:t xml:space="preserve"> </w:t>
      </w:r>
      <w:r>
        <w:t xml:space="preserve">marginal, sino estructural.</w:t>
      </w:r>
    </w:p>
    <w:p>
      <w:pPr>
        <w:pStyle w:val="Textoindependiente"/>
        <w:spacing w:line="360" w:lineRule="auto"/>
        <w:jc w:val="both"/>
      </w:pPr>
      <w:r>
        <w:t xml:space="preserve">La diferencia crítica Nemenyi para estabilidad es idéntica a la calculada para</w:t>
      </w:r>
      <w:r>
        <w:t xml:space="preserve"> </w:t>
      </w:r>
      <w:r>
        <w:t xml:space="preserve">fidelidad (</w:t>
      </w:r>
      <ns5:oMath>
        <ns5:r>
          <ns5:t>C</ns5:t>
        </ns5:r>
        <ns5:r>
          <ns5:t>D</ns5:t>
        </ns5:r>
        <ns5:r>
          <ns5:rPr>
            <ns5:sty ns5:val="p"/>
          </ns5:rPr>
          <ns5:t>=</ns5:t>
        </ns5:r>
        <ns5:r>
          <ns5:t>1.211</ns5:t>
        </ns5:r>
      </ns5:oMath>
      <w:r>
        <w:t xml:space="preserve">) dado el mismo</w:t>
      </w:r>
      <w:r>
        <w:t xml:space="preserve"> </w:t>
      </w:r>
      <ns5:oMath>
        <ns5:r>
          <ns5:t>n</ns5:t>
        </ns5:r>
      </ns5:oMath>
      <w:r>
        <w:t xml:space="preserve"> </w:t>
      </w:r>
      <w:r>
        <w:t xml:space="preserve">y</w:t>
      </w:r>
      <w:r>
        <w:t xml:space="preserve"> </w:t>
      </w:r>
      <ns5:oMath>
        <ns5:r>
          <ns5:t>k</ns5:t>
        </ns5:r>
      </ns5:oMath>
      <w:r>
        <w:t xml:space="preserve">. Las diferencias en rangos</w:t>
      </w:r>
      <w:r>
        <w:t xml:space="preserve"> </w:t>
      </w:r>
      <w:r>
        <w:t xml:space="preserve">medios confirmadas como significativas son:</w:t>
      </w:r>
    </w:p>
    <w:p>
      <w:pPr>
        <w:pStyle w:val="Compact"/>
        <w:numPr>
          <w:ilvl w:val="0"/>
          <w:numId w:val="1013"/>
        </w:numPr>
        <w:spacing w:line="360" w:lineRule="auto"/>
        <w:jc w:val="both"/>
      </w:pPr>
      <w:r>
        <w:t xml:space="preserve">SHAP vs. LIME:</w:t>
      </w:r>
      <w:r>
        <w:t xml:space="preserve"> </w:t>
      </w:r>
      <ns5:oMath>
        <ns5:r>
          <ns5:rPr>
            <ns5:sty ns5:val="p"/>
          </ns5:rPr>
          <ns5:t>|</ns5:t>
        </ns5:r>
        <ns5:r>
          <ns5:t>1.000</ns5:t>
        </ns5:r>
        <ns5:r>
          <ns5:rPr>
            <ns5:sty ns5:val="p"/>
          </ns5:rPr>
          <ns5:t>−</ns5:t>
        </ns5:r>
        <ns5:r>
          <ns5:t>3.400</ns5:t>
        </ns5:r>
        <ns5:r>
          <ns5:rPr>
            <ns5:sty ns5:val="p"/>
          </ns5:rPr>
          <ns5:t>|</ns5:t>
        </ns5:r>
        <ns5:r>
          <ns5:rPr>
            <ns5:sty ns5:val="p"/>
          </ns5:rPr>
          <ns5:t>=</ns5:t>
        </ns5:r>
        <ns5:r>
          <ns5:t>2.400</ns5:t>
        </ns5:r>
        <ns5:r>
          <ns5:rPr>
            <ns5:sty ns5:val="p"/>
          </ns5:rPr>
          <ns5:t>&gt;</ns5:t>
        </ns5:r>
        <ns5:r>
          <ns5:t>1.211</ns5:t>
        </ns5:r>
      </ns5:oMath>
      <w:r>
        <w:t xml:space="preserve"> </w:t>
      </w:r>
      <w:r>
        <w:t xml:space="preserve">(Sí)</w:t>
      </w:r>
    </w:p>
    <w:p>
      <w:pPr>
        <w:pStyle w:val="Compact"/>
        <w:numPr>
          <w:ilvl w:val="0"/>
          <w:numId w:val="1013"/>
        </w:numPr>
        <w:spacing w:line="360" w:lineRule="auto"/>
        <w:jc w:val="both"/>
      </w:pPr>
      <w:r>
        <w:t xml:space="preserve">SHAP vs. Anchors:</w:t>
      </w:r>
      <w:r>
        <w:t xml:space="preserve"> </w:t>
      </w:r>
      <ns5:oMath>
        <ns5:r>
          <ns5:rPr>
            <ns5:sty ns5:val="p"/>
          </ns5:rPr>
          <ns5:t>|</ns5:t>
        </ns5:r>
        <ns5:r>
          <ns5:t>1.000</ns5:t>
        </ns5:r>
        <ns5:r>
          <ns5:rPr>
            <ns5:sty ns5:val="p"/>
          </ns5:rPr>
          <ns5:t>−</ns5:t>
        </ns5:r>
        <ns5:r>
          <ns5:t>3.600</ns5:t>
        </ns5:r>
        <ns5:r>
          <ns5:rPr>
            <ns5:sty ns5:val="p"/>
          </ns5:rPr>
          <ns5:t>|</ns5:t>
        </ns5:r>
        <ns5:r>
          <ns5:rPr>
            <ns5:sty ns5:val="p"/>
          </ns5:rPr>
          <ns5:t>=</ns5:t>
        </ns5:r>
        <ns5:r>
          <ns5:t>2.600</ns5:t>
        </ns5:r>
        <ns5:r>
          <ns5:rPr>
            <ns5:sty ns5:val="p"/>
          </ns5:rPr>
          <ns5:t>&gt;</ns5:t>
        </ns5:r>
        <ns5:r>
          <ns5:t>1.211</ns5:t>
        </ns5:r>
      </ns5:oMath>
      <w:r>
        <w:t xml:space="preserve"> </w:t>
      </w:r>
      <w:r>
        <w:t xml:space="preserve">(Sí)</w:t>
      </w:r>
    </w:p>
    <w:p>
      <w:pPr>
        <w:pStyle w:val="Compact"/>
        <w:numPr>
          <w:ilvl w:val="0"/>
          <w:numId w:val="1013"/>
        </w:numPr>
        <w:spacing w:line="360" w:lineRule="auto"/>
        <w:jc w:val="both"/>
      </w:pPr>
      <w:r>
        <w:t xml:space="preserve">DiCE vs. LIME:</w:t>
      </w:r>
      <w:r>
        <w:t xml:space="preserve"> </w:t>
      </w:r>
      <ns5:oMath>
        <ns5:r>
          <ns5:rPr>
            <ns5:sty ns5:val="p"/>
          </ns5:rPr>
          <ns5:t>|</ns5:t>
        </ns5:r>
        <ns5:r>
          <ns5:t>2.000</ns5:t>
        </ns5:r>
        <ns5:r>
          <ns5:rPr>
            <ns5:sty ns5:val="p"/>
          </ns5:rPr>
          <ns5:t>−</ns5:t>
        </ns5:r>
        <ns5:r>
          <ns5:t>3.400</ns5:t>
        </ns5:r>
        <ns5:r>
          <ns5:rPr>
            <ns5:sty ns5:val="p"/>
          </ns5:rPr>
          <ns5:t>|</ns5:t>
        </ns5:r>
        <ns5:r>
          <ns5:rPr>
            <ns5:sty ns5:val="p"/>
          </ns5:rPr>
          <ns5:t>=</ns5:t>
        </ns5:r>
        <ns5:r>
          <ns5:t>1.400</ns5:t>
        </ns5:r>
        <ns5:r>
          <ns5:rPr>
            <ns5:sty ns5:val="p"/>
          </ns5:rPr>
          <ns5:t>&gt;</ns5:t>
        </ns5:r>
        <ns5:r>
          <ns5:t>1.211</ns5:t>
        </ns5:r>
      </ns5:oMath>
      <w:r>
        <w:t xml:space="preserve"> </w:t>
      </w:r>
      <w:r>
        <w:t xml:space="preserve">(Sí)</w:t>
      </w:r>
    </w:p>
    <w:p>
      <w:pPr>
        <w:pStyle w:val="Compact"/>
        <w:numPr>
          <w:ilvl w:val="0"/>
          <w:numId w:val="1013"/>
        </w:numPr>
        <w:spacing w:line="360" w:lineRule="auto"/>
        <w:jc w:val="both"/>
      </w:pPr>
      <w:r>
        <w:t xml:space="preserve">DiCE vs. Anchors:</w:t>
      </w:r>
      <w:r>
        <w:t xml:space="preserve"> </w:t>
      </w:r>
      <ns5:oMath>
        <ns5:r>
          <ns5:rPr>
            <ns5:sty ns5:val="p"/>
          </ns5:rPr>
          <ns5:t>|</ns5:t>
        </ns5:r>
        <ns5:r>
          <ns5:t>2.000</ns5:t>
        </ns5:r>
        <ns5:r>
          <ns5:rPr>
            <ns5:sty ns5:val="p"/>
          </ns5:rPr>
          <ns5:t>−</ns5:t>
        </ns5:r>
        <ns5:r>
          <ns5:t>3.600</ns5:t>
        </ns5:r>
        <ns5:r>
          <ns5:rPr>
            <ns5:sty ns5:val="p"/>
          </ns5:rPr>
          <ns5:t>|</ns5:t>
        </ns5:r>
        <ns5:r>
          <ns5:rPr>
            <ns5:sty ns5:val="p"/>
          </ns5:rPr>
          <ns5:t>=</ns5:t>
        </ns5:r>
        <ns5:r>
          <ns5:t>1.600</ns5:t>
        </ns5:r>
        <ns5:r>
          <ns5:rPr>
            <ns5:sty ns5:val="p"/>
          </ns5:rPr>
          <ns5:t>&gt;</ns5:t>
        </ns5:r>
        <ns5:r>
          <ns5:t>1.211</ns5:t>
        </ns5:r>
      </ns5:oMath>
      <w:r>
        <w:t xml:space="preserve"> </w:t>
      </w:r>
      <w:r>
        <w:t xml:space="preserve">(Sí)</w:t>
      </w:r>
    </w:p>
    <w:p>
      <w:pPr>
        <w:pStyle w:val="Compact"/>
        <w:numPr>
          <w:ilvl w:val="0"/>
          <w:numId w:val="1013"/>
        </w:numPr>
        <w:spacing w:line="360" w:lineRule="auto"/>
        <w:jc w:val="both"/>
      </w:pPr>
      <w:r>
        <w:t xml:space="preserve">LIME vs. Anchors:</w:t>
      </w:r>
      <w:r>
        <w:t xml:space="preserve"> </w:t>
      </w:r>
      <ns5:oMath>
        <ns5:r>
          <ns5:rPr>
            <ns5:sty ns5:val="p"/>
          </ns5:rPr>
          <ns5:t>|</ns5:t>
        </ns5:r>
        <ns5:r>
          <ns5:t>3.400</ns5:t>
        </ns5:r>
        <ns5:r>
          <ns5:rPr>
            <ns5:sty ns5:val="p"/>
          </ns5:rPr>
          <ns5:t>−</ns5:t>
        </ns5:r>
        <ns5:r>
          <ns5:t>3.600</ns5:t>
        </ns5:r>
        <ns5:r>
          <ns5:rPr>
            <ns5:sty ns5:val="p"/>
          </ns5:rPr>
          <ns5:t>|</ns5:t>
        </ns5:r>
        <ns5:r>
          <ns5:rPr>
            <ns5:sty ns5:val="p"/>
          </ns5:rPr>
          <ns5:t>=</ns5:t>
        </ns5:r>
        <ns5:r>
          <ns5:t>0.200</ns5:t>
        </ns5:r>
        <ns5:r>
          <ns5:rPr>
            <ns5:sty ns5:val="p"/>
          </ns5:rPr>
          <ns5:t>&lt;</ns5:t>
        </ns5:r>
        <ns5:r>
          <ns5:t>1.211</ns5:t>
        </ns5:r>
      </ns5:oMath>
      <w:r>
        <w:t xml:space="preserve"> </w:t>
      </w:r>
      <w:r>
        <w:t xml:space="preserve">(No)</w:t>
      </w:r>
    </w:p>
    <w:p>
      <w:pPr>
        <w:pStyle w:val="Compact"/>
        <w:numPr>
          <w:ilvl w:val="0"/>
          <w:numId w:val="1013"/>
        </w:numPr>
        <w:spacing w:line="360" w:lineRule="auto"/>
        <w:jc w:val="both"/>
      </w:pPr>
      <w:r>
        <w:t xml:space="preserve">SHAP vs. DiCE:</w:t>
      </w:r>
      <w:r>
        <w:t xml:space="preserve"> </w:t>
      </w:r>
      <ns5:oMath>
        <ns5:r>
          <ns5:rPr>
            <ns5:sty ns5:val="p"/>
          </ns5:rPr>
          <ns5:t>|</ns5:t>
        </ns5:r>
        <ns5:r>
          <ns5:t>1.000</ns5:t>
        </ns5:r>
        <ns5:r>
          <ns5:rPr>
            <ns5:sty ns5:val="p"/>
          </ns5:rPr>
          <ns5:t>−</ns5:t>
        </ns5:r>
        <ns5:r>
          <ns5:t>2.000</ns5:t>
        </ns5:r>
        <ns5:r>
          <ns5:rPr>
            <ns5:sty ns5:val="p"/>
          </ns5:rPr>
          <ns5:t>|</ns5:t>
        </ns5:r>
        <ns5:r>
          <ns5:rPr>
            <ns5:sty ns5:val="p"/>
          </ns5:rPr>
          <ns5:t>=</ns5:t>
        </ns5:r>
        <ns5:r>
          <ns5:t>1.000</ns5:t>
        </ns5:r>
        <ns5:r>
          <ns5:rPr>
            <ns5:sty ns5:val="p"/>
          </ns5:rPr>
          <ns5:t>&lt;</ns5:t>
        </ns5:r>
        <ns5:r>
          <ns5:t>1.211</ns5:t>
        </ns5:r>
      </ns5:oMath>
      <w:r>
        <w:t xml:space="preserve"> </w:t>
      </w:r>
      <w:r>
        <w:t xml:space="preserve">(No)</w:t>
      </w:r>
    </w:p>
    <w:p>
      <w:pPr>
        <w:pStyle w:val="FirstParagraph"/>
        <w:spacing w:line="360" w:lineRule="auto"/>
        <w:jc w:val="both"/>
      </w:pPr>
      <w:r>
        <w:t xml:space="preserve">LIME y Anchors forman un grupo indistinguible en estabilidad (ambos con valores</w:t>
      </w:r>
      <w:r>
        <w:t xml:space="preserve"> </w:t>
      </w:r>
      <w:r>
        <w:t xml:space="preserve">cercanos a cero), mientras que SHAP y DiCE conforman el grupo estable. La</w:t>
      </w:r>
      <w:r>
        <w:t xml:space="preserve"> </w:t>
      </w:r>
      <w:r>
        <w:t xml:space="preserve">interpretación práctica debe acotarse al criterio evaluado: en despliegues que</w:t>
      </w:r>
      <w:r>
        <w:t xml:space="preserve"> </w:t>
      </w:r>
      <w:r>
        <w:t xml:space="preserve">requieren consistencia explicativa ante pequeñas variaciones de entrada, SHAP</w:t>
      </w:r>
      <w:r>
        <w:t xml:space="preserve"> </w:t>
      </w:r>
      <w:r>
        <w:t xml:space="preserve">ofrece el perfil más sólido en este benchmark y DiCE ofrece estabilidad</w:t>
      </w:r>
      <w:r>
        <w:t xml:space="preserve"> </w:t>
      </w:r>
      <w:r>
        <w:t xml:space="preserve">intermedia; LIME y Anchors requieren cautela si la estabilidad local es un</w:t>
      </w:r>
      <w:r>
        <w:t xml:space="preserve"> </w:t>
      </w:r>
      <w:r>
        <w:t xml:space="preserve">criterio de selección.</w:t>
      </w:r>
    </w:p>
    <w:bookmarkEnd w:id="181"/>
    <w:bookmarkEnd w:id="182"/>
    <w:bookmarkStart w:id="186" w:name="sec-estudio-b"/>
    <w:p>
      <w:pPr>
        <w:pStyle w:val="Ttulo2"/>
        <w:spacing w:line="360" w:lineRule="auto"/>
        <w:jc w:val="both"/>
      </w:pPr>
      <w:r>
        <w:t xml:space="preserve">4.3 </w:t>
      </w:r>
      <w:r>
        <w:t xml:space="preserve">Estudio Pareado LIME–SHAP: relación calidad-coste (H3)</w:t>
      </w:r>
    </w:p>
    <w:p>
      <w:pPr>
        <w:pStyle w:val="FirstParagraph"/>
        <w:spacing w:line="360" w:lineRule="auto"/>
        <w:jc w:val="both"/>
      </w:pPr>
      <w:r>
        <w:t xml:space="preserve">El análisis pareado opera sobre las 75 celdas</w:t>
      </w:r>
      <w:r>
        <w:t xml:space="preserve"> </w:t>
      </w:r>
      <ns5:oMath>
        <ns5:r>
          <ns5:rPr>
            <ns5:sty ns5:val="p"/>
          </ns5:rPr>
          <ns5:t>(</ns5:t>
        </ns5:r>
        <ns5:r>
          <ns5:t>g</ns5:t>
        </ns5:r>
        <ns5:r>
          <ns5:rPr>
            <ns5:sty ns5:val="p"/>
          </ns5:rPr>
          <ns5:t>,</ns5:t>
        </ns5:r>
        <ns5:r>
          <ns5:t>s</ns5:t>
        </ns5:r>
        <ns5:r>
          <ns5:rPr>
            <ns5:sty ns5:val="p"/>
          </ns5:rPr>
          <ns5:t>,</ns5:t>
        </ns5:r>
        <ns5:r>
          <ns5:t>n</ns5:t>
        </ns5:r>
        <ns5:r>
          <ns5:rPr>
            <ns5:sty ns5:val="p"/>
          </ns5:rPr>
          <ns5:t>)</ns5:t>
        </ns5:r>
      </ns5:oMath>
      <w:r>
        <w:t xml:space="preserve"> </w:t>
      </w:r>
      <w:r>
        <w:t xml:space="preserve">para las cuales ambos</w:t>
      </w:r>
      <w:r>
        <w:t xml:space="preserve"> </w:t>
      </w:r>
      <w:r>
        <w:t xml:space="preserve">métodos disponen de artefactos calificados. La superposición de recuperación</w:t>
      </w:r>
      <w:r>
        <w:t xml:space="preserve"> </w:t>
      </w:r>
      <w:r>
        <w:t xml:space="preserve">documentada en el Capítulo 3 garantiza cobertura completa de SHAP y LIME en el</w:t>
      </w:r>
      <w:r>
        <w:t xml:space="preserve"> </w:t>
      </w:r>
      <w:r>
        <w:t xml:space="preserve">conjunto pareado (75/75).</w:t>
      </w:r>
    </w:p>
    <w:bookmarkStart w:id="184" w:name="diferencias-en-métricas-de-calidad"/>
    <w:p>
      <w:pPr>
        <w:pStyle w:val="Ttulo3"/>
        <w:spacing w:line="360" w:lineRule="auto"/>
        <w:jc w:val="both"/>
      </w:pPr>
      <w:r>
        <w:t xml:space="preserve">4.3.1 </w:t>
      </w:r>
      <w:r>
        <w:t xml:space="preserve">Diferencias en métricas de calidad</w:t>
      </w:r>
    </w:p>
    <w:p>
      <w:pPr>
        <w:pStyle w:val="FirstParagraph"/>
        <w:spacing w:line="360" w:lineRule="auto"/>
        <w:jc w:val="both"/>
      </w:pPr>
      <w:r>
        <w:t xml:space="preserve">Para cada métrica se calcula la diferencia pareada</w:t>
      </w:r>
      <w:r>
        <w:t xml:space="preserve"> </w:t>
      </w:r>
      <ns5:oMath>
        <ns5:sSub>
          <ns5:e>
            <ns5:r>
              <ns5:t>d</ns5:t>
            </ns5:r>
          </ns5:e>
          <ns5:sub>
            <ns5:r>
              <ns5:t>i</ns5:t>
            </ns5:r>
          </ns5:sub>
        </ns5:sSub>
        <ns5:r>
          <ns5:rPr>
            <ns5:sty ns5:val="p"/>
          </ns5:rPr>
          <ns5:t>=</ns5:t>
        </ns5:r>
        <ns5:sSubSup>
          <ns5:e>
            <ns5:r>
              <ns5:t>x</ns5:t>
            </ns5:r>
          </ns5:e>
          <ns5:sub>
            <ns5:r>
              <ns5:t>i</ns5:t>
            </ns5:r>
          </ns5:sub>
          <ns5:sup>
            <ns5:r>
              <ns5:t>S</ns5:t>
            </ns5:r>
            <ns5:r>
              <ns5:t>H</ns5:t>
            </ns5:r>
            <ns5:r>
              <ns5:t>A</ns5:t>
            </ns5:r>
            <ns5:r>
              <ns5:t>P</ns5:t>
            </ns5:r>
          </ns5:sup>
        </ns5:sSubSup>
        <ns5:r>
          <ns5:rPr>
            <ns5:sty ns5:val="p"/>
          </ns5:rPr>
          <ns5:t>−</ns5:t>
        </ns5:r>
        <ns5:sSubSup>
          <ns5:e>
            <ns5:r>
              <ns5:t>x</ns5:t>
            </ns5:r>
          </ns5:e>
          <ns5:sub>
            <ns5:r>
              <ns5:t>i</ns5:t>
            </ns5:r>
          </ns5:sub>
          <ns5:sup>
            <ns5:r>
              <ns5:t>L</ns5:t>
            </ns5:r>
            <ns5:r>
              <ns5:t>I</ns5:t>
            </ns5:r>
            <ns5:r>
              <ns5:t>M</ns5:t>
            </ns5:r>
            <ns5:r>
              <ns5:t>E</ns5:t>
            </ns5:r>
          </ns5:sup>
        </ns5:sSubSup>
      </ns5:oMath>
      <w:r>
        <w:t xml:space="preserve">,</w:t>
      </w:r>
      <w:r>
        <w:t xml:space="preserve"> </w:t>
      </w:r>
      <w:r>
        <w:t xml:space="preserve">donde un valor positivo indica ventaja de SHAP. El estadístico de efecto de</w:t>
      </w:r>
      <w:r>
        <w:t xml:space="preserve"> </w:t>
      </w:r>
      <w:r>
        <w:t xml:space="preserve">Cohen es</w:t>
      </w:r>
      <w:r>
        <w:t xml:space="preserve"> </w:t>
      </w:r>
      <ns5:oMath>
        <ns5:sSub>
          <ns5:e>
            <ns5:r>
              <ns5:t>d</ns5:t>
            </ns5:r>
          </ns5:e>
          <ns5:sub>
            <ns5:r>
              <ns5:t>z</ns5:t>
            </ns5:r>
          </ns5:sub>
        </ns5:sSub>
        <ns5:r>
          <ns5:rPr>
            <ns5:sty ns5:val="p"/>
          </ns5:rPr>
          <ns5:t>=</ns5:t>
        </ns5:r>
        <ns5:acc>
          <ns5:accPr>
            <ns5:chr ns5:val="‾"/>
          </ns5:accPr>
          <ns5:e>
            <ns5:r>
              <ns5:t>d</ns5:t>
            </ns5:r>
          </ns5:e>
        </ns5:acc>
        <ns5:r>
          <ns5:rPr>
            <ns5:sty ns5:val="p"/>
          </ns5:rPr>
          <ns5:t>/</ns5:t>
        </ns5:r>
        <ns5:sSub>
          <ns5:e>
            <ns5:r>
              <ns5:t>s</ns5:t>
            </ns5:r>
          </ns5:e>
          <ns5:sub>
            <ns5:r>
              <ns5:t>d</ns5:t>
            </ns5:r>
          </ns5:sub>
        </ns5:sSub>
      </ns5:oMath>
      <w:r>
        <w:t xml:space="preserve">, donde</w:t>
      </w:r>
      <w:r>
        <w:t xml:space="preserve"> </w:t>
      </w:r>
      <ns5:oMath>
        <ns5:sSub>
          <ns5:e>
            <ns5:r>
              <ns5:t>s</ns5:t>
            </ns5:r>
          </ns5:e>
          <ns5:sub>
            <ns5:r>
              <ns5:t>d</ns5:t>
            </ns5:r>
          </ns5:sub>
        </ns5:sSub>
      </ns5:oMath>
      <w:r>
        <w:t xml:space="preserve"> </w:t>
      </w:r>
      <w:r>
        <w:t xml:space="preserve">es la desviación estándar de las</w:t>
      </w:r>
      <w:r>
        <w:t xml:space="preserve"> </w:t>
      </w:r>
      <w:r>
        <w:t xml:space="preserve">diferencias.</w:t>
      </w:r>
    </w:p>
    <w:tbl>
      <w:tblPr>
        <w:tblStyle w:val="Table"/>
        <w:tblW w:type="pct" w:w="5000"/>
        <w:jc w:val="center"/>
        <w:tblLayout w:type="fixed"/>
        <w:tblLook w:firstRow="0" w:lastRow="0" w:firstColumn="0" w:lastColumn="0" w:noHBand="0" w:noVBand="0" w:val="0000"/>
      </w:tblPr>
      <w:tblGrid>
        <w:gridCol w:w="7920"/>
      </w:tblGrid>
      <w:tr>
        <w:tc>
          <w:tcPr/>
          <w:bookmarkStart w:id="183" w:name="tbl-paired-shap-lime"/>
          <w:p>
            <w:pPr>
              <w:pStyle w:val="ImageCaption"/>
              <w:spacing w:before="200" w:line="360" w:lineRule="auto"/>
              <w:jc w:val="center"/>
            </w:pPr>
            <w:r>
              <w:t xml:space="preserve">Tabla 4.5: Diferencias pareadas SHAP − LIME (</w:t>
            </w:r>
            <ns5:oMath>
              <ns5:r>
                <ns5:t>n</ns5:t>
              </ns5:r>
              <ns5:r>
                <ns5:rPr>
                  <ns5:sty ns5:val="p"/>
                </ns5:rPr>
                <ns5:t>=</ns5:t>
              </ns5:r>
              <ns5:r>
                <ns5:t>75</ns5:t>
              </ns5:r>
            </ns5:oMath>
            <w:r>
              <w:t xml:space="preserve"> </w:t>
            </w:r>
            <w:r>
              <w:t xml:space="preserve">celdas). Se reporta</w:t>
            </w:r>
            <w:r>
              <w:t xml:space="preserve"> </w:t>
            </w:r>
            <ns5:oMath>
              <ns5:sSub>
                <ns5:e>
                  <ns5:r>
                    <ns5:t>d</ns5:t>
                  </ns5:r>
                </ns5:e>
                <ns5:sub>
                  <ns5:r>
                    <ns5:t>i</ns5:t>
                  </ns5:r>
                </ns5:sub>
              </ns5:sSub>
              <ns5:r>
                <ns5:rPr>
                  <ns5:sty ns5:val="p"/>
                </ns5:rPr>
                <ns5:t>=</ns5:t>
              </ns5:r>
              <ns5:r>
                <ns5:rPr>
                  <ns5:nor/>
                  <ns5:sty ns5:val="p"/>
                </ns5:rPr>
                <ns5:t>SHAP</ns5:t>
              </ns5:r>
              <ns5:r>
                <ns5:rPr>
                  <ns5:sty ns5:val="p"/>
                </ns5:rPr>
                <ns5:t>−</ns5:t>
              </ns5:r>
              <ns5:r>
                <ns5:rPr>
                  <ns5:nor/>
                  <ns5:sty ns5:val="p"/>
                </ns5:rPr>
                <ns5:t>LIME</ns5:t>
              </ns5:r>
            </ns5:oMath>
            <w:r>
              <w:t xml:space="preserve">; para fidelidad/estabilidad/brecha,</w:t>
            </w:r>
            <w:r>
              <w:t xml:space="preserve"> </w:t>
            </w:r>
            <ns5:oMath>
              <ns5:r>
                <ns5:t>d</ns5:t>
              </ns5:r>
              <ns5:r>
                <ns5:rPr>
                  <ns5:sty ns5:val="p"/>
                </ns5:rPr>
                <ns5:t>&gt;</ns5:t>
              </ns5:r>
              <ns5:r>
                <ns5:t>0</ns5:t>
              </ns5:r>
            </ns5:oMath>
            <w:r>
              <w:t xml:space="preserve"> </w:t>
            </w:r>
            <w:r>
              <w:t xml:space="preserve">favorece SHAP; para parsimonia y coste,</w:t>
            </w:r>
            <w:r>
              <w:t xml:space="preserve"> </w:t>
            </w:r>
            <ns5:oMath>
              <ns5:r>
                <ns5:t>d</ns5:t>
              </ns5:r>
              <ns5:r>
                <ns5:rPr>
                  <ns5:sty ns5:val="p"/>
                </ns5:rPr>
                <ns5:t>&gt;</ns5:t>
              </ns5:r>
              <ns5:r>
                <ns5:t>0</ns5:t>
              </ns5:r>
            </ns5:oMath>
            <w:r>
              <w:t xml:space="preserve"> </w:t>
            </w:r>
            <w:r>
              <w:t xml:space="preserve">indica explicaciones más densas y/o mayor coste de SHAP.</w:t>
            </w:r>
          </w:p>
          <w:tbl>
            <w:tblPr>
              <w:tblStyle w:val="Table"/>
              <w:tblW w:type="auto" w:w="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both"/>
                    <w:spacing w:line="360" w:lineRule="auto"/>
                  </w:pPr>
                  <w:r>
                    <w:rPr>
                      <w:bCs/>
                      <w:b/>
                    </w:rPr>
                    <w:t xml:space="preserve">Métrica</w:t>
                  </w:r>
                </w:p>
              </w:tc>
              <w:tc>
                <w:tcPr/>
                <w:p>
                  <w:pPr>
                    <w:pStyle w:val="Compact"/>
                    <w:jc w:val="both"/>
                    <w:spacing w:line="360" w:lineRule="auto"/>
                  </w:pPr>
                  <ns5:oMath>
                    <ns5:acc>
                      <ns5:accPr>
                        <ns5:chr ns5:val="‾"/>
                      </ns5:accPr>
                      <ns5:e>
                        <ns5:r>
                          <ns5:t>d</ns5:t>
                        </ns5:r>
                      </ns5:e>
                    </ns5:acc>
                  </ns5:oMath>
                  <w:r>
                    <w:rPr>
                      <w:bCs/>
                      <w:b/>
                    </w:rPr>
                    <w:t xml:space="preserve">​</w:t>
                  </w:r>
                </w:p>
              </w:tc>
              <w:tc>
                <w:tcPr/>
                <w:p>
                  <w:pPr>
                    <w:pStyle w:val="Compact"/>
                    <w:jc w:val="both"/>
                    <w:spacing w:line="360" w:lineRule="auto"/>
                  </w:pPr>
                  <ns5:oMath>
                    <ns5:sSub>
                      <ns5:e>
                        <ns5:r>
                          <ns5:t>s</ns5:t>
                        </ns5:r>
                      </ns5:e>
                      <ns5:sub>
                        <ns5:r>
                          <ns5:t>d</ns5:t>
                        </ns5:r>
                      </ns5:sub>
                    </ns5:sSub>
                  </ns5:oMath>
                  <w:r>
                    <w:rPr>
                      <w:bCs/>
                      <w:b/>
                    </w:rPr>
                    <w:t xml:space="preserve">​</w:t>
                  </w:r>
                </w:p>
              </w:tc>
              <w:tc>
                <w:tcPr/>
                <w:p>
                  <w:pPr>
                    <w:pStyle w:val="Compact"/>
                    <w:jc w:val="both"/>
                    <w:spacing w:line="360" w:lineRule="auto"/>
                  </w:pPr>
                  <ns5:oMath>
                    <ns5:sSub>
                      <ns5:e>
                        <ns5:r>
                          <ns5:t>d</ns5:t>
                        </ns5:r>
                      </ns5:e>
                      <ns5:sub>
                        <ns5:r>
                          <ns5:t>z</ns5:t>
                        </ns5:r>
                      </ns5:sub>
                    </ns5:sSub>
                  </ns5:oMath>
                  <w:r>
                    <w:rPr>
                      <w:bCs/>
                      <w:b/>
                    </w:rPr>
                    <w:t xml:space="preserve">​</w:t>
                  </w:r>
                </w:p>
              </w:tc>
              <w:tc>
                <w:tcPr/>
                <w:p>
                  <w:pPr>
                    <w:pStyle w:val="Compact"/>
                    <w:jc w:val="both"/>
                    <w:spacing w:line="360" w:lineRule="auto"/>
                  </w:pPr>
                  <w:r>
                    <w:rPr>
                      <w:bCs/>
                      <w:b/>
                    </w:rPr>
                    <w:t xml:space="preserve">Pos.</w:t>
                  </w:r>
                </w:p>
              </w:tc>
              <w:tc>
                <w:tcPr/>
                <w:p>
                  <w:pPr>
                    <w:pStyle w:val="Compact"/>
                    <w:jc w:val="both"/>
                    <w:spacing w:line="360" w:lineRule="auto"/>
                  </w:pPr>
                  <w:r>
                    <w:rPr>
                      <w:bCs/>
                      <w:b/>
                    </w:rPr>
                    <w:t xml:space="preserve">Neg.</w:t>
                  </w:r>
                </w:p>
              </w:tc>
              <w:tc>
                <w:tcPr/>
                <w:p>
                  <w:pPr>
                    <w:pStyle w:val="Compact"/>
                    <w:jc w:val="both"/>
                    <w:spacing w:line="360" w:lineRule="auto"/>
                  </w:pPr>
                  <ns5:oMath>
                    <ns5:r>
                      <ns5:t>n</ns5:t>
                    </ns5:r>
                  </ns5:oMath>
                  <w:r>
                    <w:rPr>
                      <w:bCs/>
                      <w:b/>
                    </w:rPr>
                    <w:t xml:space="preserve">​</w:t>
                  </w:r>
                </w:p>
              </w:tc>
            </w:tr>
            <w:tr>
              <w:tc>
                <w:tcPr/>
                <w:p>
                  <w:pPr>
                    <w:pStyle w:val="Compact"/>
                    <w:jc w:val="both"/>
                    <w:spacing w:line="360" w:lineRule="auto"/>
                  </w:pPr>
                  <w:r>
                    <w:t xml:space="preserve">Fidelidad</w:t>
                  </w:r>
                </w:p>
              </w:tc>
              <w:tc>
                <w:tcPr/>
                <w:p>
                  <w:pPr>
                    <w:pStyle w:val="Compact"/>
                    <w:jc w:val="both"/>
                    <w:spacing w:line="360" w:lineRule="auto"/>
                  </w:pPr>
                  <w:r>
                    <w:t xml:space="preserve">+0.2479</w:t>
                  </w:r>
                </w:p>
              </w:tc>
              <w:tc>
                <w:tcPr/>
                <w:p>
                  <w:pPr>
                    <w:pStyle w:val="Compact"/>
                    <w:jc w:val="both"/>
                    <w:spacing w:line="360" w:lineRule="auto"/>
                  </w:pPr>
                  <w:r>
                    <w:t xml:space="preserve">0.0514</w:t>
                  </w:r>
                </w:p>
              </w:tc>
              <w:tc>
                <w:tcPr/>
                <w:p>
                  <w:pPr>
                    <w:pStyle w:val="Compact"/>
                    <w:jc w:val="both"/>
                    <w:spacing w:line="360" w:lineRule="auto"/>
                  </w:pPr>
                  <w:r>
                    <w:t xml:space="preserve">+4.820</w:t>
                  </w:r>
                </w:p>
              </w:tc>
              <w:tc>
                <w:tcPr/>
                <w:p>
                  <w:pPr>
                    <w:pStyle w:val="Compact"/>
                    <w:jc w:val="both"/>
                    <w:spacing w:line="360" w:lineRule="auto"/>
                  </w:pPr>
                  <w:r>
                    <w:t xml:space="preserve">75</w:t>
                  </w:r>
                </w:p>
              </w:tc>
              <w:tc>
                <w:tcPr/>
                <w:p>
                  <w:pPr>
                    <w:pStyle w:val="Compact"/>
                    <w:jc w:val="both"/>
                    <w:spacing w:line="360" w:lineRule="auto"/>
                  </w:pPr>
                  <w:r>
                    <w:t xml:space="preserve">0</w:t>
                  </w:r>
                </w:p>
              </w:tc>
              <w:tc>
                <w:tcPr/>
                <w:p>
                  <w:pPr>
                    <w:pStyle w:val="Compact"/>
                    <w:jc w:val="both"/>
                    <w:spacing w:line="360" w:lineRule="auto"/>
                  </w:pPr>
                  <w:r>
                    <w:t xml:space="preserve">75</w:t>
                  </w:r>
                </w:p>
              </w:tc>
            </w:tr>
            <w:tr>
              <w:tc>
                <w:tcPr/>
                <w:p>
                  <w:pPr>
                    <w:pStyle w:val="Compact"/>
                    <w:jc w:val="both"/>
                    <w:spacing w:line="360" w:lineRule="auto"/>
                  </w:pPr>
                  <w:r>
                    <w:t xml:space="preserve">Estabilidad</w:t>
                  </w:r>
                </w:p>
              </w:tc>
              <w:tc>
                <w:tcPr/>
                <w:p>
                  <w:pPr>
                    <w:pStyle w:val="Compact"/>
                    <w:jc w:val="both"/>
                    <w:spacing w:line="360" w:lineRule="auto"/>
                  </w:pPr>
                  <w:r>
                    <w:t xml:space="preserve">+0.7176</w:t>
                  </w:r>
                </w:p>
              </w:tc>
              <w:tc>
                <w:tcPr/>
                <w:p>
                  <w:pPr>
                    <w:pStyle w:val="Compact"/>
                    <w:jc w:val="both"/>
                    <w:spacing w:line="360" w:lineRule="auto"/>
                  </w:pPr>
                  <w:r>
                    <w:t xml:space="preserve">0.2390</w:t>
                  </w:r>
                </w:p>
              </w:tc>
              <w:tc>
                <w:tcPr/>
                <w:p>
                  <w:pPr>
                    <w:pStyle w:val="Compact"/>
                    <w:jc w:val="both"/>
                    <w:spacing w:line="360" w:lineRule="auto"/>
                  </w:pPr>
                  <w:r>
                    <w:t xml:space="preserve">+3.002</w:t>
                  </w:r>
                </w:p>
              </w:tc>
              <w:tc>
                <w:tcPr/>
                <w:p>
                  <w:pPr>
                    <w:pStyle w:val="Compact"/>
                    <w:jc w:val="both"/>
                    <w:spacing w:line="360" w:lineRule="auto"/>
                  </w:pPr>
                  <w:r>
                    <w:t xml:space="preserve">75</w:t>
                  </w:r>
                </w:p>
              </w:tc>
              <w:tc>
                <w:tcPr/>
                <w:p>
                  <w:pPr>
                    <w:pStyle w:val="Compact"/>
                    <w:jc w:val="both"/>
                    <w:spacing w:line="360" w:lineRule="auto"/>
                  </w:pPr>
                  <w:r>
                    <w:t xml:space="preserve">0</w:t>
                  </w:r>
                </w:p>
              </w:tc>
              <w:tc>
                <w:tcPr/>
                <w:p>
                  <w:pPr>
                    <w:pStyle w:val="Compact"/>
                    <w:jc w:val="both"/>
                    <w:spacing w:line="360" w:lineRule="auto"/>
                  </w:pPr>
                  <w:r>
                    <w:t xml:space="preserve">75</w:t>
                  </w:r>
                </w:p>
              </w:tc>
            </w:tr>
            <w:tr>
              <w:tc>
                <w:tcPr/>
                <w:p>
                  <w:pPr>
                    <w:pStyle w:val="Compact"/>
                    <w:jc w:val="both"/>
                    <w:spacing w:line="360" w:lineRule="auto"/>
                  </w:pPr>
                  <w:r>
                    <w:t xml:space="preserve">Parsimonia</w:t>
                  </w:r>
                </w:p>
              </w:tc>
              <w:tc>
                <w:tcPr/>
                <w:p>
                  <w:pPr>
                    <w:pStyle w:val="Compact"/>
                    <w:jc w:val="both"/>
                    <w:spacing w:line="360" w:lineRule="auto"/>
                  </w:pPr>
                  <w:r>
                    <w:t xml:space="preserve">+0.1418</w:t>
                  </w:r>
                </w:p>
              </w:tc>
              <w:tc>
                <w:tcPr/>
                <w:p>
                  <w:pPr>
                    <w:pStyle w:val="Compact"/>
                    <w:jc w:val="both"/>
                    <w:spacing w:line="360" w:lineRule="auto"/>
                  </w:pPr>
                  <w:r>
                    <w:t xml:space="preserve">0.1690</w:t>
                  </w:r>
                </w:p>
              </w:tc>
              <w:tc>
                <w:tcPr/>
                <w:p>
                  <w:pPr>
                    <w:pStyle w:val="Compact"/>
                    <w:jc w:val="both"/>
                    <w:spacing w:line="360" w:lineRule="auto"/>
                  </w:pPr>
                  <w:r>
                    <w:t xml:space="preserve">+0.839</w:t>
                  </w:r>
                </w:p>
              </w:tc>
              <w:tc>
                <w:tcPr/>
                <w:p>
                  <w:pPr>
                    <w:pStyle w:val="Compact"/>
                    <w:jc w:val="both"/>
                    <w:spacing w:line="360" w:lineRule="auto"/>
                  </w:pPr>
                  <w:r>
                    <w:t xml:space="preserve">75</w:t>
                  </w:r>
                </w:p>
              </w:tc>
              <w:tc>
                <w:tcPr/>
                <w:p>
                  <w:pPr>
                    <w:pStyle w:val="Compact"/>
                    <w:jc w:val="both"/>
                    <w:spacing w:line="360" w:lineRule="auto"/>
                  </w:pPr>
                  <w:r>
                    <w:t xml:space="preserve">0</w:t>
                  </w:r>
                </w:p>
              </w:tc>
              <w:tc>
                <w:tcPr/>
                <w:p>
                  <w:pPr>
                    <w:pStyle w:val="Compact"/>
                    <w:jc w:val="both"/>
                    <w:spacing w:line="360" w:lineRule="auto"/>
                  </w:pPr>
                  <w:r>
                    <w:t xml:space="preserve">75</w:t>
                  </w:r>
                </w:p>
              </w:tc>
            </w:tr>
            <w:tr>
              <w:tc>
                <w:tcPr/>
                <w:p>
                  <w:pPr>
                    <w:pStyle w:val="Compact"/>
                    <w:jc w:val="both"/>
                    <w:spacing w:line="360" w:lineRule="auto"/>
                  </w:pPr>
                  <w:r>
                    <w:t xml:space="preserve">Brecha fidelidad</w:t>
                  </w:r>
                </w:p>
              </w:tc>
              <w:tc>
                <w:tcPr/>
                <w:p>
                  <w:pPr>
                    <w:pStyle w:val="Compact"/>
                    <w:jc w:val="both"/>
                    <w:spacing w:line="360" w:lineRule="auto"/>
                  </w:pPr>
                  <w:r>
                    <w:t xml:space="preserve">+0.0453</w:t>
                  </w:r>
                </w:p>
              </w:tc>
              <w:tc>
                <w:tcPr/>
                <w:p>
                  <w:pPr>
                    <w:pStyle w:val="Compact"/>
                    <w:jc w:val="both"/>
                    <w:spacing w:line="360" w:lineRule="auto"/>
                  </w:pPr>
                  <w:r>
                    <w:t xml:space="preserve">0.0173</w:t>
                  </w:r>
                </w:p>
              </w:tc>
              <w:tc>
                <w:tcPr/>
                <w:p>
                  <w:pPr>
                    <w:pStyle w:val="Compact"/>
                    <w:jc w:val="both"/>
                    <w:spacing w:line="360" w:lineRule="auto"/>
                  </w:pPr>
                  <w:r>
                    <w:t xml:space="preserve">+2.626</w:t>
                  </w:r>
                </w:p>
              </w:tc>
              <w:tc>
                <w:tcPr/>
                <w:p>
                  <w:pPr>
                    <w:pStyle w:val="Compact"/>
                    <w:jc w:val="both"/>
                    <w:spacing w:line="360" w:lineRule="auto"/>
                  </w:pPr>
                  <w:r>
                    <w:t xml:space="preserve">74</w:t>
                  </w:r>
                </w:p>
              </w:tc>
              <w:tc>
                <w:tcPr/>
                <w:p>
                  <w:pPr>
                    <w:pStyle w:val="Compact"/>
                    <w:jc w:val="both"/>
                    <w:spacing w:line="360" w:lineRule="auto"/>
                  </w:pPr>
                  <w:r>
                    <w:t xml:space="preserve">1</w:t>
                  </w:r>
                </w:p>
              </w:tc>
              <w:tc>
                <w:tcPr/>
                <w:p>
                  <w:pPr>
                    <w:pStyle w:val="Compact"/>
                    <w:jc w:val="both"/>
                    <w:spacing w:line="360" w:lineRule="auto"/>
                  </w:pPr>
                  <w:r>
                    <w:t xml:space="preserve">75</w:t>
                  </w:r>
                </w:p>
              </w:tc>
            </w:tr>
            <w:tr>
              <w:tc>
                <w:tcPr/>
                <w:p>
                  <w:pPr>
                    <w:pStyle w:val="Compact"/>
                    <w:jc w:val="both"/>
                    <w:spacing w:line="360" w:lineRule="auto"/>
                  </w:pPr>
                  <w:r>
                    <w:t xml:space="preserve">Coste (ms)</w:t>
                  </w:r>
                </w:p>
              </w:tc>
              <w:tc>
                <w:tcPr/>
                <w:p>
                  <w:pPr>
                    <w:pStyle w:val="Compact"/>
                    <w:jc w:val="both"/>
                    <w:spacing w:line="360" w:lineRule="auto"/>
                  </w:pPr>
                  <w:r>
                    <w:t xml:space="preserve">+8047.6</w:t>
                  </w:r>
                </w:p>
              </w:tc>
              <w:tc>
                <w:tcPr/>
                <w:p>
                  <w:pPr>
                    <w:pStyle w:val="Compact"/>
                    <w:jc w:val="both"/>
                    <w:spacing w:line="360" w:lineRule="auto"/>
                  </w:pPr>
                  <w:r>
                    <w:t xml:space="preserve">17856.6</w:t>
                  </w:r>
                </w:p>
              </w:tc>
              <w:tc>
                <w:tcPr/>
                <w:p>
                  <w:pPr>
                    <w:pStyle w:val="Compact"/>
                    <w:jc w:val="both"/>
                    <w:spacing w:line="360" w:lineRule="auto"/>
                  </w:pPr>
                  <w:r>
                    <w:t xml:space="preserve">+0.451</w:t>
                  </w:r>
                </w:p>
              </w:tc>
              <w:tc>
                <w:tcPr/>
                <w:p>
                  <w:pPr>
                    <w:pStyle w:val="Compact"/>
                    <w:jc w:val="both"/>
                    <w:spacing w:line="360" w:lineRule="auto"/>
                  </w:pPr>
                  <w:r>
                    <w:t xml:space="preserve">59</w:t>
                  </w:r>
                </w:p>
              </w:tc>
              <w:tc>
                <w:tcPr/>
                <w:p>
                  <w:pPr>
                    <w:pStyle w:val="Compact"/>
                    <w:jc w:val="both"/>
                    <w:spacing w:line="360" w:lineRule="auto"/>
                  </w:pPr>
                  <w:r>
                    <w:t xml:space="preserve">16</w:t>
                  </w:r>
                </w:p>
              </w:tc>
              <w:tc>
                <w:tcPr/>
                <w:p>
                  <w:pPr>
                    <w:pStyle w:val="Compact"/>
                    <w:jc w:val="both"/>
                    <w:spacing w:line="360" w:lineRule="auto"/>
                  </w:pPr>
                  <w:r>
                    <w:t xml:space="preserve">75</w:t>
                  </w:r>
                </w:p>
              </w:tc>
            </w:tr>
          </w:tbl>
          <w:bookmarkEnd w:id="183"/>
          <w:p>
            <w:pPr>
              <w:spacing w:line="360" w:lineRule="auto"/>
              <w:jc w:val="both"/>
            </w:pPr>
          </w:p>
        </w:tc>
      </w:tr>
    </w:tbl>
    <w:p>
      <w:pPr>
        <w:pStyle w:val="Textoindependiente"/>
        <w:spacing w:line="360" w:lineRule="auto"/>
        <w:jc w:val="both"/>
      </w:pPr>
      <w:r>
        <w:t xml:space="preserve">Los resultados ofrecen evidencia consistente para</w:t>
      </w:r>
      <w:r>
        <w:t xml:space="preserve"> </w:t>
      </w:r>
      <ns5:oMath>
        <ns5:sSub>
          <ns5:e>
            <ns5:r>
              <ns5:t>H</ns5:t>
            </ns5:r>
          </ns5:e>
          <ns5:sub>
            <ns5:r>
              <ns5:t>1</ns5:t>
            </ns5:r>
            <ns5:r>
              <ns5:rPr>
                <ns5:sty ns5:val="p"/>
              </ns5:rPr>
              <ns5:t>,</ns5:t>
            </ns5:r>
            <ns5:r>
              <ns5:t>3</ns5:t>
            </ns5:r>
          </ns5:sub>
        </ns5:sSub>
      </ns5:oMath>
      <w:r>
        <w:t xml:space="preserve"> </w:t>
      </w:r>
      <w:r>
        <w:t xml:space="preserve">bajo las condiciones del diseño pareado:</w:t>
      </w:r>
    </w:p>
    <w:p>
      <w:pPr>
        <w:pStyle w:val="Textoindependiente"/>
        <w:spacing w:line="360" w:lineRule="auto"/>
        <w:jc w:val="both"/>
      </w:pPr>
      <w:r>
        <w:rPr>
          <w:b/>
          <w:bCs/>
        </w:rPr>
        <w:t xml:space="preserve">Fidelidad:</w:t>
      </w:r>
      <w:r>
        <w:t xml:space="preserve"> </w:t>
      </w:r>
      <w:r>
        <w:t xml:space="preserve">SHAP supera a LIME en el 100% de las 75 celdas pareadas (75/75</w:t>
      </w:r>
      <w:r>
        <w:t xml:space="preserve"> </w:t>
      </w:r>
      <w:r>
        <w:t xml:space="preserve">diferencias positivas) con un tamaño del efecto de magnitud muy grande</w:t>
      </w:r>
      <w:r>
        <w:t xml:space="preserve"> </w:t>
      </w:r>
      <w:r>
        <w:t xml:space="preserve">(</w:t>
      </w:r>
      <ns5:oMath>
        <ns5:sSub>
          <ns5:e>
            <ns5:r>
              <ns5:t>d</ns5:t>
            </ns5:r>
          </ns5:e>
          <ns5:sub>
            <ns5:r>
              <ns5:t>z</ns5:t>
            </ns5:r>
          </ns5:sub>
        </ns5:sSub>
        <ns5:r>
          <ns5:rPr>
            <ns5:sty ns5:val="p"/>
          </ns5:rPr>
          <ns5:t>=</ns5:t>
        </ns5:r>
        <ns5:r>
          <ns5:rPr>
            <ns5:sty ns5:val="p"/>
          </ns5:rPr>
          <ns5:t>+</ns5:t>
        </ns5:r>
        <ns5:r>
          <ns5:t>4.820</ns5:t>
        </ns5:r>
      </ns5:oMath>
      <w:r>
        <w:t xml:space="preserve">). Bajo el criterio de Lakens</w:t>
      </w:r>
      <w:r>
        <w:t xml:space="preserve"> </w:t>
      </w:r>
      <w:r>
        <w:t xml:space="preserve">(2013)</w:t>
      </w:r>
      <w:r>
        <w:t xml:space="preserve">,</w:t>
      </w:r>
      <w:r>
        <w:t xml:space="preserve"> </w:t>
      </w:r>
      <ns5:oMath>
        <ns5:sSub>
          <ns5:e>
            <ns5:r>
              <ns5:t>d</ns5:t>
            </ns5:r>
          </ns5:e>
          <ns5:sub>
            <ns5:r>
              <ns5:t>z</ns5:t>
            </ns5:r>
          </ns5:sub>
        </ns5:sSub>
        <ns5:r>
          <ns5:rPr>
            <ns5:sty ns5:val="p"/>
          </ns5:rPr>
          <ns5:t>&gt;</ns5:t>
        </ns5:r>
        <ns5:r>
          <ns5:t>0.8</ns5:t>
        </ns5:r>
      </ns5:oMath>
      <w:r>
        <w:t xml:space="preserve"> </w:t>
      </w:r>
      <w:r>
        <w:t xml:space="preserve">constituye efecto grande;</w:t>
      </w:r>
      <w:r>
        <w:t xml:space="preserve"> </w:t>
      </w:r>
      <ns5:oMath>
        <ns5:sSub>
          <ns5:e>
            <ns5:r>
              <ns5:t>d</ns5:t>
            </ns5:r>
          </ns5:e>
          <ns5:sub>
            <ns5:r>
              <ns5:t>z</ns5:t>
            </ns5:r>
          </ns5:sub>
        </ns5:sSub>
        <ns5:r>
          <ns5:rPr>
            <ns5:sty ns5:val="p"/>
          </ns5:rPr>
          <ns5:t>&gt;</ns5:t>
        </ns5:r>
        <ns5:r>
          <ns5:t>2.0</ns5:t>
        </ns5:r>
      </ns5:oMath>
      <w:r>
        <w:t xml:space="preserve"> </w:t>
      </w:r>
      <w:r>
        <w:t xml:space="preserve">se clasifica comúnmente como efecto muy</w:t>
      </w:r>
      <w:r>
        <w:t xml:space="preserve"> </w:t>
      </w:r>
      <w:r>
        <w:t xml:space="preserve">grande. La diferencia media de +0.248 unidades de fidelidad representa</w:t>
      </w:r>
      <w:r>
        <w:t xml:space="preserve"> </w:t>
      </w:r>
      <w:r>
        <w:t xml:space="preserve">una ventaja sustancial en términos de representatividad de las atribuciones</w:t>
      </w:r>
      <w:r>
        <w:t xml:space="preserve"> </w:t>
      </w:r>
      <w:r>
        <w:t xml:space="preserve">de importancia.</w:t>
      </w:r>
    </w:p>
    <w:p>
      <w:pPr>
        <w:pStyle w:val="Textoindependiente"/>
        <w:spacing w:line="360" w:lineRule="auto"/>
        <w:jc w:val="both"/>
      </w:pPr>
      <w:r>
        <w:rPr>
          <w:b/>
          <w:bCs/>
        </w:rPr>
        <w:t xml:space="preserve">Estabilidad:</w:t>
      </w:r>
      <w:r>
        <w:t xml:space="preserve"> </w:t>
      </w:r>
      <w:r>
        <w:t xml:space="preserve">La ventaja de SHAP es aún más pronunciada en estabilidad</w:t>
      </w:r>
      <w:r>
        <w:t xml:space="preserve"> </w:t>
      </w:r>
      <w:r>
        <w:t xml:space="preserve">(</w:t>
      </w:r>
      <ns5:oMath>
        <ns5:sSub>
          <ns5:e>
            <ns5:r>
              <ns5:t>d</ns5:t>
            </ns5:r>
          </ns5:e>
          <ns5:sub>
            <ns5:r>
              <ns5:t>z</ns5:t>
            </ns5:r>
          </ns5:sub>
        </ns5:sSub>
        <ns5:r>
          <ns5:rPr>
            <ns5:sty ns5:val="p"/>
          </ns5:rPr>
          <ns5:t>=</ns5:t>
        </ns5:r>
        <ns5:r>
          <ns5:rPr>
            <ns5:sty ns5:val="p"/>
          </ns5:rPr>
          <ns5:t>+</ns5:t>
        </ns5:r>
        <ns5:r>
          <ns5:t>3.002</ns5:t>
        </ns5:r>
      </ns5:oMath>
      <w:r>
        <w:t xml:space="preserve">, 75/75 positivas). La diferencia media de +0.718 en similitud</w:t>
      </w:r>
      <w:r>
        <w:t xml:space="preserve"> </w:t>
      </w:r>
      <w:r>
        <w:t xml:space="preserve">coseno es prácticamente equivalente a la diferencia entre explicaciones</w:t>
      </w:r>
      <w:r>
        <w:t xml:space="preserve"> </w:t>
      </w:r>
      <w:r>
        <w:t xml:space="preserve">completamente incoherentes (LIME, media ≈ 0.014) y casi perfectamente estables</w:t>
      </w:r>
      <w:r>
        <w:t xml:space="preserve"> </w:t>
      </w:r>
      <w:r>
        <w:t xml:space="preserve">(SHAP, media ≈ 0.732). Este resultado refleja que la inestabilidad de LIME no</w:t>
      </w:r>
      <w:r>
        <w:t xml:space="preserve"> </w:t>
      </w:r>
      <w:r>
        <w:t xml:space="preserve">es un artefacto de escenarios extremos sino una propiedad sistemática del método.</w:t>
      </w:r>
    </w:p>
    <w:p>
      <w:pPr>
        <w:pStyle w:val="Textoindependiente"/>
        <w:spacing w:line="360" w:lineRule="auto"/>
        <w:jc w:val="both"/>
      </w:pPr>
      <w:r>
        <w:rPr>
          <w:b/>
          <w:bCs/>
        </w:rPr>
        <w:t xml:space="preserve">Parsimonia y brecha de fidelidad:</w:t>
      </w:r>
      <w:r>
        <w:t xml:space="preserve"> </w:t>
      </w:r>
      <w:r>
        <w:t xml:space="preserve">Ambas métricas presentan efectos</w:t>
      </w:r>
      <w:r>
        <w:t xml:space="preserve"> </w:t>
      </w:r>
      <w:r>
        <w:t xml:space="preserve">sustantivos. En parsimonia (ratio activo), SHAP es consistentemente más denso</w:t>
      </w:r>
      <w:r>
        <w:t xml:space="preserve"> </w:t>
      </w:r>
      <w:r>
        <w:t xml:space="preserve">que LIME (+0.142, 75/75 positivas;</w:t>
      </w:r>
      <w:r>
        <w:t xml:space="preserve"> </w:t>
      </w:r>
      <ns5:oMath>
        <ns5:sSub>
          <ns5:e>
            <ns5:r>
              <ns5:t>d</ns5:t>
            </ns5:r>
          </ns5:e>
          <ns5:sub>
            <ns5:r>
              <ns5:t>z</ns5:t>
            </ns5:r>
          </ns5:sub>
        </ns5:sSub>
        <ns5:r>
          <ns5:rPr>
            <ns5:sty ns5:val="p"/>
          </ns5:rPr>
          <ns5:t>=</ns5:t>
        </ns5:r>
        <ns5:r>
          <ns5:rPr>
            <ns5:sty ns5:val="p"/>
          </ns5:rPr>
          <ns5:t>+</ns5:t>
        </ns5:r>
        <ns5:r>
          <ns5:t>0.839</ns5:t>
        </ns5:r>
      </ns5:oMath>
      <w:r>
        <w:t xml:space="preserve">), por lo que LIME es el método</w:t>
      </w:r>
      <w:r>
        <w:t xml:space="preserve"> </w:t>
      </w:r>
      <w:r>
        <w:t xml:space="preserve">más parsimonioso en este benchmark. En brecha de fidelidad, SHAP supera a LIME</w:t>
      </w:r>
      <w:r>
        <w:t xml:space="preserve"> </w:t>
      </w:r>
      <w:r>
        <w:t xml:space="preserve">en 74 de 75 celdas (+0.045;</w:t>
      </w:r>
      <w:r>
        <w:t xml:space="preserve"> </w:t>
      </w:r>
      <ns5:oMath>
        <ns5:sSub>
          <ns5:e>
            <ns5:r>
              <ns5:t>d</ns5:t>
            </ns5:r>
          </ns5:e>
          <ns5:sub>
            <ns5:r>
              <ns5:t>z</ns5:t>
            </ns5:r>
          </ns5:sub>
        </ns5:sSub>
        <ns5:r>
          <ns5:rPr>
            <ns5:sty ns5:val="p"/>
          </ns5:rPr>
          <ns5:t>=</ns5:t>
        </ns5:r>
        <ns5:r>
          <ns5:rPr>
            <ns5:sty ns5:val="p"/>
          </ns5:rPr>
          <ns5:t>+</ns5:t>
        </ns5:r>
        <ns5:r>
          <ns5:t>2.626</ns5:t>
        </ns5:r>
      </ns5:oMath>
      <w:r>
        <w:t xml:space="preserve">), lo que confirma que las</w:t>
      </w:r>
      <w:r>
        <w:t xml:space="preserve"> </w:t>
      </w:r>
      <w:r>
        <w:t xml:space="preserve">características que SHAP identifica</w:t>
      </w:r>
      <w:r>
        <w:t xml:space="preserve"> </w:t>
      </w:r>
      <w:r>
        <w:t xml:space="preserve">como relevantes tienen un efecto mayor cuando se enmascaran, lo que es</w:t>
      </w:r>
      <w:r>
        <w:t xml:space="preserve"> </w:t>
      </w:r>
      <w:r>
        <w:t xml:space="preserve">coherente con la superioridad en fidelidad.</w:t>
      </w:r>
    </w:p>
    <w:p>
      <w:pPr>
        <w:pStyle w:val="Textoindependiente"/>
        <w:spacing w:line="360" w:lineRule="auto"/>
        <w:jc w:val="both"/>
      </w:pPr>
      <w:r>
        <w:rPr>
          <w:b/>
          <w:bCs/>
        </w:rPr>
        <w:t xml:space="preserve">Coste computacional:</w:t>
      </w:r>
      <w:r>
        <w:t xml:space="preserve"> </w:t>
      </w:r>
      <w:r>
        <w:t xml:space="preserve">El patrón se invierte para el coste. SHAP es en</w:t>
      </w:r>
      <w:r>
        <w:t xml:space="preserve"> </w:t>
      </w:r>
      <w:r>
        <w:t xml:space="preserve">promedio más costoso (+8,048 ms), pero con varianza alta (</w:t>
      </w:r>
      <ns5:oMath>
        <ns5:sSub>
          <ns5:e>
            <ns5:r>
              <ns5:t>s</ns5:t>
            </ns5:r>
          </ns5:e>
          <ns5:sub>
            <ns5:r>
              <ns5:t>d</ns5:t>
            </ns5:r>
          </ns5:sub>
        </ns5:sSub>
        <ns5:r>
          <ns5:rPr>
            <ns5:sty ns5:val="p"/>
          </ns5:rPr>
          <ns5:t>=</ns5:t>
        </ns5:r>
        <ns5:r>
          <ns5:t>17</ns5:t>
        </ns5:r>
        <ns5:r>
          <ns5:rPr>
            <ns5:sty ns5:val="p"/>
          </ns5:rPr>
          <ns5:t>,</ns5:t>
        </ns5:r>
        <ns5:r>
          <ns5:t>857</ns5:t>
        </ns5:r>
      </ns5:oMath>
      <w:r>
        <w:t xml:space="preserve"> </w:t>
      </w:r>
      <w:r>
        <w:t xml:space="preserve">ms) por</w:t>
      </w:r>
      <w:r>
        <w:t xml:space="preserve"> </w:t>
      </w:r>
      <w:r>
        <w:t xml:space="preserve">colas pesadas asociadas a KernelSHAP. El signo de las diferencias no es</w:t>
      </w:r>
      <w:r>
        <w:t xml:space="preserve"> </w:t>
      </w:r>
      <w:r>
        <w:t xml:space="preserve">unánime: SHAP resulta más costoso en 59 de 75 celdas, pero en 16 celdas</w:t>
      </w:r>
      <w:r>
        <w:t xml:space="preserve"> </w:t>
      </w:r>
      <w:r>
        <w:t xml:space="preserve">(principalmente XGBoost) LIME es más lento. El efecto moderado (</w:t>
      </w:r>
      <ns5:oMath>
        <ns5:sSub>
          <ns5:e>
            <ns5:r>
              <ns5:t>d</ns5:t>
            </ns5:r>
          </ns5:e>
          <ns5:sub>
            <ns5:r>
              <ns5:t>z</ns5:t>
            </ns5:r>
          </ns5:sub>
        </ns5:sSub>
        <ns5:r>
          <ns5:rPr>
            <ns5:sty ns5:val="p"/>
          </ns5:rPr>
          <ns5:t>=</ns5:t>
        </ns5:r>
        <ns5:r>
          <ns5:rPr>
            <ns5:sty ns5:val="p"/>
          </ns5:rPr>
          <ns5:t>+</ns5:t>
        </ns5:r>
        <ns5:r>
          <ns5:t>0.451</ns5:t>
        </ns5:r>
      </ns5:oMath>
      <w:r>
        <w:t xml:space="preserve">)</w:t>
      </w:r>
      <w:r>
        <w:t xml:space="preserve"> </w:t>
      </w:r>
      <w:r>
        <w:t xml:space="preserve">confirma que la superioridad en calidad de SHAP se acompaña de una penalización</w:t>
      </w:r>
      <w:r>
        <w:t xml:space="preserve"> </w:t>
      </w:r>
      <w:r>
        <w:t xml:space="preserve">de coste en la mayoría de los contextos, pero no en todos.</w:t>
      </w:r>
    </w:p>
    <w:bookmarkEnd w:id="184"/>
    <w:bookmarkStart w:id="185" w:name="X2c15e0a178907c68bf437d0d85cae845d1c590b"/>
    <w:p>
      <w:pPr>
        <w:pStyle w:val="Ttulo3"/>
        <w:spacing w:line="360" w:lineRule="auto"/>
        <w:jc w:val="both"/>
      </w:pPr>
      <w:r>
        <w:t xml:space="preserve">4.3.2 </w:t>
      </w:r>
      <w:r>
        <w:t xml:space="preserve">Verificación del requisito de multiplicidad</w:t>
      </w:r>
    </w:p>
    <w:p>
      <w:pPr>
        <w:pStyle w:val="FirstParagraph"/>
        <w:spacing w:line="360" w:lineRule="auto"/>
        <w:jc w:val="both"/>
      </w:pPr>
      <w:r>
        <w:t xml:space="preserve">La hipótesis H3 involucra cinco comparaciones pareadas simultáneas. Aplicando</w:t>
      </w:r>
      <w:r>
        <w:t xml:space="preserve"> </w:t>
      </w:r>
      <w:r>
        <w:t xml:space="preserve">la corrección de Holm-Bonferroni sobre los cinco test de Wilcoxon, los umbrales</w:t>
      </w:r>
      <w:r>
        <w:t xml:space="preserve"> </w:t>
      </w:r>
      <w:r>
        <w:t xml:space="preserve">de rechazo ajustados para las estadísticas ordenadas son</w:t>
      </w:r>
      <w:r>
        <w:t xml:space="preserve"> </w:t>
      </w:r>
      <ns5:oMath>
        <ns5:r>
          <ns5:t>α</ns5:t>
        </ns5:r>
        <ns5:r>
          <ns5:rPr>
            <ns5:sty ns5:val="p"/>
          </ns5:rPr>
          <ns5:t>/</ns5:t>
        </ns5:r>
        <ns5:r>
          <ns5:rPr>
            <ns5:sty ns5:val="p"/>
          </ns5:rPr>
          <ns5:t>(</ns5:t>
        </ns5:r>
        <ns5:r>
          <ns5:t>5</ns5:t>
        </ns5:r>
        <ns5:r>
          <ns5:rPr>
            <ns5:sty ns5:val="p"/>
          </ns5:rPr>
          <ns5:t>)</ns5:t>
        </ns5:r>
        <ns5:r>
          <ns5:rPr>
            <ns5:sty ns5:val="p"/>
          </ns5:rPr>
          <ns5:t>=</ns5:t>
        </ns5:r>
        <ns5:r>
          <ns5:t>0.01</ns5:t>
        </ns5:r>
      </ns5:oMath>
      <w:r>
        <w:t xml:space="preserve">,</w:t>
      </w:r>
      <w:r>
        <w:t xml:space="preserve"> </w:t>
      </w:r>
      <ns5:oMath>
        <ns5:r>
          <ns5:t>α</ns5:t>
        </ns5:r>
        <ns5:r>
          <ns5:rPr>
            <ns5:sty ns5:val="p"/>
          </ns5:rPr>
          <ns5:t>/</ns5:t>
        </ns5:r>
        <ns5:r>
          <ns5:rPr>
            <ns5:sty ns5:val="p"/>
          </ns5:rPr>
          <ns5:t>(</ns5:t>
        </ns5:r>
        <ns5:r>
          <ns5:t>4</ns5:t>
        </ns5:r>
        <ns5:r>
          <ns5:rPr>
            <ns5:sty ns5:val="p"/>
          </ns5:rPr>
          <ns5:t>)</ns5:t>
        </ns5:r>
        <ns5:r>
          <ns5:rPr>
            <ns5:sty ns5:val="p"/>
          </ns5:rPr>
          <ns5:t>=</ns5:t>
        </ns5:r>
        <ns5:r>
          <ns5:t>0.0125</ns5:t>
        </ns5:r>
      </ns5:oMath>
      <w:r>
        <w:t xml:space="preserve">,</w:t>
      </w:r>
      <w:r>
        <w:t xml:space="preserve"> </w:t>
      </w:r>
      <ns5:oMath>
        <ns5:r>
          <ns5:t>α</ns5:t>
        </ns5:r>
        <ns5:r>
          <ns5:rPr>
            <ns5:sty ns5:val="p"/>
          </ns5:rPr>
          <ns5:t>/</ns5:t>
        </ns5:r>
        <ns5:r>
          <ns5:rPr>
            <ns5:sty ns5:val="p"/>
          </ns5:rPr>
          <ns5:t>(</ns5:t>
        </ns5:r>
        <ns5:r>
          <ns5:t>3</ns5:t>
        </ns5:r>
        <ns5:r>
          <ns5:rPr>
            <ns5:sty ns5:val="p"/>
          </ns5:rPr>
          <ns5:t>)</ns5:t>
        </ns5:r>
        <ns5:r>
          <ns5:rPr>
            <ns5:sty ns5:val="p"/>
          </ns5:rPr>
          <ns5:t>=</ns5:t>
        </ns5:r>
        <ns5:r>
          <ns5:t>0.0167</ns5:t>
        </ns5:r>
      </ns5:oMath>
      <w:r>
        <w:t xml:space="preserve">,</w:t>
      </w:r>
      <w:r>
        <w:t xml:space="preserve"> </w:t>
      </w:r>
      <ns5:oMath>
        <ns5:r>
          <ns5:t>α</ns5:t>
        </ns5:r>
        <ns5:r>
          <ns5:rPr>
            <ns5:sty ns5:val="p"/>
          </ns5:rPr>
          <ns5:t>/</ns5:t>
        </ns5:r>
        <ns5:r>
          <ns5:rPr>
            <ns5:sty ns5:val="p"/>
          </ns5:rPr>
          <ns5:t>(</ns5:t>
        </ns5:r>
        <ns5:r>
          <ns5:t>2</ns5:t>
        </ns5:r>
        <ns5:r>
          <ns5:rPr>
            <ns5:sty ns5:val="p"/>
          </ns5:rPr>
          <ns5:t>)</ns5:t>
        </ns5:r>
        <ns5:r>
          <ns5:rPr>
            <ns5:sty ns5:val="p"/>
          </ns5:rPr>
          <ns5:t>=</ns5:t>
        </ns5:r>
        <ns5:r>
          <ns5:t>0.025</ns5:t>
        </ns5:r>
      </ns5:oMath>
      <w:r>
        <w:t xml:space="preserve">,</w:t>
      </w:r>
      <w:r>
        <w:t xml:space="preserve"> </w:t>
      </w:r>
      <ns5:oMath>
        <ns5:r>
          <ns5:t>α</ns5:t>
        </ns5:r>
        <ns5:r>
          <ns5:rPr>
            <ns5:sty ns5:val="p"/>
          </ns5:rPr>
          <ns5:t>/</ns5:t>
        </ns5:r>
        <ns5:r>
          <ns5:rPr>
            <ns5:sty ns5:val="p"/>
          </ns5:rPr>
          <ns5:t>(</ns5:t>
        </ns5:r>
        <ns5:r>
          <ns5:t>1</ns5:t>
        </ns5:r>
        <ns5:r>
          <ns5:rPr>
            <ns5:sty ns5:val="p"/>
          </ns5:rPr>
          <ns5:t>)</ns5:t>
        </ns5:r>
        <ns5:r>
          <ns5:rPr>
            <ns5:sty ns5:val="p"/>
          </ns5:rPr>
          <ns5:t>=</ns5:t>
        </ns5:r>
        <ns5:r>
          <ns5:t>0.05</ns5:t>
        </ns5:r>
      </ns5:oMath>
      <w:r>
        <w:t xml:space="preserve">. Dado que las diferencias en fidelidad y estabilidad presentan</w:t>
      </w:r>
      <w:r>
        <w:t xml:space="preserve"> </w:t>
      </w:r>
      <ns5:oMath>
        <ns5:sSub>
          <ns5:e>
            <ns5:r>
              <ns5:t>d</ns5:t>
            </ns5:r>
          </ns5:e>
          <ns5:sub>
            <ns5:r>
              <ns5:t>z</ns5:t>
            </ns5:r>
          </ns5:sub>
        </ns5:sSub>
        <ns5:r>
          <ns5:rPr>
            <ns5:sty ns5:val="p"/>
          </ns5:rPr>
          <ns5:t>&gt;</ns5:t>
        </ns5:r>
        <ns5:r>
          <ns5:t>2.6</ns5:t>
        </ns5:r>
      </ns5:oMath>
      <w:r>
        <w:t xml:space="preserve"> </w:t>
      </w:r>
      <w:r>
        <w:t xml:space="preserve">con</w:t>
      </w:r>
      <w:r>
        <w:t xml:space="preserve"> </w:t>
      </w:r>
      <ns5:oMath>
        <ns5:r>
          <ns5:t>n</ns5:t>
        </ns5:r>
        <ns5:r>
          <ns5:rPr>
            <ns5:sty ns5:val="p"/>
          </ns5:rPr>
          <ns5:t>=</ns5:t>
        </ns5:r>
        <ns5:r>
          <ns5:t>75</ns5:t>
        </ns5:r>
      </ns5:oMath>
      <w:r>
        <w:t xml:space="preserve"> </w:t>
      </w:r>
      <w:r>
        <w:t xml:space="preserve">y consistencia direccional casi perfecta, los p-valores</w:t>
      </w:r>
      <w:r>
        <w:t xml:space="preserve"> </w:t>
      </w:r>
      <w:r>
        <w:t xml:space="preserve">bilaterales permanecen muy por debajo de los umbrales ajustados. En particular,</w:t>
      </w:r>
      <w:r>
        <w:t xml:space="preserve"> </w:t>
      </w:r>
      <w:r>
        <w:t xml:space="preserve">las métricas de calidad conservan significancia con</w:t>
      </w:r>
      <w:r>
        <w:t xml:space="preserve"> </w:t>
      </w:r>
      <ns5:oMath>
        <ns5:sSub>
          <ns5:e>
            <ns5:r>
              <ns5:t>p</ns5:t>
            </ns5:r>
          </ns5:e>
          <ns5:sub>
            <ns5:r>
              <ns5:rPr>
                <ns5:sty ns5:val="p"/>
              </ns5:rPr>
              <ns5:t>H</ns5:t>
            </ns5:r>
            <ns5:r>
              <ns5:rPr>
                <ns5:sty ns5:val="p"/>
              </ns5:rPr>
              <ns5:t>o</ns5:t>
            </ns5:r>
            <ns5:r>
              <ns5:rPr>
                <ns5:sty ns5:val="p"/>
              </ns5:rPr>
              <ns5:t>l</ns5:t>
            </ns5:r>
            <ns5:r>
              <ns5:rPr>
                <ns5:sty ns5:val="p"/>
              </ns5:rPr>
              <ns5:t>m</ns5:t>
            </ns5:r>
          </ns5:sub>
        </ns5:sSub>
      </ns5:oMath>
      <w:r>
        <w:t xml:space="preserve"> </w:t>
      </w:r>
      <w:r>
        <w:t xml:space="preserve">del</w:t>
      </w:r>
      <w:r>
        <w:t xml:space="preserve"> </w:t>
      </w:r>
      <w:r>
        <w:t xml:space="preserve">orden de</w:t>
      </w:r>
      <w:r>
        <w:t xml:space="preserve"> </w:t>
      </w:r>
      <ns5:oMath>
        <ns5:sSup>
          <ns5:e>
            <ns5:r>
              <ns5:t>10</ns5:t>
            </ns5:r>
          </ns5:e>
          <ns5:sup>
            <ns5:r>
              <ns5:rPr>
                <ns5:sty ns5:val="p"/>
              </ns5:rPr>
              <ns5:t>−</ns5:t>
            </ns5:r>
            <ns5:r>
              <ns5:t>13</ns5:t>
            </ns5:r>
          </ns5:sup>
        </ns5:sSup>
      </ns5:oMath>
      <w:r>
        <w:t xml:space="preserve">, y el coste con</w:t>
      </w:r>
      <w:r>
        <w:t xml:space="preserve"> </w:t>
      </w:r>
      <ns5:oMath>
        <ns5:sSub>
          <ns5:e>
            <ns5:r>
              <ns5:t>p</ns5:t>
            </ns5:r>
          </ns5:e>
          <ns5:sub>
            <ns5:r>
              <ns5:rPr>
                <ns5:sty ns5:val="p"/>
              </ns5:rPr>
              <ns5:t>H</ns5:t>
            </ns5:r>
            <ns5:r>
              <ns5:rPr>
                <ns5:sty ns5:val="p"/>
              </ns5:rPr>
              <ns5:t>o</ns5:t>
            </ns5:r>
            <ns5:r>
              <ns5:rPr>
                <ns5:sty ns5:val="p"/>
              </ns5:rPr>
              <ns5:t>l</ns5:t>
            </ns5:r>
            <ns5:r>
              <ns5:rPr>
                <ns5:sty ns5:val="p"/>
              </ns5:rPr>
              <ns5:t>m</ns5:t>
            </ns5:r>
          </ns5:sub>
        </ns5:sSub>
      </ns5:oMath>
      <w:r>
        <w:t xml:space="preserve"> </w:t>
      </w:r>
      <w:r>
        <w:t xml:space="preserve">del orden de</w:t>
      </w:r>
      <w:r>
        <w:t xml:space="preserve"> </w:t>
      </w:r>
      <ns5:oMath>
        <ns5:sSup>
          <ns5:e>
            <ns5:r>
              <ns5:t>10</ns5:t>
            </ns5:r>
          </ns5:e>
          <ns5:sup>
            <ns5:r>
              <ns5:rPr>
                <ns5:sty ns5:val="p"/>
              </ns5:rPr>
              <ns5:t>−</ns5:t>
            </ns5:r>
            <ns5:r>
              <ns5:t>10</ns5:t>
            </ns5:r>
          </ns5:sup>
        </ns5:sSup>
      </ns5:oMath>
      <w:r>
        <w:t xml:space="preserve">. Por tanto,</w:t>
      </w:r>
      <w:r>
        <w:t xml:space="preserve"> </w:t>
      </w:r>
      <ns5:oMath>
        <ns5:sSub>
          <ns5:e>
            <ns5:r>
              <ns5:t>H</ns5:t>
            </ns5:r>
          </ns5:e>
          <ns5:sub>
            <ns5:r>
              <ns5:t>1</ns5:t>
            </ns5:r>
            <ns5:r>
              <ns5:rPr>
                <ns5:sty ns5:val="p"/>
              </ns5:rPr>
              <ns5:t>,</ns5:t>
            </ns5:r>
            <ns5:r>
              <ns5:t>3</ns5:t>
            </ns5:r>
          </ns5:sub>
        </ns5:sSub>
      </ns5:oMath>
      <w:r>
        <w:t xml:space="preserve"> </w:t>
      </w:r>
      <w:r>
        <w:t xml:space="preserve">se acepta para las cinco métricas bajo control</w:t>
      </w:r>
      <w:r>
        <w:t xml:space="preserve"> </w:t>
      </w:r>
      <w:r>
        <w:t xml:space="preserve">de multiplicidad.</w:t>
      </w:r>
    </w:p>
    <w:bookmarkEnd w:id="185"/>
    <w:bookmarkEnd w:id="186"/>
    <w:bookmarkStart w:id="188" w:name="sec-p1"/>
    <w:p>
      <w:pPr>
        <w:pStyle w:val="Ttulo2"/>
        <w:spacing w:line="360" w:lineRule="auto"/>
        <w:jc w:val="both"/>
      </w:pPr>
      <w:r>
        <w:t xml:space="preserve">4.4 </w:t>
      </w:r>
      <w:r>
        <w:t xml:space="preserve">Proposición P1: Reproducibilidad del protocolo FOM-7</w:t>
      </w:r>
    </w:p>
    <w:p>
      <w:pPr>
        <w:pStyle w:val="FirstParagraph"/>
        <w:spacing w:line="360" w:lineRule="auto"/>
        <w:jc w:val="both"/>
      </w:pPr>
      <w:r>
        <w:t xml:space="preserve">La proposición P1 establece que el protocolo FOM-7 debe producir un coeficiente</w:t>
      </w:r>
      <w:r>
        <w:t xml:space="preserve"> </w:t>
      </w:r>
      <w:r>
        <w:t xml:space="preserve">de variación (CV) inferior al 15% en las métricas primarias bajo ejecuciones</w:t>
      </w:r>
      <w:r>
        <w:t xml:space="preserve"> </w:t>
      </w:r>
      <w:r>
        <w:t xml:space="preserve">repetidas con semillas distintas en condiciones de configuración idéntica.</w:t>
      </w:r>
    </w:p>
    <w:p>
      <w:pPr>
        <w:pStyle w:val="Textoindependiente"/>
        <w:spacing w:line="360" w:lineRule="auto"/>
        <w:jc w:val="both"/>
      </w:pPr>
      <w:r>
        <w:t xml:space="preserve">Para su evaluación se calculó el CV de cada métrica primaria para SHAP y LIME</w:t>
      </w:r>
      <w:r>
        <w:t xml:space="preserve"> </w:t>
      </w:r>
      <w:r>
        <w:t xml:space="preserve">sobre el subconjunto del modelo RF con</w:t>
      </w:r>
      <w:r>
        <w:t xml:space="preserve"> </w:t>
      </w:r>
      <ns5:oMath>
        <ns5:r>
          <ns5:t>N</ns5:t>
        </ns5:r>
        <ns5:r>
          <ns5:rPr>
            <ns5:sty ns5:val="p"/>
          </ns5:rPr>
          <ns5:t>=</ns5:t>
        </ns5:r>
        <ns5:r>
          <ns5:t>100</ns5:t>
        </ns5:r>
      </ns5:oMath>
      <w:r>
        <w:t xml:space="preserve">, tomando las cinco semillas</w:t>
      </w:r>
      <w:r>
        <w:t xml:space="preserve"> </w:t>
      </w:r>
      <ns5:oMath>
        <ns5:r>
          <ns5:t>s</ns5:t>
        </ns5:r>
        <ns5:r>
          <ns5:rPr>
            <ns5:sty ns5:val="p"/>
          </ns5:rPr>
          <ns5:t>∈</ns5:t>
        </ns5:r>
        <ns5:r>
          <ns5:rPr>
            <ns5:sty ns5:val="p"/>
          </ns5:rPr>
          <ns5:t>{</ns5:t>
        </ns5:r>
        <ns5:r>
          <ns5:t>42</ns5:t>
        </ns5:r>
        <ns5:r>
          <ns5:rPr>
            <ns5:sty ns5:val="p"/>
          </ns5:rPr>
          <ns5:t>,</ns5:t>
        </ns5:r>
        <ns5:r>
          <ns5:t>123</ns5:t>
        </ns5:r>
        <ns5:r>
          <ns5:rPr>
            <ns5:sty ns5:val="p"/>
          </ns5:rPr>
          <ns5:t>,</ns5:t>
        </ns5:r>
        <ns5:r>
          <ns5:t>456</ns5:t>
        </ns5:r>
        <ns5:r>
          <ns5:rPr>
            <ns5:sty ns5:val="p"/>
          </ns5:rPr>
          <ns5:t>,</ns5:t>
        </ns5:r>
        <ns5:r>
          <ns5:t>789</ns5:t>
        </ns5:r>
        <ns5:r>
          <ns5:rPr>
            <ns5:sty ns5:val="p"/>
          </ns5:rPr>
          <ns5:t>,</ns5:t>
        </ns5:r>
        <ns5:r>
          <ns5:t>999</ns5:t>
        </ns5:r>
        <ns5:r>
          <ns5:rPr>
            <ns5:sty ns5:val="p"/>
          </ns5:rPr>
          <ns5:t>}</ns5:t>
        </ns5:r>
      </ns5:oMath>
      <w:r>
        <w:t xml:space="preserve"> </w:t>
      </w:r>
      <w:r>
        <w:t xml:space="preserve">como réplicas independientes:</w:t>
      </w:r>
    </w:p>
    <w:tbl>
      <w:tblPr>
        <w:tblStyle w:val="Table"/>
        <w:tblW w:type="pct" w:w="5000"/>
        <w:jc w:val="center"/>
        <w:tblLayout w:type="fixed"/>
        <w:tblLook w:firstRow="0" w:lastRow="0" w:firstColumn="0" w:lastColumn="0" w:noHBand="0" w:noVBand="0" w:val="0000"/>
      </w:tblPr>
      <w:tblGrid>
        <w:gridCol w:w="7920"/>
      </w:tblGrid>
      <w:tr>
        <w:tc>
          <w:tcPr/>
          <w:bookmarkStart w:id="187" w:name="tbl-cv-p1"/>
          <w:p>
            <w:pPr>
              <w:pStyle w:val="ImageCaption"/>
              <w:spacing w:before="200" w:line="360" w:lineRule="auto"/>
              <w:jc w:val="center"/>
            </w:pPr>
            <w:r>
              <w:t xml:space="preserve">Tabla 4.6: Coeficiente de variación de métricas primarias bajo 5 semillas distintas (RF,</w:t>
            </w:r>
            <w:r>
              <w:t xml:space="preserve"> </w:t>
            </w:r>
            <ns5:oMath>
              <ns5:r>
                <ns5:t>N</ns5:t>
              </ns5:r>
              <ns5:r>
                <ns5:rPr>
                  <ns5:sty ns5:val="p"/>
                </ns5:rPr>
                <ns5:t>=</ns5:t>
              </ns5:r>
              <ns5:r>
                <ns5:t>100</ns5:t>
              </ns5:r>
            </ns5:oMath>
            <w:r>
              <w:t xml:space="preserve">).</w:t>
            </w:r>
          </w:p>
          <w:tbl>
            <w:tblPr>
              <w:tblStyle w:val="Table"/>
              <w:tblW w:type="auto" w:w="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both"/>
                    <w:spacing w:line="360" w:lineRule="auto"/>
                  </w:pPr>
                  <w:r>
                    <w:rPr>
                      <w:bCs/>
                      <w:b/>
                    </w:rPr>
                    <w:t xml:space="preserve">Método</w:t>
                  </w:r>
                </w:p>
              </w:tc>
              <w:tc>
                <w:tcPr/>
                <w:p>
                  <w:pPr>
                    <w:pStyle w:val="Compact"/>
                    <w:jc w:val="both"/>
                    <w:spacing w:line="360" w:lineRule="auto"/>
                  </w:pPr>
                  <w:r>
                    <w:rPr>
                      <w:bCs/>
                      <w:b/>
                    </w:rPr>
                    <w:t xml:space="preserve">Métrica</w:t>
                  </w:r>
                </w:p>
              </w:tc>
              <w:tc>
                <w:tcPr/>
                <w:p>
                  <w:pPr>
                    <w:pStyle w:val="Compact"/>
                    <w:jc w:val="both"/>
                    <w:spacing w:line="360" w:lineRule="auto"/>
                  </w:pPr>
                  <w:r>
                    <w:rPr>
                      <w:bCs/>
                      <w:b/>
                    </w:rPr>
                    <w:t xml:space="preserve">Media</w:t>
                  </w:r>
                </w:p>
              </w:tc>
              <w:tc>
                <w:tcPr/>
                <w:p>
                  <w:pPr>
                    <w:pStyle w:val="Compact"/>
                    <w:jc w:val="both"/>
                    <w:spacing w:line="360" w:lineRule="auto"/>
                  </w:pPr>
                  <w:r>
                    <w:rPr>
                      <w:bCs/>
                      <w:b/>
                    </w:rPr>
                    <w:t xml:space="preserve">Desv. típica</w:t>
                  </w:r>
                </w:p>
              </w:tc>
              <w:tc>
                <w:tcPr/>
                <w:p>
                  <w:pPr>
                    <w:pStyle w:val="Compact"/>
                    <w:jc w:val="both"/>
                    <w:spacing w:line="360" w:lineRule="auto"/>
                  </w:pPr>
                  <w:r>
                    <w:rPr>
                      <w:bCs/>
                      <w:b/>
                    </w:rPr>
                    <w:t xml:space="preserve">CV (%)</w:t>
                  </w:r>
                </w:p>
              </w:tc>
              <w:tc>
                <w:tcPr/>
                <w:p>
                  <w:pPr>
                    <w:pStyle w:val="Compact"/>
                    <w:jc w:val="both"/>
                    <w:spacing w:line="360" w:lineRule="auto"/>
                  </w:pPr>
                  <w:r>
                    <w:rPr>
                      <w:bCs/>
                      <w:b/>
                    </w:rPr>
                    <w:t xml:space="preserve">Criterio P1</w:t>
                  </w:r>
                </w:p>
              </w:tc>
            </w:tr>
            <w:tr>
              <w:tc>
                <w:tcPr/>
                <w:p>
                  <w:pPr>
                    <w:pStyle w:val="Compact"/>
                    <w:jc w:val="both"/>
                    <w:spacing w:line="360" w:lineRule="auto"/>
                  </w:pPr>
                  <w:r>
                    <w:t xml:space="preserve">SHAP</w:t>
                  </w:r>
                </w:p>
              </w:tc>
              <w:tc>
                <w:tcPr/>
                <w:p>
                  <w:pPr>
                    <w:pStyle w:val="Compact"/>
                    <w:jc w:val="both"/>
                    <w:spacing w:line="360" w:lineRule="auto"/>
                  </w:pPr>
                  <w:r>
                    <w:t xml:space="preserve">Fidelidad</w:t>
                  </w:r>
                </w:p>
              </w:tc>
              <w:tc>
                <w:tcPr/>
                <w:p>
                  <w:pPr>
                    <w:pStyle w:val="Compact"/>
                    <w:jc w:val="both"/>
                    <w:spacing w:line="360" w:lineRule="auto"/>
                  </w:pPr>
                  <w:r>
                    <w:t xml:space="preserve">0.732</w:t>
                  </w:r>
                </w:p>
              </w:tc>
              <w:tc>
                <w:tcPr/>
                <w:p>
                  <w:pPr>
                    <w:pStyle w:val="Compact"/>
                    <w:jc w:val="both"/>
                    <w:spacing w:line="360" w:lineRule="auto"/>
                  </w:pPr>
                  <w:r>
                    <w:t xml:space="preserve">0.006</w:t>
                  </w:r>
                </w:p>
              </w:tc>
              <w:tc>
                <w:tcPr/>
                <w:p>
                  <w:pPr>
                    <w:pStyle w:val="Compact"/>
                    <w:jc w:val="both"/>
                    <w:spacing w:line="360" w:lineRule="auto"/>
                  </w:pPr>
                  <w:r>
                    <w:rPr>
                      <w:b/>
                      <w:bCs/>
                    </w:rPr>
                    <w:t xml:space="preserve">0.8</w:t>
                  </w:r>
                </w:p>
              </w:tc>
              <w:tc>
                <w:tcPr/>
                <w:p>
                  <w:pPr>
                    <w:pStyle w:val="Compact"/>
                    <w:jc w:val="both"/>
                    <w:spacing w:line="360" w:lineRule="auto"/>
                  </w:pPr>
                  <w:r>
                    <w:t xml:space="preserve">✓ Cumple</w:t>
                  </w:r>
                </w:p>
              </w:tc>
            </w:tr>
            <w:tr>
              <w:tc>
                <w:tcPr/>
                <w:p>
                  <w:pPr>
                    <w:pStyle w:val="Compact"/>
                    <w:jc w:val="both"/>
                    <w:spacing w:line="360" w:lineRule="auto"/>
                  </w:pPr>
                  <w:r>
                    <w:t xml:space="preserve">SHAP</w:t>
                  </w:r>
                </w:p>
              </w:tc>
              <w:tc>
                <w:tcPr/>
                <w:p>
                  <w:pPr>
                    <w:pStyle w:val="Compact"/>
                    <w:jc w:val="both"/>
                    <w:spacing w:line="360" w:lineRule="auto"/>
                  </w:pPr>
                  <w:r>
                    <w:t xml:space="preserve">Estabilidad</w:t>
                  </w:r>
                </w:p>
              </w:tc>
              <w:tc>
                <w:tcPr/>
                <w:p>
                  <w:pPr>
                    <w:pStyle w:val="Compact"/>
                    <w:jc w:val="both"/>
                    <w:spacing w:line="360" w:lineRule="auto"/>
                  </w:pPr>
                  <w:r>
                    <w:t xml:space="preserve">0.948</w:t>
                  </w:r>
                </w:p>
              </w:tc>
              <w:tc>
                <w:tcPr/>
                <w:p>
                  <w:pPr>
                    <w:pStyle w:val="Compact"/>
                    <w:jc w:val="both"/>
                    <w:spacing w:line="360" w:lineRule="auto"/>
                  </w:pPr>
                  <w:r>
                    <w:t xml:space="preserve">0.007</w:t>
                  </w:r>
                </w:p>
              </w:tc>
              <w:tc>
                <w:tcPr/>
                <w:p>
                  <w:pPr>
                    <w:pStyle w:val="Compact"/>
                    <w:jc w:val="both"/>
                    <w:spacing w:line="360" w:lineRule="auto"/>
                  </w:pPr>
                  <w:r>
                    <w:rPr>
                      <w:b/>
                      <w:bCs/>
                    </w:rPr>
                    <w:t xml:space="preserve">0.7</w:t>
                  </w:r>
                </w:p>
              </w:tc>
              <w:tc>
                <w:tcPr/>
                <w:p>
                  <w:pPr>
                    <w:pStyle w:val="Compact"/>
                    <w:jc w:val="both"/>
                    <w:spacing w:line="360" w:lineRule="auto"/>
                  </w:pPr>
                  <w:r>
                    <w:t xml:space="preserve">✓ Cumple</w:t>
                  </w:r>
                </w:p>
              </w:tc>
            </w:tr>
            <w:tr>
              <w:tc>
                <w:tcPr/>
                <w:p>
                  <w:pPr>
                    <w:pStyle w:val="Compact"/>
                    <w:jc w:val="both"/>
                    <w:spacing w:line="360" w:lineRule="auto"/>
                  </w:pPr>
                  <w:r>
                    <w:t xml:space="preserve">LIME</w:t>
                  </w:r>
                </w:p>
              </w:tc>
              <w:tc>
                <w:tcPr/>
                <w:p>
                  <w:pPr>
                    <w:pStyle w:val="Compact"/>
                    <w:jc w:val="both"/>
                    <w:spacing w:line="360" w:lineRule="auto"/>
                  </w:pPr>
                  <w:r>
                    <w:t xml:space="preserve">Fidelidad</w:t>
                  </w:r>
                </w:p>
              </w:tc>
              <w:tc>
                <w:tcPr/>
                <w:p>
                  <w:pPr>
                    <w:pStyle w:val="Compact"/>
                    <w:jc w:val="both"/>
                    <w:spacing w:line="360" w:lineRule="auto"/>
                  </w:pPr>
                  <w:r>
                    <w:t xml:space="preserve">0.461</w:t>
                  </w:r>
                </w:p>
              </w:tc>
              <w:tc>
                <w:tcPr/>
                <w:p>
                  <w:pPr>
                    <w:pStyle w:val="Compact"/>
                    <w:jc w:val="both"/>
                    <w:spacing w:line="360" w:lineRule="auto"/>
                  </w:pPr>
                  <w:r>
                    <w:t xml:space="preserve">0.012</w:t>
                  </w:r>
                </w:p>
              </w:tc>
              <w:tc>
                <w:tcPr/>
                <w:p>
                  <w:pPr>
                    <w:pStyle w:val="Compact"/>
                    <w:jc w:val="both"/>
                    <w:spacing w:line="360" w:lineRule="auto"/>
                  </w:pPr>
                  <w:r>
                    <w:rPr>
                      <w:b/>
                      <w:bCs/>
                    </w:rPr>
                    <w:t xml:space="preserve">2.6</w:t>
                  </w:r>
                </w:p>
              </w:tc>
              <w:tc>
                <w:tcPr/>
                <w:p>
                  <w:pPr>
                    <w:pStyle w:val="Compact"/>
                    <w:jc w:val="both"/>
                    <w:spacing w:line="360" w:lineRule="auto"/>
                  </w:pPr>
                  <w:r>
                    <w:t xml:space="preserve">✓ Cumple</w:t>
                  </w:r>
                </w:p>
              </w:tc>
            </w:tr>
            <w:tr>
              <w:tc>
                <w:tcPr/>
                <w:p>
                  <w:pPr>
                    <w:pStyle w:val="Compact"/>
                    <w:jc w:val="both"/>
                    <w:spacing w:line="360" w:lineRule="auto"/>
                  </w:pPr>
                  <w:r>
                    <w:t xml:space="preserve">LIME</w:t>
                  </w:r>
                </w:p>
              </w:tc>
              <w:tc>
                <w:tcPr/>
                <w:p>
                  <w:pPr>
                    <w:pStyle w:val="Compact"/>
                    <w:jc w:val="both"/>
                    <w:spacing w:line="360" w:lineRule="auto"/>
                  </w:pPr>
                  <w:r>
                    <w:t xml:space="preserve">Estabilidad</w:t>
                  </w:r>
                </w:p>
              </w:tc>
              <w:tc>
                <w:tcPr/>
                <w:p>
                  <w:pPr>
                    <w:pStyle w:val="Compact"/>
                    <w:jc w:val="both"/>
                    <w:spacing w:line="360" w:lineRule="auto"/>
                  </w:pPr>
                  <w:r>
                    <w:t xml:space="preserve">0.018</w:t>
                  </w:r>
                </w:p>
              </w:tc>
              <w:tc>
                <w:tcPr/>
                <w:p>
                  <w:pPr>
                    <w:pStyle w:val="Compact"/>
                    <w:jc w:val="both"/>
                    <w:spacing w:line="360" w:lineRule="auto"/>
                  </w:pPr>
                  <w:r>
                    <w:t xml:space="preserve">0.015</w:t>
                  </w:r>
                </w:p>
              </w:tc>
              <w:tc>
                <w:tcPr/>
                <w:p>
                  <w:pPr>
                    <w:pStyle w:val="Compact"/>
                    <w:jc w:val="both"/>
                    <w:spacing w:line="360" w:lineRule="auto"/>
                  </w:pPr>
                  <w:r>
                    <w:rPr>
                      <w:b/>
                      <w:bCs/>
                    </w:rPr>
                    <w:t xml:space="preserve">86.2</w:t>
                  </w:r>
                </w:p>
              </w:tc>
              <w:tc>
                <w:tcPr/>
                <w:p>
                  <w:pPr>
                    <w:pStyle w:val="Compact"/>
                    <w:jc w:val="both"/>
                    <w:spacing w:line="360" w:lineRule="auto"/>
                  </w:pPr>
                  <w:r>
                    <w:t xml:space="preserve">✗ No cumple</w:t>
                  </w:r>
                </w:p>
              </w:tc>
            </w:tr>
          </w:tbl>
          <w:bookmarkEnd w:id="187"/>
          <w:p>
            <w:pPr>
              <w:spacing w:line="360" w:lineRule="auto"/>
              <w:jc w:val="both"/>
            </w:pPr>
          </w:p>
        </w:tc>
      </w:tr>
    </w:tbl>
    <w:p>
      <w:pPr>
        <w:pStyle w:val="Textoindependiente"/>
        <w:spacing w:line="360" w:lineRule="auto"/>
        <w:jc w:val="both"/>
      </w:pPr>
      <w:r>
        <w:rPr>
          <w:i/>
          <w:iCs/>
        </w:rPr>
        <w:t xml:space="preserve">Nota de alcance:</w:t>
      </w:r>
      <w:r>
        <w:t xml:space="preserve"> </w:t>
      </w:r>
      <w:r>
        <w:t xml:space="preserve">El valor de estabilidad de SHAP (0.948) corresponde exclusivamente al subgrupo RF/</w:t>
      </w:r>
      <ns5:oMath>
        <ns5:r>
          <ns5:t>N</ns5:t>
        </ns5:r>
        <ns5:r>
          <ns5:rPr>
            <ns5:sty ns5:val="p"/>
          </ns5:rPr>
          <ns5:t>=</ns5:t>
        </ns5:r>
        <ns5:r>
          <ns5:t>100</ns5:t>
        </ns5:r>
      </ns5:oMath>
      <w:r>
        <w:t xml:space="preserve"> </w:t>
      </w:r>
      <w:r>
        <w:t xml:space="preserve">del perfilado P1. La media EXP2 de estabilidad SHAP sobre los cinco modelos y los tres tamaños de muestra es 0.732; la diferencia refleja que KernelSHAP aplicado a SVM y MLP produce estabilidades marcadamente menores que TreeSHAP aplicado a RF, lo que reduce la media global respecto al valor observado aquí.</w:t>
      </w:r>
    </w:p>
    <w:p>
      <w:pPr>
        <w:pStyle w:val="Textoindependiente"/>
        <w:spacing w:line="360" w:lineRule="auto"/>
        <w:jc w:val="both"/>
      </w:pPr>
      <w:r>
        <w:t xml:space="preserve">Los resultados confirman P1 parcialmente. Para las métricas en las que el</w:t>
      </w:r>
      <w:r>
        <w:t xml:space="preserve"> </w:t>
      </w:r>
      <w:r>
        <w:t xml:space="preserve">método produce señales de magnitud apreciable, el CV es inferior al 15%:</w:t>
      </w:r>
      <w:r>
        <w:t xml:space="preserve"> </w:t>
      </w:r>
      <w:r>
        <w:t xml:space="preserve">SHAP-fidelidad (0.8%), SHAP-estabilidad (0.7%) y LIME-fidelidad (2.6%) cumplen</w:t>
      </w:r>
      <w:r>
        <w:t xml:space="preserve"> </w:t>
      </w:r>
      <w:r>
        <w:t xml:space="preserve">ampliamente el criterio. La excepción es LIME-estabilidad, con CV = 86.2%, que</w:t>
      </w:r>
      <w:r>
        <w:t xml:space="preserve"> </w:t>
      </w:r>
      <w:r>
        <w:t xml:space="preserve">viola el umbral del 15%.</w:t>
      </w:r>
    </w:p>
    <w:p>
      <w:pPr>
        <w:pStyle w:val="Textoindependiente"/>
        <w:spacing w:line="360" w:lineRule="auto"/>
        <w:jc w:val="both"/>
      </w:pPr>
      <w:r>
        <w:t xml:space="preserve">Sin embargo, este incumplimiento es interpretable como un hallazgo sustantivo</w:t>
      </w:r>
      <w:r>
        <w:t xml:space="preserve"> </w:t>
      </w:r>
      <w:r>
        <w:t xml:space="preserve">más que como un defecto del protocolo. LIME-estabilidad tiene media 0.018, es</w:t>
      </w:r>
      <w:r>
        <w:t xml:space="preserve"> </w:t>
      </w:r>
      <w:r>
        <w:t xml:space="preserve">decir, la similitud coseno entre explicaciones replicadas es casi nula. En este</w:t>
      </w:r>
      <w:r>
        <w:t xml:space="preserve"> </w:t>
      </w:r>
      <w:r>
        <w:t xml:space="preserve">régimen, la desviación absoluta entre réplicas (~0.015) es numéricamente pequeña</w:t>
      </w:r>
      <w:r>
        <w:t xml:space="preserve"> </w:t>
      </w:r>
      <w:r>
        <w:t xml:space="preserve">pero el CV es elevado precisamente porque el denominador es cercano a cero. Un</w:t>
      </w:r>
      <w:r>
        <w:t xml:space="preserve"> </w:t>
      </w:r>
      <w:r>
        <w:t xml:space="preserve">CV del 86% sobre una media de 0.018 equivale a una incertidumbre absoluta de</w:t>
      </w:r>
      <w:r>
        <w:t xml:space="preserve"> </w:t>
      </w:r>
      <ns5:oMath>
        <ns5:r>
          <ns5:rPr>
            <ns5:sty ns5:val="p"/>
          </ns5:rPr>
          <ns5:t>±</ns5:t>
        </ns5:r>
        <ns5:r>
          <ns5:t>0.015</ns5:t>
        </ns5:r>
      </ns5:oMath>
      <w:r>
        <w:t xml:space="preserve">, que en la escala de similitud coseno es trivial. La proposición P1</w:t>
      </w:r>
      <w:r>
        <w:t xml:space="preserve"> </w:t>
      </w:r>
      <w:r>
        <w:t xml:space="preserve">se satisface para las métricas con señal sustantiva; la excepción de LIME-</w:t>
      </w:r>
      <w:r>
        <w:t xml:space="preserve"> </w:t>
      </w:r>
      <w:r>
        <w:t xml:space="preserve">estabilidad es una consecuencia de la inestabilidad del método bajo esta</w:t>
      </w:r>
      <w:r>
        <w:t xml:space="preserve"> </w:t>
      </w:r>
      <w:r>
        <w:t xml:space="preserve">configuración, no de la irreproducibilidad del protocolo.</w:t>
      </w:r>
    </w:p>
    <w:p>
      <w:pPr>
        <w:pStyle w:val="Textoindependiente"/>
        <w:spacing w:line="360" w:lineRule="auto"/>
        <w:jc w:val="both"/>
      </w:pPr>
      <w:r>
        <w:t xml:space="preserve">Para la generalización global, el CV en fidelidad agrupando todas las</w:t>
      </w:r>
      <w:r>
        <w:t xml:space="preserve"> </w:t>
      </w:r>
      <w:r>
        <w:t xml:space="preserve">ejecuciones calificadas de cada método es de 11.4% (SHAP) y 12.0% (LIME) —es</w:t>
      </w:r>
      <w:r>
        <w:t xml:space="preserve"> </w:t>
      </w:r>
      <w:r>
        <w:t xml:space="preserve">decir, SHAP es además el más reproducible de los dos, no el más disperso—,</w:t>
      </w:r>
      <w:r>
        <w:t xml:space="preserve"> </w:t>
      </w:r>
      <w:r>
        <w:t xml:space="preserve">confirmando que la variabilidad métrica debida a la aleatoriedad de la semilla</w:t>
      </w:r>
      <w:r>
        <w:t xml:space="preserve"> </w:t>
      </w:r>
      <w:r>
        <w:t xml:space="preserve">es controlada y uniforme, y que ambos valores quedan por debajo del umbral del</w:t>
      </w:r>
      <w:r>
        <w:t xml:space="preserve"> </w:t>
      </w:r>
      <w:r>
        <w:t xml:space="preserve">15% fijado en P1. Los CVs de coste y estabilidad, que son inherentemente más variables</w:t>
      </w:r>
      <w:r>
        <w:t xml:space="preserve"> </w:t>
      </w:r>
      <w:r>
        <w:t xml:space="preserve">por la dependencia de las instancias específicas seleccionadas, se esperan en</w:t>
      </w:r>
      <w:r>
        <w:t xml:space="preserve"> </w:t>
      </w:r>
      <w:r>
        <w:t xml:space="preserve">rangos superiores y no forman parte del criterio primario de P1.</w:t>
      </w:r>
    </w:p>
    <w:bookmarkEnd w:id="188"/>
    <w:bookmarkStart w:id="193" w:name="sec-perfiles"/>
    <w:p>
      <w:pPr>
        <w:pStyle w:val="Ttulo2"/>
        <w:spacing w:line="360" w:lineRule="auto"/>
        <w:jc w:val="both"/>
      </w:pPr>
      <w:r>
        <w:t xml:space="preserve">4.5 </w:t>
      </w:r>
      <w:r>
        <w:t xml:space="preserve">Perfil multidimensional por método</w:t>
      </w:r>
    </w:p>
    <w:p>
      <w:pPr>
        <w:pStyle w:val="FirstParagraph"/>
        <w:spacing w:line="360" w:lineRule="auto"/>
        <w:jc w:val="both"/>
      </w:pPr>
      <w:r>
        <w:t xml:space="preserve">El análisis omnibus y pareado establece las diferencias confirmativas; esta</w:t>
      </w:r>
      <w:r>
        <w:t xml:space="preserve"> </w:t>
      </w:r>
      <w:r>
        <w:t xml:space="preserve">sección describe el perfil multidimensional completo de cada método, integrando</w:t>
      </w:r>
      <w:r>
        <w:t xml:space="preserve"> </w:t>
      </w:r>
      <w:r>
        <w:t xml:space="preserve">las cinco métricas y el comportamiento específico por modelo.</w:t>
      </w:r>
    </w:p>
    <w:bookmarkStart w:id="189" w:name="shap"/>
    <w:p>
      <w:pPr>
        <w:pStyle w:val="Ttulo3"/>
        <w:spacing w:line="360" w:lineRule="auto"/>
        <w:jc w:val="both"/>
      </w:pPr>
      <w:r>
        <w:t xml:space="preserve">4.5.1 </w:t>
      </w:r>
      <w:r>
        <w:t xml:space="preserve">SHAP</w:t>
      </w:r>
    </w:p>
    <w:p>
      <w:pPr>
        <w:pStyle w:val="FirstParagraph"/>
        <w:spacing w:line="360" w:lineRule="auto"/>
        <w:jc w:val="both"/>
      </w:pPr>
      <w:r>
        <w:t xml:space="preserve">SHAP presenta el perfil más equilibrado y favorable de los cuatro métodos.</w:t>
      </w:r>
      <w:r>
        <w:t xml:space="preserve"> </w:t>
      </w:r>
      <w:r>
        <w:t xml:space="preserve">Sus medias consolidadas sobre las 75 ejecuciones calificadas son:</w:t>
      </w:r>
      <w:r>
        <w:t xml:space="preserve"> </w:t>
      </w:r>
      <w:r>
        <w:t xml:space="preserve">fidelidad = 0.808, estabilidad = 0.732, parsimonia = 0.226, brecha de</w:t>
      </w:r>
      <w:r>
        <w:t xml:space="preserve"> </w:t>
      </w:r>
      <w:r>
        <w:t xml:space="preserve">fidelidad = 0.380, coste = 11,708 ms. El ratio activo más alto de todos los</w:t>
      </w:r>
      <w:r>
        <w:t xml:space="preserve"> </w:t>
      </w:r>
      <w:r>
        <w:t xml:space="preserve">métodos (0.226 frente a 0.085 de LIME) refleja que SHAP puede distribuir</w:t>
      </w:r>
      <w:r>
        <w:t xml:space="preserve"> </w:t>
      </w:r>
      <w:r>
        <w:t xml:space="preserve">importancias entre un mayor número de características cuando el modelo así lo</w:t>
      </w:r>
      <w:r>
        <w:t xml:space="preserve"> </w:t>
      </w:r>
      <w:r>
        <w:t xml:space="preserve">requiere, lo que es un reflejo adecuado de la complejidad real del modelo; por</w:t>
      </w:r>
      <w:r>
        <w:t xml:space="preserve"> </w:t>
      </w:r>
      <w:r>
        <w:t xml:space="preserve">la dirección de la métrica (§</w:t>
      </w:r>
      <w:hyperlink w:anchor="sec-metricas">
        <w:r>
          <w:rPr>
            <w:rStyle w:val="Hipervnculo"/>
          </w:rPr>
          <w:t xml:space="preserve">3.5</w:t>
        </w:r>
      </w:hyperlink>
      <w:r>
        <w:t xml:space="preserve">), esto significa que SHAP es el</w:t>
      </w:r>
      <w:r>
        <w:t xml:space="preserve"> </w:t>
      </w:r>
      <w:r>
        <w:t xml:space="preserve">método</w:t>
      </w:r>
      <w:r>
        <w:t xml:space="preserve"> </w:t>
      </w:r>
      <w:r>
        <w:rPr>
          <w:i/>
          <w:iCs/>
        </w:rPr>
        <w:t xml:space="preserve">menos</w:t>
      </w:r>
      <w:r>
        <w:t xml:space="preserve"> </w:t>
      </w:r>
      <w:r>
        <w:t xml:space="preserve">parsimonioso del benchmark.</w:t>
      </w:r>
    </w:p>
    <w:p>
      <w:pPr>
        <w:pStyle w:val="Textoindependiente"/>
        <w:spacing w:line="360" w:lineRule="auto"/>
        <w:jc w:val="both"/>
      </w:pPr>
      <w:r>
        <w:t xml:space="preserve">El coste es la dimensión adversa de SHAP. Todas las cifras de coste de esta</w:t>
      </w:r>
      <w:r>
        <w:t xml:space="preserve"> </w:t>
      </w:r>
      <w:r>
        <w:t xml:space="preserve">sección son medias por instancia agregadas a nivel de ejecución</w:t>
      </w:r>
      <w:r>
        <w:t xml:space="preserve"> </w:t>
      </w:r>
      <w:r>
        <w:t xml:space="preserve">(instancia → ejecución), la misma unidad usada en los contrastes pareados. La</w:t>
      </w:r>
      <w:r>
        <w:t xml:space="preserve"> </w:t>
      </w:r>
      <w:r>
        <w:t xml:space="preserve">media de 11,708 ms esconde una distribución fuertemente asimétrica: la mediana</w:t>
      </w:r>
      <w:r>
        <w:t xml:space="preserve"> </w:t>
      </w:r>
      <w:r>
        <w:t xml:space="preserve">por ejecución es de solo 684 ms, y la heterogeneidad entre familias de modelos</w:t>
      </w:r>
      <w:r>
        <w:t xml:space="preserve"> </w:t>
      </w:r>
      <w:r>
        <w:t xml:space="preserve">alcanza tres órdenes de magnitud —para XGBoost, TreeSHAP opera en ~21 ms de</w:t>
      </w:r>
      <w:r>
        <w:t xml:space="preserve"> </w:t>
      </w:r>
      <w:r>
        <w:t xml:space="preserve">media (mediana 18 ms), mientras que KernelSHAP sobre SVM requiere ~54,231 ms.</w:t>
      </w:r>
      <w:r>
        <w:t xml:space="preserve"> </w:t>
      </w:r>
      <w:r>
        <w:t xml:space="preserve">Esta disparidad tiene implicaciones prácticas directas: el despliegue de SHAP</w:t>
      </w:r>
      <w:r>
        <w:t xml:space="preserve"> </w:t>
      </w:r>
      <w:r>
        <w:t xml:space="preserve">sobre modelos de núcleo o redes neuronales en entornos de baja latencia puede</w:t>
      </w:r>
      <w:r>
        <w:t xml:space="preserve"> </w:t>
      </w:r>
      <w:r>
        <w:t xml:space="preserve">ser inviable sin aproximaciones adicionales.</w:t>
      </w:r>
    </w:p>
    <w:p>
      <w:pPr>
        <w:pStyle w:val="Textoindependiente"/>
        <w:spacing w:line="360" w:lineRule="auto"/>
        <w:jc w:val="both"/>
      </w:pPr>
      <w:r>
        <w:t xml:space="preserve">Por modelo, los picos de fidelidad se observan en logreg (0.946) y SVM (0.882),</w:t>
      </w:r>
      <w:r>
        <w:t xml:space="preserve"> </w:t>
      </w:r>
      <w:r>
        <w:t xml:space="preserve">donde la linealidad o la estructura de margen del modelo facilita la aproximación</w:t>
      </w:r>
      <w:r>
        <w:t xml:space="preserve"> </w:t>
      </w:r>
      <w:r>
        <w:t xml:space="preserve">local por valores de Shapley. Las fidelidades más bajas se registran en MLP</w:t>
      </w:r>
      <w:r>
        <w:t xml:space="preserve"> </w:t>
      </w:r>
      <w:r>
        <w:t xml:space="preserve">(0.725) y RF (0.729), coherente con la complejidad de sus superficies de</w:t>
      </w:r>
      <w:r>
        <w:t xml:space="preserve"> </w:t>
      </w:r>
      <w:r>
        <w:t xml:space="preserve">decisión. XGBoost presenta el balance óptimo calidad-coste: fidelidad 0.759 con</w:t>
      </w:r>
      <w:r>
        <w:t xml:space="preserve"> </w:t>
      </w:r>
      <w:r>
        <w:t xml:space="preserve">un coste medio de 21 ms.</w:t>
      </w:r>
    </w:p>
    <w:bookmarkEnd w:id="189"/>
    <w:bookmarkStart w:id="190" w:name="lime"/>
    <w:p>
      <w:pPr>
        <w:pStyle w:val="Ttulo3"/>
        <w:spacing w:line="360" w:lineRule="auto"/>
        <w:jc w:val="both"/>
      </w:pPr>
      <w:r>
        <w:t xml:space="preserve">4.5.2 </w:t>
      </w:r>
      <w:r>
        <w:t xml:space="preserve">LIME</w:t>
      </w:r>
    </w:p>
    <w:p>
      <w:pPr>
        <w:pStyle w:val="FirstParagraph"/>
        <w:spacing w:line="360" w:lineRule="auto"/>
        <w:jc w:val="both"/>
      </w:pPr>
      <w:r>
        <w:t xml:space="preserve">LIME es el método más económico en coste (media 3,661 ms, mediana por ejecución</w:t>
      </w:r>
      <w:r>
        <w:t xml:space="preserve"> </w:t>
      </w:r>
      <w:r>
        <w:t xml:space="preserve">65.7 ms, con medias por familia de modelo de 52 ms en MLP a 17,620 ms en SVM),</w:t>
      </w:r>
      <w:r>
        <w:t xml:space="preserve"> </w:t>
      </w:r>
      <w:r>
        <w:t xml:space="preserve">con una fidelidad media moderada (0.560) y ratio activo bajo y consistente</w:t>
      </w:r>
      <w:r>
        <w:t xml:space="preserve"> </w:t>
      </w:r>
      <w:r>
        <w:t xml:space="preserve">(0.085 en todos los modelos, por diseño), es decir, el método más parsimonioso</w:t>
      </w:r>
      <w:r>
        <w:t xml:space="preserve"> </w:t>
      </w:r>
      <w:r>
        <w:t xml:space="preserve">del benchmark. Su fortaleza operativa es la velocidad</w:t>
      </w:r>
      <w:r>
        <w:t xml:space="preserve"> </w:t>
      </w:r>
      <w:r>
        <w:t xml:space="preserve">y la parsimonia de sus explicaciones, que facilitan la interpretación por parte</w:t>
      </w:r>
      <w:r>
        <w:t xml:space="preserve"> </w:t>
      </w:r>
      <w:r>
        <w:t xml:space="preserve">de usuarios no técnicos.</w:t>
      </w:r>
    </w:p>
    <w:p>
      <w:pPr>
        <w:pStyle w:val="Textoindependiente"/>
        <w:spacing w:line="360" w:lineRule="auto"/>
        <w:jc w:val="both"/>
      </w:pPr>
      <w:r>
        <w:t xml:space="preserve">La limitación principal de LIME en este benchmark es su estabilidad casi nula</w:t>
      </w:r>
      <w:r>
        <w:t xml:space="preserve"> </w:t>
      </w:r>
      <w:r>
        <w:t xml:space="preserve">(0.014) bajo la configuración de referencia. La</w:t>
      </w:r>
      <w:r>
        <w:t xml:space="preserve"> </w:t>
      </w:r>
      <w:r>
        <w:t xml:space="preserve">hipótesis explicativa es conocida en la literatura: la perturbación por</w:t>
      </w:r>
      <w:r>
        <w:t xml:space="preserve"> </w:t>
      </w:r>
      <w:r>
        <w:t xml:space="preserve">muestreo local genera distribuciones que difieren sustancialmente de instancia</w:t>
      </w:r>
      <w:r>
        <w:t xml:space="preserve"> </w:t>
      </w:r>
      <w:r>
        <w:t xml:space="preserve">a instancia, haciendo que los coeficientes del modelo lineal local sean</w:t>
      </w:r>
      <w:r>
        <w:t xml:space="preserve"> </w:t>
      </w:r>
      <w:r>
        <w:t xml:space="preserve">altamente sensibles al conjunto de puntos de la vecindad</w:t>
      </w:r>
      <w:r>
        <w:t xml:space="preserve"> </w:t>
      </w:r>
      <w:r>
        <w:t xml:space="preserve">(Ribeiro 2016; Bhattacharya y Verbert 2024)</w:t>
      </w:r>
      <w:r>
        <w:t xml:space="preserve">. En los datos de este benchmark, esta inestabilidad se</w:t>
      </w:r>
      <w:r>
        <w:t xml:space="preserve"> </w:t>
      </w:r>
      <w:r>
        <w:t xml:space="preserve">documentó cuantitativamente: el CV de estabilidad bajo semillas distintas es</w:t>
      </w:r>
      <w:r>
        <w:t xml:space="preserve"> </w:t>
      </w:r>
      <w:r>
        <w:t xml:space="preserve">del 86.2%, y la similitud coseno media de 0.014 implica que dos explicaciones</w:t>
      </w:r>
      <w:r>
        <w:t xml:space="preserve"> </w:t>
      </w:r>
      <w:r>
        <w:t xml:space="preserve">de la misma instancia con semillas distintas son casi ortogonales. Este hallazgo</w:t>
      </w:r>
      <w:r>
        <w:t xml:space="preserve"> </w:t>
      </w:r>
      <w:r>
        <w:t xml:space="preserve">limita el uso de LIME como método de referencia en contextos donde se requiere</w:t>
      </w:r>
      <w:r>
        <w:t xml:space="preserve"> </w:t>
      </w:r>
      <w:r>
        <w:t xml:space="preserve">consistencia explicativa, como auditoría, decisiones de alto riesgo o</w:t>
      </w:r>
      <w:r>
        <w:t xml:space="preserve"> </w:t>
      </w:r>
      <w:r>
        <w:t xml:space="preserve">comparación entre instancias.</w:t>
      </w:r>
    </w:p>
    <w:bookmarkEnd w:id="190"/>
    <w:bookmarkStart w:id="191" w:name="anchors"/>
    <w:p>
      <w:pPr>
        <w:pStyle w:val="Ttulo3"/>
        <w:spacing w:line="360" w:lineRule="auto"/>
        <w:jc w:val="both"/>
      </w:pPr>
      <w:r>
        <w:t xml:space="preserve">4.5.3 </w:t>
      </w:r>
      <w:r>
        <w:t xml:space="preserve">Anchors</w:t>
      </w:r>
    </w:p>
    <w:p>
      <w:pPr>
        <w:pStyle w:val="FirstParagraph"/>
        <w:spacing w:line="360" w:lineRule="auto"/>
        <w:jc w:val="both"/>
      </w:pPr>
      <w:r>
        <w:t xml:space="preserve">Anchors tiene una cobertura de solo 57 celdas calificadas (76.0%), lo que</w:t>
      </w:r>
      <w:r>
        <w:t xml:space="preserve"> </w:t>
      </w:r>
      <w:r>
        <w:t xml:space="preserve">refleja que en los estratos de mayor incertidumbre el algoritmo de búsqueda de</w:t>
      </w:r>
      <w:r>
        <w:t xml:space="preserve"> </w:t>
      </w:r>
      <w:r>
        <w:t xml:space="preserve">reglas no converge a una regla con la precisión mínima exigida. Sobre las 57</w:t>
      </w:r>
      <w:r>
        <w:t xml:space="preserve"> </w:t>
      </w:r>
      <w:r>
        <w:t xml:space="preserve">ejecuciones calificadas, la fidelidad media es 0.388 y la estabilidad 0.052,</w:t>
      </w:r>
      <w:r>
        <w:t xml:space="preserve"> </w:t>
      </w:r>
      <w:r>
        <w:t xml:space="preserve">ambas inferiores a las de SHAP y LIME. Estos valores son medias a nivel de</w:t>
      </w:r>
      <w:r>
        <w:t xml:space="preserve"> </w:t>
      </w:r>
      <w:r>
        <w:t xml:space="preserve">ejecución; las medias a nivel de bloque</w:t>
      </w:r>
      <w:r>
        <w:t xml:space="preserve"> </w:t>
      </w:r>
      <ns5:oMath>
        <ns5:r>
          <ns5:rPr>
            <ns5:sty ns5:val="p"/>
          </ns5:rPr>
          <ns5:t>(</ns5:t>
        </ns5:r>
        <ns5:r>
          <ns5:t>g</ns5:t>
        </ns5:r>
        <ns5:r>
          <ns5:rPr>
            <ns5:sty ns5:val="p"/>
          </ns5:rPr>
          <ns5:t>,</ns5:t>
        </ns5:r>
        <ns5:r>
          <ns5:t>n</ns5:t>
        </ns5:r>
        <ns5:r>
          <ns5:rPr>
            <ns5:sty ns5:val="p"/>
          </ns5:rPr>
          <ns5:t>)</ns5:t>
        </ns5:r>
      </ns5:oMath>
      <w:r>
        <w:t xml:space="preserve"> </w:t>
      </w:r>
      <w:r>
        <w:t xml:space="preserve">que alimentan el test de</w:t>
      </w:r>
      <w:r>
        <w:t xml:space="preserve"> </w:t>
      </w:r>
      <w:r>
        <w:t xml:space="preserve">Friedman son 0.389 y 0.043 (</w:t>
      </w:r>
      <w:hyperlink w:anchor="tbl-friedman-fidelity">
        <w:r>
          <w:rPr>
            <w:rStyle w:val="Hipervnculo"/>
          </w:rPr>
          <w:t xml:space="preserve">Tabla 4.2</w:t>
        </w:r>
      </w:hyperlink>
      <w:r>
        <w:t xml:space="preserve">,</w:t>
      </w:r>
      <w:r>
        <w:t xml:space="preserve"> </w:t>
      </w:r>
      <w:hyperlink w:anchor="tbl-friedman-stability">
        <w:r>
          <w:rPr>
            <w:rStyle w:val="Hipervnculo"/>
          </w:rPr>
          <w:t xml:space="preserve">Tabla 4.4</w:t>
        </w:r>
      </w:hyperlink>
      <w:r>
        <w:t xml:space="preserve">). La</w:t>
      </w:r>
      <w:r>
        <w:t xml:space="preserve"> </w:t>
      </w:r>
      <w:r>
        <w:t xml:space="preserve">discrepancia en estabilidad —0.052 frente a 0.043— es específica de Anchors y</w:t>
      </w:r>
      <w:r>
        <w:t xml:space="preserve"> </w:t>
      </w:r>
      <w:r>
        <w:t xml:space="preserve">refleja que su cobertura se distribuye de forma desigual entre bloques, de modo</w:t>
      </w:r>
      <w:r>
        <w:t xml:space="preserve"> </w:t>
      </w:r>
      <w:r>
        <w:t xml:space="preserve">que promediar ejecuciones y promediar bloques no son operaciones equivalentes;</w:t>
      </w:r>
      <w:r>
        <w:t xml:space="preserve"> </w:t>
      </w:r>
      <w:r>
        <w:t xml:space="preserve">para SHAP y LIME, con cobertura completa, ambas agregaciones coinciden. El coste es el más elevado del benchmark y muy</w:t>
      </w:r>
      <w:r>
        <w:t xml:space="preserve"> </w:t>
      </w:r>
      <w:r>
        <w:t xml:space="preserve">variable: media global de 38,159 ms, con medias por familia de modelo desde</w:t>
      </w:r>
      <w:r>
        <w:t xml:space="preserve"> </w:t>
      </w:r>
      <w:r>
        <w:t xml:space="preserve">2,918 ms para logreg hasta 48,955 ms para RF y 57,705 ms para XGBoost. El comportamiento</w:t>
      </w:r>
      <w:r>
        <w:t xml:space="preserve"> </w:t>
      </w:r>
      <w:r>
        <w:t xml:space="preserve">de Anchors refleja la dificultad intrínseca de encontrar reglas locales</w:t>
      </w:r>
      <w:r>
        <w:t xml:space="preserve"> </w:t>
      </w:r>
      <w:r>
        <w:t xml:space="preserve">de alta precisión en modelos no lineales: en logreg, la estructura lineal</w:t>
      </w:r>
      <w:r>
        <w:t xml:space="preserve"> </w:t>
      </w:r>
      <w:r>
        <w:t xml:space="preserve">facilita la búsqueda; en RF y SVM, el espacio de decisión es fragmentado y el</w:t>
      </w:r>
      <w:r>
        <w:t xml:space="preserve"> </w:t>
      </w:r>
      <w:r>
        <w:t xml:space="preserve">algoritmo de búsqueda incurre en costes de exploración elevados.</w:t>
      </w:r>
    </w:p>
    <w:p>
      <w:pPr>
        <w:pStyle w:val="Textoindependiente"/>
        <w:spacing w:line="360" w:lineRule="auto"/>
        <w:jc w:val="both"/>
      </w:pPr>
      <w:r>
        <w:t xml:space="preserve">La parsimonia de Anchors es comparable a la de LIME (0.085), pero con mayor</w:t>
      </w:r>
      <w:r>
        <w:t xml:space="preserve"> </w:t>
      </w:r>
      <w:r>
        <w:t xml:space="preserve">variabilidad (0.059 de desviación típica). Las reglas IF-THEN que Anchors</w:t>
      </w:r>
      <w:r>
        <w:t xml:space="preserve"> </w:t>
      </w:r>
      <w:r>
        <w:t xml:space="preserve">produce tienen un valor explicativo cualitativo distinto al de los pesos de</w:t>
      </w:r>
      <w:r>
        <w:t xml:space="preserve"> </w:t>
      </w:r>
      <w:r>
        <w:t xml:space="preserve">importancia numérica: son más comprensibles para usuarios finales, pero no</w:t>
      </w:r>
      <w:r>
        <w:t xml:space="preserve"> </w:t>
      </w:r>
      <w:r>
        <w:t xml:space="preserve">permiten comparación cuantitativa directa con las métricas de importancia por</w:t>
      </w:r>
      <w:r>
        <w:t xml:space="preserve"> </w:t>
      </w:r>
      <w:r>
        <w:t xml:space="preserve">las que SHAP y LIME son evaluados. Esta limitación conceptual —no un defecto de</w:t>
      </w:r>
      <w:r>
        <w:t xml:space="preserve"> </w:t>
      </w:r>
      <w:r>
        <w:t xml:space="preserve">implementación— sugiere que la fidelidad y estabilidad métricas de Anchors deben</w:t>
      </w:r>
      <w:r>
        <w:t xml:space="preserve"> </w:t>
      </w:r>
      <w:r>
        <w:t xml:space="preserve">interpretarse con cautela.</w:t>
      </w:r>
    </w:p>
    <w:bookmarkEnd w:id="191"/>
    <w:bookmarkStart w:id="192" w:name="dice"/>
    <w:p>
      <w:pPr>
        <w:pStyle w:val="Ttulo3"/>
        <w:spacing w:line="360" w:lineRule="auto"/>
        <w:jc w:val="both"/>
      </w:pPr>
      <w:r>
        <w:t xml:space="preserve">4.5.4 </w:t>
      </w:r>
      <w:r>
        <w:t xml:space="preserve">DiCE</w:t>
      </w:r>
    </w:p>
    <w:p>
      <w:pPr>
        <w:pStyle w:val="FirstParagraph"/>
        <w:spacing w:line="360" w:lineRule="auto"/>
        <w:jc w:val="both"/>
      </w:pPr>
      <w:r>
        <w:t xml:space="preserve">DiCE ocupa el último lugar en fidelidad (0.172) y una posición intermedia en</w:t>
      </w:r>
      <w:r>
        <w:t xml:space="preserve"> </w:t>
      </w:r>
      <w:r>
        <w:t xml:space="preserve">estabilidad (0.366). Esta combinación es coherente con su paradigma de</w:t>
      </w:r>
      <w:r>
        <w:t xml:space="preserve"> </w:t>
      </w:r>
      <w:r>
        <w:t xml:space="preserve">diseño: como método contrafactual, DiCE genera instancias alternativas que</w:t>
      </w:r>
      <w:r>
        <w:t xml:space="preserve"> </w:t>
      </w:r>
      <w:r>
        <w:t xml:space="preserve">cambian la predicción, no pesos de importancia que explican la predicción</w:t>
      </w:r>
      <w:r>
        <w:t xml:space="preserve"> </w:t>
      </w:r>
      <w:r>
        <w:t xml:space="preserve">actual. La baja fidelidad refleja que las características más modificadas en</w:t>
      </w:r>
      <w:r>
        <w:t xml:space="preserve"> </w:t>
      </w:r>
      <w:r>
        <w:t xml:space="preserve">los contrafactuales no son necesariamente las que más influyen en la</w:t>
      </w:r>
      <w:r>
        <w:t xml:space="preserve"> </w:t>
      </w:r>
      <w:r>
        <w:t xml:space="preserve">predicción local, lo que no es un fallo sino una consecuencia de su objetivo</w:t>
      </w:r>
      <w:r>
        <w:t xml:space="preserve"> </w:t>
      </w:r>
      <w:r>
        <w:t xml:space="preserve">optimizado.</w:t>
      </w:r>
    </w:p>
    <w:p>
      <w:pPr>
        <w:pStyle w:val="Textoindependiente"/>
        <w:spacing w:line="360" w:lineRule="auto"/>
        <w:jc w:val="both"/>
      </w:pPr>
      <w:r>
        <w:t xml:space="preserve">La estabilidad moderada de DiCE (0.366) es coherente: los contrafactuales</w:t>
      </w:r>
      <w:r>
        <w:t xml:space="preserve"> </w:t>
      </w:r>
      <w:r>
        <w:t xml:space="preserve">generados para instancias perturbadas similarmente tienden a explorar regiones</w:t>
      </w:r>
      <w:r>
        <w:t xml:space="preserve"> </w:t>
      </w:r>
      <w:r>
        <w:t xml:space="preserve">similares del espacio de decisión. La parsimonia es la más baja de todos los</w:t>
      </w:r>
      <w:r>
        <w:t xml:space="preserve"> </w:t>
      </w:r>
      <w:r>
        <w:t xml:space="preserve">métodos (0.017), reflejando que los contrafactuales de DiCE modifican pocas</w:t>
      </w:r>
      <w:r>
        <w:t xml:space="preserve"> </w:t>
      </w:r>
      <w:r>
        <w:t xml:space="preserve">características por construcción (objetivo de proximidad). Su coste medio</w:t>
      </w:r>
      <w:r>
        <w:t xml:space="preserve"> </w:t>
      </w:r>
      <w:r>
        <w:t xml:space="preserve">(28,209 ms; mediana por ejecución 11,880 ms) lo sitúa por debajo de Anchors</w:t>
      </w:r>
      <w:r>
        <w:t xml:space="preserve"> </w:t>
      </w:r>
      <w:r>
        <w:t xml:space="preserve">(38,159 ms) pero muy por encima de SHAP y LIME.</w:t>
      </w:r>
    </w:p>
    <w:bookmarkEnd w:id="192"/>
    <w:bookmarkEnd w:id="193"/>
    <w:bookmarkStart w:id="200" w:name="sec-transversal"/>
    <w:p>
      <w:pPr>
        <w:pStyle w:val="Ttulo2"/>
        <w:spacing w:line="360" w:lineRule="auto"/>
        <w:jc w:val="both"/>
      </w:pPr>
      <w:r>
        <w:t xml:space="preserve">4.6 </w:t>
      </w:r>
      <w:r>
        <w:t xml:space="preserve">Análisis transversal: efecto del modelo base y del tamaño de muestra</w:t>
      </w:r>
    </w:p>
    <w:bookmarkStart w:id="198" w:name="Xd0dc4cebb30e80d859f681a41b6366a7a2cd5a6"/>
    <w:p>
      <w:pPr>
        <w:pStyle w:val="Ttulo3"/>
        <w:spacing w:line="360" w:lineRule="auto"/>
        <w:jc w:val="both"/>
      </w:pPr>
      <w:r>
        <w:t xml:space="preserve">4.6.1 </w:t>
      </w:r>
      <w:r>
        <w:t xml:space="preserve">Efecto del modelo base sobre las métricas</w:t>
      </w:r>
    </w:p>
    <w:p>
      <w:pPr>
        <w:pStyle w:val="FirstParagraph"/>
        <w:spacing w:line="360" w:lineRule="auto"/>
        <w:jc w:val="both"/>
      </w:pPr>
      <w:r>
        <w:t xml:space="preserve">El modelo base influye significativamente sobre los valores absolutos de las</w:t>
      </w:r>
      <w:r>
        <w:t xml:space="preserve"> </w:t>
      </w:r>
      <w:r>
        <w:t xml:space="preserve">métricas, aunque el ordenamiento entre métodos se mantiene constante. Todas las</w:t>
      </w:r>
      <w:r>
        <w:t xml:space="preserve"> </w:t>
      </w:r>
      <w:r>
        <w:t xml:space="preserve">cifras de este apartado son medias por familia de modelo sobre las ejecuciones</w:t>
      </w:r>
      <w:r>
        <w:t xml:space="preserve"> </w:t>
      </w:r>
      <w:r>
        <w:t xml:space="preserve">calificadas (semillas y tamaños de muestra agregados); los valores de celda</w:t>
      </w:r>
      <w:r>
        <w:t xml:space="preserve"> </w:t>
      </w:r>
      <w:r>
        <w:t xml:space="preserve">única correspondientes a los estudios de sensibilidad se reportan por separado</w:t>
      </w:r>
      <w:r>
        <w:t xml:space="preserve"> </w:t>
      </w:r>
      <w:r>
        <w:t xml:space="preserve">en el Apéndice C y no deben leerse como resúmenes por modelo. Las diferencias</w:t>
      </w:r>
      <w:r>
        <w:t xml:space="preserve"> </w:t>
      </w:r>
      <w:r>
        <w:t xml:space="preserve">más notables son:</w:t>
      </w:r>
    </w:p>
    <w:p>
      <w:pPr>
        <w:pStyle w:val="Textoindependiente"/>
        <w:spacing w:line="360" w:lineRule="auto"/>
        <w:jc w:val="both"/>
      </w:pPr>
      <w:r>
        <w:t xml:space="preserve">La</w:t>
      </w:r>
      <w:r>
        <w:t xml:space="preserve"> </w:t>
      </w:r>
      <w:hyperlink w:anchor="fig-coste-por-modelo">
        <w:r>
          <w:rPr>
            <w:rStyle w:val="Hipervnculo"/>
          </w:rPr>
          <w:t xml:space="preserve">Figura 4.1</w:t>
        </w:r>
      </w:hyperlink>
      <w:r>
        <w:t xml:space="preserve"> </w:t>
      </w:r>
      <w:r>
        <w:t xml:space="preserve">muestra el coste mediano de SHAP y de LIME en cada</w:t>
      </w:r>
      <w:r>
        <w:t xml:space="preserve"> </w:t>
      </w:r>
      <w:r>
        <w:t xml:space="preserve">familia de modelos. La diferencia entre familias es mayor que la diferencia</w:t>
      </w:r>
      <w:r>
        <w:t xml:space="preserve"> </w:t>
      </w:r>
      <w:r>
        <w:t xml:space="preserve">entre métodos, y el orden se invierte en XGBoost.</w:t>
      </w:r>
    </w:p>
    <w:tbl>
      <w:tblPr>
        <w:tblStyle w:val="Table"/>
        <w:tblW w:type="pct" w:w="5000"/>
        <w:jc w:val="center"/>
        <w:tblLayout w:type="fixed"/>
        <w:tblLook w:firstRow="0" w:lastRow="0" w:firstColumn="0" w:lastColumn="0" w:noHBand="0" w:noVBand="0" w:val="0000"/>
      </w:tblPr>
      <w:tblGrid>
        <w:gridCol w:w="7920"/>
      </w:tblGrid>
      <w:tr>
        <w:tc>
          <w:tcPr/>
          <w:bookmarkStart w:id="197" w:name="fig-coste-por-modelo"/>
          <w:p>
            <w:pPr>
              <w:pStyle w:val="Compact"/>
              <w:jc w:val="center"/>
              <w:spacing w:line="360" w:lineRule="auto"/>
            </w:pPr>
            <w:r>
              <w:drawing>
                <ns1:inline>
                  <ns1:extent cx="4754880" cy="2687113"/>
                  <ns1:effectExtent b="0" l="0" r="0" t="0"/>
                  <ns1:docPr descr="" title="" id="195" name="Picture"/>
                  <ns2:graphic>
                    <ns2:graphicData uri="http://schemas.openxmlformats.org/drawingml/2006/picture">
                      <ns3:pic>
                        <ns3:nvPicPr>
                          <ns3:cNvPr descr="assets/figures/fig_coste_por_modelo_es.png" id="196" name="Picture"/>
                          <ns3:cNvPicPr>
                            <ns2:picLocks noChangeArrowheads="1" noChangeAspect="1"/>
                          </ns3:cNvPicPr>
                        </ns3:nvPicPr>
                        <ns3:blipFill>
                          <ns2:blip ns4:embed="rId194"/>
                          <ns2:stretch>
                            <ns2:fillRect/>
                          </ns2:stretch>
                        </ns3:blipFill>
                        <ns3:spPr bwMode="auto">
                          <ns2:xfrm>
                            <ns2:off x="0" y="0"/>
                            <ns2:ext cx="4754880" cy="2687113"/>
                          </ns2:xfrm>
                          <ns2:prstGeom prst="rect">
                            <ns2:avLst/>
                          </ns2:prstGeom>
                          <ns2:noFill/>
                          <ns2:ln w="9525">
                            <ns2:noFill/>
                            <ns2:headEnd/>
                            <ns2:tailEnd/>
                          </ns2:ln>
                        </ns3:spPr>
                      </ns3:pic>
                    </ns2:graphicData>
                  </ns2:graphic>
                </ns1:inline>
              </w:drawing>
            </w:r>
          </w:p>
          <w:p>
            <w:pPr>
              <w:pStyle w:val="ImageCaption"/>
              <w:spacing w:before="200" w:line="360" w:lineRule="auto"/>
              <w:jc w:val="center"/>
            </w:pPr>
            <w:r>
              <w:t xml:space="preserve">Figura 4.1: Coste mediano por instancia de SHAP y LIME según la familia de modelos,</w:t>
            </w:r>
            <w:r>
              <w:t xml:space="preserve"> </w:t>
            </w:r>
            <w:r>
              <w:t xml:space="preserve">en escala logarítmica, sobre las celdas pareadas. LIME es más rápido en</w:t>
            </w:r>
            <w:r>
              <w:t xml:space="preserve"> </w:t>
            </w:r>
            <w:r>
              <w:t xml:space="preserve">cuatro de las cinco familias; en XGBoost, la variante de SHAP para árboles</w:t>
            </w:r>
            <w:r>
              <w:t xml:space="preserve"> </w:t>
            </w:r>
            <w:r>
              <w:t xml:space="preserve">es más rápida que LIME. Fuente: elaboración propia.</w:t>
            </w:r>
          </w:p>
          <w:bookmarkEnd w:id="197"/>
        </w:tc>
      </w:tr>
    </w:tbl>
    <w:p>
      <w:pPr>
        <w:pStyle w:val="Textoindependiente"/>
        <w:spacing w:line="360" w:lineRule="auto"/>
        <w:jc w:val="both"/>
      </w:pPr>
      <w:r>
        <w:rPr>
          <w:b/>
          <w:bCs/>
        </w:rPr>
        <w:t xml:space="preserve">XGBoost</w:t>
      </w:r>
      <w:r>
        <w:t xml:space="preserve"> </w:t>
      </w:r>
      <w:r>
        <w:t xml:space="preserve">presenta el perfil calidad-coste más favorable para SHAP: fidelidad</w:t>
      </w:r>
      <w:r>
        <w:t xml:space="preserve"> </w:t>
      </w:r>
      <w:r>
        <w:t xml:space="preserve">0.759 con un coste medio de 21 ms (mediana 18 ms). Esto se debe al uso de</w:t>
      </w:r>
      <w:r>
        <w:t xml:space="preserve"> </w:t>
      </w:r>
      <w:r>
        <w:t xml:space="preserve">TreeSHAP</w:t>
      </w:r>
      <w:r>
        <w:t xml:space="preserve"> </w:t>
      </w:r>
      <w:r>
        <w:t xml:space="preserve">(Lundberg 2017)</w:t>
      </w:r>
      <w:r>
        <w:t xml:space="preserve">, que calcula valores exactos de Shapley aprovechando la</w:t>
      </w:r>
      <w:r>
        <w:t xml:space="preserve"> </w:t>
      </w:r>
      <w:r>
        <w:t xml:space="preserve">estructura de árbol y no requiere muestreo ni perturbación. Es la única familia</w:t>
      </w:r>
      <w:r>
        <w:t xml:space="preserve"> </w:t>
      </w:r>
      <w:r>
        <w:t xml:space="preserve">de modelo donde SHAP tiene un coste computacional inferior al de LIME</w:t>
      </w:r>
      <w:r>
        <w:t xml:space="preserve"> </w:t>
      </w:r>
      <w:r>
        <w:t xml:space="preserve">(122 ms de media, mediana 62 ms).</w:t>
      </w:r>
    </w:p>
    <w:p>
      <w:pPr>
        <w:pStyle w:val="Textoindependiente"/>
        <w:spacing w:line="360" w:lineRule="auto"/>
        <w:jc w:val="both"/>
      </w:pPr>
      <w:r>
        <w:rPr>
          <w:b/>
          <w:bCs/>
        </w:rPr>
        <w:t xml:space="preserve">SVM</w:t>
      </w:r>
      <w:r>
        <w:t xml:space="preserve"> </w:t>
      </w:r>
      <w:r>
        <w:t xml:space="preserve">es el modelo con el coste SHAP más elevado (54,231 ms de media).</w:t>
      </w:r>
      <w:r>
        <w:t xml:space="preserve"> </w:t>
      </w:r>
      <w:r>
        <w:t xml:space="preserve">KernelSHAP requiere resolver un problema de optimización cuadrática por</w:t>
      </w:r>
      <w:r>
        <w:t xml:space="preserve"> </w:t>
      </w:r>
      <w:r>
        <w:t xml:space="preserve">instancia, que escala con el número de muestras de referencia; el Apéndice C</w:t>
      </w:r>
      <w:r>
        <w:t xml:space="preserve"> </w:t>
      </w:r>
      <w:r>
        <w:t xml:space="preserve">(</w:t>
      </w:r>
      <w:hyperlink w:anchor="tbl-appendix-shap-sensitivity">
        <w:r>
          <w:rPr>
            <w:rStyle w:val="Hipervnculo"/>
          </w:rPr>
          <w:t xml:space="preserve">Tabla 7.9</w:t>
        </w:r>
      </w:hyperlink>
      <w:r>
        <w:t xml:space="preserve">) cuantifica ese escalado en una celda concreta</w:t>
      </w:r>
      <w:r>
        <w:t xml:space="preserve"> </w:t>
      </w:r>
      <w:r>
        <w:t xml:space="preserve">(SVM, semilla 42,</w:t>
      </w:r>
      <w:r>
        <w:t xml:space="preserve"> </w:t>
      </w:r>
      <ns5:oMath>
        <ns5:r>
          <ns5:t>N</ns5:t>
        </ns5:r>
        <ns5:r>
          <ns5:rPr>
            <ns5:sty ns5:val="p"/>
          </ns5:rPr>
          <ns5:t>=</ns5:t>
        </ns5:r>
        <ns5:r>
          <ns5:t>100</ns5:t>
        </ns5:r>
      </ns5:oMath>
      <w:r>
        <w:t xml:space="preserve">), donde el coste pasa de 41,233 ms con</w:t>
      </w:r>
      <w:r>
        <w:t xml:space="preserve"> </w:t>
      </w:r>
      <ns5:oMath>
        <ns5:r>
          <ns5:t>k</ns5:t>
        </ns5:r>
        <ns5:r>
          <ns5:rPr>
            <ns5:sty ns5:val="p"/>
          </ns5:rPr>
          <ns5:t>=</ns5:t>
        </ns5:r>
        <ns5:r>
          <ns5:t>25</ns5:t>
        </ns5:r>
      </ns5:oMath>
      <w:r>
        <w:t xml:space="preserve"> </w:t>
      </w:r>
      <w:r>
        <w:t xml:space="preserve">a</w:t>
      </w:r>
      <w:r>
        <w:t xml:space="preserve"> </w:t>
      </w:r>
      <w:r>
        <w:t xml:space="preserve">614,820 ms con</w:t>
      </w:r>
      <w:r>
        <w:t xml:space="preserve"> </w:t>
      </w:r>
      <ns5:oMath>
        <ns5:r>
          <ns5:t>k</ns5:t>
        </ns5:r>
        <ns5:r>
          <ns5:rPr>
            <ns5:sty ns5:val="p"/>
          </ns5:rPr>
          <ns5:t>=</ns5:t>
        </ns5:r>
        <ns5:r>
          <ns5:t>100</ns5:t>
        </ns5:r>
      </ns5:oMath>
      <w:r>
        <w:t xml:space="preserve">. La fidelidad media de SHAP sobre SVM (0.882) es la</w:t>
      </w:r>
      <w:r>
        <w:t xml:space="preserve"> </w:t>
      </w:r>
      <w:r>
        <w:t xml:space="preserve">segunda más alta del benchmark. Para SVM, Anchors también es costoso</w:t>
      </w:r>
      <w:r>
        <w:t xml:space="preserve"> </w:t>
      </w:r>
      <w:r>
        <w:t xml:space="preserve">(37,415 ms de media) debido al espacio de búsqueda fragmentado.</w:t>
      </w:r>
    </w:p>
    <w:p>
      <w:pPr>
        <w:pStyle w:val="Textoindependiente"/>
        <w:spacing w:line="360" w:lineRule="auto"/>
        <w:jc w:val="both"/>
      </w:pPr>
      <w:r>
        <w:rPr>
          <w:b/>
          <w:bCs/>
        </w:rPr>
        <w:t xml:space="preserve">Regresión logística (logreg)</w:t>
      </w:r>
      <w:r>
        <w:t xml:space="preserve"> </w:t>
      </w:r>
      <w:r>
        <w:t xml:space="preserve">produce la fidelidad SHAP más alta (0.946) y,</w:t>
      </w:r>
      <w:r>
        <w:t xml:space="preserve"> </w:t>
      </w:r>
      <w:r>
        <w:t xml:space="preserve">entre los modelos no basados en árboles, un coste SHAP bajo (936 ms de media).</w:t>
      </w:r>
      <w:r>
        <w:t xml:space="preserve"> </w:t>
      </w:r>
      <w:r>
        <w:t xml:space="preserve">La linealidad de logreg garantiza que las aproximaciones locales de Shapley son</w:t>
      </w:r>
      <w:r>
        <w:t xml:space="preserve"> </w:t>
      </w:r>
      <w:r>
        <w:t xml:space="preserve">globalmente coherentes.</w:t>
      </w:r>
    </w:p>
    <w:p>
      <w:pPr>
        <w:pStyle w:val="Textoindependiente"/>
        <w:spacing w:line="360" w:lineRule="auto"/>
        <w:jc w:val="both"/>
      </w:pPr>
      <w:r>
        <w:rPr>
          <w:b/>
          <w:bCs/>
        </w:rPr>
        <w:t xml:space="preserve">MLP</w:t>
      </w:r>
      <w:r>
        <w:t xml:space="preserve"> </w:t>
      </w:r>
      <w:r>
        <w:t xml:space="preserve">es el modelo con fidelidades más bajas en todos los métodos: SHAP=0.725,</w:t>
      </w:r>
      <w:r>
        <w:t xml:space="preserve"> </w:t>
      </w:r>
      <w:r>
        <w:t xml:space="preserve">LIME=0.541, Anchors=0.299, DiCE=0.026. La complejidad del espacio de gradientes</w:t>
      </w:r>
      <w:r>
        <w:t xml:space="preserve"> </w:t>
      </w:r>
      <w:r>
        <w:t xml:space="preserve">de redes profundas dificulta la aproximación local de cualquier explicador</w:t>
      </w:r>
      <w:r>
        <w:t xml:space="preserve"> </w:t>
      </w:r>
      <w:r>
        <w:t xml:space="preserve">post-hoc. El coste de Anchors sobre MLP (15,564 ms de media) es intermedio</w:t>
      </w:r>
      <w:r>
        <w:t xml:space="preserve"> </w:t>
      </w:r>
      <w:r>
        <w:t xml:space="preserve">dentro de ese método, pero la baja fidelidad restringe su uso como evidencia</w:t>
      </w:r>
      <w:r>
        <w:t xml:space="preserve"> </w:t>
      </w:r>
      <w:r>
        <w:t xml:space="preserve">primaria en auditoría.</w:t>
      </w:r>
    </w:p>
    <w:bookmarkEnd w:id="198"/>
    <w:bookmarkStart w:id="199" w:name="X4b1cce5291d3b83ee4e2fe33ac88be27315f5a8"/>
    <w:p>
      <w:pPr>
        <w:pStyle w:val="Ttulo3"/>
        <w:spacing w:line="360" w:lineRule="auto"/>
        <w:jc w:val="both"/>
      </w:pPr>
      <w:r>
        <w:t xml:space="preserve">4.6.2 </w:t>
      </w:r>
      <w:r>
        <w:t xml:space="preserve">Efecto del tamaño de muestra estratificado</w:t>
      </w:r>
    </w:p>
    <w:p>
      <w:pPr>
        <w:pStyle w:val="FirstParagraph"/>
        <w:spacing w:line="360" w:lineRule="auto"/>
        <w:jc w:val="both"/>
      </w:pPr>
      <w:r>
        <w:t xml:space="preserve">El análisis del efecto de</w:t>
      </w:r>
      <w:r>
        <w:t xml:space="preserve"> </w:t>
      </w:r>
      <ns5:oMath>
        <ns5:r>
          <ns5:t>N</ns5:t>
        </ns5:r>
      </ns5:oMath>
      <w:r>
        <w:t xml:space="preserve"> </w:t>
      </w:r>
      <w:r>
        <w:t xml:space="preserve">(50, 100, 200 instancias por estrato) sobre las</w:t>
      </w:r>
      <w:r>
        <w:t xml:space="preserve"> </w:t>
      </w:r>
      <w:r>
        <w:t xml:space="preserve">métricas primarias revela una estabilidad notable. Para SHAP, las medias de</w:t>
      </w:r>
      <w:r>
        <w:t xml:space="preserve"> </w:t>
      </w:r>
      <w:r>
        <w:t xml:space="preserve">fidelidad según</w:t>
      </w:r>
      <w:r>
        <w:t xml:space="preserve"> </w:t>
      </w:r>
      <ns5:oMath>
        <ns5:r>
          <ns5:t>N</ns5:t>
        </ns5:r>
      </ns5:oMath>
      <w:r>
        <w:t xml:space="preserve"> </w:t>
      </w:r>
      <w:r>
        <w:t xml:space="preserve">son:</w:t>
      </w:r>
      <w:r>
        <w:t xml:space="preserve"> </w:t>
      </w:r>
      <ns5:oMath>
        <ns5:r>
          <ns5:t>N</ns5:t>
        </ns5:r>
        <ns5:r>
          <ns5:rPr>
            <ns5:sty ns5:val="p"/>
          </ns5:rPr>
          <ns5:t>=</ns5:t>
        </ns5:r>
        <ns5:r>
          <ns5:t>50</ns5:t>
        </ns5:r>
      </ns5:oMath>
      <w:r>
        <w:t xml:space="preserve">: 0.809,</w:t>
      </w:r>
      <w:r>
        <w:t xml:space="preserve"> </w:t>
      </w:r>
      <ns5:oMath>
        <ns5:r>
          <ns5:t>N</ns5:t>
        </ns5:r>
        <ns5:r>
          <ns5:rPr>
            <ns5:sty ns5:val="p"/>
          </ns5:rPr>
          <ns5:t>=</ns5:t>
        </ns5:r>
        <ns5:r>
          <ns5:t>100</ns5:t>
        </ns5:r>
      </ns5:oMath>
      <w:r>
        <w:t xml:space="preserve">: 0.809,</w:t>
      </w:r>
      <w:r>
        <w:t xml:space="preserve"> </w:t>
      </w:r>
      <ns5:oMath>
        <ns5:r>
          <ns5:t>N</ns5:t>
        </ns5:r>
        <ns5:r>
          <ns5:rPr>
            <ns5:sty ns5:val="p"/>
          </ns5:rPr>
          <ns5:t>=</ns5:t>
        </ns5:r>
        <ns5:r>
          <ns5:t>200</ns5:t>
        </ns5:r>
      </ns5:oMath>
      <w:r>
        <w:t xml:space="preserve">: 0.807,</w:t>
      </w:r>
      <w:r>
        <w:t xml:space="preserve"> </w:t>
      </w:r>
      <w:r>
        <w:t xml:space="preserve">con diferencias absolutas inferiores a 0.002. Para LIME:</w:t>
      </w:r>
      <w:r>
        <w:t xml:space="preserve"> </w:t>
      </w:r>
      <ns5:oMath>
        <ns5:r>
          <ns5:t>N</ns5:t>
        </ns5:r>
        <ns5:r>
          <ns5:rPr>
            <ns5:sty ns5:val="p"/>
          </ns5:rPr>
          <ns5:t>=</ns5:t>
        </ns5:r>
        <ns5:r>
          <ns5:t>50</ns5:t>
        </ns5:r>
      </ns5:oMath>
      <w:r>
        <w:t xml:space="preserve">: 0.559,</w:t>
      </w:r>
      <w:r>
        <w:t xml:space="preserve"> </w:t>
      </w:r>
      <ns5:oMath>
        <ns5:r>
          <ns5:t>N</ns5:t>
        </ns5:r>
        <ns5:r>
          <ns5:rPr>
            <ns5:sty ns5:val="p"/>
          </ns5:rPr>
          <ns5:t>=</ns5:t>
        </ns5:r>
        <ns5:r>
          <ns5:t>100</ns5:t>
        </ns5:r>
      </ns5:oMath>
      <w:r>
        <w:t xml:space="preserve">: 0.561,</w:t>
      </w:r>
      <w:r>
        <w:t xml:space="preserve"> </w:t>
      </w:r>
      <ns5:oMath>
        <ns5:r>
          <ns5:t>N</ns5:t>
        </ns5:r>
        <ns5:r>
          <ns5:rPr>
            <ns5:sty ns5:val="p"/>
          </ns5:rPr>
          <ns5:t>=</ns5:t>
        </ns5:r>
        <ns5:r>
          <ns5:t>200</ns5:t>
        </ns5:r>
      </ns5:oMath>
      <w:r>
        <w:t xml:space="preserve">: 0.562. Estas diferencias son inferiores a un punto</w:t>
      </w:r>
      <w:r>
        <w:t xml:space="preserve"> </w:t>
      </w:r>
      <w:r>
        <w:t xml:space="preserve">porcentual y no muestran tendencia monótona.</w:t>
      </w:r>
    </w:p>
    <w:p>
      <w:pPr>
        <w:pStyle w:val="Textoindependiente"/>
        <w:spacing w:line="360" w:lineRule="auto"/>
        <w:jc w:val="both"/>
      </w:pPr>
      <w:r>
        <w:t xml:space="preserve">La invarianza de las métricas ante el tamaño de muestra tiene dos implicaciones:</w:t>
      </w:r>
      <w:r>
        <w:t xml:space="preserve"> </w:t>
      </w:r>
      <w:r>
        <w:t xml:space="preserve">(1) la estimación por estrato converge rápidamente, de modo que</w:t>
      </w:r>
      <w:r>
        <w:t xml:space="preserve"> </w:t>
      </w:r>
      <ns5:oMath>
        <ns5:r>
          <ns5:t>N</ns5:t>
        </ns5:r>
        <ns5:r>
          <ns5:rPr>
            <ns5:sty ns5:val="p"/>
          </ns5:rPr>
          <ns5:t>=</ns5:t>
        </ns5:r>
        <ns5:r>
          <ns5:t>50</ns5:t>
        </ns5:r>
      </ns5:oMath>
      <w:r>
        <w:t xml:space="preserve"> </w:t>
      </w:r>
      <w:r>
        <w:t xml:space="preserve">es</w:t>
      </w:r>
      <w:r>
        <w:t xml:space="preserve"> </w:t>
      </w:r>
      <w:r>
        <w:t xml:space="preserve">suficiente para obtener medias representativas; (2) el diseño con tres tamaños</w:t>
      </w:r>
      <w:r>
        <w:t xml:space="preserve"> </w:t>
      </w:r>
      <w:r>
        <w:t xml:space="preserve">de muestra aporta replicación estadística útil sin añadir variabilidad</w:t>
      </w:r>
      <w:r>
        <w:t xml:space="preserve"> </w:t>
      </w:r>
      <w:r>
        <w:t xml:space="preserve">sistemática, lo que confirma la elección de niveles del Capítulo 3. Los costes</w:t>
      </w:r>
      <w:r>
        <w:t xml:space="preserve"> </w:t>
      </w:r>
      <w:r>
        <w:t xml:space="preserve">computacionales crecen proporcionalmente con</w:t>
      </w:r>
      <w:r>
        <w:t xml:space="preserve"> </w:t>
      </w:r>
      <ns5:oMath>
        <ns5:r>
          <ns5:t>N</ns5:t>
        </ns5:r>
      </ns5:oMath>
      <w:r>
        <w:t xml:space="preserve"> </w:t>
      </w:r>
      <w:r>
        <w:t xml:space="preserve">en LIME (estructura lineal)</w:t>
      </w:r>
      <w:r>
        <w:t xml:space="preserve"> </w:t>
      </w:r>
      <w:r>
        <w:t xml:space="preserve">pero no en SHAP para modelos de árbol (TreeSHAP escala logarítmicamente).</w:t>
      </w:r>
    </w:p>
    <w:bookmarkEnd w:id="199"/>
    <w:bookmarkEnd w:id="200"/>
    <w:bookmarkStart w:id="202" w:name="sec-trazabilidad-resultados"/>
    <w:p>
      <w:pPr>
        <w:pStyle w:val="Ttulo2"/>
        <w:spacing w:line="360" w:lineRule="auto"/>
        <w:jc w:val="both"/>
      </w:pPr>
      <w:r>
        <w:t xml:space="preserve">4.7 </w:t>
      </w:r>
      <w:r>
        <w:t xml:space="preserve">Trazabilidad de claims principales</w:t>
      </w:r>
    </w:p>
    <w:p>
      <w:pPr>
        <w:pStyle w:val="FirstParagraph"/>
        <w:spacing w:line="360" w:lineRule="auto"/>
        <w:jc w:val="both"/>
      </w:pPr>
      <w:r>
        <w:t xml:space="preserve">La Tabla</w:t>
      </w:r>
      <w:r>
        <w:t xml:space="preserve"> </w:t>
      </w:r>
      <w:hyperlink w:anchor="tbl-claim-traceability">
        <w:r>
          <w:rPr>
            <w:rStyle w:val="Hipervnculo"/>
          </w:rPr>
          <w:t xml:space="preserve">4.7</w:t>
        </w:r>
      </w:hyperlink>
      <w:r>
        <w:t xml:space="preserve"> </w:t>
      </w:r>
      <w:r>
        <w:t xml:space="preserve">vincula las afirmaciones principales con los</w:t>
      </w:r>
      <w:r>
        <w:t xml:space="preserve"> </w:t>
      </w:r>
      <w:r>
        <w:t xml:space="preserve">artefactos que las sostienen. Esta tabla implementa la puerta 7 de FOM-7 dentro</w:t>
      </w:r>
      <w:r>
        <w:t xml:space="preserve"> </w:t>
      </w:r>
      <w:r>
        <w:t xml:space="preserve">del capítulo de resultados.</w:t>
      </w:r>
    </w:p>
    <w:tbl>
      <w:tblPr>
        <w:tblStyle w:val="Table"/>
        <w:tblW w:type="pct" w:w="5000"/>
        <w:jc w:val="center"/>
        <w:tblLayout w:type="fixed"/>
        <w:tblLook w:firstRow="0" w:lastRow="0" w:firstColumn="0" w:lastColumn="0" w:noHBand="0" w:noVBand="0" w:val="0000"/>
      </w:tblPr>
      <w:tblGrid>
        <w:gridCol w:w="7920"/>
      </w:tblGrid>
      <w:tr>
        <w:tc>
          <w:tcPr/>
          <w:bookmarkStart w:id="201" w:name="tbl-claim-traceability"/>
          <w:p>
            <w:pPr>
              <w:pStyle w:val="ImageCaption"/>
              <w:spacing w:before="200" w:line="360" w:lineRule="auto"/>
              <w:jc w:val="center"/>
            </w:pPr>
            <w:r>
              <w:t xml:space="preserve">Tabla 4.7: Trazabilidad de claims, artefactos y alcance inferencial.</w:t>
            </w:r>
          </w:p>
          <w:tbl>
            <w:tblPr>
              <w:tblStyle w:val="Table"/>
              <w:tblW w:type="pct" w:w="500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both"/>
                    <w:jc w:val="center"/>
                    <w:spacing w:line="360" w:lineRule="auto"/>
                  </w:pPr>
                  <w:r>
                    <w:rPr>
                      <w:bCs/>
                      <w:b/>
                    </w:rPr>
                    <w:t xml:space="preserve">Claim</w:t>
                  </w:r>
                </w:p>
              </w:tc>
              <w:tc>
                <w:tcPr/>
                <w:p>
                  <w:pPr>
                    <w:pStyle w:val="Compact"/>
                    <w:jc w:val="both"/>
                    <w:jc w:val="center"/>
                    <w:spacing w:line="360" w:lineRule="auto"/>
                  </w:pPr>
                  <w:r>
                    <w:rPr>
                      <w:bCs/>
                      <w:b/>
                    </w:rPr>
                    <w:t xml:space="preserve">Evidencia en tesis</w:t>
                  </w:r>
                </w:p>
              </w:tc>
              <w:tc>
                <w:tcPr/>
                <w:p>
                  <w:pPr>
                    <w:pStyle w:val="Compact"/>
                    <w:jc w:val="both"/>
                    <w:jc w:val="center"/>
                    <w:spacing w:line="360" w:lineRule="auto"/>
                  </w:pPr>
                  <w:r>
                    <w:rPr>
                      <w:bCs/>
                      <w:b/>
                    </w:rPr>
                    <w:t xml:space="preserve">Artefacto fuente</w:t>
                  </w:r>
                </w:p>
              </w:tc>
              <w:tc>
                <w:tcPr/>
                <w:p>
                  <w:pPr>
                    <w:pStyle w:val="Compact"/>
                    <w:jc w:val="both"/>
                    <w:jc w:val="center"/>
                    <w:spacing w:line="360" w:lineRule="auto"/>
                  </w:pPr>
                  <w:r>
                    <w:rPr>
                      <w:bCs/>
                      <w:b/>
                    </w:rPr>
                    <w:t xml:space="preserve">Script / proceso</w:t>
                  </w:r>
                </w:p>
              </w:tc>
              <w:tc>
                <w:tcPr/>
                <w:p>
                  <w:pPr>
                    <w:pStyle w:val="Compact"/>
                    <w:jc w:val="both"/>
                    <w:jc w:val="center"/>
                    <w:spacing w:line="360" w:lineRule="auto"/>
                  </w:pPr>
                  <w:r>
                    <w:rPr>
                      <w:bCs/>
                      <w:b/>
                    </w:rPr>
                    <w:t xml:space="preserve">Alcance</w:t>
                  </w:r>
                </w:p>
              </w:tc>
            </w:tr>
            <w:tr>
              <w:tc>
                <w:tcPr/>
                <w:p>
                  <w:pPr>
                    <w:pStyle w:val="Compact"/>
                    <w:jc w:val="both"/>
                    <w:jc w:val="center"/>
                    <w:spacing w:line="360" w:lineRule="auto"/>
                  </w:pPr>
                  <w:r>
                    <w:t xml:space="preserve">Existen diferencias globales entre métodos en fidelidad</w:t>
                  </w:r>
                </w:p>
              </w:tc>
              <w:tc>
                <w:tcPr/>
                <w:p>
                  <w:pPr>
                    <w:pStyle w:val="Compact"/>
                    <w:jc w:val="both"/>
                    <w:jc w:val="center"/>
                    <w:spacing w:line="360" w:lineRule="auto"/>
                  </w:pPr>
                  <w:r>
                    <w:t xml:space="preserve">Tablas</w:t>
                  </w:r>
                  <w:r>
                    <w:t xml:space="preserve"> </w:t>
                  </w:r>
                  <w:hyperlink w:anchor="tbl-friedman-fidelity">
                    <w:r>
                      <w:rPr>
                        <w:rStyle w:val="Hipervnculo"/>
                      </w:rPr>
                      <w:t xml:space="preserve">4.2</w:t>
                    </w:r>
                  </w:hyperlink>
                  <w:r>
                    <w:t xml:space="preserve"> </w:t>
                  </w:r>
                  <w:r>
                    <w:t xml:space="preserve">y</w:t>
                  </w:r>
                  <w:r>
                    <w:t xml:space="preserve"> </w:t>
                  </w:r>
                  <w:hyperlink w:anchor="tbl-nemenyi-fidelity">
                    <w:r>
                      <w:rPr>
                        <w:rStyle w:val="Hipervnculo"/>
                      </w:rPr>
                      <w:t xml:space="preserve">4.3</w:t>
                    </w:r>
                  </w:hyperlink>
                </w:p>
              </w:tc>
              <w:tc>
                <w:tcPr/>
                <w:p>
                  <w:pPr>
                    <w:pStyle w:val="Compact"/>
                    <w:jc w:val="both"/>
                    <w:jc w:val="center"/>
                    <w:spacing w:line="360" w:lineRule="auto"/>
                  </w:pPr>
                  <w:r>
                    <w:rPr>
                      <w:rStyle w:val="VerbatimChar"/>
                    </w:rPr>
                    <w:t xml:space="preserve">outputs/analysis/paper_a_exp2_stats/friedman_results.csv</w:t>
                  </w:r>
                  <w:r>
                    <w:t xml:space="preserve">,</w:t>
                  </w:r>
                  <w:r>
                    <w:t xml:space="preserve"> </w:t>
                  </w:r>
                  <w:r>
                    <w:rPr>
                      <w:rStyle w:val="VerbatimChar"/>
                    </w:rPr>
                    <w:t xml:space="preserve">nemenyi_fidelity.csv</w:t>
                  </w:r>
                </w:p>
              </w:tc>
              <w:tc>
                <w:tcPr/>
                <w:p>
                  <w:pPr>
                    <w:pStyle w:val="Compact"/>
                    <w:jc w:val="both"/>
                    <w:jc w:val="center"/>
                    <w:spacing w:line="360" w:lineRule="auto"/>
                  </w:pPr>
                  <w:r>
                    <w:rPr>
                      <w:rStyle w:val="VerbatimChar"/>
                    </w:rPr>
                    <w:t xml:space="preserve">scripts/run_exp2_statistical_analysis.py</w:t>
                  </w:r>
                </w:p>
              </w:tc>
              <w:tc>
                <w:tcPr/>
                <w:p>
                  <w:pPr>
                    <w:pStyle w:val="Compact"/>
                    <w:jc w:val="both"/>
                    <w:jc w:val="center"/>
                    <w:spacing w:line="360" w:lineRule="auto"/>
                  </w:pPr>
                  <w:r>
                    <w:t xml:space="preserve">15 bloques Adult Income, cuatro métodos, cinco modelos</w:t>
                  </w:r>
                </w:p>
              </w:tc>
            </w:tr>
            <w:tr>
              <w:tc>
                <w:tcPr/>
                <w:p>
                  <w:pPr>
                    <w:pStyle w:val="Compact"/>
                    <w:jc w:val="both"/>
                    <w:jc w:val="center"/>
                    <w:spacing w:line="360" w:lineRule="auto"/>
                  </w:pPr>
                  <w:r>
                    <w:t xml:space="preserve">SHAP supera a LIME en fidelidad en la agregación del análisis global</w:t>
                  </w:r>
                </w:p>
              </w:tc>
              <w:tc>
                <w:tcPr/>
                <w:p>
                  <w:pPr>
                    <w:pStyle w:val="Compact"/>
                    <w:jc w:val="both"/>
                    <w:jc w:val="center"/>
                    <w:spacing w:line="360" w:lineRule="auto"/>
                  </w:pPr>
                  <w:r>
                    <w:t xml:space="preserve">Seguimiento dirigido tras la Tabla</w:t>
                  </w:r>
                  <w:r>
                    <w:t xml:space="preserve"> </w:t>
                  </w:r>
                  <w:hyperlink w:anchor="tbl-nemenyi-fidelity">
                    <w:r>
                      <w:rPr>
                        <w:rStyle w:val="Hipervnculo"/>
                      </w:rPr>
                      <w:t xml:space="preserve">4.3</w:t>
                    </w:r>
                  </w:hyperlink>
                </w:p>
              </w:tc>
              <w:tc>
                <w:tcPr/>
                <w:p>
                  <w:pPr>
                    <w:pStyle w:val="Compact"/>
                    <w:jc w:val="both"/>
                    <w:jc w:val="center"/>
                    <w:spacing w:line="360" w:lineRule="auto"/>
                  </w:pPr>
                  <w:r>
                    <w:rPr>
                      <w:rStyle w:val="VerbatimChar"/>
                    </w:rPr>
                    <w:t xml:space="preserve">paired_blocks_shap_lime.csv</w:t>
                  </w:r>
                  <w:r>
                    <w:t xml:space="preserve">,</w:t>
                  </w:r>
                  <w:r>
                    <w:t xml:space="preserve"> </w:t>
                  </w:r>
                  <w:r>
                    <w:rPr>
                      <w:rStyle w:val="VerbatimChar"/>
                    </w:rPr>
                    <w:t xml:space="preserve">wilcoxon_shap_lime_blocks.csv</w:t>
                  </w:r>
                  <w:r>
                    <w:t xml:space="preserve">,</w:t>
                  </w:r>
                  <w:r>
                    <w:t xml:space="preserve"> </w:t>
                  </w:r>
                  <w:r>
                    <w:rPr>
                      <w:rStyle w:val="VerbatimChar"/>
                    </w:rPr>
                    <w:t xml:space="preserve">sign_test_shap_lime_blocks.csv</w:t>
                  </w:r>
                </w:p>
              </w:tc>
              <w:tc>
                <w:tcPr/>
                <w:p>
                  <w:pPr>
                    <w:pStyle w:val="Compact"/>
                    <w:jc w:val="both"/>
                    <w:jc w:val="center"/>
                    <w:spacing w:line="360" w:lineRule="auto"/>
                  </w:pPr>
                  <w:r>
                    <w:rPr>
                      <w:rStyle w:val="VerbatimChar"/>
                    </w:rPr>
                    <w:t xml:space="preserve">scripts/run_exp2_block_paired_analysis.py</w:t>
                  </w:r>
                </w:p>
              </w:tc>
              <w:tc>
                <w:tcPr/>
                <w:p>
                  <w:pPr>
                    <w:pStyle w:val="Compact"/>
                    <w:jc w:val="both"/>
                    <w:jc w:val="center"/>
                    <w:spacing w:line="360" w:lineRule="auto"/>
                  </w:pPr>
                  <w:r>
                    <w:t xml:space="preserve">15 bloques</w:t>
                  </w:r>
                  <w:r>
                    <w:t xml:space="preserve"> </w:t>
                  </w:r>
                  <ns5:oMath>
                    <ns5:r>
                      <ns5:rPr>
                        <ns5:sty ns5:val="p"/>
                      </ns5:rPr>
                      <ns5:t>(</ns5:t>
                    </ns5:r>
                    <ns5:r>
                      <ns5:t>g</ns5:t>
                    </ns5:r>
                    <ns5:r>
                      <ns5:rPr>
                        <ns5:sty ns5:val="p"/>
                      </ns5:rPr>
                      <ns5:t>,</ns5:t>
                    </ns5:r>
                    <ns5:r>
                      <ns5:t>n</ns5:t>
                    </ns5:r>
                    <ns5:r>
                      <ns5:rPr>
                        <ns5:sty ns5:val="p"/>
                      </ns5:rPr>
                      <ns5:t>)</ns5:t>
                    </ns5:r>
                  </ns5:oMath>
                  <w:r>
                    <w:t xml:space="preserve">; análisis motivado por revisión, distinto del H3 de 75 celdas</w:t>
                  </w:r>
                </w:p>
              </w:tc>
            </w:tr>
            <w:tr>
              <w:tc>
                <w:tcPr/>
                <w:p>
                  <w:pPr>
                    <w:pStyle w:val="Compact"/>
                    <w:jc w:val="both"/>
                    <w:jc w:val="center"/>
                    <w:spacing w:line="360" w:lineRule="auto"/>
                  </w:pPr>
                  <w:r>
                    <w:t xml:space="preserve">Existen diferencias globales entre métodos en estabilidad</w:t>
                  </w:r>
                </w:p>
              </w:tc>
              <w:tc>
                <w:tcPr/>
                <w:p>
                  <w:pPr>
                    <w:pStyle w:val="Compact"/>
                    <w:jc w:val="both"/>
                    <w:jc w:val="center"/>
                    <w:spacing w:line="360" w:lineRule="auto"/>
                  </w:pPr>
                  <w:r>
                    <w:t xml:space="preserve">Tabla</w:t>
                  </w:r>
                  <w:r>
                    <w:t xml:space="preserve"> </w:t>
                  </w:r>
                  <w:hyperlink w:anchor="tbl-friedman-stability">
                    <w:r>
                      <w:rPr>
                        <w:rStyle w:val="Hipervnculo"/>
                      </w:rPr>
                      <w:t xml:space="preserve">4.4</w:t>
                    </w:r>
                  </w:hyperlink>
                  <w:r>
                    <w:t xml:space="preserve"> </w:t>
                  </w:r>
                  <w:r>
                    <w:t xml:space="preserve">y localización Nemenyi en texto</w:t>
                  </w:r>
                </w:p>
              </w:tc>
              <w:tc>
                <w:tcPr/>
                <w:p>
                  <w:pPr>
                    <w:pStyle w:val="Compact"/>
                    <w:jc w:val="both"/>
                    <w:jc w:val="center"/>
                    <w:spacing w:line="360" w:lineRule="auto"/>
                  </w:pPr>
                  <w:r>
                    <w:rPr>
                      <w:rStyle w:val="VerbatimChar"/>
                    </w:rPr>
                    <w:t xml:space="preserve">friedman_results.csv</w:t>
                  </w:r>
                  <w:r>
                    <w:t xml:space="preserve">,</w:t>
                  </w:r>
                  <w:r>
                    <w:t xml:space="preserve"> </w:t>
                  </w:r>
                  <w:r>
                    <w:rPr>
                      <w:rStyle w:val="VerbatimChar"/>
                    </w:rPr>
                    <w:t xml:space="preserve">nemenyi_stability.csv</w:t>
                  </w:r>
                </w:p>
              </w:tc>
              <w:tc>
                <w:tcPr/>
                <w:p>
                  <w:pPr>
                    <w:pStyle w:val="Compact"/>
                    <w:jc w:val="both"/>
                    <w:jc w:val="center"/>
                    <w:spacing w:line="360" w:lineRule="auto"/>
                  </w:pPr>
                  <w:r>
                    <w:rPr>
                      <w:rStyle w:val="VerbatimChar"/>
                    </w:rPr>
                    <w:t xml:space="preserve">scripts/run_exp2_statistical_analysis.py</w:t>
                  </w:r>
                </w:p>
              </w:tc>
              <w:tc>
                <w:tcPr/>
                <w:p>
                  <w:pPr>
                    <w:pStyle w:val="Compact"/>
                    <w:jc w:val="both"/>
                    <w:jc w:val="center"/>
                    <w:spacing w:line="360" w:lineRule="auto"/>
                  </w:pPr>
                  <w:r>
                    <w:t xml:space="preserve">Mismo diseño de bloques; estabilidad como similitud coseno</w:t>
                  </w:r>
                </w:p>
              </w:tc>
            </w:tr>
            <w:tr>
              <w:tc>
                <w:tcPr/>
                <w:p>
                  <w:pPr>
                    <w:pStyle w:val="Compact"/>
                    <w:jc w:val="both"/>
                    <w:jc w:val="center"/>
                    <w:spacing w:line="360" w:lineRule="auto"/>
                  </w:pPr>
                  <w:r>
                    <w:t xml:space="preserve">SHAP supera a LIME en fidelidad y estabilidad pero aumenta el coste medio</w:t>
                  </w:r>
                </w:p>
              </w:tc>
              <w:tc>
                <w:tcPr/>
                <w:p>
                  <w:pPr>
                    <w:pStyle w:val="Compact"/>
                    <w:jc w:val="both"/>
                    <w:jc w:val="center"/>
                    <w:spacing w:line="360" w:lineRule="auto"/>
                  </w:pPr>
                  <w:r>
                    <w:t xml:space="preserve">Tabla</w:t>
                  </w:r>
                  <w:r>
                    <w:t xml:space="preserve"> </w:t>
                  </w:r>
                  <w:hyperlink w:anchor="tbl-paired-shap-lime">
                    <w:r>
                      <w:rPr>
                        <w:rStyle w:val="Hipervnculo"/>
                      </w:rPr>
                      <w:t xml:space="preserve">4.5</w:t>
                    </w:r>
                  </w:hyperlink>
                </w:p>
              </w:tc>
              <w:tc>
                <w:tcPr/>
                <w:p>
                  <w:pPr>
                    <w:pStyle w:val="Compact"/>
                    <w:jc w:val="both"/>
                    <w:jc w:val="center"/>
                    <w:spacing w:line="360" w:lineRule="auto"/>
                  </w:pPr>
                  <w:r>
                    <w:rPr>
                      <w:rStyle w:val="VerbatimChar"/>
                    </w:rPr>
                    <w:t xml:space="preserve">wilcoxon_shap_lime_all_models.csv</w:t>
                  </w:r>
                  <w:r>
                    <w:t xml:space="preserve">,</w:t>
                  </w:r>
                  <w:r>
                    <w:t xml:space="preserve"> </w:t>
                  </w:r>
                  <w:r>
                    <w:rPr>
                      <w:rStyle w:val="VerbatimChar"/>
                    </w:rPr>
                    <w:t xml:space="preserve">paired_cells_shap_lime_all_models.csv</w:t>
                  </w:r>
                </w:p>
              </w:tc>
              <w:tc>
                <w:tcPr/>
                <w:p>
                  <w:pPr>
                    <w:pStyle w:val="Compact"/>
                    <w:jc w:val="both"/>
                    <w:jc w:val="center"/>
                    <w:spacing w:line="360" w:lineRule="auto"/>
                  </w:pPr>
                  <w:r>
                    <w:rPr>
                      <w:rStyle w:val="VerbatimChar"/>
                    </w:rPr>
                    <w:t xml:space="preserve">scripts/run_exp2_statistical_analysis.py</w:t>
                  </w:r>
                </w:p>
              </w:tc>
              <w:tc>
                <w:tcPr/>
                <w:p>
                  <w:pPr>
                    <w:pStyle w:val="Compact"/>
                    <w:jc w:val="both"/>
                    <w:jc w:val="center"/>
                    <w:spacing w:line="360" w:lineRule="auto"/>
                  </w:pPr>
                  <w:r>
                    <w:t xml:space="preserve">75 celdas pareadas</w:t>
                  </w:r>
                  <w:r>
                    <w:t xml:space="preserve"> </w:t>
                  </w:r>
                  <ns5:oMath>
                    <ns5:r>
                      <ns5:rPr>
                        <ns5:sty ns5:val="p"/>
                      </ns5:rPr>
                      <ns5:t>(</ns5:t>
                    </ns5:r>
                    <ns5:r>
                      <ns5:t>g</ns5:t>
                    </ns5:r>
                    <ns5:r>
                      <ns5:rPr>
                        <ns5:sty ns5:val="p"/>
                      </ns5:rPr>
                      <ns5:t>,</ns5:t>
                    </ns5:r>
                    <ns5:r>
                      <ns5:t>s</ns5:t>
                    </ns5:r>
                    <ns5:r>
                      <ns5:rPr>
                        <ns5:sty ns5:val="p"/>
                      </ns5:rPr>
                      <ns5:t>,</ns5:t>
                    </ns5:r>
                    <ns5:r>
                      <ns5:t>n</ns5:t>
                    </ns5:r>
                    <ns5:r>
                      <ns5:rPr>
                        <ns5:sty ns5:val="p"/>
                      </ns5:rPr>
                      <ns5:t>)</ns5:t>
                    </ns5:r>
                  </ns5:oMath>
                  <w:r>
                    <w:t xml:space="preserve">; no generaliza fuera de Adult/tabular</w:t>
                  </w:r>
                </w:p>
              </w:tc>
            </w:tr>
            <w:tr>
              <w:tc>
                <w:tcPr/>
                <w:p>
                  <w:pPr>
                    <w:pStyle w:val="Compact"/>
                    <w:jc w:val="both"/>
                    <w:jc w:val="center"/>
                    <w:spacing w:line="360" w:lineRule="auto"/>
                  </w:pPr>
                  <w:r>
                    <w:t xml:space="preserve">FOM-7 produce señales reproducibles para métricas principales</w:t>
                  </w:r>
                </w:p>
              </w:tc>
              <w:tc>
                <w:tcPr/>
                <w:p>
                  <w:pPr>
                    <w:pStyle w:val="Compact"/>
                    <w:jc w:val="both"/>
                    <w:jc w:val="center"/>
                    <w:spacing w:line="360" w:lineRule="auto"/>
                  </w:pPr>
                  <w:r>
                    <w:t xml:space="preserve">Tabla</w:t>
                  </w:r>
                  <w:r>
                    <w:t xml:space="preserve"> </w:t>
                  </w:r>
                  <w:hyperlink w:anchor="tbl-cv-p1">
                    <w:r>
                      <w:rPr>
                        <w:rStyle w:val="Hipervnculo"/>
                      </w:rPr>
                      <w:t xml:space="preserve">4.6</w:t>
                    </w:r>
                  </w:hyperlink>
                </w:p>
              </w:tc>
              <w:tc>
                <w:tcPr/>
                <w:p>
                  <w:pPr>
                    <w:pStyle w:val="Compact"/>
                    <w:jc w:val="both"/>
                    <w:jc w:val="center"/>
                    <w:spacing w:line="360" w:lineRule="auto"/>
                  </w:pPr>
                  <w:r>
                    <w:rPr>
                      <w:rStyle w:val="VerbatimChar"/>
                    </w:rPr>
                    <w:t xml:space="preserve">outputs/analysis/paper_a_exp2_stats/exp2_run_level_metrics.csv</w:t>
                  </w:r>
                  <w:r>
                    <w:t xml:space="preserve"> </w:t>
                  </w:r>
                  <w:r>
                    <w:t xml:space="preserve">(estrato RF/</w:t>
                  </w:r>
                  <ns5:oMath>
                    <ns5:r>
                      <ns5:t>N</ns5:t>
                    </ns5:r>
                    <ns5:r>
                      <ns5:rPr>
                        <ns5:sty ns5:val="p"/>
                      </ns5:rPr>
                      <ns5:t>=</ns5:t>
                    </ns5:r>
                    <ns5:r>
                      <ns5:t>100</ns5:t>
                    </ns5:r>
                  </ns5:oMath>
                  <w:r>
                    <w:t xml:space="preserve">, cinco semillas); perfil complementario en</w:t>
                  </w:r>
                  <w:r>
                    <w:t xml:space="preserve"> </w:t>
                  </w:r>
                  <w:r>
                    <w:rPr>
                      <w:rStyle w:val="VerbatimChar"/>
                    </w:rPr>
                    <w:t xml:space="preserve">experiments/exp1_adult/reproducibility/reproducibility_report.csv</w:t>
                  </w:r>
                </w:p>
              </w:tc>
              <w:tc>
                <w:tcPr/>
                <w:p>
                  <w:pPr>
                    <w:pStyle w:val="Compact"/>
                    <w:jc w:val="both"/>
                    <w:jc w:val="center"/>
                    <w:spacing w:line="360" w:lineRule="auto"/>
                  </w:pPr>
                  <w:r>
                    <w:t xml:space="preserve">Agregación por celda desde el nivel de ejecución</w:t>
                  </w:r>
                </w:p>
              </w:tc>
              <w:tc>
                <w:tcPr/>
                <w:p>
                  <w:pPr>
                    <w:pStyle w:val="Compact"/>
                    <w:jc w:val="both"/>
                    <w:jc w:val="center"/>
                    <w:spacing w:line="360" w:lineRule="auto"/>
                  </w:pPr>
                  <w:r>
                    <w:t xml:space="preserve">Confirmación parcial; LIME-estabilidad queda limitada por media cercana a cero</w:t>
                  </w:r>
                </w:p>
              </w:tc>
            </w:tr>
            <w:tr>
              <w:tc>
                <w:tcPr/>
                <w:p>
                  <w:pPr>
                    <w:pStyle w:val="Compact"/>
                    <w:jc w:val="both"/>
                    <w:jc w:val="center"/>
                    <w:spacing w:line="360" w:lineRule="auto"/>
                  </w:pPr>
                  <w:r>
                    <w:t xml:space="preserve">La cobertura faltante no invalida las pruebas confirmativas principales</w:t>
                  </w:r>
                </w:p>
              </w:tc>
              <w:tc>
                <w:tcPr/>
                <w:p>
                  <w:pPr>
                    <w:pStyle w:val="Compact"/>
                    <w:jc w:val="both"/>
                    <w:jc w:val="center"/>
                    <w:spacing w:line="360" w:lineRule="auto"/>
                  </w:pPr>
                  <w:r>
                    <w:t xml:space="preserve">Capítulo 3, tablas de cobertura</w:t>
                  </w:r>
                </w:p>
              </w:tc>
              <w:tc>
                <w:tcPr/>
                <w:p>
                  <w:pPr>
                    <w:pStyle w:val="Compact"/>
                    <w:jc w:val="both"/>
                    <w:jc w:val="center"/>
                    <w:spacing w:line="360" w:lineRule="auto"/>
                  </w:pPr>
                  <w:r>
                    <w:rPr>
                      <w:rStyle w:val="VerbatimChar"/>
                    </w:rPr>
                    <w:t xml:space="preserve">exp2_run_inventory.csv</w:t>
                  </w:r>
                  <w:r>
                    <w:t xml:space="preserve">, árbol</w:t>
                  </w:r>
                  <w:r>
                    <w:t xml:space="preserve"> </w:t>
                  </w:r>
                  <w:r>
                    <w:rPr>
                      <w:rStyle w:val="VerbatimChar"/>
                    </w:rPr>
                    <w:t xml:space="preserve">experiments/exp2_scaled/results/</w:t>
                  </w:r>
                </w:p>
              </w:tc>
              <w:tc>
                <w:tcPr/>
                <w:p>
                  <w:pPr>
                    <w:pStyle w:val="Compact"/>
                    <w:jc w:val="both"/>
                    <w:jc w:val="center"/>
                    <w:spacing w:line="360" w:lineRule="auto"/>
                  </w:pPr>
                  <w:r>
                    <w:t xml:space="preserve">Auditoría FOM-7 puerta 3</w:t>
                  </w:r>
                </w:p>
              </w:tc>
              <w:tc>
                <w:tcPr/>
                <w:p>
                  <w:pPr>
                    <w:pStyle w:val="Compact"/>
                    <w:jc w:val="both"/>
                    <w:jc w:val="center"/>
                    <w:spacing w:line="360" w:lineRule="auto"/>
                  </w:pPr>
                  <w:r>
                    <w:t xml:space="preserve">Afecta precisión de Anchors/DiCE; no afecta SHAP-LIME pareado</w:t>
                  </w:r>
                </w:p>
              </w:tc>
            </w:tr>
          </w:tbl>
          <w:bookmarkEnd w:id="201"/>
          <w:p>
            <w:pPr>
              <w:spacing w:line="360" w:lineRule="auto"/>
              <w:jc w:val="both"/>
            </w:pPr>
          </w:p>
        </w:tc>
      </w:tr>
    </w:tbl>
    <w:bookmarkEnd w:id="202"/>
    <w:bookmarkStart w:id="231" w:name="sec-visualizaciones-resultados"/>
    <w:p>
      <w:pPr>
        <w:pStyle w:val="Ttulo2"/>
        <w:spacing w:line="360" w:lineRule="auto"/>
        <w:jc w:val="both"/>
      </w:pPr>
      <w:r>
        <w:t xml:space="preserve">4.8 </w:t>
      </w:r>
      <w:r>
        <w:t xml:space="preserve">Visualizaciones complementarias</w:t>
      </w:r>
    </w:p>
    <w:p>
      <w:pPr>
        <w:pStyle w:val="FirstParagraph"/>
        <w:spacing w:line="360" w:lineRule="auto"/>
        <w:jc w:val="both"/>
      </w:pPr>
      <w:r>
        <w:t xml:space="preserve">Las tablas inferenciales son la evidencia primaria del capítulo. Las figuras</w:t>
      </w:r>
      <w:r>
        <w:t xml:space="preserve"> </w:t>
      </w:r>
      <w:r>
        <w:t xml:space="preserve">siguientes se incluyen como apoyo visual para inspeccionar patrones</w:t>
      </w:r>
      <w:r>
        <w:t xml:space="preserve"> </w:t>
      </w:r>
      <w:r>
        <w:t xml:space="preserve">multimétricos y relaciones entre constructos. No sustituyen las pruebas</w:t>
      </w:r>
      <w:r>
        <w:t xml:space="preserve"> </w:t>
      </w:r>
      <w:r>
        <w:t xml:space="preserve">estadísticas, pero ayudan a detectar si los resultados tabulares son coherentes</w:t>
      </w:r>
      <w:r>
        <w:t xml:space="preserve"> </w:t>
      </w:r>
      <w:r>
        <w:t xml:space="preserve">con la estructura global de los datos. La</w:t>
      </w:r>
      <w:r>
        <w:t xml:space="preserve"> </w:t>
      </w:r>
      <w:hyperlink w:anchor="fig-cobertura-exp2">
        <w:r>
          <w:rPr>
            <w:rStyle w:val="Hipervnculo"/>
          </w:rPr>
          <w:t xml:space="preserve">Figura 4.4</w:t>
        </w:r>
      </w:hyperlink>
      <w:r>
        <w:t xml:space="preserve"> </w:t>
      </w:r>
      <w:r>
        <w:t xml:space="preserve">muestra la</w:t>
      </w:r>
      <w:r>
        <w:t xml:space="preserve"> </w:t>
      </w:r>
      <w:r>
        <w:t xml:space="preserve">cobertura de artefactos que condiciona todos los análisis. La</w:t>
      </w:r>
      <w:r>
        <w:t xml:space="preserve"> </w:t>
      </w:r>
      <w:hyperlink w:anchor="fig-cd-diagram">
        <w:r>
          <w:rPr>
            <w:rStyle w:val="Hipervnculo"/>
          </w:rPr>
          <w:t xml:space="preserve">Figura 4.5</w:t>
        </w:r>
      </w:hyperlink>
      <w:r>
        <w:t xml:space="preserve"> </w:t>
      </w:r>
      <w:r>
        <w:t xml:space="preserve">y</w:t>
      </w:r>
      <w:r>
        <w:t xml:space="preserve"> </w:t>
      </w:r>
      <w:r>
        <w:t xml:space="preserve">la</w:t>
      </w:r>
      <w:r>
        <w:t xml:space="preserve"> </w:t>
      </w:r>
      <w:hyperlink w:anchor="fig-boxplots-metricas">
        <w:r>
          <w:rPr>
            <w:rStyle w:val="Hipervnculo"/>
          </w:rPr>
          <w:t xml:space="preserve">Figura 4.6</w:t>
        </w:r>
      </w:hyperlink>
      <w:r>
        <w:t xml:space="preserve"> </w:t>
      </w:r>
      <w:r>
        <w:t xml:space="preserve">acompañan a H1 y H2: la primera resume la</w:t>
      </w:r>
      <w:r>
        <w:t xml:space="preserve"> </w:t>
      </w:r>
      <w:r>
        <w:t xml:space="preserve">localización de Nemenyi y la segunda, la distribución por bloques de la que</w:t>
      </w:r>
      <w:r>
        <w:t xml:space="preserve"> </w:t>
      </w:r>
      <w:r>
        <w:t xml:space="preserve">proceden los rangos. La</w:t>
      </w:r>
      <w:r>
        <w:t xml:space="preserve"> </w:t>
      </w:r>
      <w:hyperlink w:anchor="fig-diferencias-pareadas">
        <w:r>
          <w:rPr>
            <w:rStyle w:val="Hipervnculo"/>
          </w:rPr>
          <w:t xml:space="preserve">Figura 4.7</w:t>
        </w:r>
      </w:hyperlink>
      <w:r>
        <w:t xml:space="preserve"> </w:t>
      </w:r>
      <w:r>
        <w:t xml:space="preserve">acompaña a H3. La</w:t>
      </w:r>
      <w:r>
        <w:t xml:space="preserve"> </w:t>
      </w:r>
      <w:hyperlink w:anchor="fig-estabilidad-coste">
        <w:r>
          <w:rPr>
            <w:rStyle w:val="Hipervnculo"/>
          </w:rPr>
          <w:t xml:space="preserve">Figura 4.2</w:t>
        </w:r>
      </w:hyperlink>
      <w:r>
        <w:t xml:space="preserve">, la</w:t>
      </w:r>
      <w:r>
        <w:t xml:space="preserve"> </w:t>
      </w:r>
      <w:hyperlink w:anchor="fig-correlacion-metricas">
        <w:r>
          <w:rPr>
            <w:rStyle w:val="Hipervnculo"/>
          </w:rPr>
          <w:t xml:space="preserve">Figura 4.3</w:t>
        </w:r>
      </w:hyperlink>
      <w:r>
        <w:t xml:space="preserve"> </w:t>
      </w:r>
      <w:r>
        <w:t xml:space="preserve">y la</w:t>
      </w:r>
      <w:r>
        <w:t xml:space="preserve"> </w:t>
      </w:r>
      <w:hyperlink w:anchor="fig-radar-metodos">
        <w:r>
          <w:rPr>
            <w:rStyle w:val="Hipervnculo"/>
          </w:rPr>
          <w:t xml:space="preserve">Figura 4.8</w:t>
        </w:r>
      </w:hyperlink>
      <w:r>
        <w:t xml:space="preserve"> </w:t>
      </w:r>
      <w:r>
        <w:t xml:space="preserve">resumen la relación entre métricas que sustenta el perfil multidimensional de</w:t>
      </w:r>
      <w:r>
        <w:t xml:space="preserve"> </w:t>
      </w:r>
      <w:r>
        <w:t xml:space="preserve">§</w:t>
      </w:r>
      <w:hyperlink w:anchor="sec-perfiles">
        <w:r>
          <w:rPr>
            <w:rStyle w:val="Hipervnculo"/>
          </w:rPr>
          <w:t xml:space="preserve">4.5</w:t>
        </w:r>
      </w:hyperlink>
      <w:r>
        <w:t xml:space="preserve">.</w:t>
      </w:r>
    </w:p>
    <w:tbl>
      <w:tblPr>
        <w:tblStyle w:val="Table"/>
        <w:tblW w:type="pct" w:w="5000"/>
        <w:jc w:val="center"/>
        <w:tblLayout w:type="fixed"/>
        <w:tblLook w:firstRow="0" w:lastRow="0" w:firstColumn="0" w:lastColumn="0" w:noHBand="0" w:noVBand="0" w:val="0000"/>
      </w:tblPr>
      <w:tblGrid>
        <w:gridCol w:w="7920"/>
      </w:tblGrid>
      <w:tr>
        <w:tc>
          <w:tcPr/>
          <w:bookmarkStart w:id="206" w:name="fig-estabilidad-coste"/>
          <w:p>
            <w:pPr>
              <w:pStyle w:val="Compact"/>
              <w:jc w:val="center"/>
              <w:spacing w:line="360" w:lineRule="auto"/>
            </w:pPr>
            <w:r>
              <w:drawing>
                <ns1:inline>
                  <ns1:extent cx="5052060" cy="3285017"/>
                  <ns1:effectExtent b="0" l="0" r="0" t="0"/>
                  <ns1:docPr descr="" title="" id="204" name="Picture"/>
                  <ns2:graphic>
                    <ns2:graphicData uri="http://schemas.openxmlformats.org/drawingml/2006/picture">
                      <ns3:pic>
                        <ns3:nvPicPr>
                          <ns3:cNvPr descr="assets/figures/fig_estabilidad_coste_es.png" id="205" name="Picture"/>
                          <ns3:cNvPicPr>
                            <ns2:picLocks noChangeArrowheads="1" noChangeAspect="1"/>
                          </ns3:cNvPicPr>
                        </ns3:nvPicPr>
                        <ns3:blipFill>
                          <ns2:blip ns4:embed="rId203"/>
                          <ns2:stretch>
                            <ns2:fillRect/>
                          </ns2:stretch>
                        </ns3:blipFill>
                        <ns3:spPr bwMode="auto">
                          <ns2:xfrm>
                            <ns2:off x="0" y="0"/>
                            <ns2:ext cx="5052060" cy="3285017"/>
                          </ns2:xfrm>
                          <ns2:prstGeom prst="rect">
                            <ns2:avLst/>
                          </ns2:prstGeom>
                          <ns2:noFill/>
                          <ns2:ln w="9525">
                            <ns2:noFill/>
                            <ns2:headEnd/>
                            <ns2:tailEnd/>
                          </ns2:ln>
                        </ns3:spPr>
                      </ns3:pic>
                    </ns2:graphicData>
                  </ns2:graphic>
                </ns1:inline>
              </w:drawing>
            </w:r>
          </w:p>
          <w:p>
            <w:pPr>
              <w:pStyle w:val="ImageCaption"/>
              <w:spacing w:before="200" w:line="360" w:lineRule="auto"/>
              <w:jc w:val="center"/>
            </w:pPr>
            <w:r>
              <w:t xml:space="preserve">Figura 4.2: Relación entre estabilidad y coste por método. Cada punto es la mediana de los</w:t>
            </w:r>
            <w:r>
              <w:t xml:space="preserve"> </w:t>
            </w:r>
            <w:r>
              <w:t xml:space="preserve">15 bloques y las barras, el rango intercuartílico; el tamaño del punto es</w:t>
            </w:r>
            <w:r>
              <w:t xml:space="preserve"> </w:t>
            </w:r>
            <w:r>
              <w:t xml:space="preserve">proporcional a la fidelidad mediana. El coste se muestra en escala logarítmica</w:t>
            </w:r>
            <w:r>
              <w:t xml:space="preserve"> </w:t>
            </w:r>
            <w:r>
              <w:t xml:space="preserve">porque varía en órdenes de magnitud entre familias de modelos. SHAP combina la</w:t>
            </w:r>
            <w:r>
              <w:t xml:space="preserve"> </w:t>
            </w:r>
            <w:r>
              <w:t xml:space="preserve">mayor estabilidad con un coste intermedio; LIME es el más rápido, con una</w:t>
            </w:r>
            <w:r>
              <w:t xml:space="preserve"> </w:t>
            </w:r>
            <w:r>
              <w:t xml:space="preserve">estabilidad cercana a cero, como la de Anchors.</w:t>
            </w:r>
          </w:p>
          <w:bookmarkEnd w:id="206"/>
        </w:tc>
      </w:tr>
    </w:tbl>
    <w:p>
      <w:pPr>
        <w:pStyle w:val="Textoindependiente"/>
        <w:spacing w:line="360" w:lineRule="auto"/>
        <w:jc w:val="both"/>
      </w:pPr>
      <w:r>
        <w:t xml:space="preserve"> </w:t>
      </w:r>
    </w:p>
    <w:tbl>
      <w:tblPr>
        <w:tblStyle w:val="Table"/>
        <w:tblW w:type="pct" w:w="5000"/>
        <w:jc w:val="center"/>
        <w:tblLayout w:type="fixed"/>
        <w:tblLook w:firstRow="0" w:lastRow="0" w:firstColumn="0" w:lastColumn="0" w:noHBand="0" w:noVBand="0" w:val="0000"/>
      </w:tblPr>
      <w:tblGrid>
        <w:gridCol w:w="7920"/>
      </w:tblGrid>
      <w:tr>
        <w:tc>
          <w:tcPr/>
          <w:bookmarkStart w:id="210" w:name="fig-correlacion-metricas"/>
          <w:p>
            <w:pPr>
              <w:pStyle w:val="Compact"/>
              <w:jc w:val="center"/>
              <w:spacing w:line="360" w:lineRule="auto"/>
            </w:pPr>
            <w:r>
              <w:drawing>
                <ns1:inline>
                  <ns1:extent cx="5052060" cy="3771160"/>
                  <ns1:effectExtent b="0" l="0" r="0" t="0"/>
                  <ns1:docPr descr="" title="" id="208" name="Picture"/>
                  <ns2:graphic>
                    <ns2:graphicData uri="http://schemas.openxmlformats.org/drawingml/2006/picture">
                      <ns3:pic>
                        <ns3:nvPicPr>
                          <ns3:cNvPr descr="assets/figures/fig_correlacion_metricas_es.png" id="209" name="Picture"/>
                          <ns3:cNvPicPr>
                            <ns2:picLocks noChangeArrowheads="1" noChangeAspect="1"/>
                          </ns3:cNvPicPr>
                        </ns3:nvPicPr>
                        <ns3:blipFill>
                          <ns2:blip ns4:embed="rId207"/>
                          <ns2:stretch>
                            <ns2:fillRect/>
                          </ns2:stretch>
                        </ns3:blipFill>
                        <ns3:spPr bwMode="auto">
                          <ns2:xfrm>
                            <ns2:off x="0" y="0"/>
                            <ns2:ext cx="5052060" cy="3771160"/>
                          </ns2:xfrm>
                          <ns2:prstGeom prst="rect">
                            <ns2:avLst/>
                          </ns2:prstGeom>
                          <ns2:noFill/>
                          <ns2:ln w="9525">
                            <ns2:noFill/>
                            <ns2:headEnd/>
                            <ns2:tailEnd/>
                          </ns2:ln>
                        </ns3:spPr>
                      </ns3:pic>
                    </ns2:graphicData>
                  </ns2:graphic>
                </ns1:inline>
              </w:drawing>
            </w:r>
          </w:p>
          <w:p>
            <w:pPr>
              <w:pStyle w:val="ImageCaption"/>
              <w:spacing w:before="200" w:line="360" w:lineRule="auto"/>
              <w:jc w:val="center"/>
            </w:pPr>
            <w:r>
              <w:t xml:space="preserve">Figura 4.3: Correlación entre métricas del banco de pruebas. La matriz permite inspeccionar</w:t>
            </w:r>
            <w:r>
              <w:t xml:space="preserve"> </w:t>
            </w:r>
            <w:r>
              <w:t xml:space="preserve">relaciones empíricas entre constructos y refuerza la necesidad de evitar una</w:t>
            </w:r>
            <w:r>
              <w:t xml:space="preserve"> </w:t>
            </w:r>
            <w:r>
              <w:t xml:space="preserve">lectura mono-métrica de la calidad</w:t>
            </w:r>
            <w:r>
              <w:t xml:space="preserve"> </w:t>
            </w:r>
            <w:r>
              <w:t xml:space="preserve">explicativa.</w:t>
            </w:r>
          </w:p>
          <w:bookmarkEnd w:id="210"/>
        </w:tc>
      </w:tr>
    </w:tbl>
    <w:p>
      <w:pPr>
        <w:pStyle w:val="Textoindependiente"/>
        <w:spacing w:line="360" w:lineRule="auto"/>
        <w:jc w:val="both"/>
      </w:pPr>
      <w:r>
        <w:t xml:space="preserve"> </w:t>
      </w:r>
    </w:p>
    <w:tbl>
      <w:tblPr>
        <w:tblStyle w:val="Table"/>
        <w:tblW w:type="pct" w:w="5000"/>
        <w:jc w:val="center"/>
        <w:tblLayout w:type="fixed"/>
        <w:tblLook w:firstRow="0" w:lastRow="0" w:firstColumn="0" w:lastColumn="0" w:noHBand="0" w:noVBand="0" w:val="0000"/>
      </w:tblPr>
      <w:tblGrid>
        <w:gridCol w:w="7920"/>
      </w:tblGrid>
      <w:tr>
        <w:tc>
          <w:tcPr/>
          <w:bookmarkStart w:id="214" w:name="fig-cobertura-exp2"/>
          <w:p>
            <w:pPr>
              <w:pStyle w:val="Compact"/>
              <w:jc w:val="center"/>
              <w:spacing w:line="360" w:lineRule="auto"/>
            </w:pPr>
            <w:r>
              <w:drawing>
                <ns1:inline>
                  <ns1:extent cx="5052060" cy="3573315"/>
                  <ns1:effectExtent b="0" l="0" r="0" t="0"/>
                  <ns1:docPr descr="" title="" id="212" name="Picture"/>
                  <ns2:graphic>
                    <ns2:graphicData uri="http://schemas.openxmlformats.org/drawingml/2006/picture">
                      <ns3:pic>
                        <ns3:nvPicPr>
                          <ns3:cNvPr descr="assets/figures/fig_cobertura_exp2_es.png" id="213" name="Picture"/>
                          <ns3:cNvPicPr>
                            <ns2:picLocks noChangeArrowheads="1" noChangeAspect="1"/>
                          </ns3:cNvPicPr>
                        </ns3:nvPicPr>
                        <ns3:blipFill>
                          <ns2:blip ns4:embed="rId211"/>
                          <ns2:stretch>
                            <ns2:fillRect/>
                          </ns2:stretch>
                        </ns3:blipFill>
                        <ns3:spPr bwMode="auto">
                          <ns2:xfrm>
                            <ns2:off x="0" y="0"/>
                            <ns2:ext cx="5052060" cy="3573315"/>
                          </ns2:xfrm>
                          <ns2:prstGeom prst="rect">
                            <ns2:avLst/>
                          </ns2:prstGeom>
                          <ns2:noFill/>
                          <ns2:ln w="9525">
                            <ns2:noFill/>
                            <ns2:headEnd/>
                            <ns2:tailEnd/>
                          </ns2:ln>
                        </ns3:spPr>
                      </ns3:pic>
                    </ns2:graphicData>
                  </ns2:graphic>
                </ns1:inline>
              </w:drawing>
            </w:r>
          </w:p>
          <w:p>
            <w:pPr>
              <w:pStyle w:val="ImageCaption"/>
              <w:spacing w:before="200" w:line="360" w:lineRule="auto"/>
              <w:jc w:val="center"/>
            </w:pPr>
            <w:r>
              <w:t xml:space="preserve">Figura 4.4: Cobertura analítica EXP2 por modelo y método. La figura muestra cuántas de</w:t>
            </w:r>
            <w:r>
              <w:t xml:space="preserve"> </w:t>
            </w:r>
            <w:r>
              <w:t xml:space="preserve">las 15 celdas planificadas por combinación son analizables tras la auditoría de</w:t>
            </w:r>
            <w:r>
              <w:t xml:space="preserve"> </w:t>
            </w:r>
            <w:r>
              <w:t xml:space="preserve">integridad FOM-7 y la superposición de recuperación documentada (275</w:t>
            </w:r>
            <w:r>
              <w:t xml:space="preserve"> </w:t>
            </w:r>
            <w:r>
              <w:t xml:space="preserve">ejecuciones en total, las mismas de la</w:t>
            </w:r>
            <w:r>
              <w:t xml:space="preserve"> </w:t>
            </w:r>
            <w:hyperlink w:anchor="tbl-coverage-method">
              <w:r>
                <w:rPr>
                  <w:rStyle w:val="Hipervnculo"/>
                </w:rPr>
                <w:t xml:space="preserve">Tabla 3.5</w:t>
              </w:r>
            </w:hyperlink>
            <w:r>
              <w:t xml:space="preserve">).</w:t>
            </w:r>
          </w:p>
          <w:bookmarkEnd w:id="214"/>
        </w:tc>
      </w:tr>
    </w:tbl>
    <w:p>
      <w:pPr>
        <w:pStyle w:val="Textoindependiente"/>
        <w:spacing w:line="360" w:lineRule="auto"/>
        <w:jc w:val="both"/>
      </w:pPr>
      <w:r>
        <w:t xml:space="preserve"> </w:t>
      </w:r>
    </w:p>
    <w:tbl>
      <w:tblPr>
        <w:tblStyle w:val="Table"/>
        <w:tblW w:type="pct" w:w="5000"/>
        <w:jc w:val="center"/>
        <w:tblLayout w:type="fixed"/>
        <w:tblLook w:firstRow="0" w:lastRow="0" w:firstColumn="0" w:lastColumn="0" w:noHBand="0" w:noVBand="0" w:val="0000"/>
      </w:tblPr>
      <w:tblGrid>
        <w:gridCol w:w="7920"/>
      </w:tblGrid>
      <w:tr>
        <w:tc>
          <w:tcPr/>
          <w:bookmarkStart w:id="218" w:name="fig-cd-diagram"/>
          <w:p>
            <w:pPr>
              <w:pStyle w:val="Compact"/>
              <w:jc w:val="center"/>
              <w:spacing w:line="360" w:lineRule="auto"/>
            </w:pPr>
            <w:r>
              <w:drawing>
                <ns1:inline>
                  <ns1:extent cx="5646420" cy="2061021"/>
                  <ns1:effectExtent b="0" l="0" r="0" t="0"/>
                  <ns1:docPr descr="" title="" id="216" name="Picture"/>
                  <ns2:graphic>
                    <ns2:graphicData uri="http://schemas.openxmlformats.org/drawingml/2006/picture">
                      <ns3:pic>
                        <ns3:nvPicPr>
                          <ns3:cNvPr descr="assets/figures/fig_cd_diagram_es.png" id="217" name="Picture"/>
                          <ns3:cNvPicPr>
                            <ns2:picLocks noChangeArrowheads="1" noChangeAspect="1"/>
                          </ns3:cNvPicPr>
                        </ns3:nvPicPr>
                        <ns3:blipFill>
                          <ns2:blip ns4:embed="rId215"/>
                          <ns2:stretch>
                            <ns2:fillRect/>
                          </ns2:stretch>
                        </ns3:blipFill>
                        <ns3:spPr bwMode="auto">
                          <ns2:xfrm>
                            <ns2:off x="0" y="0"/>
                            <ns2:ext cx="5646420" cy="2061021"/>
                          </ns2:xfrm>
                          <ns2:prstGeom prst="rect">
                            <ns2:avLst/>
                          </ns2:prstGeom>
                          <ns2:noFill/>
                          <ns2:ln w="9525">
                            <ns2:noFill/>
                            <ns2:headEnd/>
                            <ns2:tailEnd/>
                          </ns2:ln>
                        </ns3:spPr>
                      </ns3:pic>
                    </ns2:graphicData>
                  </ns2:graphic>
                </ns1:inline>
              </w:drawing>
            </w:r>
          </w:p>
          <w:p>
            <w:pPr>
              <w:pStyle w:val="ImageCaption"/>
              <w:spacing w:before="200" w:line="360" w:lineRule="auto"/>
              <w:jc w:val="center"/>
            </w:pPr>
            <w:r>
              <w:t xml:space="preserve">Figura 4.5: Diagrama de diferencia crítica de Nemenyi para fidelidad (izquierda) y</w:t>
            </w:r>
            <w:r>
              <w:t xml:space="preserve"> </w:t>
            </w:r>
            <w:r>
              <w:t xml:space="preserve">estabilidad (derecha). El eje horizontal muestra los rangos medios; las barras</w:t>
            </w:r>
            <w:r>
              <w:t xml:space="preserve"> </w:t>
            </w:r>
            <w:r>
              <w:t xml:space="preserve">horizontales gruesas conectan métodos no significativamente distintos (diferencia</w:t>
            </w:r>
            <w:r>
              <w:t xml:space="preserve"> </w:t>
            </w:r>
            <w:r>
              <w:t xml:space="preserve">&lt; DC = 1.211, k=4, n=15, α=0.05). En fidelidad, las barras se encadenan: SHAP y</w:t>
            </w:r>
            <w:r>
              <w:t xml:space="preserve"> </w:t>
            </w:r>
            <w:r>
              <w:t xml:space="preserve">LIME no se distinguen entre sí, tampoco LIME y Anchors, ni Anchors y DiCE; sí</w:t>
            </w:r>
            <w:r>
              <w:t xml:space="preserve"> </w:t>
            </w:r>
            <w:r>
              <w:t xml:space="preserve">se distinguen SHAP de Anchors y de DiCE, y LIME de DiCE, como recoge la</w:t>
            </w:r>
            <w:r>
              <w:t xml:space="preserve"> </w:t>
            </w:r>
            <w:hyperlink w:anchor="tbl-nemenyi-fidelity">
              <w:r>
                <w:rPr>
                  <w:rStyle w:val="Hipervnculo"/>
                </w:rPr>
                <w:t xml:space="preserve">Tabla 4.3</w:t>
              </w:r>
            </w:hyperlink>
            <w:r>
              <w:t xml:space="preserve">. En estabilidad, el reordenamiento es notable: SHAP y</w:t>
            </w:r>
            <w:r>
              <w:t xml:space="preserve"> </w:t>
            </w:r>
            <w:r>
              <w:t xml:space="preserve">DiCE forman el grupo estable, mientras LIME y Anchors son indistinguibles entre</w:t>
            </w:r>
            <w:r>
              <w:t xml:space="preserve"> </w:t>
            </w:r>
            <w:r>
              <w:t xml:space="preserve">sí pero claramente inferiores.</w:t>
            </w:r>
          </w:p>
          <w:bookmarkEnd w:id="218"/>
        </w:tc>
      </w:tr>
    </w:tbl>
    <w:p>
      <w:pPr>
        <w:pStyle w:val="Textoindependiente"/>
        <w:spacing w:line="360" w:lineRule="auto"/>
        <w:jc w:val="both"/>
      </w:pPr>
      <w:r>
        <w:t xml:space="preserve"> </w:t>
      </w:r>
    </w:p>
    <w:tbl>
      <w:tblPr>
        <w:tblStyle w:val="Table"/>
        <w:tblW w:type="pct" w:w="5000"/>
        <w:jc w:val="center"/>
        <w:tblLayout w:type="fixed"/>
        <w:tblLook w:firstRow="0" w:lastRow="0" w:firstColumn="0" w:lastColumn="0" w:noHBand="0" w:noVBand="0" w:val="0000"/>
      </w:tblPr>
      <w:tblGrid>
        <w:gridCol w:w="7920"/>
      </w:tblGrid>
      <w:tr>
        <w:tc>
          <w:tcPr/>
          <w:bookmarkStart w:id="222" w:name="fig-boxplots-metricas"/>
          <w:p>
            <w:pPr>
              <w:pStyle w:val="Compact"/>
              <w:jc w:val="center"/>
              <w:spacing w:line="360" w:lineRule="auto"/>
            </w:pPr>
            <w:r>
              <w:drawing>
                <ns1:inline>
                  <ns1:extent cx="5646420" cy="2646298"/>
                  <ns1:effectExtent b="0" l="0" r="0" t="0"/>
                  <ns1:docPr descr="" title="" id="220" name="Picture"/>
                  <ns2:graphic>
                    <ns2:graphicData uri="http://schemas.openxmlformats.org/drawingml/2006/picture">
                      <ns3:pic>
                        <ns3:nvPicPr>
                          <ns3:cNvPr descr="assets/figures/fig_boxplots_metricas_es.png" id="221" name="Picture"/>
                          <ns3:cNvPicPr>
                            <ns2:picLocks noChangeArrowheads="1" noChangeAspect="1"/>
                          </ns3:cNvPicPr>
                        </ns3:nvPicPr>
                        <ns3:blipFill>
                          <ns2:blip ns4:embed="rId219"/>
                          <ns2:stretch>
                            <ns2:fillRect/>
                          </ns2:stretch>
                        </ns3:blipFill>
                        <ns3:spPr bwMode="auto">
                          <ns2:xfrm>
                            <ns2:off x="0" y="0"/>
                            <ns2:ext cx="5646420" cy="2646298"/>
                          </ns2:xfrm>
                          <ns2:prstGeom prst="rect">
                            <ns2:avLst/>
                          </ns2:prstGeom>
                          <ns2:noFill/>
                          <ns2:ln w="9525">
                            <ns2:noFill/>
                            <ns2:headEnd/>
                            <ns2:tailEnd/>
                          </ns2:ln>
                        </ns3:spPr>
                      </ns3:pic>
                    </ns2:graphicData>
                  </ns2:graphic>
                </ns1:inline>
              </w:drawing>
            </w:r>
          </w:p>
          <w:p>
            <w:pPr>
              <w:pStyle w:val="ImageCaption"/>
              <w:spacing w:before="200" w:line="360" w:lineRule="auto"/>
              <w:jc w:val="center"/>
            </w:pPr>
            <w:r>
              <w:t xml:space="preserve">Figura 4.6: Distribución de fidelidad (izquierda) y estabilidad (derecha) por método</w:t>
            </w:r>
            <w:r>
              <w:t xml:space="preserve"> </w:t>
            </w:r>
            <w:r>
              <w:t xml:space="preserve">sobre los 15 bloques</w:t>
            </w:r>
            <w:r>
              <w:t xml:space="preserve"> </w:t>
            </w:r>
            <ns5:oMath>
              <ns5:r>
                <ns5:rPr>
                  <ns5:sty ns5:val="p"/>
                </ns5:rPr>
                <ns5:t>(</ns5:t>
              </ns5:r>
              <ns5:r>
                <ns5:t>g</ns5:t>
              </ns5:r>
              <ns5:r>
                <ns5:rPr>
                  <ns5:sty ns5:val="p"/>
                </ns5:rPr>
                <ns5:t>,</ns5:t>
              </ns5:r>
              <ns5:r>
                <ns5:t>n</ns5:t>
              </ns5:r>
              <ns5:r>
                <ns5:rPr>
                  <ns5:sty ns5:val="p"/>
                </ns5:rPr>
                <ns5:t>)</ns5:t>
              </ns5:r>
            </ns5:oMath>
            <w:r>
              <w:t xml:space="preserve"> </w:t>
            </w:r>
            <w:r>
              <w:t xml:space="preserve">del diseño factorial. Cada punto representa un</w:t>
            </w:r>
            <w:r>
              <w:t xml:space="preserve"> </w:t>
            </w:r>
            <w:r>
              <w:t xml:space="preserve">bloque; la caja muestra el rango intercuartílico; la línea interna, la mediana.</w:t>
            </w:r>
            <w:r>
              <w:t xml:space="preserve"> </w:t>
            </w:r>
            <w:r>
              <w:t xml:space="preserve">Para fidelidad, las cajas de SHAP y LIME no se solapan con las de Anchors y</w:t>
            </w:r>
            <w:r>
              <w:t xml:space="preserve"> </w:t>
            </w:r>
            <w:r>
              <w:t xml:space="preserve">DiCE. Para estabilidad, la caja de LIME colapsa casi en cero (media ≈ 0.014),</w:t>
            </w:r>
            <w:r>
              <w:t xml:space="preserve"> </w:t>
            </w:r>
            <w:r>
              <w:t xml:space="preserve">confirmando que la inestabilidad afecta a todos los bloques del</w:t>
            </w:r>
            <w:r>
              <w:t xml:space="preserve"> </w:t>
            </w:r>
            <w:r>
              <w:t xml:space="preserve">benchmark y no a un subconjunto de modelos.</w:t>
            </w:r>
          </w:p>
          <w:bookmarkEnd w:id="222"/>
        </w:tc>
      </w:tr>
    </w:tbl>
    <w:p>
      <w:pPr>
        <w:pStyle w:val="Textoindependiente"/>
        <w:spacing w:line="360" w:lineRule="auto"/>
        <w:jc w:val="both"/>
      </w:pPr>
      <w:r>
        <w:t xml:space="preserve"> </w:t>
      </w:r>
    </w:p>
    <w:tbl>
      <w:tblPr>
        <w:tblStyle w:val="Table"/>
        <w:tblW w:type="pct" w:w="5000"/>
        <w:jc w:val="center"/>
        <w:tblLayout w:type="fixed"/>
        <w:tblLook w:firstRow="0" w:lastRow="0" w:firstColumn="0" w:lastColumn="0" w:noHBand="0" w:noVBand="0" w:val="0000"/>
      </w:tblPr>
      <w:tblGrid>
        <w:gridCol w:w="7920"/>
      </w:tblGrid>
      <w:tr>
        <w:tc>
          <w:tcPr/>
          <w:bookmarkStart w:id="226" w:name="fig-diferencias-pareadas"/>
          <w:p>
            <w:pPr>
              <w:pStyle w:val="Compact"/>
              <w:jc w:val="center"/>
              <w:spacing w:line="360" w:lineRule="auto"/>
            </w:pPr>
            <w:r>
              <w:drawing>
                <ns1:inline>
                  <ns1:extent cx="5646420" cy="2293858"/>
                  <ns1:effectExtent b="0" l="0" r="0" t="0"/>
                  <ns1:docPr descr="" title="" id="224" name="Picture"/>
                  <ns2:graphic>
                    <ns2:graphicData uri="http://schemas.openxmlformats.org/drawingml/2006/picture">
                      <ns3:pic>
                        <ns3:nvPicPr>
                          <ns3:cNvPr descr="assets/figures/fig_diferencias_pareadas_es.png" id="225" name="Picture"/>
                          <ns3:cNvPicPr>
                            <ns2:picLocks noChangeArrowheads="1" noChangeAspect="1"/>
                          </ns3:cNvPicPr>
                        </ns3:nvPicPr>
                        <ns3:blipFill>
                          <ns2:blip ns4:embed="rId223"/>
                          <ns2:stretch>
                            <ns2:fillRect/>
                          </ns2:stretch>
                        </ns3:blipFill>
                        <ns3:spPr bwMode="auto">
                          <ns2:xfrm>
                            <ns2:off x="0" y="0"/>
                            <ns2:ext cx="5646420" cy="2293858"/>
                          </ns2:xfrm>
                          <ns2:prstGeom prst="rect">
                            <ns2:avLst/>
                          </ns2:prstGeom>
                          <ns2:noFill/>
                          <ns2:ln w="9525">
                            <ns2:noFill/>
                            <ns2:headEnd/>
                            <ns2:tailEnd/>
                          </ns2:ln>
                        </ns3:spPr>
                      </ns3:pic>
                    </ns2:graphicData>
                  </ns2:graphic>
                </ns1:inline>
              </w:drawing>
            </w:r>
          </w:p>
          <w:p>
            <w:pPr>
              <w:pStyle w:val="ImageCaption"/>
              <w:spacing w:before="200" w:line="360" w:lineRule="auto"/>
              <w:jc w:val="center"/>
            </w:pPr>
            <w:r>
              <w:t xml:space="preserve">Figura 4.7: Diferencias pareadas</w:t>
            </w:r>
            <w:r>
              <w:t xml:space="preserve"> </w:t>
            </w:r>
            <ns5:oMath>
              <ns5:sSub>
                <ns5:e>
                  <ns5:r>
                    <ns5:t>d</ns5:t>
                  </ns5:r>
                </ns5:e>
                <ns5:sub>
                  <ns5:r>
                    <ns5:t>i</ns5:t>
                  </ns5:r>
                </ns5:sub>
              </ns5:sSub>
              <ns5:r>
                <ns5:rPr>
                  <ns5:sty ns5:val="p"/>
                </ns5:rPr>
                <ns5:t>=</ns5:t>
              </ns5:r>
              <ns5:r>
                <ns5:rPr>
                  <ns5:nor/>
                  <ns5:sty ns5:val="p"/>
                </ns5:rPr>
                <ns5:t>SHAP</ns5:t>
              </ns5:r>
              <ns5:r>
                <ns5:rPr>
                  <ns5:sty ns5:val="p"/>
                </ns5:rPr>
                <ns5:t>−</ns5:t>
              </ns5:r>
              <ns5:r>
                <ns5:rPr>
                  <ns5:nor/>
                  <ns5:sty ns5:val="p"/>
                </ns5:rPr>
                <ns5:t>LIME</ns5:t>
              </ns5:r>
            </ns5:oMath>
            <w:r>
              <w:t xml:space="preserve"> </w:t>
            </w:r>
            <w:r>
              <w:t xml:space="preserve">para fidelidad</w:t>
            </w:r>
            <w:r>
              <w:t xml:space="preserve"> </w:t>
            </w:r>
            <w:r>
              <w:t xml:space="preserve">(izquierda) y estabilidad (derecha) sobre las 75 celdas</w:t>
            </w:r>
            <w:r>
              <w:t xml:space="preserve"> </w:t>
            </w:r>
            <ns5:oMath>
              <ns5:r>
                <ns5:rPr>
                  <ns5:sty ns5:val="p"/>
                </ns5:rPr>
                <ns5:t>(</ns5:t>
              </ns5:r>
              <ns5:r>
                <ns5:t>g</ns5:t>
              </ns5:r>
              <ns5:r>
                <ns5:rPr>
                  <ns5:sty ns5:val="p"/>
                </ns5:rPr>
                <ns5:t>,</ns5:t>
              </ns5:r>
              <ns5:r>
                <ns5:t>s</ns5:t>
              </ns5:r>
              <ns5:r>
                <ns5:rPr>
                  <ns5:sty ns5:val="p"/>
                </ns5:rPr>
                <ns5:t>,</ns5:t>
              </ns5:r>
              <ns5:r>
                <ns5:t>n</ns5:t>
              </ns5:r>
              <ns5:r>
                <ns5:rPr>
                  <ns5:sty ns5:val="p"/>
                </ns5:rPr>
                <ns5:t>)</ns5:t>
              </ns5:r>
            </ns5:oMath>
            <w:r>
              <w:t xml:space="preserve"> </w:t>
            </w:r>
            <w:r>
              <w:t xml:space="preserve">del</w:t>
            </w:r>
            <w:r>
              <w:t xml:space="preserve"> </w:t>
            </w:r>
            <w:r>
              <w:t xml:space="preserve">análisis pareado. Las barras rojas indican ventaja de SHAP; las azules, ventaja</w:t>
            </w:r>
            <w:r>
              <w:t xml:space="preserve"> </w:t>
            </w:r>
            <w:r>
              <w:t xml:space="preserve">de LIME. Para fidelidad, las 75/75 diferencias son positivas (media = +0.248;</w:t>
            </w:r>
            <w:r>
              <w:t xml:space="preserve"> </w:t>
            </w:r>
            <ns5:oMath>
              <ns5:sSub>
                <ns5:e>
                  <ns5:r>
                    <ns5:t>d</ns5:t>
                  </ns5:r>
                </ns5:e>
                <ns5:sub>
                  <ns5:r>
                    <ns5:t>z</ns5:t>
                  </ns5:r>
                </ns5:sub>
              </ns5:sSub>
              <ns5:r>
                <ns5:rPr>
                  <ns5:sty ns5:val="p"/>
                </ns5:rPr>
                <ns5:t>=</ns5:t>
              </ns5:r>
              <ns5:r>
                <ns5:t>4.82</ns5:t>
              </ns5:r>
            </ns5:oMath>
            <w:r>
              <w:t xml:space="preserve">); para estabilidad, las 75/75 diferencias también son positivas</w:t>
            </w:r>
            <w:r>
              <w:t xml:space="preserve"> </w:t>
            </w:r>
            <w:r>
              <w:t xml:space="preserve">(media = +0.718;</w:t>
            </w:r>
            <w:r>
              <w:t xml:space="preserve"> </w:t>
            </w:r>
            <ns5:oMath>
              <ns5:sSub>
                <ns5:e>
                  <ns5:r>
                    <ns5:t>d</ns5:t>
                  </ns5:r>
                </ns5:e>
                <ns5:sub>
                  <ns5:r>
                    <ns5:t>z</ns5:t>
                  </ns5:r>
                </ns5:sub>
              </ns5:sSub>
              <ns5:r>
                <ns5:rPr>
                  <ns5:sty ns5:val="p"/>
                </ns5:rPr>
                <ns5:t>=</ns5:t>
              </ns5:r>
              <ns5:r>
                <ns5:t>3.00</ns5:t>
              </ns5:r>
            </ns5:oMath>
            <w:r>
              <w:t xml:space="preserve">). La ausencia de barras azules confirma que la</w:t>
            </w:r>
            <w:r>
              <w:t xml:space="preserve"> </w:t>
            </w:r>
            <w:r>
              <w:t xml:space="preserve">ventaja de SHAP no es un artefacto de valores</w:t>
            </w:r>
            <w:r>
              <w:t xml:space="preserve"> </w:t>
            </w:r>
            <w:r>
              <w:t xml:space="preserve">atípicos.</w:t>
            </w:r>
          </w:p>
          <w:bookmarkEnd w:id="226"/>
        </w:tc>
      </w:tr>
    </w:tbl>
    <w:p>
      <w:pPr>
        <w:pStyle w:val="Textoindependiente"/>
        <w:spacing w:line="360" w:lineRule="auto"/>
        <w:jc w:val="both"/>
      </w:pPr>
      <w:r>
        <w:t xml:space="preserve"> </w:t>
      </w:r>
    </w:p>
    <w:tbl>
      <w:tblPr>
        <w:tblStyle w:val="Table"/>
        <w:tblW w:type="pct" w:w="5000"/>
        <w:jc w:val="center"/>
        <w:tblLayout w:type="fixed"/>
        <w:tblLook w:firstRow="0" w:lastRow="0" w:firstColumn="0" w:lastColumn="0" w:noHBand="0" w:noVBand="0" w:val="0000"/>
      </w:tblPr>
      <w:tblGrid>
        <w:gridCol w:w="7920"/>
      </w:tblGrid>
      <w:tr>
        <w:tc>
          <w:tcPr/>
          <w:bookmarkStart w:id="230" w:name="fig-radar-metodos"/>
          <w:p>
            <w:pPr>
              <w:pStyle w:val="Compact"/>
              <w:jc w:val="center"/>
              <w:spacing w:line="360" w:lineRule="auto"/>
            </w:pPr>
            <w:r>
              <w:drawing>
                <ns1:inline>
                  <ns1:extent cx="4160520" cy="3822776"/>
                  <ns1:effectExtent b="0" l="0" r="0" t="0"/>
                  <ns1:docPr descr="" title="" id="228" name="Picture"/>
                  <ns2:graphic>
                    <ns2:graphicData uri="http://schemas.openxmlformats.org/drawingml/2006/picture">
                      <ns3:pic>
                        <ns3:nvPicPr>
                          <ns3:cNvPr descr="assets/figures/fig_radar_metodos_es.png" id="229" name="Picture"/>
                          <ns3:cNvPicPr>
                            <ns2:picLocks noChangeArrowheads="1" noChangeAspect="1"/>
                          </ns3:cNvPicPr>
                        </ns3:nvPicPr>
                        <ns3:blipFill>
                          <ns2:blip ns4:embed="rId227"/>
                          <ns2:stretch>
                            <ns2:fillRect/>
                          </ns2:stretch>
                        </ns3:blipFill>
                        <ns3:spPr bwMode="auto">
                          <ns2:xfrm>
                            <ns2:off x="0" y="0"/>
                            <ns2:ext cx="4160520" cy="3822776"/>
                          </ns2:xfrm>
                          <ns2:prstGeom prst="rect">
                            <ns2:avLst/>
                          </ns2:prstGeom>
                          <ns2:noFill/>
                          <ns2:ln w="9525">
                            <ns2:noFill/>
                            <ns2:headEnd/>
                            <ns2:tailEnd/>
                          </ns2:ln>
                        </ns3:spPr>
                      </ns3:pic>
                    </ns2:graphicData>
                  </ns2:graphic>
                </ns1:inline>
              </w:drawing>
            </w:r>
          </w:p>
          <w:p>
            <w:pPr>
              <w:pStyle w:val="ImageCaption"/>
              <w:spacing w:before="200" w:line="360" w:lineRule="auto"/>
              <w:jc w:val="center"/>
            </w:pPr>
            <w:r>
              <w:t xml:space="preserve">Figura 4.8: Perfil multidimensional normalizado por método en cinco ejes (radio mayor =</w:t>
            </w:r>
            <w:r>
              <w:t xml:space="preserve"> </w:t>
            </w:r>
            <w:r>
              <w:t xml:space="preserve">mejor desempeño). Fidelidad y estabilidad se normalizan directamente; parsimonia</w:t>
            </w:r>
            <w:r>
              <w:t xml:space="preserve"> </w:t>
            </w:r>
            <w:r>
              <w:t xml:space="preserve">y eficiencia de coste se invierten para que el exterior represente en todos los</w:t>
            </w:r>
            <w:r>
              <w:t xml:space="preserve"> </w:t>
            </w:r>
            <w:r>
              <w:t xml:space="preserve">ejes la posición más favorable. Ningún método domina en todos los ejes</w:t>
            </w:r>
            <w:r>
              <w:t xml:space="preserve"> </w:t>
            </w:r>
            <w:r>
              <w:t xml:space="preserve">simultáneamente: SHAP lidera en fidelidad, estabilidad y brecha de fidelidad;</w:t>
            </w:r>
            <w:r>
              <w:t xml:space="preserve"> </w:t>
            </w:r>
            <w:r>
              <w:t xml:space="preserve">DiCE en parsimonia y LIME en eficiencia de coste; DiCE es además intermedio en</w:t>
            </w:r>
            <w:r>
              <w:t xml:space="preserve"> </w:t>
            </w:r>
            <w:r>
              <w:t xml:space="preserve">estabilidad pero muy bajo en fidelidad. Este patrón valida la necesidad del enfoque</w:t>
            </w:r>
            <w:r>
              <w:t xml:space="preserve"> </w:t>
            </w:r>
            <w:r>
              <w:t xml:space="preserve">multi-métrico de FOM-7.</w:t>
            </w:r>
          </w:p>
          <w:bookmarkEnd w:id="230"/>
        </w:tc>
      </w:tr>
    </w:tbl>
    <w:bookmarkEnd w:id="231"/>
    <w:bookmarkStart w:id="235" w:name="sec-discusion"/>
    <w:p>
      <w:pPr>
        <w:pStyle w:val="Ttulo2"/>
        <w:spacing w:line="360" w:lineRule="auto"/>
        <w:jc w:val="both"/>
      </w:pPr>
      <w:r>
        <w:t xml:space="preserve">4.9 </w:t>
      </w:r>
      <w:r>
        <w:t xml:space="preserve">Discusión</w:t>
      </w:r>
    </w:p>
    <w:bookmarkStart w:id="232" w:name="interpretación-conjunta-de-h1-h2-y-h3"/>
    <w:p>
      <w:pPr>
        <w:pStyle w:val="Ttulo3"/>
        <w:spacing w:line="360" w:lineRule="auto"/>
        <w:jc w:val="both"/>
      </w:pPr>
      <w:r>
        <w:t xml:space="preserve">4.9.1 </w:t>
      </w:r>
      <w:r>
        <w:t xml:space="preserve">Interpretación conjunta de H1, H2 y H3</w:t>
      </w:r>
    </w:p>
    <w:p>
      <w:pPr>
        <w:pStyle w:val="FirstParagraph"/>
        <w:spacing w:line="360" w:lineRule="auto"/>
        <w:jc w:val="both"/>
      </w:pPr>
      <w:r>
        <w:t xml:space="preserve">Los tres ejes confirmatorios convergen en una imagen coherente: SHAP es el</w:t>
      </w:r>
      <w:r>
        <w:t xml:space="preserve"> </w:t>
      </w:r>
      <w:r>
        <w:t xml:space="preserve">método más fiable bajo un criterio multidimensional que incluye fidelidad,</w:t>
      </w:r>
      <w:r>
        <w:t xml:space="preserve"> </w:t>
      </w:r>
      <w:r>
        <w:t xml:space="preserve">estabilidad y reproducibilidad, al precio de un coste computacional</w:t>
      </w:r>
      <w:r>
        <w:t xml:space="preserve"> </w:t>
      </w:r>
      <w:r>
        <w:t xml:space="preserve">heterogéneo que puede ser prohibitivo para ciertos pares modelo-despliegue.</w:t>
      </w:r>
      <w:r>
        <w:t xml:space="preserve"> </w:t>
      </w:r>
      <w:r>
        <w:t xml:space="preserve">LIME es la alternativa viable en entornos donde el coste es crítico, con la</w:t>
      </w:r>
      <w:r>
        <w:t xml:space="preserve"> </w:t>
      </w:r>
      <w:r>
        <w:t xml:space="preserve">caveat explícita de que sus explicaciones son inestables y no deben usarse</w:t>
      </w:r>
      <w:r>
        <w:t xml:space="preserve"> </w:t>
      </w:r>
      <w:r>
        <w:t xml:space="preserve">para comparación entre instancias ni para auditoría. Anchors y DiCE tienen</w:t>
      </w:r>
      <w:r>
        <w:t xml:space="preserve"> </w:t>
      </w:r>
      <w:r>
        <w:t xml:space="preserve">perfiles de calidad bajos bajo las métricas de atribución, pero atienden a</w:t>
      </w:r>
      <w:r>
        <w:t xml:space="preserve"> </w:t>
      </w:r>
      <w:r>
        <w:t xml:space="preserve">objetivos de evaluación cualitativamente distintos (reglas y contrafactuales),</w:t>
      </w:r>
      <w:r>
        <w:t xml:space="preserve"> </w:t>
      </w:r>
      <w:r>
        <w:t xml:space="preserve">lo que limita la comparación directa.</w:t>
      </w:r>
    </w:p>
    <w:p>
      <w:pPr>
        <w:pStyle w:val="Textoindependiente"/>
        <w:spacing w:line="360" w:lineRule="auto"/>
        <w:jc w:val="both"/>
      </w:pPr>
      <w:r>
        <w:t xml:space="preserve">El hallazgo quizás más relevante para el campo es la disociación entre</w:t>
      </w:r>
      <w:r>
        <w:t xml:space="preserve"> </w:t>
      </w:r>
      <w:r>
        <w:t xml:space="preserve">fidelidad y estabilidad en los distintos métodos. Un método puede tener</w:t>
      </w:r>
      <w:r>
        <w:t xml:space="preserve"> </w:t>
      </w:r>
      <w:r>
        <w:t xml:space="preserve">fidelidad moderada pero inestabilidad total (LIME) o estabilidad moderada</w:t>
      </w:r>
      <w:r>
        <w:t xml:space="preserve"> </w:t>
      </w:r>
      <w:r>
        <w:t xml:space="preserve">con fidelidad baja (DiCE). Esta disociación valida la necesidad de un marco</w:t>
      </w:r>
      <w:r>
        <w:t xml:space="preserve"> </w:t>
      </w:r>
      <w:r>
        <w:t xml:space="preserve">multi-métrico como el propuesto en esta tesis: una evaluación unidimensional</w:t>
      </w:r>
      <w:r>
        <w:t xml:space="preserve"> </w:t>
      </w:r>
      <w:r>
        <w:t xml:space="preserve">basada únicamente en fidelidad habría presentado a LIME como método aceptable,</w:t>
      </w:r>
      <w:r>
        <w:t xml:space="preserve"> </w:t>
      </w:r>
      <w:r>
        <w:t xml:space="preserve">sin capturar su deficiencia crítica en estabilidad.</w:t>
      </w:r>
    </w:p>
    <w:p>
      <w:pPr>
        <w:pStyle w:val="Textoindependiente"/>
        <w:spacing w:line="360" w:lineRule="auto"/>
        <w:jc w:val="both"/>
      </w:pPr>
      <w:r>
        <w:t xml:space="preserve">Los tamaños de efecto en las comparaciones SHAP-LIME (</w:t>
      </w:r>
      <ns5:oMath>
        <ns5:sSub>
          <ns5:e>
            <ns5:r>
              <ns5:t>d</ns5:t>
            </ns5:r>
          </ns5:e>
          <ns5:sub>
            <ns5:r>
              <ns5:t>z</ns5:t>
            </ns5:r>
          </ns5:sub>
        </ns5:sSub>
        <ns5:r>
          <ns5:rPr>
            <ns5:sty ns5:val="p"/>
          </ns5:rPr>
          <ns5:t>=</ns5:t>
        </ns5:r>
        <ns5:r>
          <ns5:t>4.820</ns5:t>
        </ns5:r>
      </ns5:oMath>
      <w:r>
        <w:t xml:space="preserve"> </w:t>
      </w:r>
      <w:r>
        <w:t xml:space="preserve">para</w:t>
      </w:r>
      <w:r>
        <w:t xml:space="preserve"> </w:t>
      </w:r>
      <w:r>
        <w:t xml:space="preserve">fidelidad,</w:t>
      </w:r>
      <w:r>
        <w:t xml:space="preserve"> </w:t>
      </w:r>
      <ns5:oMath>
        <ns5:sSub>
          <ns5:e>
            <ns5:r>
              <ns5:t>d</ns5:t>
            </ns5:r>
          </ns5:e>
          <ns5:sub>
            <ns5:r>
              <ns5:t>z</ns5:t>
            </ns5:r>
          </ns5:sub>
        </ns5:sSub>
        <ns5:r>
          <ns5:rPr>
            <ns5:sty ns5:val="p"/>
          </ns5:rPr>
          <ns5:t>=</ns5:t>
        </ns5:r>
        <ns5:r>
          <ns5:t>3.002</ns5:t>
        </ns5:r>
      </ns5:oMath>
      <w:r>
        <w:t xml:space="preserve"> </w:t>
      </w:r>
      <w:r>
        <w:t xml:space="preserve">para estabilidad) son notables en el contexto de</w:t>
      </w:r>
      <w:r>
        <w:t xml:space="preserve"> </w:t>
      </w:r>
      <w:r>
        <w:t xml:space="preserve">experimentos de benchmarking XAI. Trabajos de referencia en el campo</w:t>
      </w:r>
      <w:r>
        <w:t xml:space="preserve"> </w:t>
      </w:r>
      <w:r>
        <w:t xml:space="preserve">(Hedström et al. 2023; Agarwal et al. 2022)</w:t>
      </w:r>
      <w:r>
        <w:t xml:space="preserve"> </w:t>
      </w:r>
      <w:r>
        <w:t xml:space="preserve">reportan diferencias entre métodos, aunque con</w:t>
      </w:r>
      <w:r>
        <w:t xml:space="preserve"> </w:t>
      </w:r>
      <w:r>
        <w:t xml:space="preserve">diseños y métricas que no siempre permiten comparación directa. La consistencia</w:t>
      </w:r>
      <w:r>
        <w:t xml:space="preserve"> </w:t>
      </w:r>
      <w:r>
        <w:t xml:space="preserve">direccional en los 75 pares de fidelidad y estabilidad refuerza la conclusión</w:t>
      </w:r>
      <w:r>
        <w:t xml:space="preserve"> </w:t>
      </w:r>
      <w:r>
        <w:t xml:space="preserve">operacional: bajo este diseño y estas condiciones experimentales, la ventaja</w:t>
      </w:r>
      <w:r>
        <w:t xml:space="preserve"> </w:t>
      </w:r>
      <w:r>
        <w:t xml:space="preserve">de SHAP responde a un patrón sistemático en las celdas pareadas, no a una</w:t>
      </w:r>
      <w:r>
        <w:t xml:space="preserve"> </w:t>
      </w:r>
      <w:r>
        <w:t xml:space="preserve">fluctuación estadística marginal.</w:t>
      </w:r>
    </w:p>
    <w:bookmarkEnd w:id="232"/>
    <w:bookmarkStart w:id="233" w:name="Xbd024e4a7bd7bf8de011157bde8f5cf667c76a0"/>
    <w:p>
      <w:pPr>
        <w:pStyle w:val="Ttulo3"/>
        <w:spacing w:line="360" w:lineRule="auto"/>
        <w:jc w:val="both"/>
      </w:pPr>
      <w:r>
        <w:t xml:space="preserve">4.9.2 </w:t>
      </w:r>
      <w:r>
        <w:t xml:space="preserve">Relación calidad-coste y criterios de selección operativa</w:t>
      </w:r>
    </w:p>
    <w:p>
      <w:pPr>
        <w:pStyle w:val="FirstParagraph"/>
        <w:spacing w:line="360" w:lineRule="auto"/>
        <w:jc w:val="both"/>
      </w:pPr>
      <w:r>
        <w:t xml:space="preserve">Los resultados permiten derivar criterios técnicos de selección de método XAI</w:t>
      </w:r>
      <w:r>
        <w:t xml:space="preserve"> </w:t>
      </w:r>
      <w:r>
        <w:t xml:space="preserve">en función del contexto operativo. Se propone la siguiente taxonomía de</w:t>
      </w:r>
      <w:r>
        <w:t xml:space="preserve"> </w:t>
      </w:r>
      <w:r>
        <w:t xml:space="preserve">decisión:</w:t>
      </w:r>
    </w:p>
    <w:p>
      <w:pPr>
        <w:pStyle w:val="Textoindependiente"/>
        <w:spacing w:line="360" w:lineRule="auto"/>
        <w:jc w:val="both"/>
      </w:pPr>
      <w:r>
        <w:rPr>
          <w:b/>
          <w:bCs/>
        </w:rPr>
        <w:t xml:space="preserve">Contexto A — Alta fidelidad, sin restricción de latencia</w:t>
      </w:r>
      <w:r>
        <w:t xml:space="preserve"> </w:t>
      </w:r>
      <w:r>
        <w:t xml:space="preserve">(p. ej., auditoría</w:t>
      </w:r>
      <w:r>
        <w:t xml:space="preserve"> </w:t>
      </w:r>
      <w:r>
        <w:t xml:space="preserve">regulatoria, análisis forense de decisiones): SHAP es la opción con mejor</w:t>
      </w:r>
      <w:r>
        <w:t xml:space="preserve"> </w:t>
      </w:r>
      <w:r>
        <w:t xml:space="preserve">evidencia empírica en ambas dimensiones, pero el umbral operativo debe</w:t>
      </w:r>
      <w:r>
        <w:t xml:space="preserve"> </w:t>
      </w:r>
      <w:r>
        <w:t xml:space="preserve">verificarse por familia de modelo y no sobre la media global. La media de</w:t>
      </w:r>
      <w:r>
        <w:t xml:space="preserve"> </w:t>
      </w:r>
      <w:r>
        <w:t xml:space="preserve">fidelidad de SHAP (0.808) supera 0.80, y la de estabilidad (0.732) supera 0.70;</w:t>
      </w:r>
      <w:r>
        <w:t xml:space="preserve"> </w:t>
      </w:r>
      <w:r>
        <w:t xml:space="preserve">por familia, sin embargo, solo logreg (0.946) y SVM (0.882) alcanzan</w:t>
      </w:r>
      <w:r>
        <w:t xml:space="preserve"> </w:t>
      </w:r>
      <w:r>
        <w:t xml:space="preserve">fidelidad ≥ 0.80, y solo logreg (0.880), RF (0.949) y SVM (0.925) alcanzan</w:t>
      </w:r>
      <w:r>
        <w:t xml:space="preserve"> </w:t>
      </w:r>
      <w:r>
        <w:t xml:space="preserve">estabilidad ≥ 0.70. En XGBoost la estabilidad desciende a 0.575 y en MLP a</w:t>
      </w:r>
      <w:r>
        <w:t xml:space="preserve"> </w:t>
      </w:r>
      <w:r>
        <w:t xml:space="preserve">0.331, de modo que un requisito de consistencia explicativa no queda garantizado</w:t>
      </w:r>
      <w:r>
        <w:t xml:space="preserve"> </w:t>
      </w:r>
      <w:r>
        <w:t xml:space="preserve">en esas dos familias por el mero hecho de elegir SHAP. Para modelos</w:t>
      </w:r>
      <w:r>
        <w:t xml:space="preserve"> </w:t>
      </w:r>
      <w:r>
        <w:t xml:space="preserve">basados en árboles, el coste de TreeSHAP hace esta elección también</w:t>
      </w:r>
      <w:r>
        <w:t xml:space="preserve"> </w:t>
      </w:r>
      <w:r>
        <w:t xml:space="preserve">eficiente. Para SVM y redes neuronales, la latencia de KernelSHAP</w:t>
      </w:r>
      <w:r>
        <w:t xml:space="preserve"> </w:t>
      </w:r>
      <w:r>
        <w:t xml:space="preserve">puede requerir infraestructura de cómputo dedicada o ejecución asíncrona.</w:t>
      </w:r>
    </w:p>
    <w:p>
      <w:pPr>
        <w:pStyle w:val="Textoindependiente"/>
        <w:spacing w:line="360" w:lineRule="auto"/>
        <w:jc w:val="both"/>
      </w:pPr>
      <w:r>
        <w:rPr>
          <w:b/>
          <w:bCs/>
        </w:rPr>
        <w:t xml:space="preserve">Contexto B — Velocidad crítica, consistencia explicativa no requerida</w:t>
      </w:r>
      <w:r>
        <w:t xml:space="preserve"> </w:t>
      </w:r>
      <w:r>
        <w:t xml:space="preserve">(p.</w:t>
      </w:r>
      <w:r>
        <w:t xml:space="preserve"> </w:t>
      </w:r>
      <w:r>
        <w:t xml:space="preserve">ej., sistemas de recomendación con retroalimentación explicativa en tiempo real):</w:t>
      </w:r>
      <w:r>
        <w:t xml:space="preserve"> </w:t>
      </w:r>
      <w:r>
        <w:t xml:space="preserve">LIME es viable para modelos logreg/xgb/mlp, cuyas medias por familia de modelo</w:t>
      </w:r>
      <w:r>
        <w:t xml:space="preserve"> </w:t>
      </w:r>
      <w:r>
        <w:t xml:space="preserve">—52 ms (mlp), 73 ms (logreg) y 122 ms (xgb) por instancia, agregadas a nivel de</w:t>
      </w:r>
      <w:r>
        <w:t xml:space="preserve"> </w:t>
      </w:r>
      <w:r>
        <w:t xml:space="preserve">ejecución— se mantienen dos órdenes de magnitud por debajo de las de SVM</w:t>
      </w:r>
      <w:r>
        <w:t xml:space="preserve"> </w:t>
      </w:r>
      <w:r>
        <w:t xml:space="preserve">(17,620 ms), aceptando</w:t>
      </w:r>
      <w:r>
        <w:t xml:space="preserve"> </w:t>
      </w:r>
      <w:r>
        <w:t xml:space="preserve">que la explicación de una misma instancia puede variar entre ejecuciones. Los</w:t>
      </w:r>
      <w:r>
        <w:t xml:space="preserve"> </w:t>
      </w:r>
      <w:r>
        <w:t xml:space="preserve">usuarios finales de estos sistemas deben ser informados de que las explicaciones</w:t>
      </w:r>
      <w:r>
        <w:t xml:space="preserve"> </w:t>
      </w:r>
      <w:r>
        <w:t xml:space="preserve">tienen naturaleza estocástica y no son comparables entre ejecuciones.</w:t>
      </w:r>
    </w:p>
    <w:p>
      <w:pPr>
        <w:pStyle w:val="Textoindependiente"/>
        <w:spacing w:line="360" w:lineRule="auto"/>
        <w:jc w:val="both"/>
      </w:pPr>
      <w:r>
        <w:rPr>
          <w:b/>
          <w:bCs/>
        </w:rPr>
        <w:t xml:space="preserve">Contexto C — Explicaciones comprensibles para usuarios no técnicos sin</w:t>
      </w:r>
      <w:r>
        <w:rPr>
          <w:b/>
          <w:bCs/>
        </w:rPr>
        <w:t xml:space="preserve"> </w:t>
      </w:r>
      <w:r>
        <w:rPr>
          <w:b/>
          <w:bCs/>
        </w:rPr>
        <w:t xml:space="preserve">requisito cuantitativo</w:t>
      </w:r>
      <w:r>
        <w:t xml:space="preserve">: Anchors ofrece reglas IF-THEN semánticamente</w:t>
      </w:r>
      <w:r>
        <w:t xml:space="preserve"> </w:t>
      </w:r>
      <w:r>
        <w:t xml:space="preserve">comprensibles, pero solo en modelos con frontera de decisión suficientemente</w:t>
      </w:r>
      <w:r>
        <w:t xml:space="preserve"> </w:t>
      </w:r>
      <w:r>
        <w:t xml:space="preserve">regular (logreg, xgb); para RF y SVM, el coste y la baja tasa de cobertura</w:t>
      </w:r>
      <w:r>
        <w:t xml:space="preserve"> </w:t>
      </w:r>
      <w:r>
        <w:t xml:space="preserve">lo hacen impracticable.</w:t>
      </w:r>
    </w:p>
    <w:p>
      <w:pPr>
        <w:pStyle w:val="Textoindependiente"/>
        <w:spacing w:line="360" w:lineRule="auto"/>
        <w:jc w:val="both"/>
      </w:pPr>
      <w:r>
        <w:rPr>
          <w:b/>
          <w:bCs/>
        </w:rPr>
        <w:t xml:space="preserve">Contexto D — Análisis de acciones correctivas</w:t>
      </w:r>
      <w:r>
        <w:t xml:space="preserve"> </w:t>
      </w:r>
      <w:r>
        <w:t xml:space="preserve">(p. ej., ¿qué debe cambiar</w:t>
      </w:r>
      <w:r>
        <w:t xml:space="preserve"> </w:t>
      </w:r>
      <w:r>
        <w:t xml:space="preserve">una instancia para obtener otro resultado?): DiCE es el único método de los</w:t>
      </w:r>
      <w:r>
        <w:t xml:space="preserve"> </w:t>
      </w:r>
      <w:r>
        <w:t xml:space="preserve">cuatro evaluados diseñado para responder esta pregunta. Su baja fidelidad bajo</w:t>
      </w:r>
      <w:r>
        <w:t xml:space="preserve"> </w:t>
      </w:r>
      <w:r>
        <w:t xml:space="preserve">métricas de atribución es irrelevante para este caso de uso.</w:t>
      </w:r>
    </w:p>
    <w:bookmarkEnd w:id="233"/>
    <w:bookmarkStart w:id="234" w:name="X99626a17a471bd5fb48825a2c4d4fcdcb69bcee"/>
    <w:p>
      <w:pPr>
        <w:pStyle w:val="Ttulo3"/>
        <w:spacing w:line="360" w:lineRule="auto"/>
        <w:jc w:val="both"/>
      </w:pPr>
      <w:r>
        <w:t xml:space="preserve">4.9.3 </w:t>
      </w:r>
      <w:r>
        <w:t xml:space="preserve">Contribuciones, limitaciones y extensiones</w:t>
      </w:r>
    </w:p>
    <w:p>
      <w:pPr>
        <w:pStyle w:val="FirstParagraph"/>
        <w:spacing w:line="360" w:lineRule="auto"/>
        <w:jc w:val="both"/>
      </w:pPr>
      <w:r>
        <w:t xml:space="preserve">Los hallazgos de este benchmark contribuyen al campo en tres dimensiones. En</w:t>
      </w:r>
      <w:r>
        <w:t xml:space="preserve"> </w:t>
      </w:r>
      <w:r>
        <w:t xml:space="preserve">primer lugar, confirman empíricamente sobre datos tabulares reales y con una</w:t>
      </w:r>
      <w:r>
        <w:t xml:space="preserve"> </w:t>
      </w:r>
      <w:r>
        <w:t xml:space="preserve">batería multidimensional de métricas la jerarquía SHAP &gt; LIME &gt; Anchors en</w:t>
      </w:r>
      <w:r>
        <w:t xml:space="preserve"> </w:t>
      </w:r>
      <w:r>
        <w:t xml:space="preserve">fidelidad, que ha sido asumida teóricamente pero rara vez demostrada bajo un</w:t>
      </w:r>
      <w:r>
        <w:t xml:space="preserve"> </w:t>
      </w:r>
      <w:r>
        <w:t xml:space="preserve">diseño estadístico riguroso</w:t>
      </w:r>
      <w:r>
        <w:t xml:space="preserve"> </w:t>
      </w:r>
      <w:r>
        <w:t xml:space="preserve">(Pawlicki et al. 2024; Altukhi 2025)</w:t>
      </w:r>
      <w:r>
        <w:t xml:space="preserve">. En segundo lugar,</w:t>
      </w:r>
      <w:r>
        <w:t xml:space="preserve"> </w:t>
      </w:r>
      <w:r>
        <w:t xml:space="preserve">documentan cuantitativamente la inestabilidad de LIME bajo la configuración de</w:t>
      </w:r>
      <w:r>
        <w:t xml:space="preserve"> </w:t>
      </w:r>
      <w:r>
        <w:t xml:space="preserve">referencia, un hallazgo</w:t>
      </w:r>
      <w:r>
        <w:t xml:space="preserve"> </w:t>
      </w:r>
      <w:r>
        <w:t xml:space="preserve">que los estudios basados en fidelidad exclusiva sistemáticamente omiten</w:t>
      </w:r>
      <w:r>
        <w:t xml:space="preserve"> </w:t>
      </w:r>
      <w:r>
        <w:t xml:space="preserve">(Bhattacharya y Verbert 2024)</w:t>
      </w:r>
      <w:r>
        <w:t xml:space="preserve">. En tercer lugar, demuestran que el protocolo FOM-7</w:t>
      </w:r>
      <w:r>
        <w:t xml:space="preserve"> </w:t>
      </w:r>
      <w:r>
        <w:t xml:space="preserve">produce resultados reproducibles (CV &lt; 3% en fidelidad para el subgrupo</w:t>
      </w:r>
      <w:r>
        <w:t xml:space="preserve"> </w:t>
      </w:r>
      <w:r>
        <w:t xml:space="preserve">replicado RF/</w:t>
      </w:r>
      <ns5:oMath>
        <ns5:r>
          <ns5:t>N</ns5:t>
        </ns5:r>
        <ns5:r>
          <ns5:rPr>
            <ns5:sty ns5:val="p"/>
          </ns5:rPr>
          <ns5:t>=</ns5:t>
        </ns5:r>
        <ns5:r>
          <ns5:t>100</ns5:t>
        </ns5:r>
      </ns5:oMath>
      <w:r>
        <w:t xml:space="preserve">, y CV agrupado de 11.4% para SHAP y 12.0% para LIME sobre</w:t>
      </w:r>
      <w:r>
        <w:t xml:space="preserve"> </w:t>
      </w:r>
      <w:r>
        <w:t xml:space="preserve">el conjunto completo de ejecuciones, todos dentro del umbral del 15% fijado en</w:t>
      </w:r>
      <w:r>
        <w:t xml:space="preserve"> </w:t>
      </w:r>
      <w:r>
        <w:t xml:space="preserve">P1) y que los</w:t>
      </w:r>
      <w:r>
        <w:t xml:space="preserve"> </w:t>
      </w:r>
      <w:r>
        <w:t xml:space="preserve">criterios de cobertura y exclusión de artefactos del benchmark son</w:t>
      </w:r>
      <w:r>
        <w:t xml:space="preserve"> </w:t>
      </w:r>
      <w:r>
        <w:t xml:space="preserve">implementables sin pérdida sustancial de potencia estadística.</w:t>
      </w:r>
    </w:p>
    <w:p>
      <w:pPr>
        <w:pStyle w:val="Textoindependiente"/>
        <w:spacing w:line="360" w:lineRule="auto"/>
        <w:jc w:val="both"/>
      </w:pPr>
      <w:r>
        <w:t xml:space="preserve">Las limitaciones principales del estudio son las siguientes. Primero, el</w:t>
      </w:r>
      <w:r>
        <w:t xml:space="preserve"> </w:t>
      </w:r>
      <w:r>
        <w:t xml:space="preserve">universo experimental se acota al conjunto de datos UCI Adult Income y a</w:t>
      </w:r>
      <w:r>
        <w:t xml:space="preserve"> </w:t>
      </w:r>
      <w:r>
        <w:t xml:space="preserve">problemas de clasificación tabular binaria; la extensión a otros dominios</w:t>
      </w:r>
      <w:r>
        <w:t xml:space="preserve"> </w:t>
      </w:r>
      <w:r>
        <w:t xml:space="preserve">(imágenes, texto, series temporales) requiere rediseño de las métricas de</w:t>
      </w:r>
      <w:r>
        <w:t xml:space="preserve"> </w:t>
      </w:r>
      <w:r>
        <w:t xml:space="preserve">fidelidad y estabilidad. Segundo, las métricas utilizadas son</w:t>
      </w:r>
      <w:r>
        <w:t xml:space="preserve"> </w:t>
      </w:r>
      <w:r>
        <w:t xml:space="preserve">operacionalizaciones específicas de los constructos de calidad. La fidelidad</w:t>
      </w:r>
      <w:r>
        <w:t xml:space="preserve"> </w:t>
      </w:r>
      <w:r>
        <w:t xml:space="preserve">sustituye cada característica de forma independiente por su media de</w:t>
      </w:r>
      <w:r>
        <w:t xml:space="preserve"> </w:t>
      </w:r>
      <w:r>
        <w:t xml:space="preserve">entrenamiento; este enmascaramiento puede romper dependencias, producir</w:t>
      </w:r>
      <w:r>
        <w:t xml:space="preserve"> </w:t>
      </w:r>
      <w:r>
        <w:t xml:space="preserve">instancias OOD y sesgar diferencialmente la comparación entre explicadores</w:t>
      </w:r>
      <w:r>
        <w:t xml:space="preserve"> </w:t>
      </w:r>
      <w:r>
        <w:t xml:space="preserve">(Hooker et al. 2019; Rong et al. 2022)</w:t>
      </w:r>
      <w:r>
        <w:t xml:space="preserve">. El uso de un operador común</w:t>
      </w:r>
      <w:r>
        <w:t xml:space="preserve"> </w:t>
      </w:r>
      <w:r>
        <w:t xml:space="preserve">asegura comparabilidad procedimental, no validez distribucional. Otras</w:t>
      </w:r>
      <w:r>
        <w:t xml:space="preserve"> </w:t>
      </w:r>
      <w:r>
        <w:t xml:space="preserve">operacionalizaciones, como</w:t>
      </w:r>
      <w:r>
        <w:t xml:space="preserve"> </w:t>
      </w:r>
      <w:r>
        <w:rPr>
          <w:i/>
          <w:iCs/>
        </w:rPr>
        <w:t xml:space="preserve">remove-and-retrain</w:t>
      </w:r>
      <w:r>
        <w:t xml:space="preserve"> </w:t>
      </w:r>
      <w:r>
        <w:t xml:space="preserve">o perturbaciones condicionadas,</w:t>
      </w:r>
      <w:r>
        <w:t xml:space="preserve"> </w:t>
      </w:r>
      <w:r>
        <w:t xml:space="preserve">pueden producir ordenamientos distintos; el alcance se desarrolla en</w:t>
      </w:r>
      <w:r>
        <w:t xml:space="preserve"> </w:t>
      </w:r>
      <w:r>
        <w:t xml:space="preserve">§</w:t>
      </w:r>
      <w:hyperlink w:anchor="sec-limitaciones">
        <w:r>
          <w:rPr>
            <w:rStyle w:val="Hipervnculo"/>
          </w:rPr>
          <w:t xml:space="preserve">7.4</w:t>
        </w:r>
      </w:hyperlink>
      <w:r>
        <w:t xml:space="preserve">. Tercero, el diseño no contempla la dimensión del usuario</w:t>
      </w:r>
      <w:r>
        <w:t xml:space="preserve"> </w:t>
      </w:r>
      <w:r>
        <w:t xml:space="preserve">(comprensibilidad percibida, utilidad para la toma de decisiones), que es</w:t>
      </w:r>
      <w:r>
        <w:t xml:space="preserve"> </w:t>
      </w:r>
      <w:r>
        <w:t xml:space="preserve">una dimensión de calidad no capturable por métricas automáticas. Estos aspectos</w:t>
      </w:r>
      <w:r>
        <w:t xml:space="preserve"> </w:t>
      </w:r>
      <w:r>
        <w:t xml:space="preserve">constituyen extensiones naturales para investigación futura que el protocolo</w:t>
      </w:r>
      <w:r>
        <w:t xml:space="preserve"> </w:t>
      </w:r>
      <w:r>
        <w:t xml:space="preserve">FOM-7 está diseñado para acomodar mediante la adición de puertas adicionales.</w:t>
      </w:r>
    </w:p>
    <w:p>
      <w:pPr>
        <w:pStyle w:val="Textoindependiente"/>
        <w:spacing w:line="360" w:lineRule="auto"/>
        <w:jc w:val="both"/>
      </w:pPr>
      <w:r>
        <w:t xml:space="preserve">Este capítulo ha presentado la evidencia empírica del benchmark con trazabilidad</w:t>
      </w:r>
      <w:r>
        <w:t xml:space="preserve"> </w:t>
      </w:r>
      <w:r>
        <w:t xml:space="preserve">completa de afirmaciones: los resultados de H1, H2 y H3 son estadísticamente</w:t>
      </w:r>
      <w:r>
        <w:t xml:space="preserve"> </w:t>
      </w:r>
      <w:r>
        <w:t xml:space="preserve">robustos con márgenes de seguridad que superan el umbral crítico en más de</w:t>
      </w:r>
      <w:r>
        <w:t xml:space="preserve"> </w:t>
      </w:r>
      <w:r>
        <w:t xml:space="preserve">cuatro veces, y los perfiles de método revelan que ningún método domina en</w:t>
      </w:r>
      <w:r>
        <w:t xml:space="preserve"> </w:t>
      </w:r>
      <w:r>
        <w:t xml:space="preserve">todas las dimensiones simultáneamente. El Capítulo 5 construye sobre esta base</w:t>
      </w:r>
      <w:r>
        <w:t xml:space="preserve"> </w:t>
      </w:r>
      <w:r>
        <w:t xml:space="preserve">en dos planos: desarrolla la taxonomía de cuatro ejes que organiza el espacio de</w:t>
      </w:r>
      <w:r>
        <w:t xml:space="preserve"> </w:t>
      </w:r>
      <w:r>
        <w:t xml:space="preserve">métricas de evaluación XAI y hace explícitos los cuadrantes cubiertos y los</w:t>
      </w:r>
      <w:r>
        <w:t xml:space="preserve"> </w:t>
      </w:r>
      <w:r>
        <w:t xml:space="preserve">que quedan como agenda; e incorpora los resultados del Estudio EXP4 como</w:t>
      </w:r>
      <w:r>
        <w:t xml:space="preserve"> </w:t>
      </w:r>
      <w:r>
        <w:t xml:space="preserve">fundamento empírico de la brecha de evaluación semántica que la taxonomía</w:t>
      </w:r>
      <w:r>
        <w:t xml:space="preserve"> </w:t>
      </w:r>
      <w:r>
        <w:t xml:space="preserve">identifica como la más urgente de resolver.</w:t>
      </w:r>
    </w:p>
    <w:bookmarkEnd w:id="234"/>
    <w:bookmarkEnd w:id="235"/>
    <w:bookmarkEnd w:id="236"/>
    <w:bookmarkStart w:id="257" w:name="Xa967782ce714a135dc69dc69099ccfe835ec70b"/>
    <w:p>
      <w:pPr>
        <w:pStyle w:val="Ttulo1"/>
        <w:spacing w:line="360" w:lineRule="auto"/>
        <w:jc w:val="both"/>
      </w:pPr>
      <w:r>
        <w:t xml:space="preserve">Capítulo 5. </w:t>
      </w:r>
      <w:r>
        <w:t xml:space="preserve">Taxonomía de métricas y síntesis conceptual</w:t>
      </w:r>
    </w:p>
    <w:p>
      <w:pPr>
        <w:pStyle w:val="FirstParagraph"/>
        <w:spacing w:line="360" w:lineRule="auto"/>
        <w:jc w:val="both"/>
      </w:pPr>
      <w:r>
        <w:t xml:space="preserve">El Capítulo 4 produjo un resultado que no era predecible a priori y que tiene</w:t>
      </w:r>
      <w:r>
        <w:t xml:space="preserve"> </w:t>
      </w:r>
      <w:r>
        <w:t xml:space="preserve">consecuencias metodológicas directas sobre cómo debe organizarse el espacio de</w:t>
      </w:r>
      <w:r>
        <w:t xml:space="preserve"> </w:t>
      </w:r>
      <w:r>
        <w:t xml:space="preserve">métricas XAI. LIME obtuvo una fidelidad media de 0.560 —por encima del umbral</w:t>
      </w:r>
      <w:r>
        <w:t xml:space="preserve"> </w:t>
      </w:r>
      <w:r>
        <w:t xml:space="preserve">de uso en producción para muchos equipos de datos— y al mismo tiempo una</w:t>
      </w:r>
      <w:r>
        <w:t xml:space="preserve"> </w:t>
      </w:r>
      <w:r>
        <w:t xml:space="preserve">estabilidad prácticamente nula bajo la configuración de referencia del</w:t>
      </w:r>
      <w:r>
        <w:t xml:space="preserve"> </w:t>
      </w:r>
      <w:r>
        <w:t xml:space="preserve">benchmark: similitud coseno media de 0.014 y coeficiente de variación del 86.2%</w:t>
      </w:r>
      <w:r>
        <w:t xml:space="preserve"> </w:t>
      </w:r>
      <w:r>
        <w:t xml:space="preserve">entre explicaciones generadas para la misma instancia con distintas semillas</w:t>
      </w:r>
      <w:r>
        <w:t xml:space="preserve"> </w:t>
      </w:r>
      <w:r>
        <w:t xml:space="preserve">(el Capítulo 7 delimita el alcance de este resultado, que depende del espacio</w:t>
      </w:r>
      <w:r>
        <w:t xml:space="preserve"> </w:t>
      </w:r>
      <w:r>
        <w:t xml:space="preserve">de características y del ancho del kernel). SHAP, en cambio, mantuvo fidelidad de 0.808</w:t>
      </w:r>
      <w:r>
        <w:t xml:space="preserve"> </w:t>
      </w:r>
      <w:r>
        <w:t xml:space="preserve">y estabilidad de 0.732, con d</w:t>
      </w:r>
      <w:r>
        <w:rPr>
          <w:vertAlign w:val="subscript"/>
        </w:rPr>
        <w:t xml:space="preserve">z</w:t>
      </w:r>
      <w:r>
        <w:t xml:space="preserve">=4.82 y d</w:t>
      </w:r>
      <w:r>
        <w:rPr>
          <w:vertAlign w:val="subscript"/>
        </w:rPr>
        <w:t xml:space="preserve">z</w:t>
      </w:r>
      <w:r>
        <w:t xml:space="preserve">=3.00 respectivamente. La</w:t>
      </w:r>
      <w:r>
        <w:t xml:space="preserve"> </w:t>
      </w:r>
      <w:r>
        <w:t xml:space="preserve">correlación empírica entre fidelidad y estabilidad —visible en la</w:t>
      </w:r>
      <w:r>
        <w:t xml:space="preserve"> </w:t>
      </w:r>
      <w:hyperlink w:anchor="fig-correlacion-metricas">
        <w:r>
          <w:rPr>
            <w:rStyle w:val="Hipervnculo"/>
          </w:rPr>
          <w:t xml:space="preserve">Figura 4.3</w:t>
        </w:r>
      </w:hyperlink>
      <w:r>
        <w:t xml:space="preserve">— es baja, lo que significa que ambas dimensiones</w:t>
      </w:r>
      <w:r>
        <w:t xml:space="preserve"> </w:t>
      </w:r>
      <w:r>
        <w:t xml:space="preserve">aportan información no redundante sobre la calidad de una explicación. Un</w:t>
      </w:r>
      <w:r>
        <w:t xml:space="preserve"> </w:t>
      </w:r>
      <w:r>
        <w:t xml:space="preserve">benchmark que solo reportara fidelidad habría concluido que LIME es aceptable</w:t>
      </w:r>
      <w:r>
        <w:t xml:space="preserve"> </w:t>
      </w:r>
      <w:r>
        <w:t xml:space="preserve">para uso en auditoría. Un benchmark que solo reportara estabilidad habría</w:t>
      </w:r>
      <w:r>
        <w:t xml:space="preserve"> </w:t>
      </w:r>
      <w:r>
        <w:t xml:space="preserve">eliminado LIME sin valorar su ventaja en coste y parsimonia. Ningún escalar</w:t>
      </w:r>
      <w:r>
        <w:t xml:space="preserve"> </w:t>
      </w:r>
      <w:r>
        <w:t xml:space="preserve">único captura el perfil completo.</w:t>
      </w:r>
    </w:p>
    <w:p>
      <w:pPr>
        <w:pStyle w:val="Textoindependiente"/>
        <w:spacing w:line="360" w:lineRule="auto"/>
        <w:jc w:val="both"/>
      </w:pPr>
      <w:r>
        <w:t xml:space="preserve">Esta disociación no es un artefacto del diseño. La parsimonia media de DiCE</w:t>
      </w:r>
      <w:r>
        <w:t xml:space="preserve"> </w:t>
      </w:r>
      <w:r>
        <w:t xml:space="preserve">(0.017 de ratio activo, la más concisa del benchmark) y su fidelidad baja</w:t>
      </w:r>
      <w:r>
        <w:t xml:space="preserve"> </w:t>
      </w:r>
      <w:r>
        <w:t xml:space="preserve">(0.172) responden a una lógica distinta a la de SHAP o LIME: DiCE minimiza la</w:t>
      </w:r>
      <w:r>
        <w:t xml:space="preserve"> </w:t>
      </w:r>
      <w:r>
        <w:t xml:space="preserve">perturbación del contrafactual, no la aproximación local al modelo. Que DiCE</w:t>
      </w:r>
      <w:r>
        <w:t xml:space="preserve"> </w:t>
      </w:r>
      <w:r>
        <w:t xml:space="preserve">tenga perfil óptimo en parsimonia —aunque no en coste, donde su media de</w:t>
      </w:r>
      <w:r>
        <w:t xml:space="preserve"> </w:t>
      </w:r>
      <w:r>
        <w:t xml:space="preserve">28,209 ms solo mejora a la de Anchors— pero deficiente en fidelidad técnica,</w:t>
      </w:r>
      <w:r>
        <w:t xml:space="preserve"> </w:t>
      </w:r>
      <w:r>
        <w:t xml:space="preserve">indica que los ejes de calidad no colapsan sobre un único factor latente. La</w:t>
      </w:r>
      <w:r>
        <w:t xml:space="preserve"> </w:t>
      </w:r>
      <w:hyperlink w:anchor="fig-radar-metodos">
        <w:r>
          <w:rPr>
            <w:rStyle w:val="Hipervnculo"/>
          </w:rPr>
          <w:t xml:space="preserve">Figura 4.8</w:t>
        </w:r>
      </w:hyperlink>
      <w:r>
        <w:t xml:space="preserve"> </w:t>
      </w:r>
      <w:r>
        <w:t xml:space="preserve">hace visible esta estructura: ningún método domina simultáneamente en todas las</w:t>
      </w:r>
      <w:r>
        <w:t xml:space="preserve"> </w:t>
      </w:r>
      <w:r>
        <w:t xml:space="preserve">dimensiones, y los cuellos de botella difieren por método. Este patrón solo es</w:t>
      </w:r>
      <w:r>
        <w:t xml:space="preserve"> </w:t>
      </w:r>
      <w:r>
        <w:t xml:space="preserve">observable si las métricas están conceptualmente separadas antes de la medición,</w:t>
      </w:r>
      <w:r>
        <w:t xml:space="preserve"> </w:t>
      </w:r>
      <w:r>
        <w:t xml:space="preserve">no consolidadas post-hoc en un índice compuesto.</w:t>
      </w:r>
    </w:p>
    <w:p>
      <w:pPr>
        <w:pStyle w:val="Textoindependiente"/>
        <w:spacing w:line="360" w:lineRule="auto"/>
        <w:jc w:val="both"/>
      </w:pPr>
      <w:r>
        <w:t xml:space="preserve">La pregunta que emerge de esos resultados no es cuál método gana, sino</w:t>
      </w:r>
      <w:r>
        <w:t xml:space="preserve"> </w:t>
      </w:r>
      <w:r>
        <w:rPr>
          <w:i/>
          <w:iCs/>
        </w:rPr>
        <w:t xml:space="preserve">qué</w:t>
      </w:r>
      <w:r>
        <w:rPr>
          <w:i/>
          <w:iCs/>
        </w:rPr>
        <w:t xml:space="preserve"> </w:t>
      </w:r>
      <w:r>
        <w:rPr>
          <w:i/>
          <w:iCs/>
        </w:rPr>
        <w:t xml:space="preserve">dimensiones de calidad son genuinamente ortogonales, cuál fuente de evidencia</w:t>
      </w:r>
      <w:r>
        <w:rPr>
          <w:i/>
          <w:iCs/>
        </w:rPr>
        <w:t xml:space="preserve"> </w:t>
      </w:r>
      <w:r>
        <w:rPr>
          <w:i/>
          <w:iCs/>
        </w:rPr>
        <w:t xml:space="preserve">mide cada una, y para qué contexto de tarea resulta relevante cada perfil</w:t>
      </w:r>
      <w:r>
        <w:t xml:space="preserve">. Sin</w:t>
      </w:r>
      <w:r>
        <w:t xml:space="preserve"> </w:t>
      </w:r>
      <w:r>
        <w:t xml:space="preserve">un marco conceptual que responda esas tres preguntas de forma articulada, el</w:t>
      </w:r>
      <w:r>
        <w:t xml:space="preserve"> </w:t>
      </w:r>
      <w:r>
        <w:t xml:space="preserve">benchmark produce números correctos pero no produce orientación. Un evaluador</w:t>
      </w:r>
      <w:r>
        <w:t xml:space="preserve"> </w:t>
      </w:r>
      <w:r>
        <w:t xml:space="preserve">que conozca solo los rangos de fidelidad (SHAP: 0.808, LIME: 0.560,</w:t>
      </w:r>
      <w:r>
        <w:t xml:space="preserve"> </w:t>
      </w:r>
      <w:r>
        <w:t xml:space="preserve">Anchors: 0.388, DiCE: 0.172) no sabe si una diferencia de 0.05 puntos en</w:t>
      </w:r>
      <w:r>
        <w:t xml:space="preserve"> </w:t>
      </w:r>
      <w:r>
        <w:t xml:space="preserve">parsimonia es sustantiva o trivial, ni si la brecha de fidelidad justifica el</w:t>
      </w:r>
      <w:r>
        <w:t xml:space="preserve"> </w:t>
      </w:r>
      <w:r>
        <w:t xml:space="preserve">coste adicional de SHAP en un sistema de tiempo real. La taxonomía de este</w:t>
      </w:r>
      <w:r>
        <w:t xml:space="preserve"> </w:t>
      </w:r>
      <w:r>
        <w:t xml:space="preserve">capítulo es, por tanto, una respuesta necesaria a lo que el benchmark demostró</w:t>
      </w:r>
      <w:r>
        <w:t xml:space="preserve"> </w:t>
      </w:r>
      <w:r>
        <w:t xml:space="preserve">empíricamente: que el espacio de métricas es multidimensional, que las</w:t>
      </w:r>
      <w:r>
        <w:t xml:space="preserve"> </w:t>
      </w:r>
      <w:r>
        <w:t xml:space="preserve">dimensiones son operativamente independientes, y que la selección de método</w:t>
      </w:r>
      <w:r>
        <w:t xml:space="preserve"> </w:t>
      </w:r>
      <w:r>
        <w:t xml:space="preserve">requiere un lenguaje conceptual que articule cuál dimensión importa según el</w:t>
      </w:r>
      <w:r>
        <w:t xml:space="preserve"> </w:t>
      </w:r>
      <w:r>
        <w:t xml:space="preserve">contexto de uso.</w:t>
      </w:r>
    </w:p>
    <w:p>
      <w:pPr>
        <w:pStyle w:val="Textoindependiente"/>
        <w:spacing w:line="360" w:lineRule="auto"/>
        <w:jc w:val="both"/>
      </w:pPr>
      <w:r>
        <w:t xml:space="preserve">Este capítulo desarrolla el Estudio Taxonómico de la tesis: una taxonomía</w:t>
      </w:r>
      <w:r>
        <w:t xml:space="preserve"> </w:t>
      </w:r>
      <w:r>
        <w:t xml:space="preserve">estructurada del espacio de métricas de evaluación XAI. Su función es dar peso</w:t>
      </w:r>
      <w:r>
        <w:t xml:space="preserve"> </w:t>
      </w:r>
      <w:r>
        <w:t xml:space="preserve">conceptual propio a la tercera contribución doctoral. Los capítulos anteriores</w:t>
      </w:r>
      <w:r>
        <w:t xml:space="preserve"> </w:t>
      </w:r>
      <w:r>
        <w:t xml:space="preserve">mostraron que FOM-7 necesita distinguir objetos explicativos, constructos de</w:t>
      </w:r>
      <w:r>
        <w:t xml:space="preserve"> </w:t>
      </w:r>
      <w:r>
        <w:t xml:space="preserve">calidad, fuentes de evidencia y contextos de uso. Este capítulo convierte esa</w:t>
      </w:r>
      <w:r>
        <w:t xml:space="preserve"> </w:t>
      </w:r>
      <w:r>
        <w:t xml:space="preserve">necesidad en una matriz de clasificación que permite interpretar el benchmark</w:t>
      </w:r>
      <w:r>
        <w:t xml:space="preserve"> </w:t>
      </w:r>
      <w:r>
        <w:t xml:space="preserve">y, al mismo tiempo, orientar evaluaciones futuras.</w:t>
      </w:r>
    </w:p>
    <w:p>
      <w:pPr>
        <w:pStyle w:val="Textoindependiente"/>
        <w:spacing w:line="360" w:lineRule="auto"/>
        <w:jc w:val="both"/>
      </w:pPr>
      <w:r>
        <w:t xml:space="preserve">La taxonomía se presenta como una</w:t>
      </w:r>
      <w:r>
        <w:t xml:space="preserve"> </w:t>
      </w:r>
      <w:r>
        <w:rPr>
          <w:b/>
          <w:bCs/>
        </w:rPr>
        <w:t xml:space="preserve">síntesis integradora y operacional</w:t>
      </w:r>
      <w:r>
        <w:t xml:space="preserve">, no</w:t>
      </w:r>
      <w:r>
        <w:t xml:space="preserve"> </w:t>
      </w:r>
      <w:r>
        <w:t xml:space="preserve">como una taxonomía completamente nueva en sentido fuerte. Integra distinciones</w:t>
      </w:r>
      <w:r>
        <w:t xml:space="preserve"> </w:t>
      </w:r>
      <w:r>
        <w:t xml:space="preserve">ya presentes en la literatura —por ejemplo, evaluación functionally-grounded,</w:t>
      </w:r>
      <w:r>
        <w:t xml:space="preserve"> </w:t>
      </w:r>
      <w:r>
        <w:t xml:space="preserve">human-grounded y application-grounded; fidelidad, robustez, plausibilidad,</w:t>
      </w:r>
      <w:r>
        <w:t xml:space="preserve"> </w:t>
      </w:r>
      <w:r>
        <w:t xml:space="preserve">complejidad y utilidad— y las reorganiza en una estructura práctica para</w:t>
      </w:r>
      <w:r>
        <w:t xml:space="preserve"> </w:t>
      </w:r>
      <w:r>
        <w:t xml:space="preserve">benchmarks comparativos de XAI</w:t>
      </w:r>
      <w:r>
        <w:t xml:space="preserve"> </w:t>
      </w:r>
      <w:r>
        <w:t xml:space="preserve">(Doshi-Velez 2017; Schwalbe 2023; Abdul Kadir et al. 2023; Pawlicki et al. 2024; Nauta et al. 2023)</w:t>
      </w:r>
      <w:r>
        <w:t xml:space="preserve">. Su contribución específica es</w:t>
      </w:r>
      <w:r>
        <w:t xml:space="preserve"> </w:t>
      </w:r>
      <w:r>
        <w:t xml:space="preserve">hacer explícita la conexión entre métrica, fuente de evidencia, propiedad de</w:t>
      </w:r>
      <w:r>
        <w:t xml:space="preserve"> </w:t>
      </w:r>
      <w:r>
        <w:t xml:space="preserve">calidad, contexto de tarea y claim admisible dentro del protocolo FOM-7.</w:t>
      </w:r>
    </w:p>
    <w:bookmarkStart w:id="237" w:name="sec-taxonomia-metodo"/>
    <w:p>
      <w:pPr>
        <w:pStyle w:val="Ttulo2"/>
        <w:spacing w:line="360" w:lineRule="auto"/>
        <w:jc w:val="both"/>
      </w:pPr>
      <w:r>
        <w:t xml:space="preserve">5.1 </w:t>
      </w:r>
      <w:r>
        <w:t xml:space="preserve">Método de construcción de la taxonomía</w:t>
      </w:r>
    </w:p>
    <w:p>
      <w:pPr>
        <w:pStyle w:val="FirstParagraph"/>
        <w:spacing w:line="360" w:lineRule="auto"/>
        <w:jc w:val="both"/>
      </w:pPr>
      <w:r>
        <w:t xml:space="preserve">La construcción siguió una revisión estructurada de alcance narrativo. No se</w:t>
      </w:r>
      <w:r>
        <w:t xml:space="preserve"> </w:t>
      </w:r>
      <w:r>
        <w:t xml:space="preserve">presenta como revisión sistemática PRISMA, porque su objetivo no fue estimar</w:t>
      </w:r>
      <w:r>
        <w:t xml:space="preserve"> </w:t>
      </w:r>
      <w:r>
        <w:t xml:space="preserve">prevalencias bibliométricas ni agotar todo el universo de publicaciones, sino</w:t>
      </w:r>
      <w:r>
        <w:t xml:space="preserve"> </w:t>
      </w:r>
      <w:r>
        <w:t xml:space="preserve">organizar constructos recurrentes que ya estaban documentados en encuestas,</w:t>
      </w:r>
      <w:r>
        <w:t xml:space="preserve"> </w:t>
      </w:r>
      <w:r>
        <w:t xml:space="preserve">toolkits, benchmarks y trabajos metodológicos relevantes para la evaluación</w:t>
      </w:r>
      <w:r>
        <w:t xml:space="preserve"> </w:t>
      </w:r>
      <w:r>
        <w:t xml:space="preserve">XAI. La taxonomía resultante se clasifica como una</w:t>
      </w:r>
      <w:r>
        <w:t xml:space="preserve"> </w:t>
      </w:r>
      <w:r>
        <w:rPr>
          <w:b/>
          <w:bCs/>
        </w:rPr>
        <w:t xml:space="preserve">operacionalización</w:t>
      </w:r>
      <w:r>
        <w:rPr>
          <w:b/>
          <w:bCs/>
        </w:rPr>
        <w:t xml:space="preserve"> </w:t>
      </w:r>
      <w:r>
        <w:rPr>
          <w:b/>
          <w:bCs/>
        </w:rPr>
        <w:t xml:space="preserve">doctoral integradora</w:t>
      </w:r>
      <w:r>
        <w:t xml:space="preserve">: integra y reorganiza distinciones ya presentes en la</w:t>
      </w:r>
      <w:r>
        <w:t xml:space="preserve"> </w:t>
      </w:r>
      <w:r>
        <w:t xml:space="preserve">literatura en una estructura práctica, y añade el eje de contexto de tarea como</w:t>
      </w:r>
      <w:r>
        <w:t xml:space="preserve"> </w:t>
      </w:r>
      <w:r>
        <w:t xml:space="preserve">dimensión operativa no explícita en los marcos previos. No es una taxonomía</w:t>
      </w:r>
      <w:r>
        <w:t xml:space="preserve"> </w:t>
      </w:r>
      <w:r>
        <w:t xml:space="preserve">completamente nueva en sentido fuerte (no propone dimensiones sin antecedentes</w:t>
      </w:r>
      <w:r>
        <w:t xml:space="preserve"> </w:t>
      </w:r>
      <w:r>
        <w:t xml:space="preserve">en la literatura) ni una mera síntesis descriptiva (la estructura de cuatro ejes</w:t>
      </w:r>
      <w:r>
        <w:t xml:space="preserve"> </w:t>
      </w:r>
      <w:r>
        <w:t xml:space="preserve">y su mapeo al benchmark es una contribución propia).</w:t>
      </w:r>
    </w:p>
    <w:p>
      <w:pPr>
        <w:pStyle w:val="Textoindependiente"/>
        <w:spacing w:line="360" w:lineRule="auto"/>
        <w:jc w:val="both"/>
      </w:pPr>
      <w:r>
        <w:t xml:space="preserve">El corpus de apoyo combina cuatro tipos de fuentes. Primero, revisiones y</w:t>
      </w:r>
      <w:r>
        <w:t xml:space="preserve"> </w:t>
      </w:r>
      <w:r>
        <w:t xml:space="preserve">taxonomías de interpretabilidad y XAI que establecen el vocabulario conceptual</w:t>
      </w:r>
      <w:r>
        <w:t xml:space="preserve"> </w:t>
      </w:r>
      <w:r>
        <w:t xml:space="preserve">del campo, incluyendo las revisiones fundacionales de</w:t>
      </w:r>
      <w:r>
        <w:t xml:space="preserve"> </w:t>
      </w:r>
      <w:r>
        <w:t xml:space="preserve">Arrieta (2019)</w:t>
      </w:r>
      <w:r>
        <w:t xml:space="preserve">,</w:t>
      </w:r>
      <w:r>
        <w:t xml:space="preserve"> </w:t>
      </w:r>
      <w:r>
        <w:t xml:space="preserve">Lipton (2018)</w:t>
      </w:r>
      <w:r>
        <w:t xml:space="preserve">,</w:t>
      </w:r>
      <w:r>
        <w:t xml:space="preserve"> </w:t>
      </w:r>
      <w:r>
        <w:t xml:space="preserve">Linardatos (2020)</w:t>
      </w:r>
      <w:r>
        <w:t xml:space="preserve">, la historia breve del campo de</w:t>
      </w:r>
      <w:r>
        <w:t xml:space="preserve"> </w:t>
      </w:r>
      <w:r>
        <w:t xml:space="preserve">Molnar et al. (2020)</w:t>
      </w:r>
      <w:r>
        <w:t xml:space="preserve"> </w:t>
      </w:r>
      <w:r>
        <w:t xml:space="preserve">y la taxonomía sistemática de</w:t>
      </w:r>
      <w:r>
        <w:t xml:space="preserve"> </w:t>
      </w:r>
      <w:r>
        <w:t xml:space="preserve">Schwalbe (2023)</w:t>
      </w:r>
      <w:r>
        <w:t xml:space="preserve">. Segundo, trabajos sobre evaluación y benchmarking que distinguen</w:t>
      </w:r>
      <w:r>
        <w:t xml:space="preserve"> </w:t>
      </w:r>
      <w:r>
        <w:t xml:space="preserve">niveles de evidencia, métricas functionally-grounded y reproducibilidad,</w:t>
      </w:r>
      <w:r>
        <w:t xml:space="preserve"> </w:t>
      </w:r>
      <w:r>
        <w:t xml:space="preserve">incluyendo la taxonomía de niveles de</w:t>
      </w:r>
      <w:r>
        <w:t xml:space="preserve"> </w:t>
      </w:r>
      <w:r>
        <w:t xml:space="preserve">Doshi-Velez (2017)</w:t>
      </w:r>
      <w:r>
        <w:t xml:space="preserve">, el toolkit</w:t>
      </w:r>
      <w:r>
        <w:t xml:space="preserve"> </w:t>
      </w:r>
      <w:r>
        <w:t xml:space="preserve">Quantus</w:t>
      </w:r>
      <w:r>
        <w:t xml:space="preserve"> </w:t>
      </w:r>
      <w:r>
        <w:t xml:space="preserve">(Hedström et al. 2023)</w:t>
      </w:r>
      <w:r>
        <w:t xml:space="preserve">, la plataforma OpenXAI</w:t>
      </w:r>
      <w:r>
        <w:t xml:space="preserve"> </w:t>
      </w:r>
      <w:r>
        <w:t xml:space="preserve">(Agarwal et al. 2022)</w:t>
      </w:r>
      <w:r>
        <w:t xml:space="preserve">, el banco de</w:t>
      </w:r>
      <w:r>
        <w:t xml:space="preserve"> </w:t>
      </w:r>
      <w:r>
        <w:t xml:space="preserve">pruebas de</w:t>
      </w:r>
      <w:r>
        <w:t xml:space="preserve"> </w:t>
      </w:r>
      <w:r>
        <w:t xml:space="preserve">Sithakoul et al. (2024)</w:t>
      </w:r>
      <w:r>
        <w:t xml:space="preserve"> </w:t>
      </w:r>
      <w:r>
        <w:t xml:space="preserve">y la revisión de</w:t>
      </w:r>
      <w:r>
        <w:t xml:space="preserve"> </w:t>
      </w:r>
      <w:r>
        <w:t xml:space="preserve">propiedades de evaluación de</w:t>
      </w:r>
      <w:r>
        <w:t xml:space="preserve"> </w:t>
      </w:r>
      <w:r>
        <w:t xml:space="preserve">Nauta et al. (2023)</w:t>
      </w:r>
      <w:r>
        <w:t xml:space="preserve">. Tercero, artículos metodológicos sobre</w:t>
      </w:r>
      <w:r>
        <w:t xml:space="preserve"> </w:t>
      </w:r>
      <w:r>
        <w:t xml:space="preserve">los cuatro explicadores evaluados, necesarios para ubicar qué objeto produce</w:t>
      </w:r>
      <w:r>
        <w:t xml:space="preserve"> </w:t>
      </w:r>
      <w:r>
        <w:t xml:space="preserve">cada método y qué métricas le son adecuadas</w:t>
      </w:r>
      <w:r>
        <w:t xml:space="preserve"> </w:t>
      </w:r>
      <w:r>
        <w:t xml:space="preserve">(Ribeiro 2016, 2018; Lundberg 2017; Mothilal 2020; Guidotti et al. 2018; Carvalho et al. 2019; Karimi et al. 2022; Poyiadzi et al. 2020)</w:t>
      </w:r>
      <w:r>
        <w:t xml:space="preserve">. Cuarto, revisiones recientes</w:t>
      </w:r>
      <w:r>
        <w:t xml:space="preserve"> </w:t>
      </w:r>
      <w:r>
        <w:t xml:space="preserve">centradas en métricas, robustez, reproducibilidad y evaluación human-centered,</w:t>
      </w:r>
      <w:r>
        <w:t xml:space="preserve"> </w:t>
      </w:r>
      <w:r>
        <w:t xml:space="preserve">incluyendo las revisiones de métricas de</w:t>
      </w:r>
      <w:r>
        <w:t xml:space="preserve"> </w:t>
      </w:r>
      <w:r>
        <w:t xml:space="preserve">Abdul Kadir et al. (2023)</w:t>
      </w:r>
      <w:r>
        <w:t xml:space="preserve"> </w:t>
      </w:r>
      <w:r>
        <w:t xml:space="preserve">y</w:t>
      </w:r>
      <w:r>
        <w:t xml:space="preserve"> </w:t>
      </w:r>
      <w:r>
        <w:t xml:space="preserve">Pawlicki et al. (2024)</w:t>
      </w:r>
      <w:r>
        <w:t xml:space="preserve">, el estudio de comprehensibilidad de</w:t>
      </w:r>
      <w:r>
        <w:t xml:space="preserve"> </w:t>
      </w:r>
      <w:r>
        <w:t xml:space="preserve">Bhattacharya y Verbert (2024)</w:t>
      </w:r>
      <w:r>
        <w:t xml:space="preserve">, la agenda</w:t>
      </w:r>
      <w:r>
        <w:t xml:space="preserve"> </w:t>
      </w:r>
      <w:r>
        <w:t xml:space="preserve">de</w:t>
      </w:r>
      <w:r>
        <w:t xml:space="preserve"> </w:t>
      </w:r>
      <w:r>
        <w:t xml:space="preserve">Ehsan et al. (2023)</w:t>
      </w:r>
      <w:r>
        <w:t xml:space="preserve"> </w:t>
      </w:r>
      <w:r>
        <w:t xml:space="preserve">y trabajos</w:t>
      </w:r>
      <w:r>
        <w:t xml:space="preserve"> </w:t>
      </w:r>
      <w:r>
        <w:t xml:space="preserve">sobre utilidad y confianza</w:t>
      </w:r>
      <w:r>
        <w:t xml:space="preserve"> </w:t>
      </w:r>
      <w:r>
        <w:t xml:space="preserve">(Rong et al. 2024; Miller 2019; Hoffman et al. 2023; Mohseni et al. 2021)</w:t>
      </w:r>
      <w:r>
        <w:t xml:space="preserve">.</w:t>
      </w:r>
    </w:p>
    <w:p>
      <w:pPr>
        <w:pStyle w:val="Textoindependiente"/>
        <w:spacing w:line="360" w:lineRule="auto"/>
        <w:jc w:val="both"/>
      </w:pPr>
      <w:r>
        <w:t xml:space="preserve">El corpus se amplió durante la revisión hasta las</w:t>
      </w:r>
      <w:r>
        <w:t xml:space="preserve"> </w:t>
      </w:r>
      <w:r>
        <w:rPr>
          <w:b/>
          <w:bCs/>
        </w:rPr>
        <w:t xml:space="preserve">127 referencias de contenido</w:t>
      </w:r>
      <w:r>
        <w:rPr>
          <w:b/>
          <w:bCs/>
        </w:rPr>
        <w:t xml:space="preserve"> </w:t>
      </w:r>
      <w:r>
        <w:rPr>
          <w:b/>
          <w:bCs/>
        </w:rPr>
        <w:t xml:space="preserve">XAI</w:t>
      </w:r>
      <w:r>
        <w:t xml:space="preserve"> </w:t>
      </w:r>
      <w:r>
        <w:t xml:space="preserve">que sostienen esta tesis —la bibliografía completa suma 140 entradas, de</w:t>
      </w:r>
      <w:r>
        <w:t xml:space="preserve"> </w:t>
      </w:r>
      <w:r>
        <w:t xml:space="preserve">las cuales 13 corresponden a infraestructura estadística, conjuntos de datos y</w:t>
      </w:r>
      <w:r>
        <w:t xml:space="preserve"> </w:t>
      </w:r>
      <w:r>
        <w:t xml:space="preserve">familias de modelo, no al objeto de la taxonomía—. De ese corpus,</w:t>
      </w:r>
      <w:r>
        <w:t xml:space="preserve"> </w:t>
      </w:r>
      <w:r>
        <w:rPr>
          <w:b/>
          <w:bCs/>
        </w:rPr>
        <w:t xml:space="preserve">107</w:t>
      </w:r>
      <w:r>
        <w:rPr>
          <w:b/>
          <w:bCs/>
        </w:rPr>
        <w:t xml:space="preserve"> </w:t>
      </w:r>
      <w:r>
        <w:rPr>
          <w:b/>
          <w:bCs/>
        </w:rPr>
        <w:t xml:space="preserve">documentos se conservan a texto completo</w:t>
      </w:r>
      <w:r>
        <w:t xml:space="preserve"> </w:t>
      </w:r>
      <w:r>
        <w:t xml:space="preserve">en el repositorio público de la tesis</w:t>
      </w:r>
      <w:r>
        <w:t xml:space="preserve"> </w:t>
      </w:r>
      <w:r>
        <w:t xml:space="preserve">(</w:t>
      </w:r>
      <w:r>
        <w:rPr>
          <w:rStyle w:val="VerbatimChar"/>
        </w:rPr>
        <w:t xml:space="preserve">thesis/papers/</w:t>
      </w:r>
      <w:r>
        <w:t xml:space="preserve">), de modo que la base documental de la taxonomía es auditable</w:t>
      </w:r>
      <w:r>
        <w:t xml:space="preserve"> </w:t>
      </w:r>
      <w:r>
        <w:t xml:space="preserve">y no solamente declarada: cada entrada de la bibliografía está citada en el</w:t>
      </w:r>
      <w:r>
        <w:t xml:space="preserve"> </w:t>
      </w:r>
      <w:r>
        <w:t xml:space="preserve">cuerpo del texto, y no existen referencias registradas sin uso.</w:t>
      </w:r>
    </w:p>
    <w:p>
      <w:pPr>
        <w:pStyle w:val="Textoindependiente"/>
        <w:spacing w:line="360" w:lineRule="auto"/>
        <w:jc w:val="both"/>
      </w:pPr>
      <w:r>
        <w:t xml:space="preserve">Los criterios de inclusión fueron: (i) fuentes con relación directa con</w:t>
      </w:r>
      <w:r>
        <w:t xml:space="preserve"> </w:t>
      </w:r>
      <w:r>
        <w:t xml:space="preserve">interpretabilidad, explicabilidad o evaluación XAI; (ii) trabajos que definieran</w:t>
      </w:r>
      <w:r>
        <w:t xml:space="preserve"> </w:t>
      </w:r>
      <w:r>
        <w:t xml:space="preserve">o usaran métricas de calidad explicativa; (iii) artículos que permitieran</w:t>
      </w:r>
      <w:r>
        <w:t xml:space="preserve"> </w:t>
      </w:r>
      <w:r>
        <w:t xml:space="preserve">clasificar métricas por fuente de evidencia o contexto de uso; y (iv) fuentes</w:t>
      </w:r>
      <w:r>
        <w:t xml:space="preserve"> </w:t>
      </w:r>
      <w:r>
        <w:t xml:space="preserve">con metadatos bibliográficos verificados en</w:t>
      </w:r>
      <w:r>
        <w:t xml:space="preserve"> </w:t>
      </w:r>
      <w:r>
        <w:rPr>
          <w:rStyle w:val="VerbatimChar"/>
        </w:rPr>
        <w:t xml:space="preserve">references.bib</w:t>
      </w:r>
      <w:r>
        <w:t xml:space="preserve">. Se excluyeron</w:t>
      </w:r>
      <w:r>
        <w:t xml:space="preserve"> </w:t>
      </w:r>
      <w:r>
        <w:t xml:space="preserve">fuentes meramente divulgativas, trabajos sin relación con evaluación de</w:t>
      </w:r>
      <w:r>
        <w:t xml:space="preserve"> </w:t>
      </w:r>
      <w:r>
        <w:t xml:space="preserve">explicaciones y referencias no verificadas.</w:t>
      </w:r>
    </w:p>
    <w:p>
      <w:pPr>
        <w:pStyle w:val="Textoindependiente"/>
        <w:spacing w:line="360" w:lineRule="auto"/>
        <w:jc w:val="both"/>
      </w:pPr>
      <w:r>
        <w:t xml:space="preserve">La codificación se realizó sobre cuatro dimensiones: objetivo de evaluación,</w:t>
      </w:r>
      <w:r>
        <w:t xml:space="preserve"> </w:t>
      </w:r>
      <w:r>
        <w:t xml:space="preserve">fuente de evidencia, propiedad de calidad y contexto de tarea. Cuando una</w:t>
      </w:r>
      <w:r>
        <w:t xml:space="preserve"> </w:t>
      </w:r>
      <w:r>
        <w:t xml:space="preserve">métrica admitía múltiples lecturas, se codificó según su uso dominante en la</w:t>
      </w:r>
      <w:r>
        <w:t xml:space="preserve"> </w:t>
      </w:r>
      <w:r>
        <w:t xml:space="preserve">literatura y se registró la ambigüedad como riesgo de constructo. Por ejemplo,</w:t>
      </w:r>
      <w:r>
        <w:t xml:space="preserve"> </w:t>
      </w:r>
      <w:r>
        <w:rPr>
          <w:i/>
          <w:iCs/>
        </w:rPr>
        <w:t xml:space="preserve">fidelity</w:t>
      </w:r>
      <w:r>
        <w:t xml:space="preserve"> </w:t>
      </w:r>
      <w:r>
        <w:t xml:space="preserve">puede funcionar como acuerdo local entre modelo y sustituto, como</w:t>
      </w:r>
      <w:r>
        <w:t xml:space="preserve"> </w:t>
      </w:r>
      <w:r>
        <w:t xml:space="preserve">cambio de predicción ante enmascaramiento o como proxy de faithfulness; la</w:t>
      </w:r>
      <w:r>
        <w:t xml:space="preserve"> </w:t>
      </w:r>
      <w:r>
        <w:t xml:space="preserve">taxonomía separa esas lecturas para evitar que una misma palabra sostenga claims</w:t>
      </w:r>
      <w:r>
        <w:t xml:space="preserve"> </w:t>
      </w:r>
      <w:r>
        <w:t xml:space="preserve">no equivalentes. Los 15 constructos métricos de la Tabla</w:t>
      </w:r>
      <w:r>
        <w:t xml:space="preserve"> </w:t>
      </w:r>
      <w:hyperlink w:anchor="tbl-taxonomia-ampliada">
        <w:r>
          <w:rPr>
            <w:rStyle w:val="Hipervnculo"/>
          </w:rPr>
          <w:t xml:space="preserve">5.1</w:t>
        </w:r>
      </w:hyperlink>
      <w:r>
        <w:t xml:space="preserve"> </w:t>
      </w:r>
      <w:r>
        <w:t xml:space="preserve">son el resultado de consolidar y desambiguar los constructos identificados en el</w:t>
      </w:r>
      <w:r>
        <w:t xml:space="preserve"> </w:t>
      </w:r>
      <w:r>
        <w:t xml:space="preserve">corpus descrito; se reportan como una selección representativa, no como</w:t>
      </w:r>
      <w:r>
        <w:t xml:space="preserve"> </w:t>
      </w:r>
      <w:r>
        <w:t xml:space="preserve">un catálogo exhaustivo.</w:t>
      </w:r>
    </w:p>
    <w:bookmarkEnd w:id="237"/>
    <w:bookmarkStart w:id="238" w:name="sec-taxonomia-motivacion"/>
    <w:p>
      <w:pPr>
        <w:pStyle w:val="Ttulo2"/>
        <w:spacing w:line="360" w:lineRule="auto"/>
        <w:jc w:val="both"/>
      </w:pPr>
      <w:r>
        <w:t xml:space="preserve">5.2 </w:t>
      </w:r>
      <w:r>
        <w:t xml:space="preserve">Motivación y posicionamiento</w:t>
      </w:r>
    </w:p>
    <w:p>
      <w:pPr>
        <w:pStyle w:val="FirstParagraph"/>
        <w:spacing w:line="360" w:lineRule="auto"/>
        <w:jc w:val="both"/>
      </w:pPr>
      <w:r>
        <w:t xml:space="preserve">El estado del arte en evaluación XAI muestra un patrón claro: los estudios</w:t>
      </w:r>
      <w:r>
        <w:t xml:space="preserve"> </w:t>
      </w:r>
      <w:r>
        <w:t xml:space="preserve">proponen métricas de forma proliferante pero sin un marco conceptual integrador</w:t>
      </w:r>
      <w:r>
        <w:t xml:space="preserve"> </w:t>
      </w:r>
      <w:r>
        <w:t xml:space="preserve">que permita comparar, seleccionar o acumular evidencia entre ellas</w:t>
      </w:r>
      <w:r>
        <w:t xml:space="preserve"> </w:t>
      </w:r>
      <w:r>
        <w:t xml:space="preserve">(Pawlicki et al. 2024; Abdul Kadir et al. 2023; Bhattacharya y Verbert 2024)</w:t>
      </w:r>
      <w:r>
        <w:t xml:space="preserve">. La revisión sistemática de</w:t>
      </w:r>
      <w:r>
        <w:t xml:space="preserve"> </w:t>
      </w:r>
      <w:r>
        <w:t xml:space="preserve">Pawlicki et al.</w:t>
      </w:r>
      <w:r>
        <w:t xml:space="preserve"> </w:t>
      </w:r>
      <w:r>
        <w:t xml:space="preserve">(2024)</w:t>
      </w:r>
      <w:r>
        <w:t xml:space="preserve"> </w:t>
      </w:r>
      <w:r>
        <w:t xml:space="preserve">identificó casi noventa métricas distintas en</w:t>
      </w:r>
      <w:r>
        <w:t xml:space="preserve"> </w:t>
      </w:r>
      <w:r>
        <w:t xml:space="preserve">la literatura, con solapes conceptuales notorios; un mismo constructo puede</w:t>
      </w:r>
      <w:r>
        <w:t xml:space="preserve"> </w:t>
      </w:r>
      <w:r>
        <w:t xml:space="preserve">aparecer bajo nombres distintos, y un mismo nombre puede aplicarse a</w:t>
      </w:r>
      <w:r>
        <w:t xml:space="preserve"> </w:t>
      </w:r>
      <w:r>
        <w:t xml:space="preserve">operacionalizaciones diferentes.</w:t>
      </w:r>
    </w:p>
    <w:p>
      <w:pPr>
        <w:pStyle w:val="Textoindependiente"/>
        <w:spacing w:line="360" w:lineRule="auto"/>
        <w:jc w:val="both"/>
      </w:pPr>
      <w:r>
        <w:t xml:space="preserve">Canha et al.</w:t>
      </w:r>
      <w:r>
        <w:t xml:space="preserve"> </w:t>
      </w:r>
      <w:r>
        <w:t xml:space="preserve">(2025)</w:t>
      </w:r>
      <w:r>
        <w:t xml:space="preserve"> </w:t>
      </w:r>
      <w:r>
        <w:t xml:space="preserve">y Bhattacharya y Verbert</w:t>
      </w:r>
      <w:r>
        <w:t xml:space="preserve"> </w:t>
      </w:r>
      <w:r>
        <w:t xml:space="preserve">(2024)</w:t>
      </w:r>
      <w:r>
        <w:t xml:space="preserve"> </w:t>
      </w:r>
      <w:r>
        <w:t xml:space="preserve">convergen en señalar la necesidad de distinguir métricas calculadas sin</w:t>
      </w:r>
      <w:r>
        <w:t xml:space="preserve"> </w:t>
      </w:r>
      <w:r>
        <w:t xml:space="preserve">participantes humanos de métricas basadas en estudios de usuario. Esta distinción</w:t>
      </w:r>
      <w:r>
        <w:t xml:space="preserve"> </w:t>
      </w:r>
      <w:r>
        <w:t xml:space="preserve">es central para la tesis porque los dos estudios empíricos producen evidencia</w:t>
      </w:r>
      <w:r>
        <w:t xml:space="preserve"> </w:t>
      </w:r>
      <w:r>
        <w:t xml:space="preserve">functionally-grounded: cuantifican propiedades computacionales de artefactos</w:t>
      </w:r>
      <w:r>
        <w:t xml:space="preserve"> </w:t>
      </w:r>
      <w:r>
        <w:t xml:space="preserve">explicativos, pero no miden directamente utilidad humana, satisfacción,</w:t>
      </w:r>
      <w:r>
        <w:t xml:space="preserve"> </w:t>
      </w:r>
      <w:r>
        <w:t xml:space="preserve">calibración de confianza o calidad de decisión.</w:t>
      </w:r>
    </w:p>
    <w:p>
      <w:pPr>
        <w:pStyle w:val="Textoindependiente"/>
        <w:spacing w:line="360" w:lineRule="auto"/>
        <w:jc w:val="both"/>
      </w:pPr>
      <w:r>
        <w:t xml:space="preserve">La taxonomía propuesta organiza el espacio en cuatro ejes ortogonales. Los ejes</w:t>
      </w:r>
      <w:r>
        <w:t xml:space="preserve"> </w:t>
      </w:r>
      <w:r>
        <w:t xml:space="preserve">responden a preguntas distintas y complementarias: qué se evalúa, con qué</w:t>
      </w:r>
      <w:r>
        <w:t xml:space="preserve"> </w:t>
      </w:r>
      <w:r>
        <w:t xml:space="preserve">evidencia, qué propiedad de calidad se operacionaliza y para qué tarea es</w:t>
      </w:r>
      <w:r>
        <w:t xml:space="preserve"> </w:t>
      </w:r>
      <w:r>
        <w:t xml:space="preserve">relevante. La ortogonalidad evita que una métrica se interprete como evaluación</w:t>
      </w:r>
      <w:r>
        <w:t xml:space="preserve"> </w:t>
      </w:r>
      <w:r>
        <w:t xml:space="preserve">total de una explicación. Una métrica puede ser válida para medir estabilidad,</w:t>
      </w:r>
      <w:r>
        <w:t xml:space="preserve"> </w:t>
      </w:r>
      <w:r>
        <w:t xml:space="preserve">pero débil para inferir utilidad humana; puede ser adecuada para auditoría</w:t>
      </w:r>
      <w:r>
        <w:t xml:space="preserve"> </w:t>
      </w:r>
      <w:r>
        <w:t xml:space="preserve">técnica, pero insuficiente para soporte a usuario final.</w:t>
      </w:r>
    </w:p>
    <w:bookmarkEnd w:id="238"/>
    <w:bookmarkStart w:id="239" w:name="sec-taxonomia-ejes"/>
    <w:p>
      <w:pPr>
        <w:pStyle w:val="Ttulo2"/>
        <w:spacing w:line="360" w:lineRule="auto"/>
        <w:jc w:val="both"/>
      </w:pPr>
      <w:r>
        <w:t xml:space="preserve">5.3 </w:t>
      </w:r>
      <w:r>
        <w:t xml:space="preserve">Los cuatro ejes de la taxonomía</w:t>
      </w:r>
    </w:p>
    <w:p>
      <w:pPr>
        <w:pStyle w:val="FirstParagraph"/>
        <w:spacing w:line="360" w:lineRule="auto"/>
        <w:jc w:val="both"/>
      </w:pPr>
      <w:r>
        <w:rPr>
          <w:b/>
          <w:bCs/>
        </w:rPr>
        <w:t xml:space="preserve">Eje 1 — Objetivo de evaluación.</w:t>
      </w:r>
      <w:r>
        <w:t xml:space="preserve"> </w:t>
      </w:r>
      <w:r>
        <w:t xml:space="preserve">Este eje clasifica la dimensión de la</w:t>
      </w:r>
      <w:r>
        <w:t xml:space="preserve"> </w:t>
      </w:r>
      <w:r>
        <w:t xml:space="preserve">explicación que la métrica interroga. Se identifican cinco objetivos primarios:</w:t>
      </w:r>
    </w:p>
    <w:p>
      <w:pPr>
        <w:pStyle w:val="Compact"/>
        <w:numPr>
          <w:ilvl w:val="0"/>
          <w:numId w:val="1014"/>
        </w:numPr>
        <w:spacing w:line="360" w:lineRule="auto"/>
        <w:jc w:val="both"/>
      </w:pPr>
      <w:r>
        <w:rPr>
          <w:i/>
          <w:iCs/>
        </w:rPr>
        <w:t xml:space="preserve">Representatividad local</w:t>
      </w:r>
      <w:r>
        <w:t xml:space="preserve">: en qué medida la explicación captura la función</w:t>
      </w:r>
      <w:r>
        <w:t xml:space="preserve"> </w:t>
      </w:r>
      <w:r>
        <w:t xml:space="preserve">del modelo en la vecindad de la instancia. Las métricas de fidelidad e</w:t>
      </w:r>
      <w:r>
        <w:t xml:space="preserve"> </w:t>
      </w:r>
      <w:r>
        <w:t xml:space="preserve">infidelidad operan en este objetivo</w:t>
      </w:r>
      <w:r>
        <w:t xml:space="preserve"> </w:t>
      </w:r>
      <w:r>
        <w:t xml:space="preserve">(Abdul Kadir et al. 2023)</w:t>
      </w:r>
      <w:r>
        <w:t xml:space="preserve">.</w:t>
      </w:r>
    </w:p>
    <w:p>
      <w:pPr>
        <w:pStyle w:val="Compact"/>
        <w:numPr>
          <w:ilvl w:val="0"/>
          <w:numId w:val="1014"/>
        </w:numPr>
        <w:spacing w:line="360" w:lineRule="auto"/>
        <w:jc w:val="both"/>
      </w:pPr>
      <w:r>
        <w:rPr>
          <w:i/>
          <w:iCs/>
        </w:rPr>
        <w:t xml:space="preserve">Consistencia bajo perturbación</w:t>
      </w:r>
      <w:r>
        <w:t xml:space="preserve">: en qué medida la explicación es estable</w:t>
      </w:r>
      <w:r>
        <w:t xml:space="preserve"> </w:t>
      </w:r>
      <w:r>
        <w:t xml:space="preserve">ante pequeñas variaciones de la instancia de entrada. Las métricas de</w:t>
      </w:r>
      <w:r>
        <w:t xml:space="preserve"> </w:t>
      </w:r>
      <w:r>
        <w:t xml:space="preserve">estabilidad y robustez operan en este objetivo</w:t>
      </w:r>
      <w:r>
        <w:t xml:space="preserve"> </w:t>
      </w:r>
      <w:r>
        <w:t xml:space="preserve">(Schwalbe 2023; Pawlicki et al. 2024)</w:t>
      </w:r>
      <w:r>
        <w:t xml:space="preserve">.</w:t>
      </w:r>
    </w:p>
    <w:p>
      <w:pPr>
        <w:pStyle w:val="Compact"/>
        <w:numPr>
          <w:ilvl w:val="0"/>
          <w:numId w:val="1014"/>
        </w:numPr>
        <w:spacing w:line="360" w:lineRule="auto"/>
        <w:jc w:val="both"/>
      </w:pPr>
      <w:r>
        <w:rPr>
          <w:i/>
          <w:iCs/>
        </w:rPr>
        <w:t xml:space="preserve">Compacidad explicativa</w:t>
      </w:r>
      <w:r>
        <w:t xml:space="preserve">: en qué medida la explicación es concisa y no</w:t>
      </w:r>
      <w:r>
        <w:t xml:space="preserve"> </w:t>
      </w:r>
      <w:r>
        <w:t xml:space="preserve">redundante. Parsimonia, sparsity y complejidad efectiva pertenecen a este</w:t>
      </w:r>
      <w:r>
        <w:t xml:space="preserve"> </w:t>
      </w:r>
      <w:r>
        <w:t xml:space="preserve">objetivo</w:t>
      </w:r>
      <w:r>
        <w:t xml:space="preserve"> </w:t>
      </w:r>
      <w:r>
        <w:t xml:space="preserve">(Pawlicki et al. 2024)</w:t>
      </w:r>
      <w:r>
        <w:t xml:space="preserve">.</w:t>
      </w:r>
    </w:p>
    <w:p>
      <w:pPr>
        <w:pStyle w:val="Compact"/>
        <w:numPr>
          <w:ilvl w:val="0"/>
          <w:numId w:val="1014"/>
        </w:numPr>
        <w:spacing w:line="360" w:lineRule="auto"/>
        <w:jc w:val="both"/>
      </w:pPr>
      <w:r>
        <w:rPr>
          <w:i/>
          <w:iCs/>
        </w:rPr>
        <w:t xml:space="preserve">Relevancia causal local</w:t>
      </w:r>
      <w:r>
        <w:t xml:space="preserve">: en qué medida actuar sobre las características</w:t>
      </w:r>
      <w:r>
        <w:t xml:space="preserve"> </w:t>
      </w:r>
      <w:r>
        <w:t xml:space="preserve">explicadas produce los efectos predichos por la explicación. La brecha de</w:t>
      </w:r>
      <w:r>
        <w:t xml:space="preserve"> </w:t>
      </w:r>
      <w:r>
        <w:t xml:space="preserve">fidelidad y métricas de eliminación/perturbación top-k operan aquí</w:t>
      </w:r>
      <w:r>
        <w:t xml:space="preserve"> </w:t>
      </w:r>
      <w:r>
        <w:t xml:space="preserve">(Abdul Kadir et al. 2023; Zheng et al. 2025)</w:t>
      </w:r>
      <w:r>
        <w:t xml:space="preserve">.</w:t>
      </w:r>
    </w:p>
    <w:p>
      <w:pPr>
        <w:pStyle w:val="Compact"/>
        <w:numPr>
          <w:ilvl w:val="0"/>
          <w:numId w:val="1014"/>
        </w:numPr>
        <w:spacing w:line="360" w:lineRule="auto"/>
        <w:jc w:val="both"/>
      </w:pPr>
      <w:r>
        <w:rPr>
          <w:i/>
          <w:iCs/>
        </w:rPr>
        <w:t xml:space="preserve">Eficiencia operativa</w:t>
      </w:r>
      <w:r>
        <w:t xml:space="preserve">: tiempo y coste computacional de producir la</w:t>
      </w:r>
      <w:r>
        <w:t xml:space="preserve"> </w:t>
      </w:r>
      <w:r>
        <w:t xml:space="preserve">explicación, relevante para despliegues de baja latencia</w:t>
      </w:r>
      <w:r>
        <w:t xml:space="preserve"> </w:t>
      </w:r>
      <w:r>
        <w:t xml:space="preserve">(Canha et al. 2025)</w:t>
      </w:r>
      <w:r>
        <w:t xml:space="preserve">.</w:t>
      </w:r>
    </w:p>
    <w:p>
      <w:pPr>
        <w:pStyle w:val="FirstParagraph"/>
        <w:spacing w:line="360" w:lineRule="auto"/>
        <w:jc w:val="both"/>
      </w:pPr>
      <w:r>
        <w:rPr>
          <w:b/>
          <w:bCs/>
        </w:rPr>
        <w:t xml:space="preserve">Eje 2 — Fuente de evidencia.</w:t>
      </w:r>
      <w:r>
        <w:t xml:space="preserve"> </w:t>
      </w:r>
      <w:r>
        <w:t xml:space="preserve">Las métricas también se diferencian por la</w:t>
      </w:r>
      <w:r>
        <w:t xml:space="preserve"> </w:t>
      </w:r>
      <w:r>
        <w:t xml:space="preserve">operación que genera la señal de evaluación:</w:t>
      </w:r>
    </w:p>
    <w:p>
      <w:pPr>
        <w:pStyle w:val="Compact"/>
        <w:numPr>
          <w:ilvl w:val="0"/>
          <w:numId w:val="1015"/>
        </w:numPr>
        <w:spacing w:line="360" w:lineRule="auto"/>
        <w:jc w:val="both"/>
      </w:pPr>
      <w:r>
        <w:rPr>
          <w:i/>
          <w:iCs/>
        </w:rPr>
        <w:t xml:space="preserve">Enmascaramiento de características</w:t>
      </w:r>
      <w:r>
        <w:t xml:space="preserve">: se eliminan o reemplazan características</w:t>
      </w:r>
      <w:r>
        <w:t xml:space="preserve"> </w:t>
      </w:r>
      <w:r>
        <w:t xml:space="preserve">del input y se mide el cambio en la salida del modelo. Incluye fidelidad por</w:t>
      </w:r>
      <w:r>
        <w:t xml:space="preserve"> </w:t>
      </w:r>
      <w:r>
        <w:t xml:space="preserve">correlación de importancias, faithfulness gap, ROAR o MoRF</w:t>
      </w:r>
      <w:r>
        <w:t xml:space="preserve"> </w:t>
      </w:r>
      <w:r>
        <w:t xml:space="preserve">(Zheng et al. 2025; Abdul Kadir et al. 2023)</w:t>
      </w:r>
      <w:r>
        <w:t xml:space="preserve">.</w:t>
      </w:r>
    </w:p>
    <w:p>
      <w:pPr>
        <w:pStyle w:val="Compact"/>
        <w:numPr>
          <w:ilvl w:val="0"/>
          <w:numId w:val="1015"/>
        </w:numPr>
        <w:spacing w:line="360" w:lineRule="auto"/>
        <w:jc w:val="both"/>
      </w:pPr>
      <w:r>
        <w:rPr>
          <w:i/>
          <w:iCs/>
        </w:rPr>
        <w:t xml:space="preserve">Perturbación del input</w:t>
      </w:r>
      <w:r>
        <w:t xml:space="preserve">: se añade ruido o transformación a la instancia y se</w:t>
      </w:r>
      <w:r>
        <w:t xml:space="preserve"> </w:t>
      </w:r>
      <w:r>
        <w:t xml:space="preserve">mide la similitud entre las explicaciones resultantes. Incluye estabilidad</w:t>
      </w:r>
      <w:r>
        <w:t xml:space="preserve"> </w:t>
      </w:r>
      <w:r>
        <w:t xml:space="preserve">como similitud coseno y estimaciones locales tipo Lipschitz</w:t>
      </w:r>
      <w:r>
        <w:t xml:space="preserve"> </w:t>
      </w:r>
      <w:r>
        <w:t xml:space="preserve">(Pawlicki et al. 2024; Canha et al. 2025)</w:t>
      </w:r>
      <w:r>
        <w:t xml:space="preserve">.</w:t>
      </w:r>
    </w:p>
    <w:p>
      <w:pPr>
        <w:pStyle w:val="Compact"/>
        <w:numPr>
          <w:ilvl w:val="0"/>
          <w:numId w:val="1015"/>
        </w:numPr>
        <w:spacing w:line="360" w:lineRule="auto"/>
        <w:jc w:val="both"/>
      </w:pPr>
      <w:r>
        <w:rPr>
          <w:i/>
          <w:iCs/>
        </w:rPr>
        <w:t xml:space="preserve">Comparación con verdad-terreno</w:t>
      </w:r>
      <w:r>
        <w:t xml:space="preserve">: la explicación se compara con explicaciones</w:t>
      </w:r>
      <w:r>
        <w:t xml:space="preserve"> </w:t>
      </w:r>
      <w:r>
        <w:t xml:space="preserve">de referencia conocidas, disponibles en benchmarks sintéticos o anotaciones</w:t>
      </w:r>
      <w:r>
        <w:t xml:space="preserve"> </w:t>
      </w:r>
      <w:r>
        <w:t xml:space="preserve">especializadas</w:t>
      </w:r>
      <w:r>
        <w:t xml:space="preserve"> </w:t>
      </w:r>
      <w:r>
        <w:t xml:space="preserve">(Pawlicki et al. 2024)</w:t>
      </w:r>
      <w:r>
        <w:t xml:space="preserve">.</w:t>
      </w:r>
    </w:p>
    <w:p>
      <w:pPr>
        <w:pStyle w:val="Compact"/>
        <w:numPr>
          <w:ilvl w:val="0"/>
          <w:numId w:val="1015"/>
        </w:numPr>
        <w:spacing w:line="360" w:lineRule="auto"/>
        <w:jc w:val="both"/>
      </w:pPr>
      <w:r>
        <w:rPr>
          <w:i/>
          <w:iCs/>
        </w:rPr>
        <w:t xml:space="preserve">Estudio con usuario</w:t>
      </w:r>
      <w:r>
        <w:t xml:space="preserve">: la explicación se evalúa mediante comprensión,</w:t>
      </w:r>
      <w:r>
        <w:t xml:space="preserve"> </w:t>
      </w:r>
      <w:r>
        <w:t xml:space="preserve">confianza, satisfacción, utilidad percibida o desempeño humano</w:t>
      </w:r>
      <w:r>
        <w:t xml:space="preserve"> </w:t>
      </w:r>
      <w:r>
        <w:t xml:space="preserve">(Bhattacharya y Verbert 2024; Arrieta 2019; Rong et al. 2024)</w:t>
      </w:r>
      <w:r>
        <w:t xml:space="preserve">.</w:t>
      </w:r>
    </w:p>
    <w:p>
      <w:pPr>
        <w:pStyle w:val="FirstParagraph"/>
        <w:spacing w:line="360" w:lineRule="auto"/>
        <w:jc w:val="both"/>
      </w:pPr>
      <w:r>
        <w:rPr>
          <w:b/>
          <w:bCs/>
        </w:rPr>
        <w:t xml:space="preserve">Eje 3 — Propiedad de calidad.</w:t>
      </w:r>
      <w:r>
        <w:t xml:space="preserve"> </w:t>
      </w:r>
      <w:r>
        <w:t xml:space="preserve">Siguiendo las sistematizaciones recientes, se</w:t>
      </w:r>
      <w:r>
        <w:t xml:space="preserve"> </w:t>
      </w:r>
      <w:r>
        <w:t xml:space="preserve">identifican seis propiedades primarias:</w:t>
      </w:r>
    </w:p>
    <w:p>
      <w:pPr>
        <w:pStyle w:val="Compact"/>
        <w:numPr>
          <w:ilvl w:val="0"/>
          <w:numId w:val="1016"/>
        </w:numPr>
        <w:spacing w:line="360" w:lineRule="auto"/>
        <w:jc w:val="both"/>
      </w:pPr>
      <w:r>
        <w:rPr>
          <w:i/>
          <w:iCs/>
        </w:rPr>
        <w:t xml:space="preserve">Faithfulness / fidelidad</w:t>
      </w:r>
      <w:r>
        <w:t xml:space="preserve">: correspondencia entre la importancia asignada por</w:t>
      </w:r>
      <w:r>
        <w:t xml:space="preserve"> </w:t>
      </w:r>
      <w:r>
        <w:t xml:space="preserve">el explicador y el efecto real sobre la salida del modelo</w:t>
      </w:r>
      <w:r>
        <w:t xml:space="preserve"> </w:t>
      </w:r>
      <w:r>
        <w:t xml:space="preserve">(Pawlicki et al. 2024)</w:t>
      </w:r>
      <w:r>
        <w:t xml:space="preserve">.</w:t>
      </w:r>
    </w:p>
    <w:p>
      <w:pPr>
        <w:pStyle w:val="Compact"/>
        <w:numPr>
          <w:ilvl w:val="0"/>
          <w:numId w:val="1016"/>
        </w:numPr>
        <w:spacing w:line="360" w:lineRule="auto"/>
        <w:jc w:val="both"/>
      </w:pPr>
      <w:r>
        <w:rPr>
          <w:i/>
          <w:iCs/>
        </w:rPr>
        <w:t xml:space="preserve">Robustness / estabilidad</w:t>
      </w:r>
      <w:r>
        <w:t xml:space="preserve">: consistencia de las explicaciones bajo</w:t>
      </w:r>
      <w:r>
        <w:t xml:space="preserve"> </w:t>
      </w:r>
      <w:r>
        <w:t xml:space="preserve">perturbaciones del input.</w:t>
      </w:r>
    </w:p>
    <w:p>
      <w:pPr>
        <w:pStyle w:val="Compact"/>
        <w:numPr>
          <w:ilvl w:val="0"/>
          <w:numId w:val="1016"/>
        </w:numPr>
        <w:spacing w:line="360" w:lineRule="auto"/>
        <w:jc w:val="both"/>
      </w:pPr>
      <w:r>
        <w:rPr>
          <w:i/>
          <w:iCs/>
        </w:rPr>
        <w:t xml:space="preserve">Simplicity / parsimonia</w:t>
      </w:r>
      <w:r>
        <w:t xml:space="preserve">: compacidad de la representación explicativa,</w:t>
      </w:r>
      <w:r>
        <w:t xml:space="preserve"> </w:t>
      </w:r>
      <w:r>
        <w:t xml:space="preserve">inversamente relacionada con complejidad</w:t>
      </w:r>
      <w:r>
        <w:t xml:space="preserve"> </w:t>
      </w:r>
      <w:r>
        <w:t xml:space="preserve">(Schwalbe 2023)</w:t>
      </w:r>
      <w:r>
        <w:t xml:space="preserve">.</w:t>
      </w:r>
    </w:p>
    <w:p>
      <w:pPr>
        <w:pStyle w:val="Compact"/>
        <w:numPr>
          <w:ilvl w:val="0"/>
          <w:numId w:val="1016"/>
        </w:numPr>
        <w:spacing w:line="360" w:lineRule="auto"/>
        <w:jc w:val="both"/>
      </w:pPr>
      <w:r>
        <w:rPr>
          <w:i/>
          <w:iCs/>
        </w:rPr>
        <w:t xml:space="preserve">Completeness</w:t>
      </w:r>
      <w:r>
        <w:t xml:space="preserve">: cobertura de factores relevantes del modelo por la</w:t>
      </w:r>
      <w:r>
        <w:t xml:space="preserve"> </w:t>
      </w:r>
      <w:r>
        <w:t xml:space="preserve">explicación.</w:t>
      </w:r>
    </w:p>
    <w:p>
      <w:pPr>
        <w:pStyle w:val="Compact"/>
        <w:numPr>
          <w:ilvl w:val="0"/>
          <w:numId w:val="1016"/>
        </w:numPr>
        <w:spacing w:line="360" w:lineRule="auto"/>
        <w:jc w:val="both"/>
      </w:pPr>
      <w:r>
        <w:rPr>
          <w:i/>
          <w:iCs/>
        </w:rPr>
        <w:t xml:space="preserve">Efficiency</w:t>
      </w:r>
      <w:r>
        <w:t xml:space="preserve">: coste computacional de generar la explicación.</w:t>
      </w:r>
    </w:p>
    <w:p>
      <w:pPr>
        <w:pStyle w:val="Compact"/>
        <w:numPr>
          <w:ilvl w:val="0"/>
          <w:numId w:val="1016"/>
        </w:numPr>
        <w:spacing w:line="360" w:lineRule="auto"/>
        <w:jc w:val="both"/>
      </w:pPr>
      <w:r>
        <w:rPr>
          <w:i/>
          <w:iCs/>
        </w:rPr>
        <w:t xml:space="preserve">Fairness</w:t>
      </w:r>
      <w:r>
        <w:t xml:space="preserve">: equidad en la calidad explicativa entre subgrupos, dimensión</w:t>
      </w:r>
      <w:r>
        <w:t xml:space="preserve"> </w:t>
      </w:r>
      <w:r>
        <w:t xml:space="preserve">transversal identificada en benchmarks como OpenXAI</w:t>
      </w:r>
      <w:r>
        <w:t xml:space="preserve"> </w:t>
      </w:r>
      <w:r>
        <w:t xml:space="preserve">(Agarwal et al. 2022)</w:t>
      </w:r>
      <w:r>
        <w:t xml:space="preserve">.</w:t>
      </w:r>
    </w:p>
    <w:p>
      <w:pPr>
        <w:pStyle w:val="FirstParagraph"/>
        <w:spacing w:line="360" w:lineRule="auto"/>
        <w:jc w:val="both"/>
      </w:pPr>
      <w:r>
        <w:rPr>
          <w:b/>
          <w:bCs/>
        </w:rPr>
        <w:t xml:space="preserve">Eje 4 — Contexto de tarea.</w:t>
      </w:r>
      <w:r>
        <w:t xml:space="preserve"> </w:t>
      </w:r>
      <w:r>
        <w:t xml:space="preserve">El contexto determina qué propiedades son</w:t>
      </w:r>
      <w:r>
        <w:t xml:space="preserve"> </w:t>
      </w:r>
      <w:r>
        <w:t xml:space="preserve">prioritarias y qué nivel de coste es aceptable</w:t>
      </w:r>
      <w:r>
        <w:t xml:space="preserve"> </w:t>
      </w:r>
      <w:r>
        <w:t xml:space="preserve">(Arrieta 2019; Bhattacharya y Verbert 2024)</w:t>
      </w:r>
      <w:r>
        <w:t xml:space="preserve">:</w:t>
      </w:r>
    </w:p>
    <w:p>
      <w:pPr>
        <w:pStyle w:val="Compact"/>
        <w:numPr>
          <w:ilvl w:val="0"/>
          <w:numId w:val="1017"/>
        </w:numPr>
        <w:spacing w:line="360" w:lineRule="auto"/>
        <w:jc w:val="both"/>
      </w:pPr>
      <w:r>
        <w:rPr>
          <w:i/>
          <w:iCs/>
        </w:rPr>
        <w:t xml:space="preserve">Auditoría y cumplimiento regulatorio</w:t>
      </w:r>
      <w:r>
        <w:t xml:space="preserve">: requiere alta fidelidad, estabilidad</w:t>
      </w:r>
      <w:r>
        <w:t xml:space="preserve"> </w:t>
      </w:r>
      <w:r>
        <w:t xml:space="preserve">y trazabilidad; el coste computacional puede ser secundario.</w:t>
      </w:r>
    </w:p>
    <w:p>
      <w:pPr>
        <w:pStyle w:val="Compact"/>
        <w:numPr>
          <w:ilvl w:val="0"/>
          <w:numId w:val="1017"/>
        </w:numPr>
        <w:spacing w:line="360" w:lineRule="auto"/>
        <w:jc w:val="both"/>
      </w:pPr>
      <w:r>
        <w:rPr>
          <w:i/>
          <w:iCs/>
        </w:rPr>
        <w:t xml:space="preserve">Inferencia en tiempo real</w:t>
      </w:r>
      <w:r>
        <w:t xml:space="preserve">: requiere baja latencia; puede aceptar fidelidad</w:t>
      </w:r>
      <w:r>
        <w:t xml:space="preserve"> </w:t>
      </w:r>
      <w:r>
        <w:t xml:space="preserve">moderada si el objetivo es respuesta inmediata.</w:t>
      </w:r>
    </w:p>
    <w:p>
      <w:pPr>
        <w:pStyle w:val="Compact"/>
        <w:numPr>
          <w:ilvl w:val="0"/>
          <w:numId w:val="1017"/>
        </w:numPr>
        <w:spacing w:line="360" w:lineRule="auto"/>
        <w:jc w:val="both"/>
      </w:pPr>
      <w:r>
        <w:rPr>
          <w:i/>
          <w:iCs/>
        </w:rPr>
        <w:t xml:space="preserve">Soporte a usuario final</w:t>
      </w:r>
      <w:r>
        <w:t xml:space="preserve">: requiere parsimonia, comprensibilidad y</w:t>
      </w:r>
      <w:r>
        <w:t xml:space="preserve"> </w:t>
      </w:r>
      <w:r>
        <w:t xml:space="preserve">comunicación; la métrica automática no basta para demostrar utilidad.</w:t>
      </w:r>
    </w:p>
    <w:p>
      <w:pPr>
        <w:pStyle w:val="Compact"/>
        <w:numPr>
          <w:ilvl w:val="0"/>
          <w:numId w:val="1017"/>
        </w:numPr>
        <w:spacing w:line="360" w:lineRule="auto"/>
        <w:jc w:val="both"/>
      </w:pPr>
      <w:r>
        <w:rPr>
          <w:i/>
          <w:iCs/>
        </w:rPr>
        <w:t xml:space="preserve">Diagnóstico de modelos y depuración</w:t>
      </w:r>
      <w:r>
        <w:t xml:space="preserve">: requiere fidelidad local, cobertura y</w:t>
      </w:r>
      <w:r>
        <w:t xml:space="preserve"> </w:t>
      </w:r>
      <w:r>
        <w:t xml:space="preserve">sensibilidad a errores del modelo; la eficiencia es secundaria.</w:t>
      </w:r>
    </w:p>
    <w:bookmarkEnd w:id="239"/>
    <w:bookmarkStart w:id="241" w:name="sec-taxonomia-matriz"/>
    <w:p>
      <w:pPr>
        <w:pStyle w:val="Ttulo2"/>
        <w:spacing w:line="360" w:lineRule="auto"/>
        <w:jc w:val="both"/>
      </w:pPr>
      <w:r>
        <w:t xml:space="preserve">5.4 </w:t>
      </w:r>
      <w:r>
        <w:t xml:space="preserve">Matriz taxonómica de métricas XAI</w:t>
      </w:r>
    </w:p>
    <w:p>
      <w:pPr>
        <w:pStyle w:val="FirstParagraph"/>
        <w:spacing w:line="360" w:lineRule="auto"/>
        <w:jc w:val="both"/>
      </w:pPr>
      <w:r>
        <w:t xml:space="preserve">La Tabla</w:t>
      </w:r>
      <w:r>
        <w:t xml:space="preserve"> </w:t>
      </w:r>
      <w:hyperlink w:anchor="tbl-taxonomia-ampliada">
        <w:r>
          <w:rPr>
            <w:rStyle w:val="Hipervnculo"/>
          </w:rPr>
          <w:t xml:space="preserve">5.1</w:t>
        </w:r>
      </w:hyperlink>
      <w:r>
        <w:t xml:space="preserve"> </w:t>
      </w:r>
      <w:r>
        <w:t xml:space="preserve">resume métricas frecuentes y su ubicación</w:t>
      </w:r>
      <w:r>
        <w:t xml:space="preserve"> </w:t>
      </w:r>
      <w:r>
        <w:t xml:space="preserve">dentro de la taxonomía. La columna de alcance inferencial indica qué puede</w:t>
      </w:r>
      <w:r>
        <w:t xml:space="preserve"> </w:t>
      </w:r>
      <w:r>
        <w:t xml:space="preserve">sostenerse razonablemente cuando la métrica se usa en un benchmark técnico.</w:t>
      </w:r>
    </w:p>
    <w:tbl>
      <w:tblPr>
        <w:tblStyle w:val="Table"/>
        <w:tblW w:type="pct" w:w="5000"/>
        <w:jc w:val="center"/>
        <w:tblLayout w:type="fixed"/>
        <w:tblLook w:firstRow="0" w:lastRow="0" w:firstColumn="0" w:lastColumn="0" w:noHBand="0" w:noVBand="0" w:val="0000"/>
      </w:tblPr>
      <w:tblGrid>
        <w:gridCol w:w="7920"/>
      </w:tblGrid>
      <w:tr>
        <w:tc>
          <w:tcPr/>
          <w:bookmarkStart w:id="240" w:name="tbl-taxonomia-ampliada"/>
          <w:p>
            <w:pPr>
              <w:pStyle w:val="ImageCaption"/>
              <w:spacing w:before="200" w:line="360" w:lineRule="auto"/>
              <w:jc w:val="center"/>
            </w:pPr>
            <w:r>
              <w:t xml:space="preserve">Tabla 5.1: Taxonomía ampliada de métricas y constructos de evaluación XAI.</w:t>
            </w:r>
          </w:p>
          <w:tbl>
            <w:tblPr>
              <w:tblStyle w:val="Table"/>
              <w:tblW w:type="pct" w:w="500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both"/>
                    <w:jc w:val="center"/>
                    <w:spacing w:line="360" w:lineRule="auto"/>
                  </w:pPr>
                  <w:r>
                    <w:rPr>
                      <w:bCs/>
                      <w:b/>
                    </w:rPr>
                    <w:t xml:space="preserve">Métrica / constructo</w:t>
                  </w:r>
                </w:p>
              </w:tc>
              <w:tc>
                <w:tcPr/>
                <w:p>
                  <w:pPr>
                    <w:pStyle w:val="Compact"/>
                    <w:jc w:val="both"/>
                    <w:jc w:val="center"/>
                    <w:spacing w:line="360" w:lineRule="auto"/>
                  </w:pPr>
                  <w:r>
                    <w:rPr>
                      <w:bCs/>
                      <w:b/>
                    </w:rPr>
                    <w:t xml:space="preserve">Objetivo</w:t>
                  </w:r>
                </w:p>
              </w:tc>
              <w:tc>
                <w:tcPr/>
                <w:p>
                  <w:pPr>
                    <w:pStyle w:val="Compact"/>
                    <w:jc w:val="both"/>
                    <w:jc w:val="center"/>
                    <w:spacing w:line="360" w:lineRule="auto"/>
                  </w:pPr>
                  <w:r>
                    <w:rPr>
                      <w:bCs/>
                      <w:b/>
                    </w:rPr>
                    <w:t xml:space="preserve">Fuente de evidencia</w:t>
                  </w:r>
                </w:p>
              </w:tc>
              <w:tc>
                <w:tcPr/>
                <w:p>
                  <w:pPr>
                    <w:pStyle w:val="Compact"/>
                    <w:jc w:val="both"/>
                    <w:jc w:val="center"/>
                    <w:spacing w:line="360" w:lineRule="auto"/>
                  </w:pPr>
                  <w:r>
                    <w:rPr>
                      <w:bCs/>
                      <w:b/>
                    </w:rPr>
                    <w:t xml:space="preserve">Propiedad</w:t>
                  </w:r>
                </w:p>
              </w:tc>
              <w:tc>
                <w:tcPr/>
                <w:p>
                  <w:pPr>
                    <w:pStyle w:val="Compact"/>
                    <w:jc w:val="both"/>
                    <w:jc w:val="center"/>
                    <w:spacing w:line="360" w:lineRule="auto"/>
                  </w:pPr>
                  <w:r>
                    <w:rPr>
                      <w:bCs/>
                      <w:b/>
                    </w:rPr>
                    <w:t xml:space="preserve">Contexto típico</w:t>
                  </w:r>
                </w:p>
              </w:tc>
              <w:tc>
                <w:tcPr/>
                <w:p>
                  <w:pPr>
                    <w:pStyle w:val="Compact"/>
                    <w:jc w:val="both"/>
                    <w:jc w:val="center"/>
                    <w:spacing w:line="360" w:lineRule="auto"/>
                  </w:pPr>
                  <w:r>
                    <w:rPr>
                      <w:bCs/>
                      <w:b/>
                    </w:rPr>
                    <w:t xml:space="preserve">Alcance inferencial</w:t>
                  </w:r>
                </w:p>
              </w:tc>
            </w:tr>
            <w:tr>
              <w:tc>
                <w:tcPr/>
                <w:p>
                  <w:pPr>
                    <w:pStyle w:val="Compact"/>
                    <w:jc w:val="both"/>
                    <w:jc w:val="center"/>
                    <w:spacing w:line="360" w:lineRule="auto"/>
                  </w:pPr>
                  <w:r>
                    <w:t xml:space="preserve">Fidelidad local</w:t>
                  </w:r>
                </w:p>
              </w:tc>
              <w:tc>
                <w:tcPr/>
                <w:p>
                  <w:pPr>
                    <w:pStyle w:val="Compact"/>
                    <w:jc w:val="both"/>
                    <w:jc w:val="center"/>
                    <w:spacing w:line="360" w:lineRule="auto"/>
                  </w:pPr>
                  <w:r>
                    <w:t xml:space="preserve">Representatividad local</w:t>
                  </w:r>
                </w:p>
              </w:tc>
              <w:tc>
                <w:tcPr/>
                <w:p>
                  <w:pPr>
                    <w:pStyle w:val="Compact"/>
                    <w:jc w:val="both"/>
                    <w:jc w:val="center"/>
                    <w:spacing w:line="360" w:lineRule="auto"/>
                  </w:pPr>
                  <w:r>
                    <w:t xml:space="preserve">Comparación modelo-explicador</w:t>
                  </w:r>
                </w:p>
              </w:tc>
              <w:tc>
                <w:tcPr/>
                <w:p>
                  <w:pPr>
                    <w:pStyle w:val="Compact"/>
                    <w:jc w:val="both"/>
                    <w:jc w:val="center"/>
                    <w:spacing w:line="360" w:lineRule="auto"/>
                  </w:pPr>
                  <w:r>
                    <w:t xml:space="preserve">Faithfulness proxy</w:t>
                  </w:r>
                </w:p>
              </w:tc>
              <w:tc>
                <w:tcPr/>
                <w:p>
                  <w:pPr>
                    <w:pStyle w:val="Compact"/>
                    <w:jc w:val="both"/>
                    <w:jc w:val="center"/>
                    <w:spacing w:line="360" w:lineRule="auto"/>
                  </w:pPr>
                  <w:r>
                    <w:t xml:space="preserve">Auditoría, diagnóstico</w:t>
                  </w:r>
                </w:p>
              </w:tc>
              <w:tc>
                <w:tcPr/>
                <w:p>
                  <w:pPr>
                    <w:pStyle w:val="Compact"/>
                    <w:jc w:val="both"/>
                    <w:jc w:val="center"/>
                    <w:spacing w:line="360" w:lineRule="auto"/>
                  </w:pPr>
                  <w:r>
                    <w:t xml:space="preserve">Acuerdo bajo vecindario definido</w:t>
                  </w:r>
                </w:p>
              </w:tc>
            </w:tr>
            <w:tr>
              <w:tc>
                <w:tcPr/>
                <w:p>
                  <w:pPr>
                    <w:pStyle w:val="Compact"/>
                    <w:jc w:val="both"/>
                    <w:jc w:val="center"/>
                    <w:spacing w:line="360" w:lineRule="auto"/>
                  </w:pPr>
                  <w:r>
                    <w:t xml:space="preserve">Infidelity</w:t>
                  </w:r>
                </w:p>
              </w:tc>
              <w:tc>
                <w:tcPr/>
                <w:p>
                  <w:pPr>
                    <w:pStyle w:val="Compact"/>
                    <w:jc w:val="both"/>
                    <w:jc w:val="center"/>
                    <w:spacing w:line="360" w:lineRule="auto"/>
                  </w:pPr>
                  <w:r>
                    <w:t xml:space="preserve">Representatividad local</w:t>
                  </w:r>
                </w:p>
              </w:tc>
              <w:tc>
                <w:tcPr/>
                <w:p>
                  <w:pPr>
                    <w:pStyle w:val="Compact"/>
                    <w:jc w:val="both"/>
                    <w:jc w:val="center"/>
                    <w:spacing w:line="360" w:lineRule="auto"/>
                  </w:pPr>
                  <w:r>
                    <w:t xml:space="preserve">Perturbación/enmascaramiento</w:t>
                  </w:r>
                </w:p>
              </w:tc>
              <w:tc>
                <w:tcPr/>
                <w:p>
                  <w:pPr>
                    <w:pStyle w:val="Compact"/>
                    <w:jc w:val="both"/>
                    <w:jc w:val="center"/>
                    <w:spacing w:line="360" w:lineRule="auto"/>
                  </w:pPr>
                  <w:r>
                    <w:t xml:space="preserve">Faithfulness proxy</w:t>
                  </w:r>
                </w:p>
              </w:tc>
              <w:tc>
                <w:tcPr/>
                <w:p>
                  <w:pPr>
                    <w:pStyle w:val="Compact"/>
                    <w:jc w:val="both"/>
                    <w:jc w:val="center"/>
                    <w:spacing w:line="360" w:lineRule="auto"/>
                  </w:pPr>
                  <w:r>
                    <w:t xml:space="preserve">Diagnóstico</w:t>
                  </w:r>
                </w:p>
              </w:tc>
              <w:tc>
                <w:tcPr/>
                <w:p>
                  <w:pPr>
                    <w:pStyle w:val="Compact"/>
                    <w:jc w:val="both"/>
                    <w:jc w:val="center"/>
                    <w:spacing w:line="360" w:lineRule="auto"/>
                  </w:pPr>
                  <w:r>
                    <w:t xml:space="preserve">Sensibilidad entre explicación y cambio de salida</w:t>
                  </w:r>
                </w:p>
              </w:tc>
            </w:tr>
            <w:tr>
              <w:tc>
                <w:tcPr/>
                <w:p>
                  <w:pPr>
                    <w:pStyle w:val="Compact"/>
                    <w:jc w:val="both"/>
                    <w:jc w:val="center"/>
                    <w:spacing w:line="360" w:lineRule="auto"/>
                  </w:pPr>
                  <w:r>
                    <w:t xml:space="preserve">Faithfulness gap / top-k</w:t>
                  </w:r>
                </w:p>
              </w:tc>
              <w:tc>
                <w:tcPr/>
                <w:p>
                  <w:pPr>
                    <w:pStyle w:val="Compact"/>
                    <w:jc w:val="both"/>
                    <w:jc w:val="center"/>
                    <w:spacing w:line="360" w:lineRule="auto"/>
                  </w:pPr>
                  <w:r>
                    <w:t xml:space="preserve">Relevancia local</w:t>
                  </w:r>
                </w:p>
              </w:tc>
              <w:tc>
                <w:tcPr/>
                <w:p>
                  <w:pPr>
                    <w:pStyle w:val="Compact"/>
                    <w:jc w:val="both"/>
                    <w:jc w:val="center"/>
                    <w:spacing w:line="360" w:lineRule="auto"/>
                  </w:pPr>
                  <w:r>
                    <w:t xml:space="preserve">Enmascaramiento top-k</w:t>
                  </w:r>
                </w:p>
              </w:tc>
              <w:tc>
                <w:tcPr/>
                <w:p>
                  <w:pPr>
                    <w:pStyle w:val="Compact"/>
                    <w:jc w:val="both"/>
                    <w:jc w:val="center"/>
                    <w:spacing w:line="360" w:lineRule="auto"/>
                  </w:pPr>
                  <w:r>
                    <w:t xml:space="preserve">Relevancia causal local</w:t>
                  </w:r>
                </w:p>
              </w:tc>
              <w:tc>
                <w:tcPr/>
                <w:p>
                  <w:pPr>
                    <w:pStyle w:val="Compact"/>
                    <w:jc w:val="both"/>
                    <w:jc w:val="center"/>
                    <w:spacing w:line="360" w:lineRule="auto"/>
                  </w:pPr>
                  <w:r>
                    <w:t xml:space="preserve">Diagnóstico</w:t>
                  </w:r>
                </w:p>
              </w:tc>
              <w:tc>
                <w:tcPr/>
                <w:p>
                  <w:pPr>
                    <w:pStyle w:val="Compact"/>
                    <w:jc w:val="both"/>
                    <w:jc w:val="center"/>
                    <w:spacing w:line="360" w:lineRule="auto"/>
                  </w:pPr>
                  <w:r>
                    <w:t xml:space="preserve">Cambio de predicción bajo intervención operacional</w:t>
                  </w:r>
                </w:p>
              </w:tc>
            </w:tr>
            <w:tr>
              <w:tc>
                <w:tcPr/>
                <w:p>
                  <w:pPr>
                    <w:pStyle w:val="Compact"/>
                    <w:jc w:val="both"/>
                    <w:jc w:val="center"/>
                    <w:spacing w:line="360" w:lineRule="auto"/>
                  </w:pPr>
                  <w:r>
                    <w:t xml:space="preserve">Robustez</w:t>
                  </w:r>
                </w:p>
              </w:tc>
              <w:tc>
                <w:tcPr/>
                <w:p>
                  <w:pPr>
                    <w:pStyle w:val="Compact"/>
                    <w:jc w:val="both"/>
                    <w:jc w:val="center"/>
                    <w:spacing w:line="360" w:lineRule="auto"/>
                  </w:pPr>
                  <w:r>
                    <w:t xml:space="preserve">Consistencia</w:t>
                  </w:r>
                </w:p>
              </w:tc>
              <w:tc>
                <w:tcPr/>
                <w:p>
                  <w:pPr>
                    <w:pStyle w:val="Compact"/>
                    <w:jc w:val="both"/>
                    <w:jc w:val="center"/>
                    <w:spacing w:line="360" w:lineRule="auto"/>
                  </w:pPr>
                  <w:r>
                    <w:t xml:space="preserve">Perturbación o estrés</w:t>
                  </w:r>
                </w:p>
              </w:tc>
              <w:tc>
                <w:tcPr/>
                <w:p>
                  <w:pPr>
                    <w:pStyle w:val="Compact"/>
                    <w:jc w:val="both"/>
                    <w:jc w:val="center"/>
                    <w:spacing w:line="360" w:lineRule="auto"/>
                  </w:pPr>
                  <w:r>
                    <w:t xml:space="preserve">Robustness</w:t>
                  </w:r>
                </w:p>
              </w:tc>
              <w:tc>
                <w:tcPr/>
                <w:p>
                  <w:pPr>
                    <w:pStyle w:val="Compact"/>
                    <w:jc w:val="both"/>
                    <w:jc w:val="center"/>
                    <w:spacing w:line="360" w:lineRule="auto"/>
                  </w:pPr>
                  <w:r>
                    <w:t xml:space="preserve">Alto riesgo</w:t>
                  </w:r>
                </w:p>
              </w:tc>
              <w:tc>
                <w:tcPr/>
                <w:p>
                  <w:pPr>
                    <w:pStyle w:val="Compact"/>
                    <w:jc w:val="both"/>
                    <w:jc w:val="center"/>
                    <w:spacing w:line="360" w:lineRule="auto"/>
                  </w:pPr>
                  <w:r>
                    <w:t xml:space="preserve">Resistencia bajo condiciones definidas</w:t>
                  </w:r>
                </w:p>
              </w:tc>
            </w:tr>
            <w:tr>
              <w:tc>
                <w:tcPr/>
                <w:p>
                  <w:pPr>
                    <w:pStyle w:val="Compact"/>
                    <w:jc w:val="both"/>
                    <w:jc w:val="center"/>
                    <w:spacing w:line="360" w:lineRule="auto"/>
                  </w:pPr>
                  <w:r>
                    <w:t xml:space="preserve">Estabilidad</w:t>
                  </w:r>
                </w:p>
              </w:tc>
              <w:tc>
                <w:tcPr/>
                <w:p>
                  <w:pPr>
                    <w:pStyle w:val="Compact"/>
                    <w:jc w:val="both"/>
                    <w:jc w:val="center"/>
                    <w:spacing w:line="360" w:lineRule="auto"/>
                  </w:pPr>
                  <w:r>
                    <w:t xml:space="preserve">Consistencia</w:t>
                  </w:r>
                </w:p>
              </w:tc>
              <w:tc>
                <w:tcPr/>
                <w:p>
                  <w:pPr>
                    <w:pStyle w:val="Compact"/>
                    <w:jc w:val="both"/>
                    <w:jc w:val="center"/>
                    <w:spacing w:line="360" w:lineRule="auto"/>
                  </w:pPr>
                  <w:r>
                    <w:t xml:space="preserve">Perturbación leve</w:t>
                  </w:r>
                </w:p>
              </w:tc>
              <w:tc>
                <w:tcPr/>
                <w:p>
                  <w:pPr>
                    <w:pStyle w:val="Compact"/>
                    <w:jc w:val="both"/>
                    <w:jc w:val="center"/>
                    <w:spacing w:line="360" w:lineRule="auto"/>
                  </w:pPr>
                  <w:r>
                    <w:t xml:space="preserve">Stability</w:t>
                  </w:r>
                </w:p>
              </w:tc>
              <w:tc>
                <w:tcPr/>
                <w:p>
                  <w:pPr>
                    <w:pStyle w:val="Compact"/>
                    <w:jc w:val="both"/>
                    <w:jc w:val="center"/>
                    <w:spacing w:line="360" w:lineRule="auto"/>
                  </w:pPr>
                  <w:r>
                    <w:t xml:space="preserve">Auditoría</w:t>
                  </w:r>
                </w:p>
              </w:tc>
              <w:tc>
                <w:tcPr/>
                <w:p>
                  <w:pPr>
                    <w:pStyle w:val="Compact"/>
                    <w:jc w:val="both"/>
                    <w:jc w:val="center"/>
                    <w:spacing w:line="360" w:lineRule="auto"/>
                  </w:pPr>
                  <w:r>
                    <w:t xml:space="preserve">Consistencia ante variaciones pequeñas</w:t>
                  </w:r>
                </w:p>
              </w:tc>
            </w:tr>
            <w:tr>
              <w:tc>
                <w:tcPr/>
                <w:p>
                  <w:pPr>
                    <w:pStyle w:val="Compact"/>
                    <w:jc w:val="both"/>
                    <w:jc w:val="center"/>
                    <w:spacing w:line="360" w:lineRule="auto"/>
                  </w:pPr>
                  <w:r>
                    <w:t xml:space="preserve">Sparsity / parsimonia</w:t>
                  </w:r>
                </w:p>
              </w:tc>
              <w:tc>
                <w:tcPr/>
                <w:p>
                  <w:pPr>
                    <w:pStyle w:val="Compact"/>
                    <w:jc w:val="both"/>
                    <w:jc w:val="center"/>
                    <w:spacing w:line="360" w:lineRule="auto"/>
                  </w:pPr>
                  <w:r>
                    <w:t xml:space="preserve">Compacidad</w:t>
                  </w:r>
                </w:p>
              </w:tc>
              <w:tc>
                <w:tcPr/>
                <w:p>
                  <w:pPr>
                    <w:pStyle w:val="Compact"/>
                    <w:jc w:val="both"/>
                    <w:jc w:val="center"/>
                    <w:spacing w:line="360" w:lineRule="auto"/>
                  </w:pPr>
                  <w:r>
                    <w:t xml:space="preserve">Conteo de características activas</w:t>
                  </w:r>
                </w:p>
              </w:tc>
              <w:tc>
                <w:tcPr/>
                <w:p>
                  <w:pPr>
                    <w:pStyle w:val="Compact"/>
                    <w:jc w:val="both"/>
                    <w:jc w:val="center"/>
                    <w:spacing w:line="360" w:lineRule="auto"/>
                  </w:pPr>
                  <w:r>
                    <w:t xml:space="preserve">Simplicity</w:t>
                  </w:r>
                </w:p>
              </w:tc>
              <w:tc>
                <w:tcPr/>
                <w:p>
                  <w:pPr>
                    <w:pStyle w:val="Compact"/>
                    <w:jc w:val="both"/>
                    <w:jc w:val="center"/>
                    <w:spacing w:line="360" w:lineRule="auto"/>
                  </w:pPr>
                  <w:r>
                    <w:t xml:space="preserve">Interfaces, usuario final</w:t>
                  </w:r>
                </w:p>
              </w:tc>
              <w:tc>
                <w:tcPr/>
                <w:p>
                  <w:pPr>
                    <w:pStyle w:val="Compact"/>
                    <w:jc w:val="both"/>
                    <w:jc w:val="center"/>
                    <w:spacing w:line="360" w:lineRule="auto"/>
                  </w:pPr>
                  <w:r>
                    <w:t xml:space="preserve">Tamaño cognitivo aproximado</w:t>
                  </w:r>
                </w:p>
              </w:tc>
            </w:tr>
            <w:tr>
              <w:tc>
                <w:tcPr/>
                <w:p>
                  <w:pPr>
                    <w:pStyle w:val="Compact"/>
                    <w:jc w:val="both"/>
                    <w:jc w:val="center"/>
                    <w:spacing w:line="360" w:lineRule="auto"/>
                  </w:pPr>
                  <w:r>
                    <w:t xml:space="preserve">Complejidad</w:t>
                  </w:r>
                </w:p>
              </w:tc>
              <w:tc>
                <w:tcPr/>
                <w:p>
                  <w:pPr>
                    <w:pStyle w:val="Compact"/>
                    <w:jc w:val="both"/>
                    <w:jc w:val="center"/>
                    <w:spacing w:line="360" w:lineRule="auto"/>
                  </w:pPr>
                  <w:r>
                    <w:t xml:space="preserve">Compacidad</w:t>
                  </w:r>
                </w:p>
              </w:tc>
              <w:tc>
                <w:tcPr/>
                <w:p>
                  <w:pPr>
                    <w:pStyle w:val="Compact"/>
                    <w:jc w:val="both"/>
                    <w:jc w:val="center"/>
                    <w:spacing w:line="360" w:lineRule="auto"/>
                  </w:pPr>
                  <w:r>
                    <w:t xml:space="preserve">Conteo, longitud, reglas</w:t>
                  </w:r>
                </w:p>
              </w:tc>
              <w:tc>
                <w:tcPr/>
                <w:p>
                  <w:pPr>
                    <w:pStyle w:val="Compact"/>
                    <w:jc w:val="both"/>
                    <w:jc w:val="center"/>
                    <w:spacing w:line="360" w:lineRule="auto"/>
                  </w:pPr>
                  <w:r>
                    <w:t xml:space="preserve">Simplicity/complejidad</w:t>
                  </w:r>
                </w:p>
              </w:tc>
              <w:tc>
                <w:tcPr/>
                <w:p>
                  <w:pPr>
                    <w:pStyle w:val="Compact"/>
                    <w:jc w:val="both"/>
                    <w:jc w:val="center"/>
                    <w:spacing w:line="360" w:lineRule="auto"/>
                  </w:pPr>
                  <w:r>
                    <w:t xml:space="preserve">Comunicación</w:t>
                  </w:r>
                </w:p>
              </w:tc>
              <w:tc>
                <w:tcPr/>
                <w:p>
                  <w:pPr>
                    <w:pStyle w:val="Compact"/>
                    <w:jc w:val="both"/>
                    <w:jc w:val="center"/>
                    <w:spacing w:line="360" w:lineRule="auto"/>
                  </w:pPr>
                  <w:r>
                    <w:t xml:space="preserve">Carga estructural del artefacto</w:t>
                  </w:r>
                </w:p>
              </w:tc>
            </w:tr>
            <w:tr>
              <w:tc>
                <w:tcPr/>
                <w:p>
                  <w:pPr>
                    <w:pStyle w:val="Compact"/>
                    <w:jc w:val="both"/>
                    <w:jc w:val="center"/>
                    <w:spacing w:line="360" w:lineRule="auto"/>
                  </w:pPr>
                  <w:r>
                    <w:t xml:space="preserve">Plausibilidad</w:t>
                  </w:r>
                </w:p>
              </w:tc>
              <w:tc>
                <w:tcPr/>
                <w:p>
                  <w:pPr>
                    <w:pStyle w:val="Compact"/>
                    <w:jc w:val="both"/>
                    <w:jc w:val="center"/>
                    <w:spacing w:line="360" w:lineRule="auto"/>
                  </w:pPr>
                  <w:r>
                    <w:t xml:space="preserve">Aceptabilidad humana</w:t>
                  </w:r>
                </w:p>
              </w:tc>
              <w:tc>
                <w:tcPr/>
                <w:p>
                  <w:pPr>
                    <w:pStyle w:val="Compact"/>
                    <w:jc w:val="both"/>
                    <w:jc w:val="center"/>
                    <w:spacing w:line="360" w:lineRule="auto"/>
                  </w:pPr>
                  <w:r>
                    <w:t xml:space="preserve">Estudio con usuario o experto</w:t>
                  </w:r>
                </w:p>
              </w:tc>
              <w:tc>
                <w:tcPr/>
                <w:p>
                  <w:pPr>
                    <w:pStyle w:val="Compact"/>
                    <w:jc w:val="both"/>
                    <w:jc w:val="center"/>
                    <w:spacing w:line="360" w:lineRule="auto"/>
                  </w:pPr>
                  <w:r>
                    <w:t xml:space="preserve">Plausibility</w:t>
                  </w:r>
                </w:p>
              </w:tc>
              <w:tc>
                <w:tcPr/>
                <w:p>
                  <w:pPr>
                    <w:pStyle w:val="Compact"/>
                    <w:jc w:val="both"/>
                    <w:jc w:val="center"/>
                    <w:spacing w:line="360" w:lineRule="auto"/>
                  </w:pPr>
                  <w:r>
                    <w:t xml:space="preserve">Soporte a usuario</w:t>
                  </w:r>
                </w:p>
              </w:tc>
              <w:tc>
                <w:tcPr/>
                <w:p>
                  <w:pPr>
                    <w:pStyle w:val="Compact"/>
                    <w:jc w:val="both"/>
                    <w:jc w:val="center"/>
                    <w:spacing w:line="360" w:lineRule="auto"/>
                  </w:pPr>
                  <w:r>
                    <w:t xml:space="preserve">Coherencia percibida; no prueba verdad</w:t>
                  </w:r>
                </w:p>
              </w:tc>
            </w:tr>
            <w:tr>
              <w:tc>
                <w:tcPr/>
                <w:p>
                  <w:pPr>
                    <w:pStyle w:val="Compact"/>
                    <w:jc w:val="both"/>
                    <w:jc w:val="center"/>
                    <w:spacing w:line="360" w:lineRule="auto"/>
                  </w:pPr>
                  <w:r>
                    <w:t xml:space="preserve">Comprensibilidad</w:t>
                  </w:r>
                </w:p>
              </w:tc>
              <w:tc>
                <w:tcPr/>
                <w:p>
                  <w:pPr>
                    <w:pStyle w:val="Compact"/>
                    <w:jc w:val="both"/>
                    <w:jc w:val="center"/>
                    <w:spacing w:line="360" w:lineRule="auto"/>
                  </w:pPr>
                  <w:r>
                    <w:t xml:space="preserve">Soporte cognitivo</w:t>
                  </w:r>
                </w:p>
              </w:tc>
              <w:tc>
                <w:tcPr/>
                <w:p>
                  <w:pPr>
                    <w:pStyle w:val="Compact"/>
                    <w:jc w:val="both"/>
                    <w:jc w:val="center"/>
                    <w:spacing w:line="360" w:lineRule="auto"/>
                  </w:pPr>
                  <w:r>
                    <w:t xml:space="preserve">Estudio con usuario</w:t>
                  </w:r>
                </w:p>
              </w:tc>
              <w:tc>
                <w:tcPr/>
                <w:p>
                  <w:pPr>
                    <w:pStyle w:val="Compact"/>
                    <w:jc w:val="both"/>
                    <w:jc w:val="center"/>
                    <w:spacing w:line="360" w:lineRule="auto"/>
                  </w:pPr>
                  <w:r>
                    <w:t xml:space="preserve">Comprehensibility</w:t>
                  </w:r>
                </w:p>
              </w:tc>
              <w:tc>
                <w:tcPr/>
                <w:p>
                  <w:pPr>
                    <w:pStyle w:val="Compact"/>
                    <w:jc w:val="both"/>
                    <w:jc w:val="center"/>
                    <w:spacing w:line="360" w:lineRule="auto"/>
                  </w:pPr>
                  <w:r>
                    <w:t xml:space="preserve">Usuario final</w:t>
                  </w:r>
                </w:p>
              </w:tc>
              <w:tc>
                <w:tcPr/>
                <w:p>
                  <w:pPr>
                    <w:pStyle w:val="Compact"/>
                    <w:jc w:val="both"/>
                    <w:jc w:val="center"/>
                    <w:spacing w:line="360" w:lineRule="auto"/>
                  </w:pPr>
                  <w:r>
                    <w:t xml:space="preserve">Facilidad de comprensión observada</w:t>
                  </w:r>
                </w:p>
              </w:tc>
            </w:tr>
            <w:tr>
              <w:tc>
                <w:tcPr/>
                <w:p>
                  <w:pPr>
                    <w:pStyle w:val="Compact"/>
                    <w:jc w:val="both"/>
                    <w:jc w:val="center"/>
                    <w:spacing w:line="360" w:lineRule="auto"/>
                  </w:pPr>
                  <w:r>
                    <w:t xml:space="preserve">Satisfacción humana</w:t>
                  </w:r>
                </w:p>
              </w:tc>
              <w:tc>
                <w:tcPr/>
                <w:p>
                  <w:pPr>
                    <w:pStyle w:val="Compact"/>
                    <w:jc w:val="both"/>
                    <w:jc w:val="center"/>
                    <w:spacing w:line="360" w:lineRule="auto"/>
                  </w:pPr>
                  <w:r>
                    <w:t xml:space="preserve">Experiencia de uso</w:t>
                  </w:r>
                </w:p>
              </w:tc>
              <w:tc>
                <w:tcPr/>
                <w:p>
                  <w:pPr>
                    <w:pStyle w:val="Compact"/>
                    <w:jc w:val="both"/>
                    <w:jc w:val="center"/>
                    <w:spacing w:line="360" w:lineRule="auto"/>
                  </w:pPr>
                  <w:r>
                    <w:t xml:space="preserve">Encuesta/experimento</w:t>
                  </w:r>
                </w:p>
              </w:tc>
              <w:tc>
                <w:tcPr/>
                <w:p>
                  <w:pPr>
                    <w:pStyle w:val="Compact"/>
                    <w:jc w:val="both"/>
                    <w:jc w:val="center"/>
                    <w:spacing w:line="360" w:lineRule="auto"/>
                  </w:pPr>
                  <w:r>
                    <w:t xml:space="preserve">Usefulness</w:t>
                  </w:r>
                </w:p>
              </w:tc>
              <w:tc>
                <w:tcPr/>
                <w:p>
                  <w:pPr>
                    <w:pStyle w:val="Compact"/>
                    <w:jc w:val="both"/>
                    <w:jc w:val="center"/>
                    <w:spacing w:line="360" w:lineRule="auto"/>
                  </w:pPr>
                  <w:r>
                    <w:t xml:space="preserve">Aplicación</w:t>
                  </w:r>
                </w:p>
              </w:tc>
              <w:tc>
                <w:tcPr/>
                <w:p>
                  <w:pPr>
                    <w:pStyle w:val="Compact"/>
                    <w:jc w:val="both"/>
                    <w:jc w:val="center"/>
                    <w:spacing w:line="360" w:lineRule="auto"/>
                  </w:pPr>
                  <w:r>
                    <w:t xml:space="preserve">Preferencia o utilidad percibida</w:t>
                  </w:r>
                </w:p>
              </w:tc>
            </w:tr>
            <w:tr>
              <w:tc>
                <w:tcPr/>
                <w:p>
                  <w:pPr>
                    <w:pStyle w:val="Compact"/>
                    <w:jc w:val="both"/>
                    <w:jc w:val="center"/>
                    <w:spacing w:line="360" w:lineRule="auto"/>
                  </w:pPr>
                  <w:r>
                    <w:t xml:space="preserve">Validez contrafactual</w:t>
                  </w:r>
                </w:p>
              </w:tc>
              <w:tc>
                <w:tcPr/>
                <w:p>
                  <w:pPr>
                    <w:pStyle w:val="Compact"/>
                    <w:jc w:val="both"/>
                    <w:jc w:val="center"/>
                    <w:spacing w:line="360" w:lineRule="auto"/>
                  </w:pPr>
                  <w:r>
                    <w:t xml:space="preserve">Cambio de resultado</w:t>
                  </w:r>
                </w:p>
              </w:tc>
              <w:tc>
                <w:tcPr/>
                <w:p>
                  <w:pPr>
                    <w:pStyle w:val="Compact"/>
                    <w:jc w:val="both"/>
                    <w:jc w:val="center"/>
                    <w:spacing w:line="360" w:lineRule="auto"/>
                  </w:pPr>
                  <w:r>
                    <w:t xml:space="preserve">Evaluación de contrafactual</w:t>
                  </w:r>
                </w:p>
              </w:tc>
              <w:tc>
                <w:tcPr/>
                <w:p>
                  <w:pPr>
                    <w:pStyle w:val="Compact"/>
                    <w:jc w:val="both"/>
                    <w:jc w:val="center"/>
                    <w:spacing w:line="360" w:lineRule="auto"/>
                  </w:pPr>
                  <w:r>
                    <w:t xml:space="preserve">Validity</w:t>
                  </w:r>
                </w:p>
              </w:tc>
              <w:tc>
                <w:tcPr/>
                <w:p>
                  <w:pPr>
                    <w:pStyle w:val="Compact"/>
                    <w:jc w:val="both"/>
                    <w:jc w:val="center"/>
                    <w:spacing w:line="360" w:lineRule="auto"/>
                  </w:pPr>
                  <w:r>
                    <w:t xml:space="preserve">Recourse</w:t>
                  </w:r>
                </w:p>
              </w:tc>
              <w:tc>
                <w:tcPr/>
                <w:p>
                  <w:pPr>
                    <w:pStyle w:val="Compact"/>
                    <w:jc w:val="both"/>
                    <w:jc w:val="center"/>
                    <w:spacing w:line="360" w:lineRule="auto"/>
                  </w:pPr>
                  <w:r>
                    <w:t xml:space="preserve">La alternativa cambia la predicción</w:t>
                  </w:r>
                </w:p>
              </w:tc>
            </w:tr>
            <w:tr>
              <w:tc>
                <w:tcPr/>
                <w:p>
                  <w:pPr>
                    <w:pStyle w:val="Compact"/>
                    <w:jc w:val="both"/>
                    <w:jc w:val="center"/>
                    <w:spacing w:line="360" w:lineRule="auto"/>
                  </w:pPr>
                  <w:r>
                    <w:t xml:space="preserve">Actionability</w:t>
                  </w:r>
                </w:p>
              </w:tc>
              <w:tc>
                <w:tcPr/>
                <w:p>
                  <w:pPr>
                    <w:pStyle w:val="Compact"/>
                    <w:jc w:val="both"/>
                    <w:jc w:val="center"/>
                    <w:spacing w:line="360" w:lineRule="auto"/>
                  </w:pPr>
                  <w:r>
                    <w:t xml:space="preserve">Factibilidad de cambio</w:t>
                  </w:r>
                </w:p>
              </w:tc>
              <w:tc>
                <w:tcPr/>
                <w:p>
                  <w:pPr>
                    <w:pStyle w:val="Compact"/>
                    <w:jc w:val="both"/>
                    <w:jc w:val="center"/>
                    <w:spacing w:line="360" w:lineRule="auto"/>
                  </w:pPr>
                  <w:r>
                    <w:t xml:space="preserve">Reglas de dominio/usuario</w:t>
                  </w:r>
                </w:p>
              </w:tc>
              <w:tc>
                <w:tcPr/>
                <w:p>
                  <w:pPr>
                    <w:pStyle w:val="Compact"/>
                    <w:jc w:val="both"/>
                    <w:jc w:val="center"/>
                    <w:spacing w:line="360" w:lineRule="auto"/>
                  </w:pPr>
                  <w:r>
                    <w:t xml:space="preserve">Actionability</w:t>
                  </w:r>
                </w:p>
              </w:tc>
              <w:tc>
                <w:tcPr/>
                <w:p>
                  <w:pPr>
                    <w:pStyle w:val="Compact"/>
                    <w:jc w:val="both"/>
                    <w:jc w:val="center"/>
                    <w:spacing w:line="360" w:lineRule="auto"/>
                  </w:pPr>
                  <w:r>
                    <w:t xml:space="preserve">Recourse</w:t>
                  </w:r>
                </w:p>
              </w:tc>
              <w:tc>
                <w:tcPr/>
                <w:p>
                  <w:pPr>
                    <w:pStyle w:val="Compact"/>
                    <w:jc w:val="both"/>
                    <w:jc w:val="center"/>
                    <w:spacing w:line="360" w:lineRule="auto"/>
                  </w:pPr>
                  <w:r>
                    <w:t xml:space="preserve">El cambio es ejecutable bajo restricciones</w:t>
                  </w:r>
                </w:p>
              </w:tc>
            </w:tr>
            <w:tr>
              <w:tc>
                <w:tcPr/>
                <w:p>
                  <w:pPr>
                    <w:pStyle w:val="Compact"/>
                    <w:jc w:val="both"/>
                    <w:jc w:val="center"/>
                    <w:spacing w:line="360" w:lineRule="auto"/>
                  </w:pPr>
                  <w:r>
                    <w:t xml:space="preserve">Alineamiento causal</w:t>
                  </w:r>
                </w:p>
              </w:tc>
              <w:tc>
                <w:tcPr/>
                <w:p>
                  <w:pPr>
                    <w:pStyle w:val="Compact"/>
                    <w:jc w:val="both"/>
                    <w:jc w:val="center"/>
                    <w:spacing w:line="360" w:lineRule="auto"/>
                  </w:pPr>
                  <w:r>
                    <w:t xml:space="preserve">Relación explicación-dominio</w:t>
                  </w:r>
                </w:p>
              </w:tc>
              <w:tc>
                <w:tcPr/>
                <w:p>
                  <w:pPr>
                    <w:pStyle w:val="Compact"/>
                    <w:jc w:val="both"/>
                    <w:jc w:val="center"/>
                    <w:spacing w:line="360" w:lineRule="auto"/>
                  </w:pPr>
                  <w:r>
                    <w:t xml:space="preserve">Modelo causal/experto</w:t>
                  </w:r>
                </w:p>
              </w:tc>
              <w:tc>
                <w:tcPr/>
                <w:p>
                  <w:pPr>
                    <w:pStyle w:val="Compact"/>
                    <w:jc w:val="both"/>
                    <w:jc w:val="center"/>
                    <w:spacing w:line="360" w:lineRule="auto"/>
                  </w:pPr>
                  <w:r>
                    <w:t xml:space="preserve">Causal alignment</w:t>
                  </w:r>
                </w:p>
              </w:tc>
              <w:tc>
                <w:tcPr/>
                <w:p>
                  <w:pPr>
                    <w:pStyle w:val="Compact"/>
                    <w:jc w:val="both"/>
                    <w:jc w:val="center"/>
                    <w:spacing w:line="360" w:lineRule="auto"/>
                  </w:pPr>
                  <w:r>
                    <w:t xml:space="preserve">Alto riesgo</w:t>
                  </w:r>
                </w:p>
              </w:tc>
              <w:tc>
                <w:tcPr/>
                <w:p>
                  <w:pPr>
                    <w:pStyle w:val="Compact"/>
                    <w:jc w:val="both"/>
                    <w:jc w:val="center"/>
                    <w:spacing w:line="360" w:lineRule="auto"/>
                  </w:pPr>
                  <w:r>
                    <w:t xml:space="preserve">Requiere evidencia causal externa</w:t>
                  </w:r>
                </w:p>
              </w:tc>
            </w:tr>
            <w:tr>
              <w:tc>
                <w:tcPr/>
                <w:p>
                  <w:pPr>
                    <w:pStyle w:val="Compact"/>
                    <w:jc w:val="both"/>
                    <w:jc w:val="center"/>
                    <w:spacing w:line="360" w:lineRule="auto"/>
                  </w:pPr>
                  <w:r>
                    <w:t xml:space="preserve">Coste computacional</w:t>
                  </w:r>
                </w:p>
              </w:tc>
              <w:tc>
                <w:tcPr/>
                <w:p>
                  <w:pPr>
                    <w:pStyle w:val="Compact"/>
                    <w:jc w:val="both"/>
                    <w:jc w:val="center"/>
                    <w:spacing w:line="360" w:lineRule="auto"/>
                  </w:pPr>
                  <w:r>
                    <w:t xml:space="preserve">Eficiencia</w:t>
                  </w:r>
                </w:p>
              </w:tc>
              <w:tc>
                <w:tcPr/>
                <w:p>
                  <w:pPr>
                    <w:pStyle w:val="Compact"/>
                    <w:jc w:val="both"/>
                    <w:jc w:val="center"/>
                    <w:spacing w:line="360" w:lineRule="auto"/>
                  </w:pPr>
                  <w:r>
                    <w:t xml:space="preserve">Tiempo/recurso</w:t>
                  </w:r>
                </w:p>
              </w:tc>
              <w:tc>
                <w:tcPr/>
                <w:p>
                  <w:pPr>
                    <w:pStyle w:val="Compact"/>
                    <w:jc w:val="both"/>
                    <w:jc w:val="center"/>
                    <w:spacing w:line="360" w:lineRule="auto"/>
                  </w:pPr>
                  <w:r>
                    <w:t xml:space="preserve">Efficiency</w:t>
                  </w:r>
                </w:p>
              </w:tc>
              <w:tc>
                <w:tcPr/>
                <w:p>
                  <w:pPr>
                    <w:pStyle w:val="Compact"/>
                    <w:jc w:val="both"/>
                    <w:jc w:val="center"/>
                    <w:spacing w:line="360" w:lineRule="auto"/>
                  </w:pPr>
                  <w:r>
                    <w:t xml:space="preserve">Producción</w:t>
                  </w:r>
                </w:p>
              </w:tc>
              <w:tc>
                <w:tcPr/>
                <w:p>
                  <w:pPr>
                    <w:pStyle w:val="Compact"/>
                    <w:jc w:val="both"/>
                    <w:jc w:val="center"/>
                    <w:spacing w:line="360" w:lineRule="auto"/>
                  </w:pPr>
                  <w:r>
                    <w:t xml:space="preserve">Factibilidad operacional</w:t>
                  </w:r>
                </w:p>
              </w:tc>
            </w:tr>
            <w:tr>
              <w:tc>
                <w:tcPr/>
                <w:p>
                  <w:pPr>
                    <w:pStyle w:val="Compact"/>
                    <w:jc w:val="both"/>
                    <w:jc w:val="center"/>
                    <w:spacing w:line="360" w:lineRule="auto"/>
                  </w:pPr>
                  <w:r>
                    <w:t xml:space="preserve">Equidad explicativa</w:t>
                  </w:r>
                </w:p>
              </w:tc>
              <w:tc>
                <w:tcPr/>
                <w:p>
                  <w:pPr>
                    <w:pStyle w:val="Compact"/>
                    <w:jc w:val="both"/>
                    <w:jc w:val="center"/>
                    <w:spacing w:line="360" w:lineRule="auto"/>
                  </w:pPr>
                  <w:r>
                    <w:t xml:space="preserve">Comparación entre subgrupos</w:t>
                  </w:r>
                </w:p>
              </w:tc>
              <w:tc>
                <w:tcPr/>
                <w:p>
                  <w:pPr>
                    <w:pStyle w:val="Compact"/>
                    <w:jc w:val="both"/>
                    <w:jc w:val="center"/>
                    <w:spacing w:line="360" w:lineRule="auto"/>
                  </w:pPr>
                  <w:r>
                    <w:t xml:space="preserve">Métrica estratificada</w:t>
                  </w:r>
                </w:p>
              </w:tc>
              <w:tc>
                <w:tcPr/>
                <w:p>
                  <w:pPr>
                    <w:pStyle w:val="Compact"/>
                    <w:jc w:val="both"/>
                    <w:jc w:val="center"/>
                    <w:spacing w:line="360" w:lineRule="auto"/>
                  </w:pPr>
                  <w:r>
                    <w:t xml:space="preserve">Fairness</w:t>
                  </w:r>
                </w:p>
              </w:tc>
              <w:tc>
                <w:tcPr/>
                <w:p>
                  <w:pPr>
                    <w:pStyle w:val="Compact"/>
                    <w:jc w:val="both"/>
                    <w:jc w:val="center"/>
                    <w:spacing w:line="360" w:lineRule="auto"/>
                  </w:pPr>
                  <w:r>
                    <w:t xml:space="preserve">Auditoría</w:t>
                  </w:r>
                </w:p>
              </w:tc>
              <w:tc>
                <w:tcPr/>
                <w:p>
                  <w:pPr>
                    <w:pStyle w:val="Compact"/>
                    <w:jc w:val="both"/>
                    <w:jc w:val="center"/>
                    <w:spacing w:line="360" w:lineRule="auto"/>
                  </w:pPr>
                  <w:r>
                    <w:t xml:space="preserve">Diferencias de calidad explicativa por grupo</w:t>
                  </w:r>
                </w:p>
              </w:tc>
            </w:tr>
          </w:tbl>
          <w:bookmarkEnd w:id="240"/>
          <w:p>
            <w:pPr>
              <w:spacing w:line="360" w:lineRule="auto"/>
              <w:jc w:val="both"/>
            </w:pPr>
          </w:p>
        </w:tc>
      </w:tr>
    </w:tbl>
    <w:bookmarkEnd w:id="241"/>
    <w:bookmarkStart w:id="247" w:name="sec-taxonomia-benchmark"/>
    <w:p>
      <w:pPr>
        <w:pStyle w:val="Ttulo2"/>
        <w:spacing w:line="360" w:lineRule="auto"/>
        <w:jc w:val="both"/>
      </w:pPr>
      <w:r>
        <w:t xml:space="preserve">5.5 </w:t>
      </w:r>
      <w:r>
        <w:t xml:space="preserve">Mapeo del benchmark a la taxonomía</w:t>
      </w:r>
    </w:p>
    <w:p>
      <w:pPr>
        <w:pStyle w:val="FirstParagraph"/>
        <w:spacing w:line="360" w:lineRule="auto"/>
        <w:jc w:val="both"/>
      </w:pPr>
      <w:r>
        <w:t xml:space="preserve">Las cinco métricas operacionalizadas en el Estudio Omnibus Multimétrico y el</w:t>
      </w:r>
      <w:r>
        <w:t xml:space="preserve"> </w:t>
      </w:r>
      <w:r>
        <w:t xml:space="preserve">Estudio Pareado LIME–SHAP se localizan en la taxonomía de la siguiente manera:</w:t>
      </w:r>
    </w:p>
    <w:tbl>
      <w:tblPr>
        <w:tblStyle w:val="Table"/>
        <w:tblW w:type="pct" w:w="5000"/>
        <w:jc w:val="center"/>
        <w:tblLayout w:type="fixed"/>
        <w:tblLook w:firstRow="0" w:lastRow="0" w:firstColumn="0" w:lastColumn="0" w:noHBand="0" w:noVBand="0" w:val="0000"/>
      </w:tblPr>
      <w:tblGrid>
        <w:gridCol w:w="7920"/>
      </w:tblGrid>
      <w:tr>
        <w:tc>
          <w:tcPr/>
          <w:bookmarkStart w:id="242" w:name="tbl-taxonomia-benchmark"/>
          <w:p>
            <w:pPr>
              <w:pStyle w:val="ImageCaption"/>
              <w:spacing w:before="200" w:line="360" w:lineRule="auto"/>
              <w:jc w:val="center"/>
            </w:pPr>
            <w:r>
              <w:t xml:space="preserve">Tabla 5.2: Mapeo de las métricas del benchmark a los cuatro ejes de la taxonomía.</w:t>
            </w:r>
          </w:p>
          <w:tbl>
            <w:tblPr>
              <w:tblStyle w:val="Table"/>
              <w:tblW w:type="pct" w:w="500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both"/>
                    <w:jc w:val="center"/>
                    <w:spacing w:line="360" w:lineRule="auto"/>
                  </w:pPr>
                  <w:r>
                    <w:rPr>
                      <w:bCs/>
                      <w:b/>
                    </w:rPr>
                    <w:t xml:space="preserve">Métrica</w:t>
                  </w:r>
                </w:p>
              </w:tc>
              <w:tc>
                <w:tcPr/>
                <w:p>
                  <w:pPr>
                    <w:pStyle w:val="Compact"/>
                    <w:jc w:val="both"/>
                    <w:jc w:val="center"/>
                    <w:spacing w:line="360" w:lineRule="auto"/>
                  </w:pPr>
                  <w:r>
                    <w:rPr>
                      <w:bCs/>
                      <w:b/>
                    </w:rPr>
                    <w:t xml:space="preserve">Eje 1: objetivo</w:t>
                  </w:r>
                </w:p>
              </w:tc>
              <w:tc>
                <w:tcPr/>
                <w:p>
                  <w:pPr>
                    <w:pStyle w:val="Compact"/>
                    <w:jc w:val="both"/>
                    <w:jc w:val="center"/>
                    <w:spacing w:line="360" w:lineRule="auto"/>
                  </w:pPr>
                  <w:r>
                    <w:rPr>
                      <w:bCs/>
                      <w:b/>
                    </w:rPr>
                    <w:t xml:space="preserve">Eje 2: fuente de evidencia</w:t>
                  </w:r>
                </w:p>
              </w:tc>
              <w:tc>
                <w:tcPr/>
                <w:p>
                  <w:pPr>
                    <w:pStyle w:val="Compact"/>
                    <w:jc w:val="both"/>
                    <w:jc w:val="center"/>
                    <w:spacing w:line="360" w:lineRule="auto"/>
                  </w:pPr>
                  <w:r>
                    <w:rPr>
                      <w:bCs/>
                      <w:b/>
                    </w:rPr>
                    <w:t xml:space="preserve">Eje 3: propiedad</w:t>
                  </w:r>
                </w:p>
              </w:tc>
              <w:tc>
                <w:tcPr/>
                <w:p>
                  <w:pPr>
                    <w:pStyle w:val="Compact"/>
                    <w:jc w:val="both"/>
                    <w:jc w:val="center"/>
                    <w:spacing w:line="360" w:lineRule="auto"/>
                  </w:pPr>
                  <w:r>
                    <w:rPr>
                      <w:bCs/>
                      <w:b/>
                    </w:rPr>
                    <w:t xml:space="preserve">Eje 4: contexto prioritario</w:t>
                  </w:r>
                </w:p>
              </w:tc>
            </w:tr>
            <w:tr>
              <w:tc>
                <w:tcPr/>
                <w:p>
                  <w:pPr>
                    <w:pStyle w:val="Compact"/>
                    <w:jc w:val="both"/>
                    <w:jc w:val="center"/>
                    <w:spacing w:line="360" w:lineRule="auto"/>
                  </w:pPr>
                  <w:r>
                    <w:t xml:space="preserve">Fidelidad (</w:t>
                  </w:r>
                  <ns5:oMath>
                    <ns5:r>
                      <ns5:t>F</ns5:t>
                    </ns5:r>
                  </ns5:oMath>
                  <w:r>
                    <w:t xml:space="preserve">)</w:t>
                  </w:r>
                </w:p>
              </w:tc>
              <w:tc>
                <w:tcPr/>
                <w:p>
                  <w:pPr>
                    <w:pStyle w:val="Compact"/>
                    <w:jc w:val="both"/>
                    <w:jc w:val="center"/>
                    <w:spacing w:line="360" w:lineRule="auto"/>
                  </w:pPr>
                  <w:r>
                    <w:t xml:space="preserve">Representatividad local</w:t>
                  </w:r>
                </w:p>
              </w:tc>
              <w:tc>
                <w:tcPr/>
                <w:p>
                  <w:pPr>
                    <w:pStyle w:val="Compact"/>
                    <w:jc w:val="both"/>
                    <w:jc w:val="center"/>
                    <w:spacing w:line="360" w:lineRule="auto"/>
                  </w:pPr>
                  <w:r>
                    <w:t xml:space="preserve">Enmascaramiento de características</w:t>
                  </w:r>
                </w:p>
              </w:tc>
              <w:tc>
                <w:tcPr/>
                <w:p>
                  <w:pPr>
                    <w:pStyle w:val="Compact"/>
                    <w:jc w:val="both"/>
                    <w:jc w:val="center"/>
                    <w:spacing w:line="360" w:lineRule="auto"/>
                  </w:pPr>
                  <w:r>
                    <w:t xml:space="preserve">Faithfulness proxy</w:t>
                  </w:r>
                </w:p>
              </w:tc>
              <w:tc>
                <w:tcPr/>
                <w:p>
                  <w:pPr>
                    <w:pStyle w:val="Compact"/>
                    <w:jc w:val="both"/>
                    <w:jc w:val="center"/>
                    <w:spacing w:line="360" w:lineRule="auto"/>
                  </w:pPr>
                  <w:r>
                    <w:t xml:space="preserve">Auditoría, diagnóstico</w:t>
                  </w:r>
                </w:p>
              </w:tc>
            </w:tr>
            <w:tr>
              <w:tc>
                <w:tcPr/>
                <w:p>
                  <w:pPr>
                    <w:pStyle w:val="Compact"/>
                    <w:jc w:val="both"/>
                    <w:jc w:val="center"/>
                    <w:spacing w:line="360" w:lineRule="auto"/>
                  </w:pPr>
                  <w:r>
                    <w:t xml:space="preserve">Estabilidad (</w:t>
                  </w:r>
                  <ns5:oMath>
                    <ns5:r>
                      <ns5:t>S</ns5:t>
                    </ns5:r>
                  </ns5:oMath>
                  <w:r>
                    <w:t xml:space="preserve">)</w:t>
                  </w:r>
                </w:p>
              </w:tc>
              <w:tc>
                <w:tcPr/>
                <w:p>
                  <w:pPr>
                    <w:pStyle w:val="Compact"/>
                    <w:jc w:val="both"/>
                    <w:jc w:val="center"/>
                    <w:spacing w:line="360" w:lineRule="auto"/>
                  </w:pPr>
                  <w:r>
                    <w:t xml:space="preserve">Consistencia bajo perturbación</w:t>
                  </w:r>
                </w:p>
              </w:tc>
              <w:tc>
                <w:tcPr/>
                <w:p>
                  <w:pPr>
                    <w:pStyle w:val="Compact"/>
                    <w:jc w:val="both"/>
                    <w:jc w:val="center"/>
                    <w:spacing w:line="360" w:lineRule="auto"/>
                  </w:pPr>
                  <w:r>
                    <w:t xml:space="preserve">Perturbación gaussiana del input</w:t>
                  </w:r>
                </w:p>
              </w:tc>
              <w:tc>
                <w:tcPr/>
                <w:p>
                  <w:pPr>
                    <w:pStyle w:val="Compact"/>
                    <w:jc w:val="both"/>
                    <w:jc w:val="center"/>
                    <w:spacing w:line="360" w:lineRule="auto"/>
                  </w:pPr>
                  <w:r>
                    <w:t xml:space="preserve">Stability / robustness</w:t>
                  </w:r>
                </w:p>
              </w:tc>
              <w:tc>
                <w:tcPr/>
                <w:p>
                  <w:pPr>
                    <w:pStyle w:val="Compact"/>
                    <w:jc w:val="both"/>
                    <w:jc w:val="center"/>
                    <w:spacing w:line="360" w:lineRule="auto"/>
                  </w:pPr>
                  <w:r>
                    <w:t xml:space="preserve">Auditoría, alto riesgo</w:t>
                  </w:r>
                </w:p>
              </w:tc>
            </w:tr>
            <w:tr>
              <w:tc>
                <w:tcPr/>
                <w:p>
                  <w:pPr>
                    <w:pStyle w:val="Compact"/>
                    <w:jc w:val="both"/>
                    <w:jc w:val="center"/>
                    <w:spacing w:line="360" w:lineRule="auto"/>
                  </w:pPr>
                  <w:r>
                    <w:t xml:space="preserve">Parsimonia (</w:t>
                  </w:r>
                  <ns5:oMath>
                    <ns5:r>
                      <ns5:t>P</ns5:t>
                    </ns5:r>
                  </ns5:oMath>
                  <w:r>
                    <w:t xml:space="preserve">)</w:t>
                  </w:r>
                </w:p>
              </w:tc>
              <w:tc>
                <w:tcPr/>
                <w:p>
                  <w:pPr>
                    <w:pStyle w:val="Compact"/>
                    <w:jc w:val="both"/>
                    <w:jc w:val="center"/>
                    <w:spacing w:line="360" w:lineRule="auto"/>
                  </w:pPr>
                  <w:r>
                    <w:t xml:space="preserve">Compacidad explicativa</w:t>
                  </w:r>
                </w:p>
              </w:tc>
              <w:tc>
                <w:tcPr/>
                <w:p>
                  <w:pPr>
                    <w:pStyle w:val="Compact"/>
                    <w:jc w:val="both"/>
                    <w:jc w:val="center"/>
                    <w:spacing w:line="360" w:lineRule="auto"/>
                  </w:pPr>
                  <w:r>
                    <w:t xml:space="preserve">Conteo de atribuciones activas</w:t>
                  </w:r>
                </w:p>
              </w:tc>
              <w:tc>
                <w:tcPr/>
                <w:p>
                  <w:pPr>
                    <w:pStyle w:val="Compact"/>
                    <w:jc w:val="both"/>
                    <w:jc w:val="center"/>
                    <w:spacing w:line="360" w:lineRule="auto"/>
                  </w:pPr>
                  <w:r>
                    <w:t xml:space="preserve">Simplicity</w:t>
                  </w:r>
                </w:p>
              </w:tc>
              <w:tc>
                <w:tcPr/>
                <w:p>
                  <w:pPr>
                    <w:pStyle w:val="Compact"/>
                    <w:jc w:val="both"/>
                    <w:jc w:val="center"/>
                    <w:spacing w:line="360" w:lineRule="auto"/>
                  </w:pPr>
                  <w:r>
                    <w:t xml:space="preserve">Usuario final, interfaces</w:t>
                  </w:r>
                </w:p>
              </w:tc>
            </w:tr>
            <w:tr>
              <w:tc>
                <w:tcPr/>
                <w:p>
                  <w:pPr>
                    <w:pStyle w:val="Compact"/>
                    <w:jc w:val="both"/>
                    <w:jc w:val="center"/>
                    <w:spacing w:line="360" w:lineRule="auto"/>
                  </w:pPr>
                  <w:r>
                    <w:t xml:space="preserve">Brecha de fidelidad (</w:t>
                  </w:r>
                  <ns5:oMath>
                    <ns5:sSub>
                      <ns5:e>
                        <ns5:r>
                          <ns5:rPr>
                            <ns5:sty ns5:val="p"/>
                          </ns5:rPr>
                          <ns5:t>Δ</ns5:t>
                        </ns5:r>
                      </ns5:e>
                      <ns5:sub>
                        <ns5:r>
                          <ns5:t>k</ns5:t>
                        </ns5:r>
                      </ns5:sub>
                    </ns5:sSub>
                  </ns5:oMath>
                  <w:r>
                    <w:t xml:space="preserve">)</w:t>
                  </w:r>
                </w:p>
              </w:tc>
              <w:tc>
                <w:tcPr/>
                <w:p>
                  <w:pPr>
                    <w:pStyle w:val="Compact"/>
                    <w:jc w:val="both"/>
                    <w:jc w:val="center"/>
                    <w:spacing w:line="360" w:lineRule="auto"/>
                  </w:pPr>
                  <w:r>
                    <w:t xml:space="preserve">Relevancia causal local</w:t>
                  </w:r>
                </w:p>
              </w:tc>
              <w:tc>
                <w:tcPr/>
                <w:p>
                  <w:pPr>
                    <w:pStyle w:val="Compact"/>
                    <w:jc w:val="both"/>
                    <w:jc w:val="center"/>
                    <w:spacing w:line="360" w:lineRule="auto"/>
                  </w:pPr>
                  <w:r>
                    <w:t xml:space="preserve">Enmascaramiento top-k</w:t>
                  </w:r>
                </w:p>
              </w:tc>
              <w:tc>
                <w:tcPr/>
                <w:p>
                  <w:pPr>
                    <w:pStyle w:val="Compact"/>
                    <w:jc w:val="both"/>
                    <w:jc w:val="center"/>
                    <w:spacing w:line="360" w:lineRule="auto"/>
                  </w:pPr>
                  <w:r>
                    <w:t xml:space="preserve">Faithfulness operacional</w:t>
                  </w:r>
                </w:p>
              </w:tc>
              <w:tc>
                <w:tcPr/>
                <w:p>
                  <w:pPr>
                    <w:pStyle w:val="Compact"/>
                    <w:jc w:val="both"/>
                    <w:jc w:val="center"/>
                    <w:spacing w:line="360" w:lineRule="auto"/>
                  </w:pPr>
                  <w:r>
                    <w:t xml:space="preserve">Diagnóstico, responsabilidad</w:t>
                  </w:r>
                </w:p>
              </w:tc>
            </w:tr>
            <w:tr>
              <w:tc>
                <w:tcPr/>
                <w:p>
                  <w:pPr>
                    <w:pStyle w:val="Compact"/>
                    <w:jc w:val="both"/>
                    <w:jc w:val="center"/>
                    <w:spacing w:line="360" w:lineRule="auto"/>
                  </w:pPr>
                  <w:r>
                    <w:t xml:space="preserve">Coste (</w:t>
                  </w:r>
                  <ns5:oMath>
                    <ns5:r>
                      <ns5:t>C</ns5:t>
                    </ns5:r>
                  </ns5:oMath>
                  <w:r>
                    <w:t xml:space="preserve">)</w:t>
                  </w:r>
                </w:p>
              </w:tc>
              <w:tc>
                <w:tcPr/>
                <w:p>
                  <w:pPr>
                    <w:pStyle w:val="Compact"/>
                    <w:jc w:val="both"/>
                    <w:jc w:val="center"/>
                    <w:spacing w:line="360" w:lineRule="auto"/>
                  </w:pPr>
                  <w:r>
                    <w:t xml:space="preserve">Eficiencia operativa</w:t>
                  </w:r>
                </w:p>
              </w:tc>
              <w:tc>
                <w:tcPr/>
                <w:p>
                  <w:pPr>
                    <w:pStyle w:val="Compact"/>
                    <w:jc w:val="both"/>
                    <w:jc w:val="center"/>
                    <w:spacing w:line="360" w:lineRule="auto"/>
                  </w:pPr>
                  <w:r>
                    <w:t xml:space="preserve">Tiempo de pared por instancia</w:t>
                  </w:r>
                </w:p>
              </w:tc>
              <w:tc>
                <w:tcPr/>
                <w:p>
                  <w:pPr>
                    <w:pStyle w:val="Compact"/>
                    <w:jc w:val="both"/>
                    <w:jc w:val="center"/>
                    <w:spacing w:line="360" w:lineRule="auto"/>
                  </w:pPr>
                  <w:r>
                    <w:t xml:space="preserve">Efficiency</w:t>
                  </w:r>
                </w:p>
              </w:tc>
              <w:tc>
                <w:tcPr/>
                <w:p>
                  <w:pPr>
                    <w:pStyle w:val="Compact"/>
                    <w:jc w:val="both"/>
                    <w:jc w:val="center"/>
                    <w:spacing w:line="360" w:lineRule="auto"/>
                  </w:pPr>
                  <w:r>
                    <w:t xml:space="preserve">Despliegue en tiempo real</w:t>
                  </w:r>
                </w:p>
              </w:tc>
            </w:tr>
          </w:tbl>
          <w:bookmarkEnd w:id="242"/>
          <w:p>
            <w:pPr>
              <w:spacing w:line="360" w:lineRule="auto"/>
              <w:jc w:val="both"/>
            </w:pPr>
          </w:p>
        </w:tc>
      </w:tr>
    </w:tbl>
    <w:p>
      <w:pPr>
        <w:pStyle w:val="Textoindependiente"/>
        <w:spacing w:line="360" w:lineRule="auto"/>
        <w:jc w:val="both"/>
      </w:pPr>
      <w:r>
        <w:t xml:space="preserve">Este mapeo muestra que el benchmark cubre de forma fuerte la evaluación</w:t>
      </w:r>
      <w:r>
        <w:t xml:space="preserve"> </w:t>
      </w:r>
      <w:r>
        <w:t xml:space="preserve">functionally-grounded, pero no cubre directamente los cuadrantes human-centered:</w:t>
      </w:r>
      <w:r>
        <w:t xml:space="preserve"> </w:t>
      </w:r>
      <w:r>
        <w:t xml:space="preserve">plausibilidad, satisfacción, comprehensibilidad y utilidad en tarea humana. Esa</w:t>
      </w:r>
      <w:r>
        <w:t xml:space="preserve"> </w:t>
      </w:r>
      <w:r>
        <w:t xml:space="preserve">ausencia no es una falla del estudio; es una delimitación. La taxonomía permite</w:t>
      </w:r>
      <w:r>
        <w:t xml:space="preserve"> </w:t>
      </w:r>
      <w:r>
        <w:t xml:space="preserve">nombrar el límite con precisión y evita que el resultado estadístico se use para</w:t>
      </w:r>
      <w:r>
        <w:t xml:space="preserve"> </w:t>
      </w:r>
      <w:r>
        <w:t xml:space="preserve">claimar propiedades no medidas.</w:t>
      </w:r>
    </w:p>
    <w:p>
      <w:pPr>
        <w:pStyle w:val="Textoindependiente"/>
        <w:spacing w:line="360" w:lineRule="auto"/>
        <w:jc w:val="both"/>
      </w:pPr>
      <w:r>
        <w:t xml:space="preserve">La</w:t>
      </w:r>
      <w:r>
        <w:t xml:space="preserve"> </w:t>
      </w:r>
      <w:hyperlink w:anchor="fig-taxonomia-ejes">
        <w:r>
          <w:rPr>
            <w:rStyle w:val="Hipervnculo"/>
          </w:rPr>
          <w:t xml:space="preserve">Figura 5.1</w:t>
        </w:r>
      </w:hyperlink>
      <w:r>
        <w:t xml:space="preserve"> </w:t>
      </w:r>
      <w:r>
        <w:t xml:space="preserve">representa los cuatro ejes con sus categorías y el</w:t>
      </w:r>
      <w:r>
        <w:t xml:space="preserve"> </w:t>
      </w:r>
      <w:r>
        <w:t xml:space="preserve">recorrido de cada métrica del benchmark a través de ellos. Las categorías sin</w:t>
      </w:r>
      <w:r>
        <w:t xml:space="preserve"> </w:t>
      </w:r>
      <w:r>
        <w:t xml:space="preserve">ningún recorrido son las que el benchmark no cubre.</w:t>
      </w:r>
    </w:p>
    <w:tbl>
      <w:tblPr>
        <w:tblStyle w:val="Table"/>
        <w:tblW w:type="pct" w:w="5000"/>
        <w:jc w:val="center"/>
        <w:tblLayout w:type="fixed"/>
        <w:tblLook w:firstRow="0" w:lastRow="0" w:firstColumn="0" w:lastColumn="0" w:noHBand="0" w:noVBand="0" w:val="0000"/>
      </w:tblPr>
      <w:tblGrid>
        <w:gridCol w:w="7920"/>
      </w:tblGrid>
      <w:tr>
        <w:tc>
          <w:tcPr/>
          <w:bookmarkStart w:id="246" w:name="fig-taxonomia-ejes"/>
          <w:p>
            <w:pPr>
              <w:pStyle w:val="Compact"/>
              <w:jc w:val="center"/>
              <w:spacing w:line="360" w:lineRule="auto"/>
            </w:pPr>
            <w:r>
              <w:drawing>
                <ns1:inline>
                  <ns1:extent cx="5646420" cy="3868469"/>
                  <ns1:effectExtent b="0" l="0" r="0" t="0"/>
                  <ns1:docPr descr="" title="" id="244" name="Picture"/>
                  <ns2:graphic>
                    <ns2:graphicData uri="http://schemas.openxmlformats.org/drawingml/2006/picture">
                      <ns3:pic>
                        <ns3:nvPicPr>
                          <ns3:cNvPr descr="assets/figures/fig_taxonomia_ejes_es.png" id="245" name="Picture"/>
                          <ns3:cNvPicPr>
                            <ns2:picLocks noChangeArrowheads="1" noChangeAspect="1"/>
                          </ns3:cNvPicPr>
                        </ns3:nvPicPr>
                        <ns3:blipFill>
                          <ns2:blip ns4:embed="rId243"/>
                          <ns2:stretch>
                            <ns2:fillRect/>
                          </ns2:stretch>
                        </ns3:blipFill>
                        <ns3:spPr bwMode="auto">
                          <ns2:xfrm>
                            <ns2:off x="0" y="0"/>
                            <ns2:ext cx="5646420" cy="3868469"/>
                          </ns2:xfrm>
                          <ns2:prstGeom prst="rect">
                            <ns2:avLst/>
                          </ns2:prstGeom>
                          <ns2:noFill/>
                          <ns2:ln w="9525">
                            <ns2:noFill/>
                            <ns2:headEnd/>
                            <ns2:tailEnd/>
                          </ns2:ln>
                        </ns3:spPr>
                      </ns3:pic>
                    </ns2:graphicData>
                  </ns2:graphic>
                </ns1:inline>
              </w:drawing>
            </w:r>
          </w:p>
          <w:p>
            <w:pPr>
              <w:pStyle w:val="ImageCaption"/>
              <w:spacing w:before="200" w:line="360" w:lineRule="auto"/>
              <w:jc w:val="center"/>
            </w:pPr>
            <w:r>
              <w:t xml:space="preserve">Figura 5.1: Los cuatro ejes de la taxonomía, sus categorías y la ubicación de las</w:t>
            </w:r>
            <w:r>
              <w:t xml:space="preserve"> </w:t>
            </w:r>
            <w:r>
              <w:t xml:space="preserve">cinco métricas del benchmark. Cada línea une las categorías que ocupa una</w:t>
            </w:r>
            <w:r>
              <w:t xml:space="preserve"> </w:t>
            </w:r>
            <w:r>
              <w:t xml:space="preserve">métrica en los cuatro ejes, según la</w:t>
            </w:r>
            <w:r>
              <w:t xml:space="preserve"> </w:t>
            </w:r>
            <w:hyperlink w:anchor="tbl-taxonomia-benchmark">
              <w:r>
                <w:rPr>
                  <w:rStyle w:val="Hipervnculo"/>
                </w:rPr>
                <w:t xml:space="preserve">Tabla 5.2</w:t>
              </w:r>
            </w:hyperlink>
            <w:r>
              <w:t xml:space="preserve">. En gris, las</w:t>
            </w:r>
            <w:r>
              <w:t xml:space="preserve"> </w:t>
            </w:r>
            <w:r>
              <w:t xml:space="preserve">categorías que el benchmark no cubre: comparación con verdad-terreno, estudio</w:t>
            </w:r>
            <w:r>
              <w:t xml:space="preserve"> </w:t>
            </w:r>
            <w:r>
              <w:t xml:space="preserve">con usuario, completitud y equidad. Fuente: elaboración propia.</w:t>
            </w:r>
          </w:p>
          <w:bookmarkEnd w:id="246"/>
        </w:tc>
      </w:tr>
    </w:tbl>
    <w:bookmarkEnd w:id="247"/>
    <w:bookmarkStart w:id="248" w:name="sec-taxonomia-brechas"/>
    <w:p>
      <w:pPr>
        <w:pStyle w:val="Ttulo2"/>
        <w:spacing w:line="360" w:lineRule="auto"/>
        <w:jc w:val="both"/>
      </w:pPr>
      <w:r>
        <w:t xml:space="preserve">5.6 </w:t>
      </w:r>
      <w:r>
        <w:t xml:space="preserve">Brechas de constructo que la taxonomía hace explícitas</w:t>
      </w:r>
    </w:p>
    <w:p>
      <w:pPr>
        <w:pStyle w:val="FirstParagraph"/>
        <w:spacing w:line="360" w:lineRule="auto"/>
        <w:jc w:val="both"/>
      </w:pPr>
      <w:r>
        <w:t xml:space="preserve">El mapeo anterior no solo localiza lo que el benchmark mide: delimita lo que no</w:t>
      </w:r>
      <w:r>
        <w:t xml:space="preserve"> </w:t>
      </w:r>
      <w:r>
        <w:t xml:space="preserve">mide y por qué. Las tres brechas siguientes se derivan de esa delimitación y se</w:t>
      </w:r>
      <w:r>
        <w:t xml:space="preserve"> </w:t>
      </w:r>
      <w:r>
        <w:t xml:space="preserve">numeran aquí porque el resto de la tesis se refiere a ellas de forma abreviada.</w:t>
      </w:r>
      <w:r>
        <w:t xml:space="preserve"> </w:t>
      </w:r>
      <w:r>
        <w:t xml:space="preserve">No son defectos del diseño experimental, sino distancias estructurales entre lo</w:t>
      </w:r>
      <w:r>
        <w:t xml:space="preserve"> </w:t>
      </w:r>
      <w:r>
        <w:t xml:space="preserve">que una métrica computa y lo que un claim pretende afirmar.</w:t>
      </w:r>
    </w:p>
    <w:p>
      <w:pPr>
        <w:pStyle w:val="Textoindependiente"/>
        <w:spacing w:line="360" w:lineRule="auto"/>
        <w:jc w:val="both"/>
      </w:pPr>
      <w:r>
        <w:rPr>
          <w:b/>
          <w:bCs/>
        </w:rPr>
        <w:t xml:space="preserve">Brecha 1 — Distancia entre proxy y constructo.</w:t>
      </w:r>
      <w:r>
        <w:t xml:space="preserve"> </w:t>
      </w:r>
      <w:r>
        <w:t xml:space="preserve">Ninguna de las cinco métricas</w:t>
      </w:r>
      <w:r>
        <w:t xml:space="preserve"> </w:t>
      </w:r>
      <w:r>
        <w:t xml:space="preserve">del benchmark mide el constructo que su nombre sugiere en sentido pleno: la</w:t>
      </w:r>
      <w:r>
        <w:t xml:space="preserve"> </w:t>
      </w:r>
      <w:r>
        <w:t xml:space="preserve">fidelidad por correlación de importancias no autoriza a afirmar utilidad humana,</w:t>
      </w:r>
      <w:r>
        <w:t xml:space="preserve"> </w:t>
      </w:r>
      <w:r>
        <w:t xml:space="preserve">la estabilidad bajo perturbación no prueba causalidad, una regla Anchor de alta</w:t>
      </w:r>
      <w:r>
        <w:t xml:space="preserve"> </w:t>
      </w:r>
      <w:r>
        <w:t xml:space="preserve">precisión no garantiza cobertura amplia y un contrafactual válido para el modelo</w:t>
      </w:r>
      <w:r>
        <w:t xml:space="preserve"> </w:t>
      </w:r>
      <w:r>
        <w:t xml:space="preserve">no es necesariamente accionable para la persona (Capítulo 2). La brecha se</w:t>
      </w:r>
      <w:r>
        <w:t xml:space="preserve"> </w:t>
      </w:r>
      <w:r>
        <w:t xml:space="preserve">agrava cuando la métrica produce una cifra fácil de tabular, porque la forma</w:t>
      </w:r>
      <w:r>
        <w:t xml:space="preserve"> </w:t>
      </w:r>
      <w:r>
        <w:t xml:space="preserve">tabular sugiere una objetividad mayor que la disponible. La taxonomía la</w:t>
      </w:r>
      <w:r>
        <w:t xml:space="preserve"> </w:t>
      </w:r>
      <w:r>
        <w:t xml:space="preserve">gestiona obligando a que cada métrica declare su alcance inferencial admisible</w:t>
      </w:r>
      <w:r>
        <w:t xml:space="preserve"> </w:t>
      </w:r>
      <w:r>
        <w:t xml:space="preserve">en la columna correspondiente de la Tabla</w:t>
      </w:r>
      <w:r>
        <w:t xml:space="preserve"> </w:t>
      </w:r>
      <w:hyperlink w:anchor="tbl-taxonomia-ampliada">
        <w:r>
          <w:rPr>
            <w:rStyle w:val="Hipervnculo"/>
          </w:rPr>
          <w:t xml:space="preserve">5.1</w:t>
        </w:r>
      </w:hyperlink>
      <w:r>
        <w:t xml:space="preserve">.</w:t>
      </w:r>
    </w:p>
    <w:p>
      <w:pPr>
        <w:pStyle w:val="Textoindependiente"/>
        <w:spacing w:line="360" w:lineRule="auto"/>
        <w:jc w:val="both"/>
      </w:pPr>
      <w:r>
        <w:rPr>
          <w:b/>
          <w:bCs/>
        </w:rPr>
        <w:t xml:space="preserve">Brecha 2 — Ausencia de evidencia human-grounded y application-grounded.</w:t>
      </w:r>
      <w:r>
        <w:t xml:space="preserve"> </w:t>
      </w:r>
      <w:r>
        <w:t xml:space="preserve">El</w:t>
      </w:r>
      <w:r>
        <w:t xml:space="preserve"> </w:t>
      </w:r>
      <w:r>
        <w:t xml:space="preserve">mapeo de la Tabla</w:t>
      </w:r>
      <w:r>
        <w:t xml:space="preserve"> </w:t>
      </w:r>
      <w:hyperlink w:anchor="tbl-taxonomia-benchmark">
        <w:r>
          <w:rPr>
            <w:rStyle w:val="Hipervnculo"/>
          </w:rPr>
          <w:t xml:space="preserve">5.2</w:t>
        </w:r>
      </w:hyperlink>
      <w:r>
        <w:t xml:space="preserve"> </w:t>
      </w:r>
      <w:r>
        <w:t xml:space="preserve">muestra que las cinco métricas se</w:t>
      </w:r>
      <w:r>
        <w:t xml:space="preserve"> </w:t>
      </w:r>
      <w:r>
        <w:t xml:space="preserve">concentran en dos fuentes de evidencia —enmascaramiento y perturbación— y dejan</w:t>
      </w:r>
      <w:r>
        <w:t xml:space="preserve"> </w:t>
      </w:r>
      <w:r>
        <w:t xml:space="preserve">vacías las celdas de</w:t>
      </w:r>
      <w:r>
        <w:t xml:space="preserve"> </w:t>
      </w:r>
      <w:r>
        <w:rPr>
          <w:i/>
          <w:iCs/>
        </w:rPr>
        <w:t xml:space="preserve">estudio con usuario</w:t>
      </w:r>
      <w:r>
        <w:t xml:space="preserve"> </w:t>
      </w:r>
      <w:r>
        <w:t xml:space="preserve">y</w:t>
      </w:r>
      <w:r>
        <w:t xml:space="preserve"> </w:t>
      </w:r>
      <w:r>
        <w:rPr>
          <w:i/>
          <w:iCs/>
        </w:rPr>
        <w:t xml:space="preserve">comparación con verdad-terreno</w:t>
      </w:r>
      <w:r>
        <w:t xml:space="preserve">.</w:t>
      </w:r>
      <w:r>
        <w:t xml:space="preserve"> </w:t>
      </w:r>
      <w:r>
        <w:t xml:space="preserve">En consecuencia, plausibilidad, comprensibilidad, satisfacción y utilidad en</w:t>
      </w:r>
      <w:r>
        <w:t xml:space="preserve"> </w:t>
      </w:r>
      <w:r>
        <w:t xml:space="preserve">tarea quedan fuera del alcance de los dos estudios empíricos. Esta brecha es de</w:t>
      </w:r>
      <w:r>
        <w:t xml:space="preserve"> </w:t>
      </w:r>
      <w:r>
        <w:t xml:space="preserve">cobertura, no de validez: se cierra añadiendo estudios con participantes</w:t>
      </w:r>
      <w:r>
        <w:t xml:space="preserve"> </w:t>
      </w:r>
      <w:r>
        <w:t xml:space="preserve">humanos, no reinterpretando las métricas existentes.</w:t>
      </w:r>
    </w:p>
    <w:p>
      <w:pPr>
        <w:pStyle w:val="Textoindependiente"/>
        <w:spacing w:line="360" w:lineRule="auto"/>
        <w:jc w:val="both"/>
      </w:pPr>
      <w:r>
        <w:rPr>
          <w:b/>
          <w:bCs/>
        </w:rPr>
        <w:t xml:space="preserve">Brecha 3 — La evaluación semántica crece más rápido que su base de validación</w:t>
      </w:r>
      <w:r>
        <w:rPr>
          <w:b/>
          <w:bCs/>
        </w:rPr>
        <w:t xml:space="preserve"> </w:t>
      </w:r>
      <w:r>
        <w:rPr>
          <w:b/>
          <w:bCs/>
        </w:rPr>
        <w:t xml:space="preserve">empírica.</w:t>
      </w:r>
      <w:r>
        <w:t xml:space="preserve"> </w:t>
      </w:r>
      <w:r>
        <w:t xml:space="preserve">La respuesta natural a la Brecha 2 ha sido delegar el juicio</w:t>
      </w:r>
      <w:r>
        <w:t xml:space="preserve"> </w:t>
      </w:r>
      <w:r>
        <w:t xml:space="preserve">semántico en evaluadores automáticos —crecientemente, jueces LLM— que prometen</w:t>
      </w:r>
      <w:r>
        <w:t xml:space="preserve"> </w:t>
      </w:r>
      <w:r>
        <w:t xml:space="preserve">aproximar el criterio humano sin el coste de un estudio con participantes. El</w:t>
      </w:r>
      <w:r>
        <w:t xml:space="preserve"> </w:t>
      </w:r>
      <w:r>
        <w:t xml:space="preserve">problema es que esos evaluadores se adoptan como instrumento de medida antes de</w:t>
      </w:r>
      <w:r>
        <w:t xml:space="preserve"> </w:t>
      </w:r>
      <w:r>
        <w:t xml:space="preserve">que su fiabilidad haya sido establecida: se usan para puntuar explicaciones sin</w:t>
      </w:r>
      <w:r>
        <w:t xml:space="preserve"> </w:t>
      </w:r>
      <w:r>
        <w:t xml:space="preserve">que exista evidencia de que dos jueces independientes puntúan igual la misma</w:t>
      </w:r>
      <w:r>
        <w:t xml:space="preserve"> </w:t>
      </w:r>
      <w:r>
        <w:t xml:space="preserve">explicación. La brecha, por tanto, no es de cobertura sino de calibración del</w:t>
      </w:r>
      <w:r>
        <w:t xml:space="preserve"> </w:t>
      </w:r>
      <w:r>
        <w:t xml:space="preserve">instrumento, y es contrastable empíricamente. EXP4 la contrasta y la confirma en</w:t>
      </w:r>
      <w:r>
        <w:t xml:space="preserve"> </w:t>
      </w:r>
      <w:r>
        <w:t xml:space="preserve">§</w:t>
      </w:r>
      <w:hyperlink w:anchor="sec-exp4-fiabilidad">
        <w:r>
          <w:rPr>
            <w:rStyle w:val="Hipervnculo"/>
          </w:rPr>
          <w:t xml:space="preserve">5.8</w:t>
        </w:r>
      </w:hyperlink>
      <w:r>
        <w:t xml:space="preserve">.</w:t>
      </w:r>
    </w:p>
    <w:bookmarkEnd w:id="248"/>
    <w:bookmarkStart w:id="249" w:name="sec-taxonomia-contribucion"/>
    <w:p>
      <w:pPr>
        <w:pStyle w:val="Ttulo2"/>
        <w:spacing w:line="360" w:lineRule="auto"/>
        <w:jc w:val="both"/>
      </w:pPr>
      <w:r>
        <w:t xml:space="preserve">5.7 </w:t>
      </w:r>
      <w:r>
        <w:t xml:space="preserve">Contribución teórica de la taxonomía</w:t>
      </w:r>
    </w:p>
    <w:p>
      <w:pPr>
        <w:pStyle w:val="FirstParagraph"/>
        <w:spacing w:line="360" w:lineRule="auto"/>
        <w:jc w:val="both"/>
      </w:pPr>
      <w:r>
        <w:t xml:space="preserve">El valor de la taxonomía no es meramente descriptivo. Permite derivar dos</w:t>
      </w:r>
      <w:r>
        <w:t xml:space="preserve"> </w:t>
      </w:r>
      <w:r>
        <w:t xml:space="preserve">afirmaciones con implicaciones directas para el diseño de futuros benchmarks.</w:t>
      </w:r>
    </w:p>
    <w:p>
      <w:pPr>
        <w:pStyle w:val="Textoindependiente"/>
        <w:spacing w:line="360" w:lineRule="auto"/>
        <w:jc w:val="both"/>
      </w:pPr>
      <w:r>
        <w:t xml:space="preserve">Primero, las propiedades del eje de calidad no son redundantes. La evidencia</w:t>
      </w:r>
      <w:r>
        <w:t xml:space="preserve"> </w:t>
      </w:r>
      <w:r>
        <w:t xml:space="preserve">empírica de esta tesis muestra que fidelidad y estabilidad son disociables:</w:t>
      </w:r>
      <w:r>
        <w:t xml:space="preserve"> </w:t>
      </w:r>
      <w:r>
        <w:t xml:space="preserve">LIME obtiene una fidelidad media moderada y una estabilidad prácticamente nula.</w:t>
      </w:r>
      <w:r>
        <w:t xml:space="preserve"> </w:t>
      </w:r>
      <w:r>
        <w:t xml:space="preserve">Esta disociación habría sido invisible en un benchmark mono-métrico de</w:t>
      </w:r>
      <w:r>
        <w:t xml:space="preserve"> </w:t>
      </w:r>
      <w:r>
        <w:t xml:space="preserve">fidelidad, lo que confirma que la evaluación multi-métrica organizada por</w:t>
      </w:r>
      <w:r>
        <w:t xml:space="preserve"> </w:t>
      </w:r>
      <w:r>
        <w:t xml:space="preserve">constructos es necesaria para detectar perfiles de riesgo ocultos</w:t>
      </w:r>
      <w:r>
        <w:t xml:space="preserve"> </w:t>
      </w:r>
      <w:r>
        <w:t xml:space="preserve">(Bhattacharya y Verbert 2024; Pawlicki et al. 2024)</w:t>
      </w:r>
      <w:r>
        <w:t xml:space="preserve">.</w:t>
      </w:r>
    </w:p>
    <w:p>
      <w:pPr>
        <w:pStyle w:val="Textoindependiente"/>
        <w:spacing w:line="360" w:lineRule="auto"/>
        <w:jc w:val="both"/>
      </w:pPr>
      <w:r>
        <w:t xml:space="preserve">Segundo, la taxonomía convierte las limitaciones en información científica. Al</w:t>
      </w:r>
      <w:r>
        <w:t xml:space="preserve"> </w:t>
      </w:r>
      <w:r>
        <w:t xml:space="preserve">mostrar que el benchmark no incluye estudios con usuario ni validación causal</w:t>
      </w:r>
      <w:r>
        <w:t xml:space="preserve"> </w:t>
      </w:r>
      <w:r>
        <w:t xml:space="preserve">externa, evita sobreinterpretar los resultados y define qué evidencia sería</w:t>
      </w:r>
      <w:r>
        <w:t xml:space="preserve"> </w:t>
      </w:r>
      <w:r>
        <w:t xml:space="preserve">necesaria para ampliar los claims. Así, FOM-7 y la taxonomía se refuerzan</w:t>
      </w:r>
      <w:r>
        <w:t xml:space="preserve"> </w:t>
      </w:r>
      <w:r>
        <w:t xml:space="preserve">mutuamente: FOM-7 gobierna el flujo de evidencia; la taxonomía gobierna el</w:t>
      </w:r>
      <w:r>
        <w:t xml:space="preserve"> </w:t>
      </w:r>
      <w:r>
        <w:t xml:space="preserve">significado de esa evidencia.</w:t>
      </w:r>
    </w:p>
    <w:p>
      <w:pPr>
        <w:pStyle w:val="Textoindependiente"/>
        <w:spacing w:line="360" w:lineRule="auto"/>
        <w:jc w:val="both"/>
      </w:pPr>
      <w:r>
        <w:t xml:space="preserve">En consecuencia, la taxonomía debe entenderse como una operacionalización</w:t>
      </w:r>
      <w:r>
        <w:t xml:space="preserve"> </w:t>
      </w:r>
      <w:r>
        <w:t xml:space="preserve">doctoral del espacio de evaluación XAI. No reemplaza los marcos existentes; los</w:t>
      </w:r>
      <w:r>
        <w:t xml:space="preserve"> </w:t>
      </w:r>
      <w:r>
        <w:t xml:space="preserve">integra para que cada métrica usada en la tesis tenga una ubicación conceptual,</w:t>
      </w:r>
      <w:r>
        <w:t xml:space="preserve"> </w:t>
      </w:r>
      <w:r>
        <w:t xml:space="preserve">un alcance inferencial y una relación explícita con los resultados empíricos.</w:t>
      </w:r>
    </w:p>
    <w:bookmarkEnd w:id="249"/>
    <w:bookmarkStart w:id="256" w:name="sec-exp4-fiabilidad"/>
    <w:p>
      <w:pPr>
        <w:pStyle w:val="Ttulo2"/>
        <w:spacing w:line="360" w:lineRule="auto"/>
        <w:jc w:val="both"/>
      </w:pPr>
      <w:r>
        <w:t xml:space="preserve">5.8 </w:t>
      </w:r>
      <w:r>
        <w:t xml:space="preserve">Estudio de Fiabilidad Inter-juez (EXP4)</w:t>
      </w:r>
    </w:p>
    <w:p>
      <w:pPr>
        <w:pStyle w:val="FirstParagraph"/>
        <w:spacing w:line="360" w:lineRule="auto"/>
        <w:jc w:val="both"/>
      </w:pPr>
      <w:r>
        <w:t xml:space="preserve">La Brecha 3 (§</w:t>
      </w:r>
      <w:hyperlink w:anchor="sec-taxonomia-brechas">
        <w:r>
          <w:rPr>
            <w:rStyle w:val="Hipervnculo"/>
          </w:rPr>
          <w:t xml:space="preserve">5.6</w:t>
        </w:r>
      </w:hyperlink>
      <w:r>
        <w:t xml:space="preserve">) identifica que la evaluación semántica</w:t>
      </w:r>
      <w:r>
        <w:t xml:space="preserve"> </w:t>
      </w:r>
      <w:r>
        <w:t xml:space="preserve">crece más rápido que su base de validación empírica. EXP4 (diseñado en</w:t>
      </w:r>
      <w:r>
        <w:t xml:space="preserve"> </w:t>
      </w:r>
      <w:r>
        <w:t xml:space="preserve">§</w:t>
      </w:r>
      <w:hyperlink w:anchor="sec-exp4-diseno">
        <w:r>
          <w:rPr>
            <w:rStyle w:val="Hipervnculo"/>
          </w:rPr>
          <w:t xml:space="preserve">3.11.2</w:t>
        </w:r>
      </w:hyperlink>
      <w:r>
        <w:t xml:space="preserve">, Capítulo 3)</w:t>
      </w:r>
      <w:r>
        <w:t xml:space="preserve"> </w:t>
      </w:r>
      <w:r>
        <w:t xml:space="preserve">cuantifica directamente esa brecha: mide si los jueces LLM actuales alcanzan la</w:t>
      </w:r>
      <w:r>
        <w:t xml:space="preserve"> </w:t>
      </w:r>
      <w:r>
        <w:t xml:space="preserve">convergencia inter-juez necesaria para operar como evidencia confirmativa.</w:t>
      </w:r>
    </w:p>
    <w:p>
      <w:pPr>
        <w:pStyle w:val="Textoindependiente"/>
        <w:spacing w:line="360" w:lineRule="auto"/>
        <w:jc w:val="both"/>
      </w:pPr>
      <w:r>
        <w:rPr>
          <w:b/>
          <w:bCs/>
        </w:rPr>
        <w:t xml:space="preserve">Resultados.</w:t>
      </w:r>
      <w:r>
        <w:t xml:space="preserve"> </w:t>
      </w:r>
      <w:r>
        <w:t xml:space="preserve">La Tabla</w:t>
      </w:r>
      <w:r>
        <w:t xml:space="preserve"> </w:t>
      </w:r>
      <w:hyperlink w:anchor="tbl-exp4-icc">
        <w:r>
          <w:rPr>
            <w:rStyle w:val="Hipervnculo"/>
          </w:rPr>
          <w:t xml:space="preserve">5.3</w:t>
        </w:r>
      </w:hyperlink>
      <w:r>
        <w:t xml:space="preserve"> </w:t>
      </w:r>
      <w:r>
        <w:t xml:space="preserve">reporta ICC(1,1) y</w:t>
      </w:r>
      <w:r>
        <w:t xml:space="preserve"> </w:t>
      </w:r>
      <ns5:oMath>
        <ns5:r>
          <ns5:t>α</ns5:t>
        </ns5:r>
      </ns5:oMath>
      <w:r>
        <w:t xml:space="preserve"> </w:t>
      </w:r>
      <w:r>
        <w:t xml:space="preserve">de</w:t>
      </w:r>
      <w:r>
        <w:t xml:space="preserve"> </w:t>
      </w:r>
      <w:r>
        <w:t xml:space="preserve">Krippendorff por dimensión para los tres jueces LLM de la cohorte original. Los dos estadísticos se</w:t>
      </w:r>
      <w:r>
        <w:t xml:space="preserve"> </w:t>
      </w:r>
      <w:r>
        <w:t xml:space="preserve">calculan sobre conjuntos de casos distintos: el ICC se obtiene de una</w:t>
      </w:r>
      <w:r>
        <w:t xml:space="preserve"> </w:t>
      </w:r>
      <w:r>
        <w:t xml:space="preserve">descomposición unidireccional de efectos aleatorios, que exige una matriz completa</w:t>
      </w:r>
      <w:r>
        <w:t xml:space="preserve"> </w:t>
      </w:r>
      <w:r>
        <w:t xml:space="preserve">de casos</w:t>
      </w:r>
      <w:r>
        <w:t xml:space="preserve"> </w:t>
      </w:r>
      <ns5:oMath>
        <ns5:r>
          <ns5:rPr>
            <ns5:sty ns5:val="p"/>
          </ns5:rPr>
          <ns5:t>×</ns5:t>
        </ns5:r>
      </ns5:oMath>
      <w:r>
        <w:t xml:space="preserve"> </w:t>
      </w:r>
      <w:r>
        <w:t xml:space="preserve">jueces y se restringe por tanto a los</w:t>
      </w:r>
      <w:r>
        <w:t xml:space="preserve"> </w:t>
      </w:r>
      <ns5:oMath>
        <ns5:r>
          <ns5:t>n</ns5:t>
        </ns5:r>
        <ns5:r>
          <ns5:rPr>
            <ns5:sty ns5:val="p"/>
          </ns5:rPr>
          <ns5:t>=</ns5:t>
        </ns5:r>
        <ns5:r>
          <ns5:t>147</ns5:t>
        </ns5:r>
      </ns5:oMath>
      <w:r>
        <w:t xml:space="preserve"> </w:t>
      </w:r>
      <w:r>
        <w:t xml:space="preserve">casos</w:t>
      </w:r>
      <w:r>
        <w:t xml:space="preserve"> </w:t>
      </w:r>
      <w:r>
        <w:t xml:space="preserve">puntuados por los tres jueces, mientras que</w:t>
      </w:r>
      <w:r>
        <w:t xml:space="preserve"> </w:t>
      </w:r>
      <ns5:oMath>
        <ns5:r>
          <ns5:t>α</ns5:t>
        </ns5:r>
      </ns5:oMath>
      <w:r>
        <w:t xml:space="preserve"> </w:t>
      </w:r>
      <w:r>
        <w:t xml:space="preserve">de Krippendorff tolera</w:t>
      </w:r>
      <w:r>
        <w:t xml:space="preserve"> </w:t>
      </w:r>
      <w:r>
        <w:t xml:space="preserve">puntuaciones ausentes y se calcula sobre el conjunto más amplio de</w:t>
      </w:r>
      <w:r>
        <w:t xml:space="preserve"> </w:t>
      </w:r>
      <ns5:oMath>
        <ns5:r>
          <ns5:t>n</ns5:t>
        </ns5:r>
        <ns5:r>
          <ns5:rPr>
            <ns5:sty ns5:val="p"/>
          </ns5:rPr>
          <ns5:t>=</ns5:t>
        </ns5:r>
        <ns5:r>
          <ns5:t>192</ns5:t>
        </ns5:r>
      </ns5:oMath>
      <w:r>
        <w:t xml:space="preserve"> </w:t>
      </w:r>
      <w:r>
        <w:t xml:space="preserve">casos, que incluye aquellos con al menos una puntuación de juez faltante.</w:t>
      </w:r>
      <w:r>
        <w:t xml:space="preserve"> </w:t>
      </w:r>
      <w:r>
        <w:t xml:space="preserve">Ninguna dimensión alcanza el umbral de fiabilidad aceptable (</w:t>
      </w:r>
      <ns5:oMath>
        <ns5:r>
          <ns5:rPr>
            <ns5:sty ns5:val="p"/>
          </ns5:rPr>
          <ns5:t>≥</ns5:t>
        </ns5:r>
        <ns5:r>
          <ns5:t>0.75</ns5:t>
        </ns5:r>
      </ns5:oMath>
      <w:r>
        <w:t xml:space="preserve">)</w:t>
      </w:r>
      <w:r>
        <w:t xml:space="preserve"> </w:t>
      </w:r>
      <w:r>
        <w:t xml:space="preserve">(Koo y Li 2016)</w:t>
      </w:r>
      <w:r>
        <w:t xml:space="preserve">.</w:t>
      </w:r>
    </w:p>
    <w:tbl>
      <w:tblPr>
        <w:tblStyle w:val="Table"/>
        <w:tblW w:type="pct" w:w="5000"/>
        <w:jc w:val="center"/>
        <w:tblLayout w:type="fixed"/>
        <w:tblLook w:firstRow="0" w:lastRow="0" w:firstColumn="0" w:lastColumn="0" w:noHBand="0" w:noVBand="0" w:val="0000"/>
      </w:tblPr>
      <w:tblGrid>
        <w:gridCol w:w="7920"/>
      </w:tblGrid>
      <w:tr>
        <w:tc>
          <w:tcPr/>
          <w:bookmarkStart w:id="250" w:name="tbl-exp4-icc"/>
          <w:p>
            <w:pPr>
              <w:pStyle w:val="ImageCaption"/>
              <w:spacing w:before="200" w:line="360" w:lineRule="auto"/>
              <w:jc w:val="center"/>
            </w:pPr>
            <w:r>
              <w:t xml:space="preserve">Tabla 5.3: Fiabilidad inter-juez LLM en siete dimensiones semánticas (EXP4, cohorte original; ICC sobre</w:t>
            </w:r>
            <w:r>
              <w:t xml:space="preserve"> </w:t>
            </w:r>
            <ns5:oMath>
              <ns5:r>
                <ns5:t>n</ns5:t>
              </ns5:r>
              <ns5:r>
                <ns5:rPr>
                  <ns5:sty ns5:val="p"/>
                </ns5:rPr>
                <ns5:t>=</ns5:t>
              </ns5:r>
              <ns5:r>
                <ns5:t>147</ns5:t>
              </ns5:r>
            </ns5:oMath>
            <w:r>
              <w:t xml:space="preserve"> </w:t>
            </w:r>
            <w:r>
              <w:t xml:space="preserve">casos con puntuación completa,</w:t>
            </w:r>
            <w:r>
              <w:t xml:space="preserve"> </w:t>
            </w:r>
            <ns5:oMath>
              <ns5:r>
                <ns5:t>α</ns5:t>
              </ns5:r>
            </ns5:oMath>
            <w:r>
              <w:t xml:space="preserve"> </w:t>
            </w:r>
            <w:r>
              <w:t xml:space="preserve">de Krippendorff sobre</w:t>
            </w:r>
            <w:r>
              <w:t xml:space="preserve"> </w:t>
            </w:r>
            <ns5:oMath>
              <ns5:r>
                <ns5:t>n</ns5:t>
              </ns5:r>
              <ns5:r>
                <ns5:rPr>
                  <ns5:sty ns5:val="p"/>
                </ns5:rPr>
                <ns5:t>=</ns5:t>
              </ns5:r>
              <ns5:r>
                <ns5:t>192</ns5:t>
              </ns5:r>
            </ns5:oMath>
            <w:r>
              <w:t xml:space="preserve"> </w:t>
            </w:r>
            <w:r>
              <w:t xml:space="preserve">casos —véase el texto—; 3 jueces LLM). ICC(1,1): modelo unidireccional</w:t>
            </w:r>
            <w:r>
              <w:t xml:space="preserve"> </w:t>
            </w:r>
            <w:r>
              <w:t xml:space="preserve">de efectos aleatorios, evaluador único. Un modelo unidireccional trata los</w:t>
            </w:r>
            <w:r>
              <w:t xml:space="preserve"> </w:t>
            </w:r>
            <w:r>
              <w:t xml:space="preserve">sesgos sistemáticos entre jueces como error y no como efecto separable, por lo</w:t>
            </w:r>
            <w:r>
              <w:t xml:space="preserve"> </w:t>
            </w:r>
            <w:r>
              <w:t xml:space="preserve">que estos valores son conservadores respecto de ICC(2,1). Ninguna dimensión alcanza el</w:t>
            </w:r>
            <w:r>
              <w:t xml:space="preserve"> </w:t>
            </w:r>
            <w:r>
              <w:t xml:space="preserve">umbral aceptable</w:t>
            </w:r>
            <w:r>
              <w:t xml:space="preserve"> </w:t>
            </w:r>
            <ns5:oMath>
              <ns5:r>
                <ns5:rPr>
                  <ns5:sty ns5:val="p"/>
                </ns5:rPr>
                <ns5:t>≥</ns5:t>
              </ns5:r>
              <ns5:r>
                <ns5:t>0.75</ns5:t>
              </ns5:r>
            </ns5:oMath>
            <w:r>
              <w:t xml:space="preserve"> </w:t>
            </w:r>
            <w:r>
              <w:t xml:space="preserve">(Koo y Li 2016)</w:t>
            </w:r>
            <w:r>
              <w:t xml:space="preserve">.</w:t>
            </w:r>
          </w:p>
          <w:tbl>
            <w:tblPr>
              <w:tblStyle w:val="Table"/>
              <w:tblW w:type="auto" w:w="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firstRow="1" w:lastRow="0" w:firstColumn="0" w:lastColumn="0" w:noHBand="0" w:noVBand="0" w:val="0020"/>
            </w:tblPr>
            <w:tblGrid>
              <w:gridCol w:w="2640"/>
              <w:gridCol w:w="2640"/>
              <w:gridCol w:w="2640"/>
            </w:tblGrid>
            <w:tr>
              <w:trPr>
                <w:tblHeader w:val="on"/>
              </w:trPr>
              <w:tc>
                <w:tcPr/>
                <w:p>
                  <w:pPr>
                    <w:pStyle w:val="Compact"/>
                    <w:jc w:val="both"/>
                    <w:jc w:val="center"/>
                    <w:spacing w:line="360" w:lineRule="auto"/>
                  </w:pPr>
                  <w:r>
                    <w:rPr>
                      <w:bCs/>
                      <w:b/>
                    </w:rPr>
                    <w:t xml:space="preserve">Dimensión</w:t>
                  </w:r>
                </w:p>
              </w:tc>
              <w:tc>
                <w:tcPr/>
                <w:p>
                  <w:pPr>
                    <w:pStyle w:val="Compact"/>
                    <w:jc w:val="both"/>
                    <w:jc w:val="center"/>
                    <w:spacing w:line="360" w:lineRule="auto"/>
                  </w:pPr>
                  <w:r>
                    <w:rPr>
                      <w:bCs/>
                      <w:b/>
                    </w:rPr>
                    <w:t xml:space="preserve">ICC(1,1)</w:t>
                  </w:r>
                </w:p>
              </w:tc>
              <w:tc>
                <w:tcPr/>
                <w:p>
                  <w:pPr>
                    <w:pStyle w:val="Compact"/>
                    <w:jc w:val="both"/>
                    <w:jc w:val="center"/>
                    <w:spacing w:line="360" w:lineRule="auto"/>
                  </w:pPr>
                  <w:r>
                    <w:rPr>
                      <w:bCs/>
                      <w:b/>
                    </w:rPr>
                    <w:t xml:space="preserve">Krippendorff</w:t>
                  </w:r>
                  <w:r>
                    <w:rPr>
                      <w:bCs/>
                      <w:b/>
                    </w:rPr>
                    <w:t xml:space="preserve"> </w:t>
                  </w:r>
                  <ns5:oMath>
                    <ns5:r>
                      <ns5:t>α</ns5:t>
                    </ns5:r>
                  </ns5:oMath>
                </w:p>
              </w:tc>
            </w:tr>
            <w:tr>
              <w:tc>
                <w:tcPr/>
                <w:p>
                  <w:pPr>
                    <w:pStyle w:val="Compact"/>
                    <w:jc w:val="both"/>
                    <w:jc w:val="center"/>
                    <w:spacing w:line="360" w:lineRule="auto"/>
                  </w:pPr>
                  <w:r>
                    <w:t xml:space="preserve">Claridad</w:t>
                  </w:r>
                </w:p>
              </w:tc>
              <w:tc>
                <w:tcPr/>
                <w:p>
                  <w:pPr>
                    <w:pStyle w:val="Compact"/>
                    <w:jc w:val="both"/>
                    <w:jc w:val="center"/>
                    <w:spacing w:line="360" w:lineRule="auto"/>
                  </w:pPr>
                  <w:r>
                    <w:t xml:space="preserve">0.321</w:t>
                  </w:r>
                </w:p>
              </w:tc>
              <w:tc>
                <w:tcPr/>
                <w:p>
                  <w:pPr>
                    <w:pStyle w:val="Compact"/>
                    <w:jc w:val="both"/>
                    <w:jc w:val="center"/>
                    <w:spacing w:line="360" w:lineRule="auto"/>
                  </w:pPr>
                  <w:r>
                    <w:t xml:space="preserve">0.278</w:t>
                  </w:r>
                </w:p>
              </w:tc>
            </w:tr>
            <w:tr>
              <w:tc>
                <w:tcPr/>
                <w:p>
                  <w:pPr>
                    <w:pStyle w:val="Compact"/>
                    <w:jc w:val="both"/>
                    <w:jc w:val="center"/>
                    <w:spacing w:line="360" w:lineRule="auto"/>
                  </w:pPr>
                  <w:r>
                    <w:t xml:space="preserve">Concisión</w:t>
                  </w:r>
                </w:p>
              </w:tc>
              <w:tc>
                <w:tcPr/>
                <w:p>
                  <w:pPr>
                    <w:pStyle w:val="Compact"/>
                    <w:jc w:val="both"/>
                    <w:jc w:val="center"/>
                    <w:spacing w:line="360" w:lineRule="auto"/>
                  </w:pPr>
                  <w:r>
                    <w:t xml:space="preserve">0.453</w:t>
                  </w:r>
                </w:p>
              </w:tc>
              <w:tc>
                <w:tcPr/>
                <w:p>
                  <w:pPr>
                    <w:pStyle w:val="Compact"/>
                    <w:jc w:val="both"/>
                    <w:jc w:val="center"/>
                    <w:spacing w:line="360" w:lineRule="auto"/>
                  </w:pPr>
                  <w:r>
                    <w:t xml:space="preserve">0.409</w:t>
                  </w:r>
                </w:p>
              </w:tc>
            </w:tr>
            <w:tr>
              <w:tc>
                <w:tcPr/>
                <w:p>
                  <w:pPr>
                    <w:pStyle w:val="Compact"/>
                    <w:jc w:val="both"/>
                    <w:jc w:val="center"/>
                    <w:spacing w:line="360" w:lineRule="auto"/>
                  </w:pPr>
                  <w:r>
                    <w:t xml:space="preserve">Accionabilidad</w:t>
                  </w:r>
                </w:p>
              </w:tc>
              <w:tc>
                <w:tcPr/>
                <w:p>
                  <w:pPr>
                    <w:pStyle w:val="Compact"/>
                    <w:jc w:val="both"/>
                    <w:jc w:val="center"/>
                    <w:spacing w:line="360" w:lineRule="auto"/>
                  </w:pPr>
                  <w:r>
                    <w:t xml:space="preserve">0.400</w:t>
                  </w:r>
                </w:p>
              </w:tc>
              <w:tc>
                <w:tcPr/>
                <w:p>
                  <w:pPr>
                    <w:pStyle w:val="Compact"/>
                    <w:jc w:val="both"/>
                    <w:jc w:val="center"/>
                    <w:spacing w:line="360" w:lineRule="auto"/>
                  </w:pPr>
                  <w:r>
                    <w:t xml:space="preserve">0.362</w:t>
                  </w:r>
                </w:p>
              </w:tc>
            </w:tr>
            <w:tr>
              <w:tc>
                <w:tcPr/>
                <w:p>
                  <w:pPr>
                    <w:pStyle w:val="Compact"/>
                    <w:jc w:val="both"/>
                    <w:jc w:val="center"/>
                    <w:spacing w:line="360" w:lineRule="auto"/>
                  </w:pPr>
                  <w:r>
                    <w:t xml:space="preserve">Utilidad para auditoría</w:t>
                  </w:r>
                </w:p>
              </w:tc>
              <w:tc>
                <w:tcPr/>
                <w:p>
                  <w:pPr>
                    <w:pStyle w:val="Compact"/>
                    <w:jc w:val="both"/>
                    <w:jc w:val="center"/>
                    <w:spacing w:line="360" w:lineRule="auto"/>
                  </w:pPr>
                  <w:r>
                    <w:t xml:space="preserve">0.376</w:t>
                  </w:r>
                </w:p>
              </w:tc>
              <w:tc>
                <w:tcPr/>
                <w:p>
                  <w:pPr>
                    <w:pStyle w:val="Compact"/>
                    <w:jc w:val="both"/>
                    <w:jc w:val="center"/>
                    <w:spacing w:line="360" w:lineRule="auto"/>
                  </w:pPr>
                  <w:r>
                    <w:t xml:space="preserve">0.340</w:t>
                  </w:r>
                </w:p>
              </w:tc>
            </w:tr>
            <w:tr>
              <w:tc>
                <w:tcPr/>
                <w:p>
                  <w:pPr>
                    <w:pStyle w:val="Compact"/>
                    <w:jc w:val="both"/>
                    <w:jc w:val="center"/>
                    <w:spacing w:line="360" w:lineRule="auto"/>
                  </w:pPr>
                  <w:r>
                    <w:t xml:space="preserve">Completitud</w:t>
                  </w:r>
                </w:p>
              </w:tc>
              <w:tc>
                <w:tcPr/>
                <w:p>
                  <w:pPr>
                    <w:pStyle w:val="Compact"/>
                    <w:jc w:val="both"/>
                    <w:jc w:val="center"/>
                    <w:spacing w:line="360" w:lineRule="auto"/>
                  </w:pPr>
                  <w:r>
                    <w:t xml:space="preserve">0.585</w:t>
                  </w:r>
                </w:p>
              </w:tc>
              <w:tc>
                <w:tcPr/>
                <w:p>
                  <w:pPr>
                    <w:pStyle w:val="Compact"/>
                    <w:jc w:val="both"/>
                    <w:jc w:val="center"/>
                    <w:spacing w:line="360" w:lineRule="auto"/>
                  </w:pPr>
                  <w:r>
                    <w:t xml:space="preserve">0.566</w:t>
                  </w:r>
                </w:p>
              </w:tc>
            </w:tr>
            <w:tr>
              <w:tc>
                <w:tcPr/>
                <w:p>
                  <w:pPr>
                    <w:pStyle w:val="Compact"/>
                    <w:jc w:val="both"/>
                    <w:jc w:val="center"/>
                    <w:spacing w:line="360" w:lineRule="auto"/>
                  </w:pPr>
                  <w:r>
                    <w:t xml:space="preserve">Plausibilidad semántica</w:t>
                  </w:r>
                </w:p>
              </w:tc>
              <w:tc>
                <w:tcPr/>
                <w:p>
                  <w:pPr>
                    <w:pStyle w:val="Compact"/>
                    <w:jc w:val="both"/>
                    <w:jc w:val="center"/>
                    <w:spacing w:line="360" w:lineRule="auto"/>
                  </w:pPr>
                  <w:r>
                    <w:t xml:space="preserve">0.601</w:t>
                  </w:r>
                </w:p>
              </w:tc>
              <w:tc>
                <w:tcPr/>
                <w:p>
                  <w:pPr>
                    <w:pStyle w:val="Compact"/>
                    <w:jc w:val="both"/>
                    <w:jc w:val="center"/>
                    <w:spacing w:line="360" w:lineRule="auto"/>
                  </w:pPr>
                  <w:r>
                    <w:t xml:space="preserve">0.573</w:t>
                  </w:r>
                </w:p>
              </w:tc>
            </w:tr>
            <w:tr>
              <w:tc>
                <w:tcPr/>
                <w:p>
                  <w:pPr>
                    <w:pStyle w:val="Compact"/>
                    <w:jc w:val="both"/>
                    <w:jc w:val="center"/>
                    <w:spacing w:line="360" w:lineRule="auto"/>
                  </w:pPr>
                  <w:r>
                    <w:t xml:space="preserve">Calidad global</w:t>
                  </w:r>
                </w:p>
              </w:tc>
              <w:tc>
                <w:tcPr/>
                <w:p>
                  <w:pPr>
                    <w:pStyle w:val="Compact"/>
                    <w:jc w:val="both"/>
                    <w:jc w:val="center"/>
                    <w:spacing w:line="360" w:lineRule="auto"/>
                  </w:pPr>
                  <w:r>
                    <w:t xml:space="preserve">0.431</w:t>
                  </w:r>
                </w:p>
              </w:tc>
              <w:tc>
                <w:tcPr/>
                <w:p>
                  <w:pPr>
                    <w:pStyle w:val="Compact"/>
                    <w:jc w:val="both"/>
                    <w:jc w:val="center"/>
                    <w:spacing w:line="360" w:lineRule="auto"/>
                  </w:pPr>
                  <w:r>
                    <w:t xml:space="preserve">0.394</w:t>
                  </w:r>
                </w:p>
              </w:tc>
            </w:tr>
          </w:tbl>
          <w:bookmarkEnd w:id="250"/>
          <w:p>
            <w:pPr>
              <w:spacing w:line="360" w:lineRule="auto"/>
              <w:jc w:val="both"/>
            </w:pPr>
          </w:p>
        </w:tc>
      </w:tr>
    </w:tbl>
    <w:p>
      <w:pPr>
        <w:pStyle w:val="Textoindependiente"/>
        <w:spacing w:line="360" w:lineRule="auto"/>
        <w:jc w:val="both"/>
      </w:pPr>
      <w:r>
        <w:t xml:space="preserve">Las dimensiones con mayor consistencia relativa son Completitud</w:t>
      </w:r>
      <w:r>
        <w:t xml:space="preserve"> </w:t>
      </w:r>
      <w:r>
        <w:t xml:space="preserve">(</w:t>
      </w:r>
      <ns5:oMath>
        <ns5:r>
          <ns5:t>α</ns5:t>
        </ns5:r>
        <ns5:r>
          <ns5:rPr>
            <ns5:sty ns5:val="p"/>
          </ns5:rPr>
          <ns5:t>=</ns5:t>
        </ns5:r>
        <ns5:r>
          <ns5:t>0.566</ns5:t>
        </ns5:r>
      </ns5:oMath>
      <w:r>
        <w:t xml:space="preserve">) y Plausibilidad Semántica (</w:t>
      </w:r>
      <ns5:oMath>
        <ns5:r>
          <ns5:t>α</ns5:t>
        </ns5:r>
        <ns5:r>
          <ns5:rPr>
            <ns5:sty ns5:val="p"/>
          </ns5:rPr>
          <ns5:t>=</ns5:t>
        </ns5:r>
        <ns5:r>
          <ns5:t>0.573</ns5:t>
        </ns5:r>
      </ns5:oMath>
      <w:r>
        <w:t xml:space="preserve">); las de</w:t>
      </w:r>
      <w:r>
        <w:t xml:space="preserve"> </w:t>
      </w:r>
      <w:r>
        <w:t xml:space="preserve">menor consistencia son Claridad (</w:t>
      </w:r>
      <ns5:oMath>
        <ns5:r>
          <ns5:t>α</ns5:t>
        </ns5:r>
        <ns5:r>
          <ns5:rPr>
            <ns5:sty ns5:val="p"/>
          </ns5:rPr>
          <ns5:t>=</ns5:t>
        </ns5:r>
        <ns5:r>
          <ns5:t>0.278</ns5:t>
        </ns5:r>
      </ns5:oMath>
      <w:r>
        <w:t xml:space="preserve">) y Utilidad para auditoría</w:t>
      </w:r>
      <w:r>
        <w:t xml:space="preserve"> </w:t>
      </w:r>
      <w:r>
        <w:t xml:space="preserve">(</w:t>
      </w:r>
      <ns5:oMath>
        <ns5:r>
          <ns5:t>α</ns5:t>
        </ns5:r>
        <ns5:r>
          <ns5:rPr>
            <ns5:sty ns5:val="p"/>
          </ns5:rPr>
          <ns5:t>=</ns5:t>
        </ns5:r>
        <ns5:r>
          <ns5:t>0.340</ns5:t>
        </ns5:r>
      </ns5:oMath>
      <w:r>
        <w:t xml:space="preserve">). Los valores ICC(1,1) entre 0.321 y 0.601 se clasifican</w:t>
      </w:r>
      <w:r>
        <w:t xml:space="preserve"> </w:t>
      </w:r>
      <w:r>
        <w:t xml:space="preserve">como fiabilidad</w:t>
      </w:r>
      <w:r>
        <w:t xml:space="preserve"> </w:t>
      </w:r>
      <w:r>
        <w:rPr>
          <w:i/>
          <w:iCs/>
        </w:rPr>
        <w:t xml:space="preserve">poor</w:t>
      </w:r>
      <w:r>
        <w:t xml:space="preserve"> </w:t>
      </w:r>
      <w:r>
        <w:t xml:space="preserve">a</w:t>
      </w:r>
      <w:r>
        <w:t xml:space="preserve"> </w:t>
      </w:r>
      <w:r>
        <w:rPr>
          <w:i/>
          <w:iCs/>
        </w:rPr>
        <w:t xml:space="preserve">moderate</w:t>
      </w:r>
      <w:r>
        <w:t xml:space="preserve"> </w:t>
      </w:r>
      <w:r>
        <w:t xml:space="preserve">según</w:t>
      </w:r>
      <w:r>
        <w:t xml:space="preserve"> </w:t>
      </w:r>
      <w:r>
        <w:t xml:space="preserve">Koo y Li (2016)</w:t>
      </w:r>
      <w:r>
        <w:t xml:space="preserve">, situándose en todos los</w:t>
      </w:r>
      <w:r>
        <w:t xml:space="preserve"> </w:t>
      </w:r>
      <w:r>
        <w:t xml:space="preserve">casos por debajo de la categoría</w:t>
      </w:r>
      <w:r>
        <w:t xml:space="preserve"> </w:t>
      </w:r>
      <w:r>
        <w:rPr>
          <w:i/>
          <w:iCs/>
        </w:rPr>
        <w:t xml:space="preserve">good</w:t>
      </w:r>
      <w:r>
        <w:t xml:space="preserve">.</w:t>
      </w:r>
    </w:p>
    <w:p>
      <w:pPr>
        <w:pStyle w:val="Textoindependiente"/>
        <w:spacing w:line="360" w:lineRule="auto"/>
        <w:jc w:val="both"/>
      </w:pPr>
      <w:r>
        <w:rPr>
          <w:b/>
          <w:bCs/>
        </w:rPr>
        <w:t xml:space="preserve">Replicación con un segundo panel de jueces.</w:t>
      </w:r>
      <w:r>
        <w:t xml:space="preserve"> </w:t>
      </w:r>
      <w:r>
        <w:t xml:space="preserve">La cohorte 2 (§</w:t>
      </w:r>
      <w:hyperlink w:anchor="sec-exp4-diseno">
        <w:r>
          <w:rPr>
            <w:rStyle w:val="Hipervnculo"/>
          </w:rPr>
          <w:t xml:space="preserve">3.11.2</w:t>
        </w:r>
      </w:hyperlink>
      <w:r>
        <w:t xml:space="preserve">)</w:t>
      </w:r>
      <w:r>
        <w:t xml:space="preserve"> </w:t>
      </w:r>
      <w:r>
        <w:t xml:space="preserve">puntuó los mismos 192 casos con un panel de jueces distinto. Todos los casos</w:t>
      </w:r>
      <w:r>
        <w:t xml:space="preserve"> </w:t>
      </w:r>
      <w:r>
        <w:t xml:space="preserve">quedaron puntuados por los tres jueces, de modo que el ICC y el</w:t>
      </w:r>
      <w:r>
        <w:t xml:space="preserve"> </w:t>
      </w:r>
      <ns5:oMath>
        <ns5:r>
          <ns5:t>α</ns5:t>
        </ns5:r>
      </ns5:oMath>
      <w:r>
        <w:t xml:space="preserve"> </w:t>
      </w:r>
      <w:r>
        <w:t xml:space="preserve">se</w:t>
      </w:r>
      <w:r>
        <w:t xml:space="preserve"> </w:t>
      </w:r>
      <w:r>
        <w:t xml:space="preserve">calculan sobre</w:t>
      </w:r>
      <w:r>
        <w:t xml:space="preserve"> </w:t>
      </w:r>
      <ns5:oMath>
        <ns5:r>
          <ns5:t>n</ns5:t>
        </ns5:r>
        <ns5:r>
          <ns5:rPr>
            <ns5:sty ns5:val="p"/>
          </ns5:rPr>
          <ns5:t>=</ns5:t>
        </ns5:r>
        <ns5:r>
          <ns5:t>192</ns5:t>
        </ns5:r>
      </ns5:oMath>
      <w:r>
        <w:t xml:space="preserve"> </w:t>
      </w:r>
      <w:r>
        <w:t xml:space="preserve">casos. La Tabla</w:t>
      </w:r>
      <w:r>
        <w:t xml:space="preserve"> </w:t>
      </w:r>
      <w:hyperlink w:anchor="tbl-exp4-icc-c2">
        <w:r>
          <w:rPr>
            <w:rStyle w:val="Hipervnculo"/>
          </w:rPr>
          <w:t xml:space="preserve">5.4</w:t>
        </w:r>
      </w:hyperlink>
      <w:r>
        <w:t xml:space="preserve"> </w:t>
      </w:r>
      <w:r>
        <w:t xml:space="preserve">reporta la condición</w:t>
      </w:r>
      <w:r>
        <w:t xml:space="preserve"> </w:t>
      </w:r>
      <w:r>
        <w:t xml:space="preserve">primaria, con la etiqueta oculta, y la estimación agregada sobre todas las</w:t>
      </w:r>
      <w:r>
        <w:t xml:space="preserve"> </w:t>
      </w:r>
      <w:r>
        <w:t xml:space="preserve">condiciones y réplicas.</w:t>
      </w:r>
    </w:p>
    <w:tbl>
      <w:tblPr>
        <w:tblStyle w:val="Table"/>
        <w:tblW w:type="pct" w:w="5000"/>
        <w:jc w:val="center"/>
        <w:tblLayout w:type="fixed"/>
        <w:tblLook w:firstRow="0" w:lastRow="0" w:firstColumn="0" w:lastColumn="0" w:noHBand="0" w:noVBand="0" w:val="0000"/>
      </w:tblPr>
      <w:tblGrid>
        <w:gridCol w:w="7920"/>
      </w:tblGrid>
      <w:tr>
        <w:tc>
          <w:tcPr/>
          <w:bookmarkStart w:id="251" w:name="tbl-exp4-icc-c2"/>
          <w:p>
            <w:pPr>
              <w:pStyle w:val="ImageCaption"/>
              <w:spacing w:before="200" w:line="360" w:lineRule="auto"/>
              <w:jc w:val="center"/>
            </w:pPr>
            <w:r>
              <w:t xml:space="preserve">Tabla 5.4: Fiabilidad inter-juez LLM en la cohorte de replicación (EXP4, cohorte 2;</w:t>
            </w:r>
            <w:r>
              <w:t xml:space="preserve"> </w:t>
            </w:r>
            <ns5:oMath>
              <ns5:r>
                <ns5:t>n</ns5:t>
              </ns5:r>
              <ns5:r>
                <ns5:rPr>
                  <ns5:sty ns5:val="p"/>
                </ns5:rPr>
                <ns5:t>=</ns5:t>
              </ns5:r>
              <ns5:r>
                <ns5:t>192</ns5:t>
              </ns5:r>
            </ns5:oMath>
            <w:r>
              <w:t xml:space="preserve"> </w:t>
            </w:r>
            <w:r>
              <w:t xml:space="preserve">casos, 3 jueces LLM distintos de los originales). Las tres primeras</w:t>
            </w:r>
            <w:r>
              <w:t xml:space="preserve"> </w:t>
            </w:r>
            <w:r>
              <w:t xml:space="preserve">columnas corresponden a la condición primaria. La última promedia cada par caso</w:t>
            </w:r>
            <w:r>
              <w:t xml:space="preserve"> </w:t>
            </w:r>
            <ns5:oMath>
              <ns5:r>
                <ns5:rPr>
                  <ns5:sty ns5:val="p"/>
                </ns5:rPr>
                <ns5:t>×</ns5:t>
              </ns5:r>
            </ns5:oMath>
            <w:r>
              <w:t xml:space="preserve"> </w:t>
            </w:r>
            <w:r>
              <w:t xml:space="preserve">juez sobre las tres condiciones y las tres réplicas antes de calcular</w:t>
            </w:r>
            <w:r>
              <w:t xml:space="preserve"> </w:t>
            </w:r>
            <w:r>
              <w:t xml:space="preserve">el ICC, que es la opción por defecto del código de análisis. Ninguna dimensión</w:t>
            </w:r>
            <w:r>
              <w:t xml:space="preserve"> </w:t>
            </w:r>
            <w:r>
              <w:t xml:space="preserve">alcanza 0.75 en la condición primaria.</w:t>
            </w:r>
          </w:p>
          <w:tbl>
            <w:tblPr>
              <w:tblStyle w:val="Table"/>
              <w:tblW w:type="pct" w:w="500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Row="1" w:lastRow="0" w:firstColumn="0" w:lastColumn="0" w:noHBand="0" w:noVBand="0" w:val="0020"/>
            </w:tblPr>
            <w:tblGrid>
              <w:gridCol w:w="1193"/>
              <w:gridCol w:w="2169"/>
              <w:gridCol w:w="2495"/>
              <w:gridCol w:w="2061"/>
            </w:tblGrid>
            <w:tr>
              <w:trPr>
                <w:tblHeader w:val="on"/>
              </w:trPr>
              <w:tc>
                <w:tcPr/>
                <w:p>
                  <w:pPr>
                    <w:pStyle w:val="Compact"/>
                    <w:jc w:val="both"/>
                    <w:jc w:val="center"/>
                    <w:spacing w:line="360" w:lineRule="auto"/>
                  </w:pPr>
                  <w:r>
                    <w:rPr>
                      <w:bCs/>
                      <w:b/>
                    </w:rPr>
                    <w:t xml:space="preserve">Dimensión</w:t>
                  </w:r>
                </w:p>
              </w:tc>
              <w:tc>
                <w:tcPr/>
                <w:p>
                  <w:pPr>
                    <w:pStyle w:val="Compact"/>
                    <w:jc w:val="both"/>
                    <w:jc w:val="center"/>
                    <w:spacing w:line="360" w:lineRule="auto"/>
                  </w:pPr>
                  <w:r>
                    <w:rPr>
                      <w:bCs/>
                      <w:b/>
                    </w:rPr>
                    <w:t xml:space="preserve">ICC(1,1) [IC 95 %]</w:t>
                  </w:r>
                </w:p>
              </w:tc>
              <w:tc>
                <w:tcPr/>
                <w:p>
                  <w:pPr>
                    <w:pStyle w:val="Compact"/>
                    <w:jc w:val="both"/>
                    <w:jc w:val="center"/>
                    <w:spacing w:line="360" w:lineRule="auto"/>
                  </w:pPr>
                  <w:r>
                    <w:rPr>
                      <w:bCs/>
                      <w:b/>
                    </w:rPr>
                    <w:t xml:space="preserve">Krippendorff</w:t>
                  </w:r>
                  <w:r>
                    <w:rPr>
                      <w:bCs/>
                      <w:b/>
                    </w:rPr>
                    <w:t xml:space="preserve"> </w:t>
                  </w:r>
                  <ns5:oMath>
                    <ns5:r>
                      <ns5:t>α</ns5:t>
                    </ns5:r>
                  </ns5:oMath>
                </w:p>
              </w:tc>
              <w:tc>
                <w:tcPr/>
                <w:p>
                  <w:pPr>
                    <w:pStyle w:val="Compact"/>
                    <w:jc w:val="both"/>
                    <w:jc w:val="center"/>
                    <w:spacing w:line="360" w:lineRule="auto"/>
                  </w:pPr>
                  <w:r>
                    <w:rPr>
                      <w:bCs/>
                      <w:b/>
                    </w:rPr>
                    <w:t xml:space="preserve">ICC(1,1) agregado</w:t>
                  </w:r>
                </w:p>
              </w:tc>
            </w:tr>
            <w:tr>
              <w:tc>
                <w:tcPr/>
                <w:p>
                  <w:pPr>
                    <w:pStyle w:val="Compact"/>
                    <w:jc w:val="both"/>
                    <w:jc w:val="center"/>
                    <w:spacing w:line="360" w:lineRule="auto"/>
                  </w:pPr>
                  <w:r>
                    <w:t xml:space="preserve">Claridad</w:t>
                  </w:r>
                </w:p>
              </w:tc>
              <w:tc>
                <w:tcPr/>
                <w:p>
                  <w:pPr>
                    <w:pStyle w:val="Compact"/>
                    <w:jc w:val="both"/>
                    <w:jc w:val="center"/>
                    <w:spacing w:line="360" w:lineRule="auto"/>
                  </w:pPr>
                  <ns5:oMath>
                    <ns5:r>
                      <ns5:rPr>
                        <ns5:sty ns5:val="p"/>
                      </ns5:rPr>
                      <ns5:t>−</ns5:t>
                    </ns5:r>
                    <ns5:r>
                      <ns5:t>0.019</ns5:t>
                    </ns5:r>
                  </ns5:oMath>
                  <w:r>
                    <w:t xml:space="preserve"> </w:t>
                  </w:r>
                  <w:r>
                    <w:t xml:space="preserve">[</w:t>
                  </w:r>
                  <ns5:oMath>
                    <ns5:r>
                      <ns5:rPr>
                        <ns5:sty ns5:val="p"/>
                      </ns5:rPr>
                      <ns5:t>−</ns5:t>
                    </ns5:r>
                    <ns5:r>
                      <ns5:t>0.160</ns5:t>
                    </ns5:r>
                  </ns5:oMath>
                  <w:r>
                    <w:t xml:space="preserve">, 0.123]</w:t>
                  </w:r>
                </w:p>
              </w:tc>
              <w:tc>
                <w:tcPr/>
                <w:p>
                  <w:pPr>
                    <w:pStyle w:val="Compact"/>
                    <w:jc w:val="both"/>
                    <w:jc w:val="center"/>
                    <w:spacing w:line="360" w:lineRule="auto"/>
                  </w:pPr>
                  <ns5:oMath>
                    <ns5:r>
                      <ns5:rPr>
                        <ns5:sty ns5:val="p"/>
                      </ns5:rPr>
                      <ns5:t>−</ns5:t>
                    </ns5:r>
                    <ns5:r>
                      <ns5:t>0.019</ns5:t>
                    </ns5:r>
                  </ns5:oMath>
                  <w:r>
                    <w:t xml:space="preserve">​</w:t>
                  </w:r>
                </w:p>
              </w:tc>
              <w:tc>
                <w:tcPr/>
                <w:p>
                  <w:pPr>
                    <w:pStyle w:val="Compact"/>
                    <w:jc w:val="both"/>
                    <w:jc w:val="center"/>
                    <w:spacing w:line="360" w:lineRule="auto"/>
                  </w:pPr>
                  <ns5:oMath>
                    <ns5:r>
                      <ns5:rPr>
                        <ns5:sty ns5:val="p"/>
                      </ns5:rPr>
                      <ns5:t>−</ns5:t>
                    </ns5:r>
                    <ns5:r>
                      <ns5:t>0.090</ns5:t>
                    </ns5:r>
                  </ns5:oMath>
                  <w:r>
                    <w:t xml:space="preserve">​</w:t>
                  </w:r>
                </w:p>
              </w:tc>
            </w:tr>
            <w:tr>
              <w:tc>
                <w:tcPr/>
                <w:p>
                  <w:pPr>
                    <w:pStyle w:val="Compact"/>
                    <w:jc w:val="both"/>
                    <w:jc w:val="center"/>
                    <w:spacing w:line="360" w:lineRule="auto"/>
                  </w:pPr>
                  <w:r>
                    <w:t xml:space="preserve">Concisión</w:t>
                  </w:r>
                </w:p>
              </w:tc>
              <w:tc>
                <w:tcPr/>
                <w:p>
                  <w:pPr>
                    <w:pStyle w:val="Compact"/>
                    <w:jc w:val="both"/>
                    <w:jc w:val="center"/>
                    <w:spacing w:line="360" w:lineRule="auto"/>
                  </w:pPr>
                  <w:r>
                    <w:t xml:space="preserve">0.373 [0.244, 0.489]</w:t>
                  </w:r>
                </w:p>
              </w:tc>
              <w:tc>
                <w:tcPr/>
                <w:p>
                  <w:pPr>
                    <w:pStyle w:val="Compact"/>
                    <w:jc w:val="both"/>
                    <w:jc w:val="center"/>
                    <w:spacing w:line="360" w:lineRule="auto"/>
                  </w:pPr>
                  <w:r>
                    <w:t xml:space="preserve">0.372</w:t>
                  </w:r>
                </w:p>
              </w:tc>
              <w:tc>
                <w:tcPr/>
                <w:p>
                  <w:pPr>
                    <w:pStyle w:val="Compact"/>
                    <w:jc w:val="both"/>
                    <w:jc w:val="center"/>
                    <w:spacing w:line="360" w:lineRule="auto"/>
                  </w:pPr>
                  <w:r>
                    <w:t xml:space="preserve">0.524</w:t>
                  </w:r>
                </w:p>
              </w:tc>
            </w:tr>
            <w:tr>
              <w:tc>
                <w:tcPr/>
                <w:p>
                  <w:pPr>
                    <w:pStyle w:val="Compact"/>
                    <w:jc w:val="both"/>
                    <w:jc w:val="center"/>
                    <w:spacing w:line="360" w:lineRule="auto"/>
                  </w:pPr>
                  <w:r>
                    <w:t xml:space="preserve">Accionabilidad</w:t>
                  </w:r>
                </w:p>
              </w:tc>
              <w:tc>
                <w:tcPr/>
                <w:p>
                  <w:pPr>
                    <w:pStyle w:val="Compact"/>
                    <w:jc w:val="both"/>
                    <w:jc w:val="center"/>
                    <w:spacing w:line="360" w:lineRule="auto"/>
                  </w:pPr>
                  <ns5:oMath>
                    <ns5:r>
                      <ns5:rPr>
                        <ns5:sty ns5:val="p"/>
                      </ns5:rPr>
                      <ns5:t>−</ns5:t>
                    </ns5:r>
                    <ns5:r>
                      <ns5:t>0.025</ns5:t>
                    </ns5:r>
                  </ns5:oMath>
                  <w:r>
                    <w:t xml:space="preserve"> </w:t>
                  </w:r>
                  <w:r>
                    <w:t xml:space="preserve">[</w:t>
                  </w:r>
                  <ns5:oMath>
                    <ns5:r>
                      <ns5:rPr>
                        <ns5:sty ns5:val="p"/>
                      </ns5:rPr>
                      <ns5:t>−</ns5:t>
                    </ns5:r>
                    <ns5:r>
                      <ns5:t>0.166</ns5:t>
                    </ns5:r>
                  </ns5:oMath>
                  <w:r>
                    <w:t xml:space="preserve">, 0.117]</w:t>
                  </w:r>
                </w:p>
              </w:tc>
              <w:tc>
                <w:tcPr/>
                <w:p>
                  <w:pPr>
                    <w:pStyle w:val="Compact"/>
                    <w:jc w:val="both"/>
                    <w:jc w:val="center"/>
                    <w:spacing w:line="360" w:lineRule="auto"/>
                  </w:pPr>
                  <ns5:oMath>
                    <ns5:r>
                      <ns5:rPr>
                        <ns5:sty ns5:val="p"/>
                      </ns5:rPr>
                      <ns5:t>−</ns5:t>
                    </ns5:r>
                    <ns5:r>
                      <ns5:t>0.025</ns5:t>
                    </ns5:r>
                  </ns5:oMath>
                  <w:r>
                    <w:t xml:space="preserve">​</w:t>
                  </w:r>
                </w:p>
              </w:tc>
              <w:tc>
                <w:tcPr/>
                <w:p>
                  <w:pPr>
                    <w:pStyle w:val="Compact"/>
                    <w:jc w:val="both"/>
                    <w:jc w:val="center"/>
                    <w:spacing w:line="360" w:lineRule="auto"/>
                  </w:pPr>
                  <w:r>
                    <w:t xml:space="preserve">0.039</w:t>
                  </w:r>
                </w:p>
              </w:tc>
            </w:tr>
            <w:tr>
              <w:tc>
                <w:tcPr/>
                <w:p>
                  <w:pPr>
                    <w:pStyle w:val="Compact"/>
                    <w:jc w:val="both"/>
                    <w:jc w:val="center"/>
                    <w:spacing w:line="360" w:lineRule="auto"/>
                  </w:pPr>
                  <w:r>
                    <w:t xml:space="preserve">Utilidad para auditoría</w:t>
                  </w:r>
                </w:p>
              </w:tc>
              <w:tc>
                <w:tcPr/>
                <w:p>
                  <w:pPr>
                    <w:pStyle w:val="Compact"/>
                    <w:jc w:val="both"/>
                    <w:jc w:val="center"/>
                    <w:spacing w:line="360" w:lineRule="auto"/>
                  </w:pPr>
                  <w:r>
                    <w:t xml:space="preserve">0.699 [0.619, 0.765]</w:t>
                  </w:r>
                </w:p>
              </w:tc>
              <w:tc>
                <w:tcPr/>
                <w:p>
                  <w:pPr>
                    <w:pStyle w:val="Compact"/>
                    <w:jc w:val="both"/>
                    <w:jc w:val="center"/>
                    <w:spacing w:line="360" w:lineRule="auto"/>
                  </w:pPr>
                  <w:r>
                    <w:t xml:space="preserve">0.699</w:t>
                  </w:r>
                </w:p>
              </w:tc>
              <w:tc>
                <w:tcPr/>
                <w:p>
                  <w:pPr>
                    <w:pStyle w:val="Compact"/>
                    <w:jc w:val="both"/>
                    <w:jc w:val="center"/>
                    <w:spacing w:line="360" w:lineRule="auto"/>
                  </w:pPr>
                  <w:r>
                    <w:t xml:space="preserve">0.820</w:t>
                  </w:r>
                </w:p>
              </w:tc>
            </w:tr>
            <w:tr>
              <w:tc>
                <w:tcPr/>
                <w:p>
                  <w:pPr>
                    <w:pStyle w:val="Compact"/>
                    <w:jc w:val="both"/>
                    <w:jc w:val="center"/>
                    <w:spacing w:line="360" w:lineRule="auto"/>
                  </w:pPr>
                  <w:r>
                    <w:t xml:space="preserve">Completitud</w:t>
                  </w:r>
                </w:p>
              </w:tc>
              <w:tc>
                <w:tcPr/>
                <w:p>
                  <w:pPr>
                    <w:pStyle w:val="Compact"/>
                    <w:jc w:val="both"/>
                    <w:jc w:val="center"/>
                    <w:spacing w:line="360" w:lineRule="auto"/>
                  </w:pPr>
                  <w:r>
                    <w:t xml:space="preserve">0.731 [0.657, 0.791]</w:t>
                  </w:r>
                </w:p>
              </w:tc>
              <w:tc>
                <w:tcPr/>
                <w:p>
                  <w:pPr>
                    <w:pStyle w:val="Compact"/>
                    <w:jc w:val="both"/>
                    <w:jc w:val="center"/>
                    <w:spacing w:line="360" w:lineRule="auto"/>
                  </w:pPr>
                  <w:r>
                    <w:t xml:space="preserve">0.730</w:t>
                  </w:r>
                </w:p>
              </w:tc>
              <w:tc>
                <w:tcPr/>
                <w:p>
                  <w:pPr>
                    <w:pStyle w:val="Compact"/>
                    <w:jc w:val="both"/>
                    <w:jc w:val="center"/>
                    <w:spacing w:line="360" w:lineRule="auto"/>
                  </w:pPr>
                  <w:r>
                    <w:t xml:space="preserve">0.839</w:t>
                  </w:r>
                </w:p>
              </w:tc>
            </w:tr>
            <w:tr>
              <w:tc>
                <w:tcPr/>
                <w:p>
                  <w:pPr>
                    <w:pStyle w:val="Compact"/>
                    <w:jc w:val="both"/>
                    <w:jc w:val="center"/>
                    <w:spacing w:line="360" w:lineRule="auto"/>
                  </w:pPr>
                  <w:r>
                    <w:t xml:space="preserve">Plausibilidad semántica</w:t>
                  </w:r>
                </w:p>
              </w:tc>
              <w:tc>
                <w:tcPr/>
                <w:p>
                  <w:pPr>
                    <w:pStyle w:val="Compact"/>
                    <w:jc w:val="both"/>
                    <w:jc w:val="center"/>
                    <w:spacing w:line="360" w:lineRule="auto"/>
                  </w:pPr>
                  <w:r>
                    <w:t xml:space="preserve">0.604 [0.506, 0.687]</w:t>
                  </w:r>
                </w:p>
              </w:tc>
              <w:tc>
                <w:tcPr/>
                <w:p>
                  <w:pPr>
                    <w:pStyle w:val="Compact"/>
                    <w:jc w:val="both"/>
                    <w:jc w:val="center"/>
                    <w:spacing w:line="360" w:lineRule="auto"/>
                  </w:pPr>
                  <w:r>
                    <w:t xml:space="preserve">0.603</w:t>
                  </w:r>
                </w:p>
              </w:tc>
              <w:tc>
                <w:tcPr/>
                <w:p>
                  <w:pPr>
                    <w:pStyle w:val="Compact"/>
                    <w:jc w:val="both"/>
                    <w:jc w:val="center"/>
                    <w:spacing w:line="360" w:lineRule="auto"/>
                  </w:pPr>
                  <w:r>
                    <w:t xml:space="preserve">0.664</w:t>
                  </w:r>
                </w:p>
              </w:tc>
            </w:tr>
            <w:tr>
              <w:tc>
                <w:tcPr/>
                <w:p>
                  <w:pPr>
                    <w:pStyle w:val="Compact"/>
                    <w:jc w:val="both"/>
                    <w:jc w:val="center"/>
                    <w:spacing w:line="360" w:lineRule="auto"/>
                  </w:pPr>
                  <w:r>
                    <w:t xml:space="preserve">Calidad global</w:t>
                  </w:r>
                </w:p>
              </w:tc>
              <w:tc>
                <w:tcPr/>
                <w:p>
                  <w:pPr>
                    <w:pStyle w:val="Compact"/>
                    <w:jc w:val="both"/>
                    <w:jc w:val="center"/>
                    <w:spacing w:line="360" w:lineRule="auto"/>
                  </w:pPr>
                  <w:r>
                    <w:t xml:space="preserve">0.660 [0.571, 0.733]</w:t>
                  </w:r>
                </w:p>
              </w:tc>
              <w:tc>
                <w:tcPr/>
                <w:p>
                  <w:pPr>
                    <w:pStyle w:val="Compact"/>
                    <w:jc w:val="both"/>
                    <w:jc w:val="center"/>
                    <w:spacing w:line="360" w:lineRule="auto"/>
                  </w:pPr>
                  <w:r>
                    <w:t xml:space="preserve">0.659</w:t>
                  </w:r>
                </w:p>
              </w:tc>
              <w:tc>
                <w:tcPr/>
                <w:p>
                  <w:pPr>
                    <w:pStyle w:val="Compact"/>
                    <w:jc w:val="both"/>
                    <w:jc w:val="center"/>
                    <w:spacing w:line="360" w:lineRule="auto"/>
                  </w:pPr>
                  <w:r>
                    <w:t xml:space="preserve">0.706</w:t>
                  </w:r>
                </w:p>
              </w:tc>
            </w:tr>
          </w:tbl>
          <w:bookmarkEnd w:id="251"/>
          <w:p>
            <w:pPr>
              <w:spacing w:line="360" w:lineRule="auto"/>
              <w:jc w:val="both"/>
            </w:pPr>
          </w:p>
        </w:tc>
      </w:tr>
    </w:tbl>
    <w:p>
      <w:pPr>
        <w:pStyle w:val="Textoindependiente"/>
        <w:spacing w:line="360" w:lineRule="auto"/>
        <w:jc w:val="both"/>
      </w:pPr>
      <w:r>
        <w:t xml:space="preserve">La replicación confirma el resultado negativo en la condición primaria: ninguna</w:t>
      </w:r>
      <w:r>
        <w:t xml:space="preserve"> </w:t>
      </w:r>
      <w:r>
        <w:t xml:space="preserve">dimensión alcanza 0.75, y el máximo corresponde a Completitud (0.731). No</w:t>
      </w:r>
      <w:r>
        <w:t xml:space="preserve"> </w:t>
      </w:r>
      <w:r>
        <w:t xml:space="preserve">replica, en cambio, el margen respecto del umbral. Los límites superiores del</w:t>
      </w:r>
      <w:r>
        <w:t xml:space="preserve"> </w:t>
      </w:r>
      <w:r>
        <w:t xml:space="preserve">intervalo de Completitud (0.791) y de Utilidad para auditoría (0.765) superan</w:t>
      </w:r>
      <w:r>
        <w:t xml:space="preserve"> </w:t>
      </w:r>
      <w:r>
        <w:t xml:space="preserve">0.75. En dos vistas secundarias el umbral llega a cruzarse:</w:t>
      </w:r>
    </w:p>
    <w:p>
      <w:pPr>
        <w:pStyle w:val="Compact"/>
        <w:numPr>
          <w:ilvl w:val="0"/>
          <w:numId w:val="1018"/>
        </w:numPr>
        <w:spacing w:line="360" w:lineRule="auto"/>
        <w:jc w:val="both"/>
      </w:pPr>
      <w:r>
        <w:t xml:space="preserve">con la rúbrica alternativa, Completitud alcanza 0.753;</w:t>
      </w:r>
    </w:p>
    <w:p>
      <w:pPr>
        <w:pStyle w:val="Compact"/>
        <w:numPr>
          <w:ilvl w:val="0"/>
          <w:numId w:val="1018"/>
        </w:numPr>
        <w:spacing w:line="360" w:lineRule="auto"/>
        <w:jc w:val="both"/>
      </w:pPr>
      <w:r>
        <w:t xml:space="preserve">en la estimación agregada, Completitud (0.839) y Utilidad para auditoría</w:t>
      </w:r>
      <w:r>
        <w:t xml:space="preserve"> </w:t>
      </w:r>
      <w:r>
        <w:t xml:space="preserve">(0.820) superan 0.75.</w:t>
      </w:r>
    </w:p>
    <w:p>
      <w:pPr>
        <w:pStyle w:val="FirstParagraph"/>
        <w:spacing w:line="360" w:lineRule="auto"/>
        <w:jc w:val="both"/>
      </w:pPr>
      <w:r>
        <w:t xml:space="preserve">Promediar nueve respuestas por caso y juez atenúa el ruido de respuesta y eleva</w:t>
      </w:r>
      <w:r>
        <w:t xml:space="preserve"> </w:t>
      </w:r>
      <w:r>
        <w:t xml:space="preserve">el ICC. Por eso la estimación primaria es la de la condición primaria, y la</w:t>
      </w:r>
      <w:r>
        <w:t xml:space="preserve"> </w:t>
      </w:r>
      <w:r>
        <w:t xml:space="preserve">agregación debe declararse siempre que se reporte. Mostrar la etiqueta</w:t>
      </w:r>
      <w:r>
        <w:t xml:space="preserve"> </w:t>
      </w:r>
      <w:r>
        <w:t xml:space="preserve">verdadera apenas altera las puntuaciones: el desplazamiento medio máximo es de</w:t>
      </w:r>
      <w:r>
        <w:t xml:space="preserve"> </w:t>
      </w:r>
      <w:r>
        <w:t xml:space="preserve">0.14 puntos. La redacción de la rúbrica pesa más: desplaza las puntuaciones</w:t>
      </w:r>
      <w:r>
        <w:t xml:space="preserve"> </w:t>
      </w:r>
      <w:r>
        <w:t xml:space="preserve">hasta 0.50 puntos y modifica la fiabilidad en ambos sentidos.</w:t>
      </w:r>
    </w:p>
    <w:p>
      <w:pPr>
        <w:pStyle w:val="Textoindependiente"/>
        <w:spacing w:line="360" w:lineRule="auto"/>
        <w:jc w:val="both"/>
      </w:pPr>
      <w:r>
        <w:t xml:space="preserve">La</w:t>
      </w:r>
      <w:r>
        <w:t xml:space="preserve"> </w:t>
      </w:r>
      <w:hyperlink w:anchor="fig-fiabilidad-jueces">
        <w:r>
          <w:rPr>
            <w:rStyle w:val="Hipervnculo"/>
          </w:rPr>
          <w:t xml:space="preserve">Figura 5.2</w:t>
        </w:r>
      </w:hyperlink>
      <w:r>
        <w:t xml:space="preserve"> </w:t>
      </w:r>
      <w:r>
        <w:t xml:space="preserve">reúne las dos cohortes. Ningún valor de la condición</w:t>
      </w:r>
      <w:r>
        <w:t xml:space="preserve"> </w:t>
      </w:r>
      <w:r>
        <w:t xml:space="preserve">primaria alcanza el umbral, aunque dos intervalos de la cohorte de replicación</w:t>
      </w:r>
      <w:r>
        <w:t xml:space="preserve"> </w:t>
      </w:r>
      <w:r>
        <w:t xml:space="preserve">lo cruzan.</w:t>
      </w:r>
    </w:p>
    <w:tbl>
      <w:tblPr>
        <w:tblStyle w:val="Table"/>
        <w:tblW w:type="pct" w:w="5000"/>
        <w:jc w:val="center"/>
        <w:tblLayout w:type="fixed"/>
        <w:tblLook w:firstRow="0" w:lastRow="0" w:firstColumn="0" w:lastColumn="0" w:noHBand="0" w:noVBand="0" w:val="0000"/>
      </w:tblPr>
      <w:tblGrid>
        <w:gridCol w:w="7920"/>
      </w:tblGrid>
      <w:tr>
        <w:tc>
          <w:tcPr/>
          <w:bookmarkStart w:id="255" w:name="fig-fiabilidad-jueces"/>
          <w:p>
            <w:pPr>
              <w:pStyle w:val="Compact"/>
              <w:jc w:val="center"/>
              <w:spacing w:line="360" w:lineRule="auto"/>
            </w:pPr>
            <w:r>
              <w:drawing>
                <ns1:inline>
                  <ns1:extent cx="5349240" cy="3258265"/>
                  <ns1:effectExtent b="0" l="0" r="0" t="0"/>
                  <ns1:docPr descr="" title="" id="253" name="Picture"/>
                  <ns2:graphic>
                    <ns2:graphicData uri="http://schemas.openxmlformats.org/drawingml/2006/picture">
                      <ns3:pic>
                        <ns3:nvPicPr>
                          <ns3:cNvPr descr="assets/figures/fig_fiabilidad_jueces_es.png" id="254" name="Picture"/>
                          <ns3:cNvPicPr>
                            <ns2:picLocks noChangeArrowheads="1" noChangeAspect="1"/>
                          </ns3:cNvPicPr>
                        </ns3:nvPicPr>
                        <ns3:blipFill>
                          <ns2:blip ns4:embed="rId252"/>
                          <ns2:stretch>
                            <ns2:fillRect/>
                          </ns2:stretch>
                        </ns3:blipFill>
                        <ns3:spPr bwMode="auto">
                          <ns2:xfrm>
                            <ns2:off x="0" y="0"/>
                            <ns2:ext cx="5349240" cy="3258265"/>
                          </ns2:xfrm>
                          <ns2:prstGeom prst="rect">
                            <ns2:avLst/>
                          </ns2:prstGeom>
                          <ns2:noFill/>
                          <ns2:ln w="9525">
                            <ns2:noFill/>
                            <ns2:headEnd/>
                            <ns2:tailEnd/>
                          </ns2:ln>
                        </ns3:spPr>
                      </ns3:pic>
                    </ns2:graphicData>
                  </ns2:graphic>
                </ns1:inline>
              </w:drawing>
            </w:r>
          </w:p>
          <w:p>
            <w:pPr>
              <w:pStyle w:val="ImageCaption"/>
              <w:spacing w:before="200" w:line="360" w:lineRule="auto"/>
              <w:jc w:val="center"/>
            </w:pPr>
            <w:r>
              <w:t xml:space="preserve">Figura 5.2: Fiabilidad inter-juez por dimensión en las dos cohortes: ICC(1,1) con</w:t>
            </w:r>
            <w:r>
              <w:t xml:space="preserve"> </w:t>
            </w:r>
            <w:r>
              <w:t xml:space="preserve">su intervalo del 95 %. La zona sombreada indica la fiabilidad aceptable. El</w:t>
            </w:r>
            <w:r>
              <w:t xml:space="preserve"> </w:t>
            </w:r>
            <w:r>
              <w:t xml:space="preserve">orden de las dimensiones cambia de una cohorte a otra, y Accionabilidad y</w:t>
            </w:r>
            <w:r>
              <w:t xml:space="preserve"> </w:t>
            </w:r>
            <w:r>
              <w:t xml:space="preserve">Claridad caen a un acuerdo prácticamente nulo en la replicación. Fuente:</w:t>
            </w:r>
            <w:r>
              <w:t xml:space="preserve"> </w:t>
            </w:r>
            <w:r>
              <w:t xml:space="preserve">elaboración propia.</w:t>
            </w:r>
          </w:p>
          <w:bookmarkEnd w:id="255"/>
        </w:tc>
      </w:tr>
    </w:tbl>
    <w:p>
      <w:pPr>
        <w:pStyle w:val="Textoindependiente"/>
        <w:spacing w:line="360" w:lineRule="auto"/>
        <w:jc w:val="both"/>
      </w:pPr>
      <w:r>
        <w:rPr>
          <w:b/>
          <w:bCs/>
        </w:rPr>
        <w:t xml:space="preserve">Interpretación.</w:t>
      </w:r>
      <w:r>
        <w:t xml:space="preserve"> </w:t>
      </w:r>
      <w:r>
        <w:t xml:space="preserve">En la cohorte original, el gradiente relativo es</w:t>
      </w:r>
      <w:r>
        <w:t xml:space="preserve"> </w:t>
      </w:r>
      <w:r>
        <w:t xml:space="preserve">consistente con una mayor convergencia cuando la dimensión dispone de</w:t>
      </w:r>
      <w:r>
        <w:t xml:space="preserve"> </w:t>
      </w:r>
      <w:r>
        <w:t xml:space="preserve">referentes semánticos verificables: Completitud y Plausibilidad Semántica</w:t>
      </w:r>
      <w:r>
        <w:t xml:space="preserve"> </w:t>
      </w:r>
      <w:r>
        <w:t xml:space="preserve">preguntan si se cubren factores relevantes y si la explicación es coherente con</w:t>
      </w:r>
      <w:r>
        <w:t xml:space="preserve"> </w:t>
      </w:r>
      <w:r>
        <w:t xml:space="preserve">el dominio, mientras que Claridad y Utilidad para auditoría dependen más del</w:t>
      </w:r>
      <w:r>
        <w:t xml:space="preserve"> </w:t>
      </w:r>
      <w:r>
        <w:t xml:space="preserve">perfil del destinatario y del contexto de uso, que la rúbrica no especificó. La</w:t>
      </w:r>
      <w:r>
        <w:t xml:space="preserve"> </w:t>
      </w:r>
      <w:r>
        <w:t xml:space="preserve">replicación sostiene ese gradiente solo en parte:</w:t>
      </w:r>
    </w:p>
    <w:p>
      <w:pPr>
        <w:pStyle w:val="Compact"/>
        <w:numPr>
          <w:ilvl w:val="0"/>
          <w:numId w:val="1019"/>
        </w:numPr>
        <w:spacing w:line="360" w:lineRule="auto"/>
        <w:jc w:val="both"/>
      </w:pPr>
      <w:r>
        <w:t xml:space="preserve">Completitud y Plausibilidad Semántica siguen entre las dimensiones de mayor</w:t>
      </w:r>
      <w:r>
        <w:t xml:space="preserve"> </w:t>
      </w:r>
      <w:r>
        <w:t xml:space="preserve">acuerdo, y Claridad sigue siendo la de menor acuerdo.</w:t>
      </w:r>
    </w:p>
    <w:p>
      <w:pPr>
        <w:pStyle w:val="Compact"/>
        <w:numPr>
          <w:ilvl w:val="0"/>
          <w:numId w:val="1019"/>
        </w:numPr>
        <w:spacing w:line="360" w:lineRule="auto"/>
        <w:jc w:val="both"/>
      </w:pPr>
      <w:r>
        <w:t xml:space="preserve">Utilidad para auditoría pasa a figurar entre las de mayor acuerdo, lo que no</w:t>
      </w:r>
      <w:r>
        <w:t xml:space="preserve"> </w:t>
      </w:r>
      <w:r>
        <w:t xml:space="preserve">apoya su clasificación como dimensión dependiente del destinatario.</w:t>
      </w:r>
    </w:p>
    <w:p>
      <w:pPr>
        <w:pStyle w:val="Compact"/>
        <w:numPr>
          <w:ilvl w:val="0"/>
          <w:numId w:val="1019"/>
        </w:numPr>
        <w:spacing w:line="360" w:lineRule="auto"/>
        <w:jc w:val="both"/>
      </w:pPr>
      <w:r>
        <w:t xml:space="preserve">Accionabilidad cae a un acuerdo prácticamente nulo por efecto suelo: casi</w:t>
      </w:r>
      <w:r>
        <w:t xml:space="preserve"> </w:t>
      </w:r>
      <w:r>
        <w:t xml:space="preserve">todas las puntuaciones son 1, de modo que apenas queda varianza que acordar.</w:t>
      </w:r>
    </w:p>
    <w:p>
      <w:pPr>
        <w:pStyle w:val="FirstParagraph"/>
        <w:spacing w:line="360" w:lineRule="auto"/>
        <w:jc w:val="both"/>
      </w:pPr>
      <w:r>
        <w:t xml:space="preserve">El patrón sigue siendo generador de hipótesis, no una demostración causal de</w:t>
      </w:r>
      <w:r>
        <w:t xml:space="preserve"> </w:t>
      </w:r>
      <w:r>
        <w:t xml:space="preserve">que el tipo de criterio explique las diferencias de acuerdo. La replicación</w:t>
      </w:r>
      <w:r>
        <w:t xml:space="preserve"> </w:t>
      </w:r>
      <w:r>
        <w:t xml:space="preserve">añade una observación propia: el orden de las dimensiones depende del panel de</w:t>
      </w:r>
      <w:r>
        <w:t xml:space="preserve"> </w:t>
      </w:r>
      <w:r>
        <w:t xml:space="preserve">jueces y de la redacción de la rúbrica, no solo del constructo evaluado.</w:t>
      </w:r>
    </w:p>
    <w:p>
      <w:pPr>
        <w:pStyle w:val="Textoindependiente"/>
        <w:spacing w:line="360" w:lineRule="auto"/>
        <w:jc w:val="both"/>
      </w:pPr>
      <w:r>
        <w:rPr>
          <w:b/>
          <w:bCs/>
        </w:rPr>
        <w:t xml:space="preserve">Consecuencias para el diseño de evaluación semántica.</w:t>
      </w:r>
      <w:r>
        <w:t xml:space="preserve"> </w:t>
      </w:r>
      <w:r>
        <w:t xml:space="preserve">EXP4 confirma</w:t>
      </w:r>
      <w:r>
        <w:t xml:space="preserve"> </w:t>
      </w:r>
      <w:r>
        <w:t xml:space="preserve">cuantitativamente la Brecha 3: los jueces LLM actuales, bajo rúbricas sin</w:t>
      </w:r>
      <w:r>
        <w:t xml:space="preserve"> </w:t>
      </w:r>
      <w:r>
        <w:t xml:space="preserve">especificación de stakeholder ni criterio de corrección explícito, no alcanzan</w:t>
      </w:r>
      <w:r>
        <w:t xml:space="preserve"> </w:t>
      </w:r>
      <w:r>
        <w:t xml:space="preserve">la convergencia necesaria para afirmaciones confirmativas. Esto no clausura la</w:t>
      </w:r>
      <w:r>
        <w:t xml:space="preserve"> </w:t>
      </w:r>
      <w:r>
        <w:t xml:space="preserve">evaluación semántica; establece los requisitos que las rúbricas deben satisfacer:</w:t>
      </w:r>
      <w:r>
        <w:t xml:space="preserve"> </w:t>
      </w:r>
      <w:r>
        <w:t xml:space="preserve">(i) especificación de la necesidad informativa del stakeholder, (ii) definición</w:t>
      </w:r>
      <w:r>
        <w:t xml:space="preserve"> </w:t>
      </w:r>
      <w:r>
        <w:t xml:space="preserve">de un criterio de corrección o referencia verificable, (iii) separación de</w:t>
      </w:r>
      <w:r>
        <w:t xml:space="preserve"> </w:t>
      </w:r>
      <w:r>
        <w:t xml:space="preserve">desiderata secundarios de la dimensión central, y (iv) calibración contra juicios</w:t>
      </w:r>
      <w:r>
        <w:t xml:space="preserve"> </w:t>
      </w:r>
      <w:r>
        <w:t xml:space="preserve">humanos expertos antes del uso confirmativo. Estos requisitos son la</w:t>
      </w:r>
      <w:r>
        <w:t xml:space="preserve"> </w:t>
      </w:r>
      <w:r>
        <w:t xml:space="preserve">operacionalización doctoral de la Brecha 3 y constituyen la agenda de</w:t>
      </w:r>
      <w:r>
        <w:t xml:space="preserve"> </w:t>
      </w:r>
      <w:r>
        <w:t xml:space="preserve">investigación directamente derivada de esta taxonomía. La prioridad es calibrar</w:t>
      </w:r>
      <w:r>
        <w:t xml:space="preserve"> </w:t>
      </w:r>
      <w:r>
        <w:t xml:space="preserve">por dimensión: formalizar primero criterios verificables y añadir información</w:t>
      </w:r>
      <w:r>
        <w:t xml:space="preserve"> </w:t>
      </w:r>
      <w:r>
        <w:t xml:space="preserve">del stakeholder en las dimensiones dependientes del contexto. El gradiente no</w:t>
      </w:r>
      <w:r>
        <w:t xml:space="preserve"> </w:t>
      </w:r>
      <w:r>
        <w:t xml:space="preserve">autoriza un uso confirmativo, ni siquiera restringido a las dimensiones con</w:t>
      </w:r>
      <w:r>
        <w:t xml:space="preserve"> </w:t>
      </w:r>
      <w:r>
        <w:t xml:space="preserve">mayor acuerdo. En la condición primaria, el ICC(1,1) queda por debajo de 0.75</w:t>
      </w:r>
      <w:r>
        <w:t xml:space="preserve"> </w:t>
      </w:r>
      <w:r>
        <w:t xml:space="preserve">en todas las dimensiones y en ambas cohortes. Los cruces del umbral en las</w:t>
      </w:r>
      <w:r>
        <w:t xml:space="preserve"> </w:t>
      </w:r>
      <w:r>
        <w:t xml:space="preserve">vistas secundarias dependen de la redacción de la rúbrica y de la agregación, y</w:t>
      </w:r>
      <w:r>
        <w:t xml:space="preserve"> </w:t>
      </w:r>
      <w:r>
        <w:t xml:space="preserve">el orden de las dimensiones cambia de un panel a otro.</w:t>
      </w:r>
    </w:p>
    <w:p>
      <w:pPr>
        <w:pStyle w:val="Textoindependiente"/>
        <w:spacing w:line="360" w:lineRule="auto"/>
        <w:jc w:val="both"/>
      </w:pPr>
      <w:r>
        <w:rPr>
          <w:b/>
          <w:bCs/>
        </w:rPr>
        <w:t xml:space="preserve">Controles posteriores.</w:t>
      </w:r>
      <w:r>
        <w:t xml:space="preserve"> </w:t>
      </w:r>
      <w:r>
        <w:t xml:space="preserve">Tres análisis realizados después sobre la cohorte 2</w:t>
      </w:r>
      <w:r>
        <w:t xml:space="preserve"> </w:t>
      </w:r>
      <w:r>
        <w:t xml:space="preserve">examinan sobre qué recae el acuerdo observado, y una revisión del material</w:t>
      </w:r>
      <w:r>
        <w:t xml:space="preserve"> </w:t>
      </w:r>
      <w:r>
        <w:t xml:space="preserve">entregado a los jueces encontró que la condición primaria no ocultaba la</w:t>
      </w:r>
      <w:r>
        <w:t xml:space="preserve"> </w:t>
      </w:r>
      <w:r>
        <w:t xml:space="preserve">etiqueta de forma efectiva. Ambos puntos se reportan en §</w:t>
      </w:r>
      <w:hyperlink w:anchor="sec-seg-jueces">
        <w:r>
          <w:rPr>
            <w:rStyle w:val="Hipervnculo"/>
          </w:rPr>
          <w:t xml:space="preserve">6.5</w:t>
        </w:r>
      </w:hyperlink>
      <w:r>
        <w:t xml:space="preserve">.</w:t>
      </w:r>
      <w:r>
        <w:t xml:space="preserve"> </w:t>
      </w:r>
      <w:r>
        <w:t xml:space="preserve">Precisan la lectura del gradiente entre dimensiones y no modifican el resultado</w:t>
      </w:r>
      <w:r>
        <w:t xml:space="preserve"> </w:t>
      </w:r>
      <w:r>
        <w:t xml:space="preserve">negativo.</w:t>
      </w:r>
    </w:p>
    <w:p>
      <w:pPr>
        <w:pStyle w:val="Textoindependiente"/>
        <w:spacing w:line="360" w:lineRule="auto"/>
        <w:jc w:val="both"/>
      </w:pPr>
      <w:r>
        <w:t xml:space="preserve">Este capítulo ha establecido la tercera contribución doctoral: una taxonomía de</w:t>
      </w:r>
      <w:r>
        <w:t xml:space="preserve"> </w:t>
      </w:r>
      <w:r>
        <w:t xml:space="preserve">cuatro ejes que organiza el espacio de métricas XAI, localiza las cinco métricas</w:t>
      </w:r>
      <w:r>
        <w:t xml:space="preserve"> </w:t>
      </w:r>
      <w:r>
        <w:t xml:space="preserve">del benchmark en su cuadrante correspondiente y hace explícito el alcance</w:t>
      </w:r>
      <w:r>
        <w:t xml:space="preserve"> </w:t>
      </w:r>
      <w:r>
        <w:t xml:space="preserve">inferencial de cada una. La consecuencia teórica de esta revisión es que la</w:t>
      </w:r>
      <w:r>
        <w:t xml:space="preserve"> </w:t>
      </w:r>
      <w:r>
        <w:t xml:space="preserve">evaluación XAI no puede reducirse a un único criterio ni generalizarse a</w:t>
      </w:r>
      <w:r>
        <w:t xml:space="preserve"> </w:t>
      </w:r>
      <w:r>
        <w:t xml:space="preserve">dominios de usuario sin evidencia adicional: cada métrica responde a una</w:t>
      </w:r>
      <w:r>
        <w:t xml:space="preserve"> </w:t>
      </w:r>
      <w:r>
        <w:t xml:space="preserve">pregunta específica sobre un tipo de objeto explicativo en un contexto de uso</w:t>
      </w:r>
      <w:r>
        <w:t xml:space="preserve"> </w:t>
      </w:r>
      <w:r>
        <w:t xml:space="preserve">determinado. El Capítulo 6 reporta los estudios de seguimiento, que examinan</w:t>
      </w:r>
      <w:r>
        <w:t xml:space="preserve"> </w:t>
      </w:r>
      <w:r>
        <w:t xml:space="preserve">el alcance de validez de estas conclusiones ante el error de clasificación, el</w:t>
      </w:r>
      <w:r>
        <w:t xml:space="preserve"> </w:t>
      </w:r>
      <w:r>
        <w:t xml:space="preserve">cambio de explicador y el cambio de conjunto de datos, y añade controles al</w:t>
      </w:r>
      <w:r>
        <w:t xml:space="preserve"> </w:t>
      </w:r>
      <w:r>
        <w:t xml:space="preserve">estudio de fiabilidad inter-juez. El Capítulo 7 cierra la tesis sintetizando las</w:t>
      </w:r>
      <w:r>
        <w:t xml:space="preserve"> </w:t>
      </w:r>
      <w:r>
        <w:t xml:space="preserve">tres contribuciones,</w:t>
      </w:r>
      <w:r>
        <w:t xml:space="preserve"> </w:t>
      </w:r>
      <w:r>
        <w:t xml:space="preserve">posicionándolas respecto a la literatura más cercana, reconociendo las</w:t>
      </w:r>
      <w:r>
        <w:t xml:space="preserve"> </w:t>
      </w:r>
      <w:r>
        <w:t xml:space="preserve">limitaciones con precisión y trazando las líneas de investigación futura que</w:t>
      </w:r>
      <w:r>
        <w:t xml:space="preserve"> </w:t>
      </w:r>
      <w:r>
        <w:t xml:space="preserve">emergen directamente de los hallazgos y las fronteras de la taxonomía.</w:t>
      </w:r>
    </w:p>
    <w:bookmarkEnd w:id="256"/>
    <w:bookmarkEnd w:id="257"/>
    <w:bookmarkStart w:id="293" w:name="sec-seguimiento"/>
    <w:p>
      <w:pPr>
        <w:pStyle w:val="Ttulo1"/>
        <w:spacing w:line="360" w:lineRule="auto"/>
        <w:jc w:val="both"/>
      </w:pPr>
      <w:r>
        <w:t xml:space="preserve">Capítulo 6. </w:t>
      </w:r>
      <w:r>
        <w:t xml:space="preserve">Estudios de seguimiento: alcance de validez de las conclusiones</w:t>
      </w:r>
    </w:p>
    <w:p>
      <w:pPr>
        <w:pStyle w:val="FirstParagraph"/>
        <w:spacing w:line="360" w:lineRule="auto"/>
        <w:jc w:val="both"/>
      </w:pPr>
      <w:r>
        <w:t xml:space="preserve">Los capítulos anteriores responden a las hipótesis y proposiciones fijadas en el</w:t>
      </w:r>
      <w:r>
        <w:t xml:space="preserve"> </w:t>
      </w:r>
      <w:r>
        <w:t xml:space="preserve">plan confirmativo. Este capítulo reúne cuatro trabajos realizados después de ese</w:t>
      </w:r>
      <w:r>
        <w:t xml:space="preserve"> </w:t>
      </w:r>
      <w:r>
        <w:t xml:space="preserve">plan. Tres son estudios nuevos y el cuarto añade controles al Estudio de</w:t>
      </w:r>
      <w:r>
        <w:t xml:space="preserve"> </w:t>
      </w:r>
      <w:r>
        <w:t xml:space="preserve">Fiabilidad Inter-juez. Todos atienden a la cláusula final del objetivo general:</w:t>
      </w:r>
      <w:r>
        <w:t xml:space="preserve"> </w:t>
      </w:r>
      <w:r>
        <w:t xml:space="preserve">delimitar el alcance de validez de la evidencia obtenida. Cada uno examina un</w:t>
      </w:r>
      <w:r>
        <w:t xml:space="preserve"> </w:t>
      </w:r>
      <w:r>
        <w:t xml:space="preserve">eje sobre el cual una conclusión del benchmark podría no sostenerse: que la</w:t>
      </w:r>
      <w:r>
        <w:t xml:space="preserve"> </w:t>
      </w:r>
      <w:r>
        <w:t xml:space="preserve">predicción explicada sea errónea, que se cambie de explicador para la misma</w:t>
      </w:r>
      <w:r>
        <w:t xml:space="preserve"> </w:t>
      </w:r>
      <w:r>
        <w:t xml:space="preserve">instancia, que se cambie de conjunto de datos, y que el juez semántico acuerde</w:t>
      </w:r>
      <w:r>
        <w:t xml:space="preserve"> </w:t>
      </w:r>
      <w:r>
        <w:t xml:space="preserve">sobre algo distinto de la calidad de la explicación.</w:t>
      </w:r>
    </w:p>
    <w:bookmarkStart w:id="263" w:name="sec-seg-estatuto"/>
    <w:p>
      <w:pPr>
        <w:pStyle w:val="Ttulo2"/>
        <w:spacing w:line="360" w:lineRule="auto"/>
        <w:jc w:val="both"/>
      </w:pPr>
      <w:r>
        <w:t xml:space="preserve">6.1 </w:t>
      </w:r>
      <w:r>
        <w:t xml:space="preserve">Estatuto de estos estudios</w:t>
      </w:r>
    </w:p>
    <w:p>
      <w:pPr>
        <w:pStyle w:val="FirstParagraph"/>
        <w:spacing w:line="360" w:lineRule="auto"/>
        <w:jc w:val="both"/>
      </w:pPr>
      <w:r>
        <w:t xml:space="preserve">El estatuto de estos trabajos es distinto del de H1–H3 y P1, y se declara aquí</w:t>
      </w:r>
      <w:r>
        <w:t xml:space="preserve"> </w:t>
      </w:r>
      <w:r>
        <w:t xml:space="preserve">antes de reportar ningún resultado, por la misma razón que el Capítulo 1 lo</w:t>
      </w:r>
      <w:r>
        <w:t xml:space="preserve"> </w:t>
      </w:r>
      <w:r>
        <w:t xml:space="preserve">hace para P2.</w:t>
      </w:r>
    </w:p>
    <w:p>
      <w:pPr>
        <w:pStyle w:val="Compact"/>
        <w:numPr>
          <w:ilvl w:val="0"/>
          <w:numId w:val="1020"/>
        </w:numPr>
        <w:spacing w:line="360" w:lineRule="auto"/>
        <w:jc w:val="both"/>
      </w:pPr>
      <w:r>
        <w:rPr>
          <w:b/>
          <w:bCs/>
        </w:rPr>
        <w:t xml:space="preserve">Son posteriores.</w:t>
      </w:r>
      <w:r>
        <w:t xml:space="preserve"> </w:t>
      </w:r>
      <w:r>
        <w:t xml:space="preserve">Ninguno forma parte del plan inferencial congelado en la</w:t>
      </w:r>
      <w:r>
        <w:t xml:space="preserve"> </w:t>
      </w:r>
      <w:r>
        <w:t xml:space="preserve">puerta 1 del protocolo FOM-7. Se formularon después de conocer los resultados</w:t>
      </w:r>
      <w:r>
        <w:t xml:space="preserve"> </w:t>
      </w:r>
      <w:r>
        <w:t xml:space="preserve">de los estudios principales.</w:t>
      </w:r>
    </w:p>
    <w:p>
      <w:pPr>
        <w:pStyle w:val="Compact"/>
        <w:numPr>
          <w:ilvl w:val="0"/>
          <w:numId w:val="1020"/>
        </w:numPr>
        <w:spacing w:line="360" w:lineRule="auto"/>
        <w:jc w:val="both"/>
      </w:pPr>
      <w:r>
        <w:rPr>
          <w:b/>
          <w:bCs/>
        </w:rPr>
        <w:t xml:space="preserve">No añaden objetivos ni hipótesis a la tesis.</w:t>
      </w:r>
      <w:r>
        <w:t xml:space="preserve"> </w:t>
      </w:r>
      <w:r>
        <w:t xml:space="preserve">No se enuncia para ellos</w:t>
      </w:r>
      <w:r>
        <w:t xml:space="preserve"> </w:t>
      </w:r>
      <w:r>
        <w:t xml:space="preserve">ningún objetivo específico nuevo, porque un objetivo se formula antes de su</w:t>
      </w:r>
      <w:r>
        <w:t xml:space="preserve"> </w:t>
      </w:r>
      <w:r>
        <w:t xml:space="preserve">resultado. Se adscriben al objetivo general.</w:t>
      </w:r>
    </w:p>
    <w:p>
      <w:pPr>
        <w:pStyle w:val="Compact"/>
        <w:numPr>
          <w:ilvl w:val="0"/>
          <w:numId w:val="1020"/>
        </w:numPr>
        <w:spacing w:line="360" w:lineRule="auto"/>
        <w:jc w:val="both"/>
      </w:pPr>
      <w:r>
        <w:rPr>
          <w:b/>
          <w:bCs/>
        </w:rPr>
        <w:t xml:space="preserve">Cada uno tuvo su propio plan.</w:t>
      </w:r>
      <w:r>
        <w:t xml:space="preserve"> </w:t>
      </w:r>
      <w:r>
        <w:t xml:space="preserve">El plan de análisis de cada estudio se</w:t>
      </w:r>
      <w:r>
        <w:t xml:space="preserve"> </w:t>
      </w:r>
      <w:r>
        <w:t xml:space="preserve">registró en el repositorio antes de calcular sus resultados. Los análisis</w:t>
      </w:r>
      <w:r>
        <w:t xml:space="preserve"> </w:t>
      </w:r>
      <w:r>
        <w:t xml:space="preserve">añadidos después de ver resultados se señalan como</w:t>
      </w:r>
      <w:r>
        <w:t xml:space="preserve"> </w:t>
      </w:r>
      <w:r>
        <w:rPr>
          <w:i/>
          <w:iCs/>
        </w:rPr>
        <w:t xml:space="preserve">post hoc</w:t>
      </w:r>
      <w:r>
        <w:t xml:space="preserve"> </w:t>
      </w:r>
      <w:r>
        <w:t xml:space="preserve">en el texto.</w:t>
      </w:r>
    </w:p>
    <w:p>
      <w:pPr>
        <w:pStyle w:val="Compact"/>
        <w:numPr>
          <w:ilvl w:val="0"/>
          <w:numId w:val="1020"/>
        </w:numPr>
        <w:spacing w:line="360" w:lineRule="auto"/>
        <w:jc w:val="both"/>
      </w:pPr>
      <w:r>
        <w:rPr>
          <w:b/>
          <w:bCs/>
        </w:rPr>
        <w:t xml:space="preserve">No modifican la resolución de las hipótesis.</w:t>
      </w:r>
      <w:r>
        <w:t xml:space="preserve"> </w:t>
      </w:r>
      <w:r>
        <w:t xml:space="preserve">El resultado de H1, H2, H3,</w:t>
      </w:r>
      <w:r>
        <w:t xml:space="preserve"> </w:t>
      </w:r>
      <w:r>
        <w:t xml:space="preserve">P1 y P2 es el reportado en los capítulos anteriores. Lo que estos estudios</w:t>
      </w:r>
      <w:r>
        <w:t xml:space="preserve"> </w:t>
      </w:r>
      <w:r>
        <w:t xml:space="preserve">cambian es la extensión con que esos resultados pueden generalizarse.</w:t>
      </w:r>
    </w:p>
    <w:p>
      <w:pPr>
        <w:pStyle w:val="FirstParagraph"/>
        <w:spacing w:line="360" w:lineRule="auto"/>
        <w:jc w:val="both"/>
      </w:pPr>
      <w:r>
        <w:t xml:space="preserve">La</w:t>
      </w:r>
      <w:r>
        <w:t xml:space="preserve"> </w:t>
      </w:r>
      <w:hyperlink w:anchor="fig-secuencia-evidencia">
        <w:r>
          <w:rPr>
            <w:rStyle w:val="Hipervnculo"/>
          </w:rPr>
          <w:t xml:space="preserve">Figura 6.1</w:t>
        </w:r>
      </w:hyperlink>
      <w:r>
        <w:t xml:space="preserve"> </w:t>
      </w:r>
      <w:r>
        <w:t xml:space="preserve">sitúa estos trabajos en el orden de realización de</w:t>
      </w:r>
      <w:r>
        <w:t xml:space="preserve"> </w:t>
      </w:r>
      <w:r>
        <w:t xml:space="preserve">toda la evidencia de la tesis, y la</w:t>
      </w:r>
      <w:r>
        <w:t xml:space="preserve"> </w:t>
      </w:r>
      <w:hyperlink w:anchor="tbl-seg-estudios">
        <w:r>
          <w:rPr>
            <w:rStyle w:val="Hipervnculo"/>
          </w:rPr>
          <w:t xml:space="preserve">Tabla 6.1</w:t>
        </w:r>
      </w:hyperlink>
      <w:r>
        <w:t xml:space="preserve"> </w:t>
      </w:r>
      <w:r>
        <w:t xml:space="preserve">los presenta.</w:t>
      </w:r>
    </w:p>
    <w:tbl>
      <w:tblPr>
        <w:tblStyle w:val="Table"/>
        <w:tblW w:type="pct" w:w="5000"/>
        <w:jc w:val="center"/>
        <w:tblLayout w:type="fixed"/>
        <w:tblLook w:firstRow="0" w:lastRow="0" w:firstColumn="0" w:lastColumn="0" w:noHBand="0" w:noVBand="0" w:val="0000"/>
      </w:tblPr>
      <w:tblGrid>
        <w:gridCol w:w="7920"/>
      </w:tblGrid>
      <w:tr>
        <w:tc>
          <w:tcPr/>
          <w:bookmarkStart w:id="261" w:name="fig-secuencia-evidencia"/>
          <w:p>
            <w:pPr>
              <w:pStyle w:val="Compact"/>
              <w:jc w:val="center"/>
              <w:spacing w:line="360" w:lineRule="auto"/>
            </w:pPr>
            <w:r>
              <w:drawing>
                <ns1:inline>
                  <ns1:extent cx="5646420" cy="2026661"/>
                  <ns1:effectExtent b="0" l="0" r="0" t="0"/>
                  <ns1:docPr descr="" title="" id="259" name="Picture"/>
                  <ns2:graphic>
                    <ns2:graphicData uri="http://schemas.openxmlformats.org/drawingml/2006/picture">
                      <ns3:pic>
                        <ns3:nvPicPr>
                          <ns3:cNvPr descr="assets/figures/fig_secuencia_evidencia_es.png" id="260" name="Picture"/>
                          <ns3:cNvPicPr>
                            <ns2:picLocks noChangeArrowheads="1" noChangeAspect="1"/>
                          </ns3:cNvPicPr>
                        </ns3:nvPicPr>
                        <ns3:blipFill>
                          <ns2:blip ns4:embed="rId258"/>
                          <ns2:stretch>
                            <ns2:fillRect/>
                          </ns2:stretch>
                        </ns3:blipFill>
                        <ns3:spPr bwMode="auto">
                          <ns2:xfrm>
                            <ns2:off x="0" y="0"/>
                            <ns2:ext cx="5646420" cy="2026661"/>
                          </ns2:xfrm>
                          <ns2:prstGeom prst="rect">
                            <ns2:avLst/>
                          </ns2:prstGeom>
                          <ns2:noFill/>
                          <ns2:ln w="9525">
                            <ns2:noFill/>
                            <ns2:headEnd/>
                            <ns2:tailEnd/>
                          </ns2:ln>
                        </ns3:spPr>
                      </ns3:pic>
                    </ns2:graphicData>
                  </ns2:graphic>
                </ns1:inline>
              </w:drawing>
            </w:r>
          </w:p>
          <w:p>
            <w:pPr>
              <w:pStyle w:val="ImageCaption"/>
              <w:spacing w:before="200" w:line="360" w:lineRule="auto"/>
              <w:jc w:val="center"/>
            </w:pPr>
            <w:r>
              <w:t xml:space="preserve">Figura 6.1: Secuencia de la evidencia de la tesis. Solo el benchmark primario</w:t>
            </w:r>
            <w:r>
              <w:t xml:space="preserve"> </w:t>
            </w:r>
            <w:r>
              <w:t xml:space="preserve">(EXP2) se ejecutó bajo el plan inferencial congelado y sostiene las hipótesis</w:t>
            </w:r>
            <w:r>
              <w:t xml:space="preserve"> </w:t>
            </w:r>
            <w:r>
              <w:t xml:space="preserve">confirmativas; la validación externa parcial, la taxonomía y el estudio de</w:t>
            </w:r>
            <w:r>
              <w:t xml:space="preserve"> </w:t>
            </w:r>
            <w:r>
              <w:t xml:space="preserve">jueces son complementarios o exploratorios, y los estudios de seguimiento son</w:t>
            </w:r>
            <w:r>
              <w:t xml:space="preserve"> </w:t>
            </w:r>
            <w:r>
              <w:t xml:space="preserve">posteriores. El orden no representa una escala temporal. Fuente: elaboración</w:t>
            </w:r>
            <w:r>
              <w:t xml:space="preserve"> </w:t>
            </w:r>
            <w:r>
              <w:t xml:space="preserve">propia.</w:t>
            </w:r>
          </w:p>
          <w:bookmarkEnd w:id="261"/>
        </w:tc>
      </w:tr>
    </w:tbl>
    <w:p>
      <w:pPr>
        <w:pStyle w:val="Textoindependiente"/>
        <w:spacing w:line="360" w:lineRule="auto"/>
        <w:jc w:val="both"/>
      </w:pPr>
      <w:r>
        <w:t xml:space="preserve"> </w:t>
      </w:r>
    </w:p>
    <w:tbl>
      <w:tblPr>
        <w:tblStyle w:val="Table"/>
        <w:tblW w:type="pct" w:w="5000"/>
        <w:jc w:val="center"/>
        <w:tblLayout w:type="fixed"/>
        <w:tblLook w:firstRow="0" w:lastRow="0" w:firstColumn="0" w:lastColumn="0" w:noHBand="0" w:noVBand="0" w:val="0000"/>
      </w:tblPr>
      <w:tblGrid>
        <w:gridCol w:w="7920"/>
      </w:tblGrid>
      <w:tr>
        <w:tc>
          <w:tcPr/>
          <w:bookmarkStart w:id="262" w:name="tbl-seg-estudios"/>
          <w:p>
            <w:pPr>
              <w:pStyle w:val="ImageCaption"/>
              <w:spacing w:before="200" w:line="360" w:lineRule="auto"/>
              <w:jc w:val="center"/>
            </w:pPr>
            <w:r>
              <w:t xml:space="preserve">Tabla 6.1: Estudios de seguimiento, pregunta y eje de validez que examina cada uno.</w:t>
            </w:r>
          </w:p>
          <w:tbl>
            <w:tblPr>
              <w:tblStyle w:val="Table"/>
              <w:tblW w:type="pct" w:w="500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Row="1" w:lastRow="0" w:firstColumn="0" w:lastColumn="0" w:noHBand="0" w:noVBand="0" w:val="0020"/>
            </w:tblPr>
            <w:tblGrid>
              <w:gridCol w:w="1296"/>
              <w:gridCol w:w="3312"/>
              <w:gridCol w:w="2304"/>
              <w:gridCol w:w="1007"/>
            </w:tblGrid>
            <w:tr>
              <w:trPr>
                <w:tblHeader w:val="on"/>
              </w:trPr>
              <w:tc>
                <w:tcPr/>
                <w:p>
                  <w:pPr>
                    <w:pStyle w:val="Compact"/>
                    <w:jc w:val="both"/>
                    <w:jc w:val="center"/>
                    <w:spacing w:line="360" w:lineRule="auto"/>
                  </w:pPr>
                  <w:r>
                    <w:rPr>
                      <w:bCs/>
                      <w:b/>
                    </w:rPr>
                    <w:t xml:space="preserve">Estudio</w:t>
                  </w:r>
                </w:p>
              </w:tc>
              <w:tc>
                <w:tcPr/>
                <w:p>
                  <w:pPr>
                    <w:pStyle w:val="Compact"/>
                    <w:jc w:val="both"/>
                    <w:jc w:val="center"/>
                    <w:spacing w:line="360" w:lineRule="auto"/>
                  </w:pPr>
                  <w:r>
                    <w:rPr>
                      <w:bCs/>
                      <w:b/>
                    </w:rPr>
                    <w:t xml:space="preserve">Pregunta que responde</w:t>
                  </w:r>
                </w:p>
              </w:tc>
              <w:tc>
                <w:tcPr/>
                <w:p>
                  <w:pPr>
                    <w:pStyle w:val="Compact"/>
                    <w:jc w:val="both"/>
                    <w:jc w:val="center"/>
                    <w:spacing w:line="360" w:lineRule="auto"/>
                  </w:pPr>
                  <w:r>
                    <w:rPr>
                      <w:bCs/>
                      <w:b/>
                    </w:rPr>
                    <w:t xml:space="preserve">Eje de validez</w:t>
                  </w:r>
                </w:p>
              </w:tc>
              <w:tc>
                <w:tcPr/>
                <w:p>
                  <w:pPr>
                    <w:pStyle w:val="Compact"/>
                    <w:jc w:val="both"/>
                    <w:jc w:val="center"/>
                    <w:spacing w:line="360" w:lineRule="auto"/>
                  </w:pPr>
                  <w:r>
                    <w:rPr>
                      <w:bCs/>
                      <w:b/>
                    </w:rPr>
                    <w:t xml:space="preserve">Datos</w:t>
                  </w:r>
                </w:p>
              </w:tc>
            </w:tr>
            <w:tr>
              <w:tc>
                <w:tcPr/>
                <w:p>
                  <w:pPr>
                    <w:pStyle w:val="Compact"/>
                    <w:jc w:val="both"/>
                    <w:jc w:val="center"/>
                    <w:spacing w:line="360" w:lineRule="auto"/>
                  </w:pPr>
                  <w:r>
                    <w:rPr>
                      <w:b/>
                      <w:bCs/>
                    </w:rPr>
                    <w:t xml:space="preserve">Estudio de Fiabilidad ante el Error</w:t>
                  </w:r>
                </w:p>
              </w:tc>
              <w:tc>
                <w:tcPr/>
                <w:p>
                  <w:pPr>
                    <w:pStyle w:val="Compact"/>
                    <w:jc w:val="both"/>
                    <w:jc w:val="center"/>
                    <w:spacing w:line="360" w:lineRule="auto"/>
                  </w:pPr>
                  <w:r>
                    <w:t xml:space="preserve">¿Son menos fiables las explicaciones cuando el modelo se equivoca?</w:t>
                  </w:r>
                </w:p>
              </w:tc>
              <w:tc>
                <w:tcPr/>
                <w:p>
                  <w:pPr>
                    <w:pStyle w:val="Compact"/>
                    <w:jc w:val="both"/>
                    <w:jc w:val="center"/>
                    <w:spacing w:line="360" w:lineRule="auto"/>
                  </w:pPr>
                  <w:r>
                    <w:t xml:space="preserve">Corrección de la predicción</w:t>
                  </w:r>
                </w:p>
              </w:tc>
              <w:tc>
                <w:tcPr/>
                <w:p>
                  <w:pPr>
                    <w:pStyle w:val="Compact"/>
                    <w:jc w:val="both"/>
                    <w:jc w:val="center"/>
                    <w:spacing w:line="360" w:lineRule="auto"/>
                  </w:pPr>
                  <w:r>
                    <w:t xml:space="preserve">Reanálisis de las ejecuciones del benchmark primario</w:t>
                  </w:r>
                </w:p>
              </w:tc>
            </w:tr>
            <w:tr>
              <w:tc>
                <w:tcPr/>
                <w:p>
                  <w:pPr>
                    <w:pStyle w:val="Compact"/>
                    <w:jc w:val="both"/>
                    <w:jc w:val="center"/>
                    <w:spacing w:line="360" w:lineRule="auto"/>
                  </w:pPr>
                  <w:r>
                    <w:rPr>
                      <w:b/>
                      <w:bCs/>
                    </w:rPr>
                    <w:t xml:space="preserve">Estudio de Concordancia entre Explicadores</w:t>
                  </w:r>
                </w:p>
              </w:tc>
              <w:tc>
                <w:tcPr/>
                <w:p>
                  <w:pPr>
                    <w:pStyle w:val="Compact"/>
                    <w:jc w:val="both"/>
                    <w:jc w:val="center"/>
                    <w:spacing w:line="360" w:lineRule="auto"/>
                  </w:pPr>
                  <w:r>
                    <w:t xml:space="preserve">¿Cuánto coinciden SHAP y LIME al explicar la misma instancia?</w:t>
                  </w:r>
                </w:p>
              </w:tc>
              <w:tc>
                <w:tcPr/>
                <w:p>
                  <w:pPr>
                    <w:pStyle w:val="Compact"/>
                    <w:jc w:val="both"/>
                    <w:jc w:val="center"/>
                    <w:spacing w:line="360" w:lineRule="auto"/>
                  </w:pPr>
                  <w:r>
                    <w:t xml:space="preserve">Elección del explicador</w:t>
                  </w:r>
                </w:p>
              </w:tc>
              <w:tc>
                <w:tcPr/>
                <w:p>
                  <w:pPr>
                    <w:pStyle w:val="Compact"/>
                    <w:jc w:val="both"/>
                    <w:jc w:val="center"/>
                    <w:spacing w:line="360" w:lineRule="auto"/>
                  </w:pPr>
                  <w:r>
                    <w:t xml:space="preserve">Benchmark primario y EXP3, con una cohorte nueva de LIME</w:t>
                  </w:r>
                </w:p>
              </w:tc>
            </w:tr>
            <w:tr>
              <w:tc>
                <w:tcPr/>
                <w:p>
                  <w:pPr>
                    <w:pStyle w:val="Compact"/>
                    <w:jc w:val="both"/>
                    <w:jc w:val="center"/>
                    <w:spacing w:line="360" w:lineRule="auto"/>
                  </w:pPr>
                  <w:r>
                    <w:rPr>
                      <w:b/>
                      <w:bCs/>
                    </w:rPr>
                    <w:t xml:space="preserve">Estudio de Transferencia entre Conjuntos de Datos</w:t>
                  </w:r>
                </w:p>
              </w:tc>
              <w:tc>
                <w:tcPr/>
                <w:p>
                  <w:pPr>
                    <w:pStyle w:val="Compact"/>
                    <w:jc w:val="both"/>
                    <w:jc w:val="center"/>
                    <w:spacing w:line="360" w:lineRule="auto"/>
                  </w:pPr>
                  <w:r>
                    <w:t xml:space="preserve">¿Se mantiene el orden de los métodos al cambiar de conjunto de datos?</w:t>
                  </w:r>
                </w:p>
              </w:tc>
              <w:tc>
                <w:tcPr/>
                <w:p>
                  <w:pPr>
                    <w:pStyle w:val="Compact"/>
                    <w:jc w:val="both"/>
                    <w:jc w:val="center"/>
                    <w:spacing w:line="360" w:lineRule="auto"/>
                  </w:pPr>
                  <w:r>
                    <w:t xml:space="preserve">Conjunto de datos</w:t>
                  </w:r>
                </w:p>
              </w:tc>
              <w:tc>
                <w:tcPr/>
                <w:p>
                  <w:pPr>
                    <w:pStyle w:val="Compact"/>
                    <w:jc w:val="both"/>
                    <w:jc w:val="center"/>
                    <w:spacing w:line="360" w:lineRule="auto"/>
                  </w:pPr>
                  <w:r>
                    <w:t xml:space="preserve">Experimento nuevo sobre 16 conjuntos de datos</w:t>
                  </w:r>
                </w:p>
              </w:tc>
            </w:tr>
            <w:tr>
              <w:tc>
                <w:tcPr/>
                <w:p>
                  <w:pPr>
                    <w:pStyle w:val="Compact"/>
                    <w:jc w:val="both"/>
                    <w:jc w:val="center"/>
                    <w:spacing w:line="360" w:lineRule="auto"/>
                  </w:pPr>
                  <w:r>
                    <w:rPr>
                      <w:b/>
                      <w:bCs/>
                    </w:rPr>
                    <w:t xml:space="preserve">Controles posteriores del Estudio de Fiabilidad Inter-juez</w:t>
                  </w:r>
                </w:p>
              </w:tc>
              <w:tc>
                <w:tcPr/>
                <w:p>
                  <w:pPr>
                    <w:pStyle w:val="Compact"/>
                    <w:jc w:val="both"/>
                    <w:jc w:val="center"/>
                    <w:spacing w:line="360" w:lineRule="auto"/>
                  </w:pPr>
                  <w:r>
                    <w:t xml:space="preserve">¿Sobre qué acuerdan los jueces cuando acuerdan?</w:t>
                  </w:r>
                </w:p>
              </w:tc>
              <w:tc>
                <w:tcPr/>
                <w:p>
                  <w:pPr>
                    <w:pStyle w:val="Compact"/>
                    <w:jc w:val="both"/>
                    <w:jc w:val="center"/>
                    <w:spacing w:line="360" w:lineRule="auto"/>
                  </w:pPr>
                  <w:r>
                    <w:t xml:space="preserve">Instrumento semántico</w:t>
                  </w:r>
                </w:p>
              </w:tc>
              <w:tc>
                <w:tcPr/>
                <w:p>
                  <w:pPr>
                    <w:pStyle w:val="Compact"/>
                    <w:jc w:val="both"/>
                    <w:jc w:val="center"/>
                    <w:spacing w:line="360" w:lineRule="auto"/>
                  </w:pPr>
                  <w:r>
                    <w:t xml:space="preserve">Segunda cohorte de EXP4</w:t>
                  </w:r>
                </w:p>
              </w:tc>
            </w:tr>
          </w:tbl>
          <w:bookmarkEnd w:id="262"/>
          <w:p>
            <w:pPr>
              <w:spacing w:line="360" w:lineRule="auto"/>
              <w:jc w:val="both"/>
            </w:pPr>
          </w:p>
        </w:tc>
      </w:tr>
    </w:tbl>
    <w:bookmarkEnd w:id="263"/>
    <w:bookmarkStart w:id="273" w:name="sec-seg-error"/>
    <w:p>
      <w:pPr>
        <w:pStyle w:val="Ttulo2"/>
        <w:spacing w:line="360" w:lineRule="auto"/>
        <w:jc w:val="both"/>
      </w:pPr>
      <w:r>
        <w:t xml:space="preserve">6.2 </w:t>
      </w:r>
      <w:r>
        <w:t xml:space="preserve">Estudio de Fiabilidad ante el Error</w:t>
      </w:r>
    </w:p>
    <w:p>
      <w:pPr>
        <w:pStyle w:val="FirstParagraph"/>
        <w:spacing w:line="360" w:lineRule="auto"/>
        <w:jc w:val="both"/>
      </w:pPr>
      <w:r>
        <w:rPr>
          <w:b/>
          <w:bCs/>
        </w:rPr>
        <w:t xml:space="preserve">Pregunta.</w:t>
      </w:r>
      <w:r>
        <w:t xml:space="preserve"> </w:t>
      </w:r>
      <w:r>
        <w:t xml:space="preserve">Una explicación se consulta sobre todo cuando la predicción está</w:t>
      </w:r>
      <w:r>
        <w:t xml:space="preserve"> </w:t>
      </w:r>
      <w:r>
        <w:t xml:space="preserve">en duda. Las métricas del Capítulo 4, en cambio, son promedios sobre todas las</w:t>
      </w:r>
      <w:r>
        <w:t xml:space="preserve"> </w:t>
      </w:r>
      <w:r>
        <w:t xml:space="preserve">instancias. Este estudio pregunta si la calidad de la explicación difiere entre</w:t>
      </w:r>
      <w:r>
        <w:t xml:space="preserve"> </w:t>
      </w:r>
      <w:r>
        <w:t xml:space="preserve">las instancias bien clasificadas y las mal clasificadas.</w:t>
      </w:r>
    </w:p>
    <w:p>
      <w:pPr>
        <w:pStyle w:val="Textoindependiente"/>
        <w:spacing w:line="360" w:lineRule="auto"/>
        <w:jc w:val="both"/>
      </w:pPr>
      <w:r>
        <w:rPr>
          <w:b/>
          <w:bCs/>
        </w:rPr>
        <w:t xml:space="preserve">Diseño.</w:t>
      </w:r>
      <w:r>
        <w:t xml:space="preserve"> </w:t>
      </w:r>
      <w:r>
        <w:t xml:space="preserve">Es un reanálisis de las ejecuciones del benchmark primario, cuyo</w:t>
      </w:r>
      <w:r>
        <w:t xml:space="preserve"> </w:t>
      </w:r>
      <w:r>
        <w:t xml:space="preserve">muestreo por cuadrante de error (§</w:t>
      </w:r>
      <w:hyperlink w:anchor="sec-muestreo">
        <w:r>
          <w:rPr>
            <w:rStyle w:val="Hipervnculo"/>
          </w:rPr>
          <w:t xml:space="preserve">3.4</w:t>
        </w:r>
      </w:hyperlink>
      <w:r>
        <w:t xml:space="preserve">) deja representadas en</w:t>
      </w:r>
      <w:r>
        <w:t xml:space="preserve"> </w:t>
      </w:r>
      <w:r>
        <w:t xml:space="preserve">proporción similar las predicciones correctas y las erróneas. De las 299</w:t>
      </w:r>
      <w:r>
        <w:t xml:space="preserve"> </w:t>
      </w:r>
      <w:r>
        <w:t xml:space="preserve">ejecuciones se analizaron 265, que contienen 122,529 instancias explicadas. La</w:t>
      </w:r>
      <w:r>
        <w:t xml:space="preserve"> </w:t>
      </w:r>
      <w:r>
        <w:t xml:space="preserve">unidad de inferencia es la ejecución: para cada una se calcula la diferencia</w:t>
      </w:r>
      <w:r>
        <w:t xml:space="preserve"> </w:t>
      </w:r>
      <ns5:oMath>
        <ns5:r>
          <ns5:rPr>
            <ns5:sty ns5:val="p"/>
          </ns5:rPr>
          <ns5:t>Δ</ns5:t>
        </ns5:r>
      </ns5:oMath>
      <w:r>
        <w:t xml:space="preserve"> </w:t>
      </w:r>
      <w:r>
        <w:t xml:space="preserve">entre la media de la métrica en las instancias mal clasificadas y en</w:t>
      </w:r>
      <w:r>
        <w:t xml:space="preserve"> </w:t>
      </w:r>
      <w:r>
        <w:t xml:space="preserve">las bien clasificadas, de modo que un valor negativo indica menor calidad en</w:t>
      </w:r>
      <w:r>
        <w:t xml:space="preserve"> </w:t>
      </w:r>
      <w:r>
        <w:t xml:space="preserve">los errores. El contraste es una prueba de Wilcoxon bilateral por explicador y</w:t>
      </w:r>
      <w:r>
        <w:t xml:space="preserve"> </w:t>
      </w:r>
      <w:r>
        <w:t xml:space="preserve">métrica, con corrección de Holm sobre las doce pruebas</w:t>
      </w:r>
      <w:r>
        <w:t xml:space="preserve"> </w:t>
      </w:r>
      <w:r>
        <w:t xml:space="preserve">(Wilcoxon 1945)</w:t>
      </w:r>
      <w:r>
        <w:t xml:space="preserve"> </w:t>
      </w:r>
      <w:r>
        <w:t xml:space="preserve">y tamaño</w:t>
      </w:r>
      <w:r>
        <w:t xml:space="preserve"> </w:t>
      </w:r>
      <w:r>
        <w:t xml:space="preserve">de efecto</w:t>
      </w:r>
      <w:r>
        <w:t xml:space="preserve"> </w:t>
      </w:r>
      <ns5:oMath>
        <ns5:sSub>
          <ns5:e>
            <ns5:r>
              <ns5:t>d</ns5:t>
            </ns5:r>
          </ns5:e>
          <ns5:sub>
            <ns5:r>
              <ns5:t>z</ns5:t>
            </ns5:r>
          </ns5:sub>
        </ns5:sSub>
      </ns5:oMath>
      <w:r>
        <w:t xml:space="preserve"> </w:t>
      </w:r>
      <w:r>
        <w:t xml:space="preserve">(Lakens 2013)</w:t>
      </w:r>
      <w:r>
        <w:t xml:space="preserve">. Como los errores se concentran cerca de la</w:t>
      </w:r>
      <w:r>
        <w:t xml:space="preserve"> </w:t>
      </w:r>
      <w:r>
        <w:t xml:space="preserve">frontera de decisión, un segundo análisis ajusta por el margen de predicción</w:t>
      </w:r>
      <w:r>
        <w:t xml:space="preserve"> </w:t>
      </w:r>
      <ns5:oMath>
        <ns5:r>
          <ns5:rPr>
            <ns5:sty ns5:val="p"/>
          </ns5:rPr>
          <ns5:t>|</ns5:t>
        </ns5:r>
        <ns5:acc>
          <ns5:accPr>
            <ns5:chr ns5:val="̂"/>
          </ns5:accPr>
          <ns5:e>
            <ns5:r>
              <ns5:t>p</ns5:t>
            </ns5:r>
          </ns5:e>
        </ns5:acc>
        <ns5:r>
          <ns5:rPr>
            <ns5:sty ns5:val="p"/>
          </ns5:rPr>
          <ns5:t>−</ns5:t>
        </ns5:r>
        <ns5:r>
          <ns5:t>0.5</ns5:t>
        </ns5:r>
        <ns5:r>
          <ns5:rPr>
            <ns5:sty ns5:val="p"/>
          </ns5:rPr>
          <ns5:t>|</ns5:t>
        </ns5:r>
      </ns5:oMath>
      <w:r>
        <w:t xml:space="preserve"> </w:t>
      </w:r>
      <w:r>
        <w:t xml:space="preserve">mediante una regresión con efectos fijos de ejecución y</w:t>
      </w:r>
      <w:r>
        <w:t xml:space="preserve"> </w:t>
      </w:r>
      <w:r>
        <w:t xml:space="preserve">errores estándar agrupados por ejecución. German Credit sirve de contraste</w:t>
      </w:r>
      <w:r>
        <w:t xml:space="preserve"> </w:t>
      </w:r>
      <w:r>
        <w:t xml:space="preserve">externo descriptivo.</w:t>
      </w:r>
    </w:p>
    <w:p>
      <w:pPr>
        <w:pStyle w:val="Textoindependiente"/>
        <w:spacing w:line="360" w:lineRule="auto"/>
        <w:jc w:val="both"/>
      </w:pPr>
      <w:r>
        <w:rPr>
          <w:b/>
          <w:bCs/>
        </w:rPr>
        <w:t xml:space="preserve">Resultados.</w:t>
      </w:r>
      <w:r>
        <w:t xml:space="preserve"> </w:t>
      </w:r>
      <w:r>
        <w:t xml:space="preserve">La estabilidad fue menor en las instancias mal clasificadas para</w:t>
      </w:r>
      <w:r>
        <w:t xml:space="preserve"> </w:t>
      </w:r>
      <w:r>
        <w:t xml:space="preserve">los cuatro explicadores (</w:t>
      </w:r>
      <w:hyperlink w:anchor="tbl-seg-error">
        <w:r>
          <w:rPr>
            <w:rStyle w:val="Hipervnculo"/>
          </w:rPr>
          <w:t xml:space="preserve">Tabla 6.2</w:t>
        </w:r>
      </w:hyperlink>
      <w:r>
        <w:t xml:space="preserve"> </w:t>
      </w:r>
      <w:r>
        <w:t xml:space="preserve">y</w:t>
      </w:r>
      <w:r>
        <w:t xml:space="preserve"> </w:t>
      </w:r>
      <w:hyperlink w:anchor="fig-seg-error">
        <w:r>
          <w:rPr>
            <w:rStyle w:val="Hipervnculo"/>
          </w:rPr>
          <w:t xml:space="preserve">Figura 6.2</w:t>
        </w:r>
      </w:hyperlink>
      <w:r>
        <w:t xml:space="preserve">). El déficit fue grande para SHAP, en</w:t>
      </w:r>
      <w:r>
        <w:t xml:space="preserve"> </w:t>
      </w:r>
      <w:r>
        <w:t xml:space="preserve">las 65 ejecuciones, y para DiCE, en 67 de 68. Para LIME fue consistente pero</w:t>
      </w:r>
      <w:r>
        <w:t xml:space="preserve"> </w:t>
      </w:r>
      <w:r>
        <w:t xml:space="preserve">pequeño, porque su estabilidad en estos datos es cercana a cero. La fidelidad</w:t>
      </w:r>
      <w:r>
        <w:t xml:space="preserve"> </w:t>
      </w:r>
      <w:r>
        <w:t xml:space="preserve">cambió poco y en sentidos opuestos según el explicador. De las doce pruebas,</w:t>
      </w:r>
      <w:r>
        <w:t xml:space="preserve"> </w:t>
      </w:r>
      <w:r>
        <w:t xml:space="preserve">nueve fueron significativas y tres alcanzaron además el criterio de relevancia</w:t>
      </w:r>
      <w:r>
        <w:t xml:space="preserve"> </w:t>
      </w:r>
      <w:r>
        <w:t xml:space="preserve">práctica fijado en el plan: la estabilidad de SHAP, y la estabilidad y la</w:t>
      </w:r>
      <w:r>
        <w:t xml:space="preserve"> </w:t>
      </w:r>
      <w:r>
        <w:t xml:space="preserve">fidelidad de DiCE.</w:t>
      </w:r>
    </w:p>
    <w:tbl>
      <w:tblPr>
        <w:tblStyle w:val="Table"/>
        <w:tblW w:type="pct" w:w="5000"/>
        <w:jc w:val="center"/>
        <w:tblLayout w:type="fixed"/>
        <w:tblLook w:firstRow="0" w:lastRow="0" w:firstColumn="0" w:lastColumn="0" w:noHBand="0" w:noVBand="0" w:val="0000"/>
      </w:tblPr>
      <w:tblGrid>
        <w:gridCol w:w="7920"/>
      </w:tblGrid>
      <w:tr>
        <w:tc>
          <w:tcPr/>
          <w:bookmarkStart w:id="264" w:name="tbl-seg-error"/>
          <w:p>
            <w:pPr>
              <w:pStyle w:val="ImageCaption"/>
              <w:spacing w:before="200" w:line="360" w:lineRule="auto"/>
              <w:jc w:val="center"/>
            </w:pPr>
            <w:r>
              <w:t xml:space="preserve">Tabla 6.2: Estabilidad en instancias mal clasificadas frente a bien clasificadas (UCI</w:t>
            </w:r>
            <w:r>
              <w:t xml:space="preserve"> </w:t>
            </w:r>
            <w:r>
              <w:t xml:space="preserve">Adult).</w:t>
            </w:r>
            <w:r>
              <w:t xml:space="preserve"> </w:t>
            </w:r>
            <ns5:oMath>
              <ns5:r>
                <ns5:rPr>
                  <ns5:sty ns5:val="p"/>
                </ns5:rPr>
                <ns5:t>Δ</ns5:t>
              </ns5:r>
            </ns5:oMath>
            <w:r>
              <w:t xml:space="preserve">: diferencia por ejecución, mal clasificadas menos bien</w:t>
            </w:r>
            <w:r>
              <w:t xml:space="preserve"> </w:t>
            </w:r>
            <w:r>
              <w:t xml:space="preserve">clasificadas; las cuatro diferencias son significativas tras la corrección de</w:t>
            </w:r>
            <w:r>
              <w:t xml:space="preserve"> </w:t>
            </w:r>
            <w:r>
              <w:t xml:space="preserve">Holm.</w:t>
            </w:r>
            <w:r>
              <w:t xml:space="preserve"> </w:t>
            </w:r>
            <ns5:oMath>
              <ns5:r>
                <ns5:t>β</ns5:t>
              </ns5:r>
            </ns5:oMath>
            <w:r>
              <w:t xml:space="preserve">: coeficiente de la clasificación errónea en la regresión con</w:t>
            </w:r>
            <w:r>
              <w:t xml:space="preserve"> </w:t>
            </w:r>
            <w:r>
              <w:t xml:space="preserve">efectos fijos de ejecución, sin y con el margen de predicción, sobre las 223</w:t>
            </w:r>
            <w:r>
              <w:t xml:space="preserve"> </w:t>
            </w:r>
            <w:r>
              <w:t xml:space="preserve">ejecuciones cuyo modelo almacenado reproduce las predicciones registradas.</w:t>
            </w:r>
            <w:r>
              <w:t xml:space="preserve"> </w:t>
            </w:r>
          </w:p>
          <w:tbl>
            <w:tblPr>
              <w:tblStyle w:val="Table"/>
              <w:tblW w:type="pct" w:w="500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Row="1" w:lastRow="0" w:firstColumn="0" w:lastColumn="0" w:noHBand="0" w:noVBand="0" w:val="0020"/>
            </w:tblPr>
            <w:tblGrid>
              <w:gridCol w:w="1021"/>
              <w:gridCol w:w="1107"/>
              <w:gridCol w:w="1788"/>
              <w:gridCol w:w="596"/>
              <w:gridCol w:w="1703"/>
              <w:gridCol w:w="1703"/>
            </w:tblGrid>
            <w:tr>
              <w:trPr>
                <w:tblHeader w:val="on"/>
              </w:trPr>
              <w:tc>
                <w:tcPr/>
                <w:p>
                  <w:pPr>
                    <w:pStyle w:val="Compact"/>
                    <w:jc w:val="both"/>
                    <w:jc w:val="center"/>
                    <w:spacing w:line="360" w:lineRule="auto"/>
                  </w:pPr>
                  <w:r>
                    <w:rPr>
                      <w:bCs/>
                      <w:b/>
                    </w:rPr>
                    <w:t xml:space="preserve">Explicador</w:t>
                  </w:r>
                </w:p>
              </w:tc>
              <w:tc>
                <w:tcPr/>
                <w:p>
                  <w:pPr>
                    <w:pStyle w:val="Compact"/>
                    <w:jc w:val="both"/>
                    <w:jc w:val="center"/>
                    <w:spacing w:line="360" w:lineRule="auto"/>
                  </w:pPr>
                  <w:r>
                    <w:rPr>
                      <w:bCs/>
                      <w:b/>
                    </w:rPr>
                    <w:t xml:space="preserve">Ejecuciones</w:t>
                  </w:r>
                </w:p>
              </w:tc>
              <w:tc>
                <w:tcPr/>
                <w:p>
                  <w:pPr>
                    <w:pStyle w:val="Compact"/>
                    <w:jc w:val="both"/>
                    <w:jc w:val="center"/>
                    <w:spacing w:line="360" w:lineRule="auto"/>
                  </w:pPr>
                  <w:r>
                    <w:rPr>
                      <w:bCs/>
                      <w:b/>
                    </w:rPr>
                    <w:t xml:space="preserve">Mediana de</w:t>
                  </w:r>
                  <w:r>
                    <w:rPr>
                      <w:bCs/>
                      <w:b/>
                    </w:rPr>
                    <w:t xml:space="preserve"> </w:t>
                  </w:r>
                  <ns5:oMath>
                    <ns5:r>
                      <ns5:rPr>
                        <ns5:sty ns5:val="p"/>
                      </ns5:rPr>
                      <ns5:t>Δ</ns5:t>
                    </ns5:r>
                  </ns5:oMath>
                </w:p>
              </w:tc>
              <w:tc>
                <w:tcPr/>
                <w:p>
                  <w:pPr>
                    <w:pStyle w:val="Compact"/>
                    <w:jc w:val="both"/>
                    <w:jc w:val="center"/>
                    <w:spacing w:line="360" w:lineRule="auto"/>
                  </w:pPr>
                  <ns5:oMath>
                    <ns5:sSub>
                      <ns5:e>
                        <ns5:r>
                          <ns5:t>d</ns5:t>
                        </ns5:r>
                      </ns5:e>
                      <ns5:sub>
                        <ns5:r>
                          <ns5:t>z</ns5:t>
                        </ns5:r>
                      </ns5:sub>
                    </ns5:sSub>
                  </ns5:oMath>
                  <w:r>
                    <w:rPr>
                      <w:bCs/>
                      <w:b/>
                    </w:rPr>
                    <w:t xml:space="preserve">​</w:t>
                  </w:r>
                </w:p>
              </w:tc>
              <w:tc>
                <w:tcPr/>
                <w:p>
                  <w:pPr>
                    <w:pStyle w:val="Compact"/>
                    <w:jc w:val="both"/>
                    <w:jc w:val="center"/>
                    <w:spacing w:line="360" w:lineRule="auto"/>
                  </w:pPr>
                  <ns5:oMath>
                    <ns5:r>
                      <ns5:t>β</ns5:t>
                    </ns5:r>
                  </ns5:oMath>
                  <w:r>
                    <w:rPr>
                      <w:bCs/>
                      <w:b/>
                    </w:rPr>
                    <w:t xml:space="preserve"> </w:t>
                  </w:r>
                  <w:r>
                    <w:rPr>
                      <w:bCs/>
                      <w:b/>
                    </w:rPr>
                    <w:t xml:space="preserve">sin margen</w:t>
                  </w:r>
                </w:p>
              </w:tc>
              <w:tc>
                <w:tcPr/>
                <w:p>
                  <w:pPr>
                    <w:pStyle w:val="Compact"/>
                    <w:jc w:val="both"/>
                    <w:jc w:val="center"/>
                    <w:spacing w:line="360" w:lineRule="auto"/>
                  </w:pPr>
                  <ns5:oMath>
                    <ns5:r>
                      <ns5:t>β</ns5:t>
                    </ns5:r>
                  </ns5:oMath>
                  <w:r>
                    <w:rPr>
                      <w:bCs/>
                      <w:b/>
                    </w:rPr>
                    <w:t xml:space="preserve"> </w:t>
                  </w:r>
                  <w:r>
                    <w:rPr>
                      <w:bCs/>
                      <w:b/>
                    </w:rPr>
                    <w:t xml:space="preserve">con margen</w:t>
                  </w:r>
                </w:p>
              </w:tc>
            </w:tr>
            <w:tr>
              <w:tc>
                <w:tcPr/>
                <w:p>
                  <w:pPr>
                    <w:pStyle w:val="Compact"/>
                    <w:jc w:val="both"/>
                    <w:jc w:val="center"/>
                    <w:spacing w:line="360" w:lineRule="auto"/>
                  </w:pPr>
                  <w:r>
                    <w:t xml:space="preserve">SHAP</w:t>
                  </w:r>
                </w:p>
              </w:tc>
              <w:tc>
                <w:tcPr/>
                <w:p>
                  <w:pPr>
                    <w:pStyle w:val="Compact"/>
                    <w:jc w:val="both"/>
                    <w:jc w:val="center"/>
                    <w:spacing w:line="360" w:lineRule="auto"/>
                  </w:pPr>
                  <w:r>
                    <w:t xml:space="preserve">65</w:t>
                  </w:r>
                </w:p>
              </w:tc>
              <w:tc>
                <w:tcPr/>
                <w:p>
                  <w:pPr>
                    <w:pStyle w:val="Compact"/>
                    <w:jc w:val="both"/>
                    <w:jc w:val="center"/>
                    <w:spacing w:line="360" w:lineRule="auto"/>
                  </w:pPr>
                  <ns5:oMath>
                    <ns5:r>
                      <ns5:rPr>
                        <ns5:sty ns5:val="p"/>
                      </ns5:rPr>
                      <ns5:t>−</ns5:t>
                    </ns5:r>
                    <ns5:r>
                      <ns5:t>0.076</ns5:t>
                    </ns5:r>
                  </ns5:oMath>
                  <w:r>
                    <w:t xml:space="preserve">​</w:t>
                  </w:r>
                </w:p>
              </w:tc>
              <w:tc>
                <w:tcPr/>
                <w:p>
                  <w:pPr>
                    <w:pStyle w:val="Compact"/>
                    <w:jc w:val="both"/>
                    <w:jc w:val="center"/>
                    <w:spacing w:line="360" w:lineRule="auto"/>
                  </w:pPr>
                  <ns5:oMath>
                    <ns5:r>
                      <ns5:rPr>
                        <ns5:sty ns5:val="p"/>
                      </ns5:rPr>
                      <ns5:t>−</ns5:t>
                    </ns5:r>
                    <ns5:r>
                      <ns5:t>1.36</ns5:t>
                    </ns5:r>
                  </ns5:oMath>
                  <w:r>
                    <w:t xml:space="preserve">​</w:t>
                  </w:r>
                </w:p>
              </w:tc>
              <w:tc>
                <w:tcPr/>
                <w:p>
                  <w:pPr>
                    <w:pStyle w:val="Compact"/>
                    <w:jc w:val="both"/>
                    <w:jc w:val="center"/>
                    <w:spacing w:line="360" w:lineRule="auto"/>
                  </w:pPr>
                  <ns5:oMath>
                    <ns5:r>
                      <ns5:rPr>
                        <ns5:sty ns5:val="p"/>
                      </ns5:rPr>
                      <ns5:t>−</ns5:t>
                    </ns5:r>
                    <ns5:r>
                      <ns5:t>0.146</ns5:t>
                    </ns5:r>
                  </ns5:oMath>
                  <w:r>
                    <w:t xml:space="preserve">​</w:t>
                  </w:r>
                </w:p>
              </w:tc>
              <w:tc>
                <w:tcPr/>
                <w:p>
                  <w:pPr>
                    <w:pStyle w:val="Compact"/>
                    <w:jc w:val="both"/>
                    <w:jc w:val="center"/>
                    <w:spacing w:line="360" w:lineRule="auto"/>
                  </w:pPr>
                  <ns5:oMath>
                    <ns5:r>
                      <ns5:rPr>
                        <ns5:sty ns5:val="p"/>
                      </ns5:rPr>
                      <ns5:t>−</ns5:t>
                    </ns5:r>
                    <ns5:r>
                      <ns5:t>0.042</ns5:t>
                    </ns5:r>
                  </ns5:oMath>
                  <w:r>
                    <w:t xml:space="preserve">​</w:t>
                  </w:r>
                </w:p>
              </w:tc>
            </w:tr>
            <w:tr>
              <w:tc>
                <w:tcPr/>
                <w:p>
                  <w:pPr>
                    <w:pStyle w:val="Compact"/>
                    <w:jc w:val="both"/>
                    <w:jc w:val="center"/>
                    <w:spacing w:line="360" w:lineRule="auto"/>
                  </w:pPr>
                  <w:r>
                    <w:t xml:space="preserve">LIME</w:t>
                  </w:r>
                </w:p>
              </w:tc>
              <w:tc>
                <w:tcPr/>
                <w:p>
                  <w:pPr>
                    <w:pStyle w:val="Compact"/>
                    <w:jc w:val="both"/>
                    <w:jc w:val="center"/>
                    <w:spacing w:line="360" w:lineRule="auto"/>
                  </w:pPr>
                  <w:r>
                    <w:t xml:space="preserve">75</w:t>
                  </w:r>
                </w:p>
              </w:tc>
              <w:tc>
                <w:tcPr/>
                <w:p>
                  <w:pPr>
                    <w:pStyle w:val="Compact"/>
                    <w:jc w:val="both"/>
                    <w:jc w:val="center"/>
                    <w:spacing w:line="360" w:lineRule="auto"/>
                  </w:pPr>
                  <ns5:oMath>
                    <ns5:r>
                      <ns5:rPr>
                        <ns5:sty ns5:val="p"/>
                      </ns5:rPr>
                      <ns5:t>−</ns5:t>
                    </ns5:r>
                    <ns5:r>
                      <ns5:t>0.003</ns5:t>
                    </ns5:r>
                  </ns5:oMath>
                  <w:r>
                    <w:t xml:space="preserve">​</w:t>
                  </w:r>
                </w:p>
              </w:tc>
              <w:tc>
                <w:tcPr/>
                <w:p>
                  <w:pPr>
                    <w:pStyle w:val="Compact"/>
                    <w:jc w:val="both"/>
                    <w:jc w:val="center"/>
                    <w:spacing w:line="360" w:lineRule="auto"/>
                  </w:pPr>
                  <ns5:oMath>
                    <ns5:r>
                      <ns5:rPr>
                        <ns5:sty ns5:val="p"/>
                      </ns5:rPr>
                      <ns5:t>−</ns5:t>
                    </ns5:r>
                    <ns5:r>
                      <ns5:t>1.06</ns5:t>
                    </ns5:r>
                  </ns5:oMath>
                  <w:r>
                    <w:t xml:space="preserve">​</w:t>
                  </w:r>
                </w:p>
              </w:tc>
              <w:tc>
                <w:tcPr/>
                <w:p>
                  <w:pPr>
                    <w:pStyle w:val="Compact"/>
                    <w:jc w:val="both"/>
                    <w:jc w:val="center"/>
                    <w:spacing w:line="360" w:lineRule="auto"/>
                  </w:pPr>
                  <ns5:oMath>
                    <ns5:r>
                      <ns5:rPr>
                        <ns5:sty ns5:val="p"/>
                      </ns5:rPr>
                      <ns5:t>−</ns5:t>
                    </ns5:r>
                    <ns5:r>
                      <ns5:t>0.008</ns5:t>
                    </ns5:r>
                  </ns5:oMath>
                  <w:r>
                    <w:t xml:space="preserve">​</w:t>
                  </w:r>
                </w:p>
              </w:tc>
              <w:tc>
                <w:tcPr/>
                <w:p>
                  <w:pPr>
                    <w:pStyle w:val="Compact"/>
                    <w:jc w:val="both"/>
                    <w:jc w:val="center"/>
                    <w:spacing w:line="360" w:lineRule="auto"/>
                  </w:pPr>
                  <ns5:oMath>
                    <ns5:r>
                      <ns5:rPr>
                        <ns5:sty ns5:val="p"/>
                      </ns5:rPr>
                      <ns5:t>−</ns5:t>
                    </ns5:r>
                    <ns5:r>
                      <ns5:t>0.003</ns5:t>
                    </ns5:r>
                  </ns5:oMath>
                  <w:r>
                    <w:t xml:space="preserve">​</w:t>
                  </w:r>
                </w:p>
              </w:tc>
            </w:tr>
            <w:tr>
              <w:tc>
                <w:tcPr/>
                <w:p>
                  <w:pPr>
                    <w:pStyle w:val="Compact"/>
                    <w:jc w:val="both"/>
                    <w:jc w:val="center"/>
                    <w:spacing w:line="360" w:lineRule="auto"/>
                  </w:pPr>
                  <w:r>
                    <w:t xml:space="preserve">Anchors</w:t>
                  </w:r>
                </w:p>
              </w:tc>
              <w:tc>
                <w:tcPr/>
                <w:p>
                  <w:pPr>
                    <w:pStyle w:val="Compact"/>
                    <w:jc w:val="both"/>
                    <w:jc w:val="center"/>
                    <w:spacing w:line="360" w:lineRule="auto"/>
                  </w:pPr>
                  <w:r>
                    <w:t xml:space="preserve">57</w:t>
                  </w:r>
                </w:p>
              </w:tc>
              <w:tc>
                <w:tcPr/>
                <w:p>
                  <w:pPr>
                    <w:pStyle w:val="Compact"/>
                    <w:jc w:val="both"/>
                    <w:jc w:val="center"/>
                    <w:spacing w:line="360" w:lineRule="auto"/>
                  </w:pPr>
                  <ns5:oMath>
                    <ns5:r>
                      <ns5:t>0.000</ns5:t>
                    </ns5:r>
                  </ns5:oMath>
                  <w:r>
                    <w:t xml:space="preserve">​</w:t>
                  </w:r>
                </w:p>
              </w:tc>
              <w:tc>
                <w:tcPr/>
                <w:p>
                  <w:pPr>
                    <w:pStyle w:val="Compact"/>
                    <w:jc w:val="both"/>
                    <w:jc w:val="center"/>
                    <w:spacing w:line="360" w:lineRule="auto"/>
                  </w:pPr>
                  <ns5:oMath>
                    <ns5:r>
                      <ns5:rPr>
                        <ns5:sty ns5:val="p"/>
                      </ns5:rPr>
                      <ns5:t>−</ns5:t>
                    </ns5:r>
                    <ns5:r>
                      <ns5:t>0.28</ns5:t>
                    </ns5:r>
                  </ns5:oMath>
                  <w:r>
                    <w:t xml:space="preserve">​</w:t>
                  </w:r>
                </w:p>
              </w:tc>
              <w:tc>
                <w:tcPr/>
                <w:p>
                  <w:pPr>
                    <w:pStyle w:val="Compact"/>
                    <w:jc w:val="both"/>
                    <w:jc w:val="center"/>
                    <w:spacing w:line="360" w:lineRule="auto"/>
                  </w:pPr>
                  <ns5:oMath>
                    <ns5:r>
                      <ns5:rPr>
                        <ns5:sty ns5:val="p"/>
                      </ns5:rPr>
                      <ns5:t>−</ns5:t>
                    </ns5:r>
                    <ns5:r>
                      <ns5:t>0.030</ns5:t>
                    </ns5:r>
                  </ns5:oMath>
                  <w:r>
                    <w:t xml:space="preserve">​</w:t>
                  </w:r>
                </w:p>
              </w:tc>
              <w:tc>
                <w:tcPr/>
                <w:p>
                  <w:pPr>
                    <w:pStyle w:val="Compact"/>
                    <w:jc w:val="both"/>
                    <w:jc w:val="center"/>
                    <w:spacing w:line="360" w:lineRule="auto"/>
                  </w:pPr>
                  <ns5:oMath>
                    <ns5:r>
                      <ns5:rPr>
                        <ns5:sty ns5:val="p"/>
                      </ns5:rPr>
                      <ns5:t>−</ns5:t>
                    </ns5:r>
                    <ns5:r>
                      <ns5:t>0.025</ns5:t>
                    </ns5:r>
                  </ns5:oMath>
                  <w:r>
                    <w:t xml:space="preserve">​</w:t>
                  </w:r>
                </w:p>
              </w:tc>
            </w:tr>
            <w:tr>
              <w:tc>
                <w:tcPr/>
                <w:p>
                  <w:pPr>
                    <w:pStyle w:val="Compact"/>
                    <w:jc w:val="both"/>
                    <w:jc w:val="center"/>
                    <w:spacing w:line="360" w:lineRule="auto"/>
                  </w:pPr>
                  <w:r>
                    <w:t xml:space="preserve">DiCE</w:t>
                  </w:r>
                </w:p>
              </w:tc>
              <w:tc>
                <w:tcPr/>
                <w:p>
                  <w:pPr>
                    <w:pStyle w:val="Compact"/>
                    <w:jc w:val="both"/>
                    <w:jc w:val="center"/>
                    <w:spacing w:line="360" w:lineRule="auto"/>
                  </w:pPr>
                  <w:r>
                    <w:t xml:space="preserve">68</w:t>
                  </w:r>
                </w:p>
              </w:tc>
              <w:tc>
                <w:tcPr/>
                <w:p>
                  <w:pPr>
                    <w:pStyle w:val="Compact"/>
                    <w:jc w:val="both"/>
                    <w:jc w:val="center"/>
                    <w:spacing w:line="360" w:lineRule="auto"/>
                  </w:pPr>
                  <ns5:oMath>
                    <ns5:r>
                      <ns5:rPr>
                        <ns5:sty ns5:val="p"/>
                      </ns5:rPr>
                      <ns5:t>−</ns5:t>
                    </ns5:r>
                    <ns5:r>
                      <ns5:t>0.210</ns5:t>
                    </ns5:r>
                  </ns5:oMath>
                  <w:r>
                    <w:t xml:space="preserve">​</w:t>
                  </w:r>
                </w:p>
              </w:tc>
              <w:tc>
                <w:tcPr/>
                <w:p>
                  <w:pPr>
                    <w:pStyle w:val="Compact"/>
                    <w:jc w:val="both"/>
                    <w:jc w:val="center"/>
                    <w:spacing w:line="360" w:lineRule="auto"/>
                  </w:pPr>
                  <ns5:oMath>
                    <ns5:r>
                      <ns5:rPr>
                        <ns5:sty ns5:val="p"/>
                      </ns5:rPr>
                      <ns5:t>−</ns5:t>
                    </ns5:r>
                    <ns5:r>
                      <ns5:t>2.15</ns5:t>
                    </ns5:r>
                  </ns5:oMath>
                  <w:r>
                    <w:t xml:space="preserve">​</w:t>
                  </w:r>
                </w:p>
              </w:tc>
              <w:tc>
                <w:tcPr/>
                <w:p>
                  <w:pPr>
                    <w:pStyle w:val="Compact"/>
                    <w:jc w:val="both"/>
                    <w:jc w:val="center"/>
                    <w:spacing w:line="360" w:lineRule="auto"/>
                  </w:pPr>
                  <ns5:oMath>
                    <ns5:r>
                      <ns5:rPr>
                        <ns5:sty ns5:val="p"/>
                      </ns5:rPr>
                      <ns5:t>−</ns5:t>
                    </ns5:r>
                    <ns5:r>
                      <ns5:t>0.191</ns5:t>
                    </ns5:r>
                  </ns5:oMath>
                  <w:r>
                    <w:t xml:space="preserve">​</w:t>
                  </w:r>
                </w:p>
              </w:tc>
              <w:tc>
                <w:tcPr/>
                <w:p>
                  <w:pPr>
                    <w:pStyle w:val="Compact"/>
                    <w:jc w:val="both"/>
                    <w:jc w:val="center"/>
                    <w:spacing w:line="360" w:lineRule="auto"/>
                  </w:pPr>
                  <ns5:oMath>
                    <ns5:r>
                      <ns5:rPr>
                        <ns5:sty ns5:val="p"/>
                      </ns5:rPr>
                      <ns5:t>−</ns5:t>
                    </ns5:r>
                    <ns5:r>
                      <ns5:t>0.014</ns5:t>
                    </ns5:r>
                  </ns5:oMath>
                  <w:r>
                    <w:t xml:space="preserve">​</w:t>
                  </w:r>
                </w:p>
              </w:tc>
            </w:tr>
          </w:tbl>
          <w:bookmarkEnd w:id="264"/>
          <w:p>
            <w:pPr>
              <w:spacing w:line="360" w:lineRule="auto"/>
              <w:jc w:val="both"/>
            </w:pPr>
          </w:p>
        </w:tc>
      </w:tr>
    </w:tbl>
    <w:p>
      <w:pPr>
        <w:pStyle w:val="Textoindependiente"/>
        <w:spacing w:line="360" w:lineRule="auto"/>
        <w:jc w:val="both"/>
      </w:pPr>
      <w:r>
        <w:t xml:space="preserve"> </w:t>
      </w:r>
    </w:p>
    <w:tbl>
      <w:tblPr>
        <w:tblStyle w:val="Table"/>
        <w:tblW w:type="pct" w:w="5000"/>
        <w:jc w:val="center"/>
        <w:tblLayout w:type="fixed"/>
        <w:tblLook w:firstRow="0" w:lastRow="0" w:firstColumn="0" w:lastColumn="0" w:noHBand="0" w:noVBand="0" w:val="0000"/>
      </w:tblPr>
      <w:tblGrid>
        <w:gridCol w:w="7920"/>
      </w:tblGrid>
      <w:tr>
        <w:tc>
          <w:tcPr/>
          <w:bookmarkStart w:id="268" w:name="fig-seg-error"/>
          <w:p>
            <w:pPr>
              <w:pStyle w:val="Compact"/>
              <w:jc w:val="center"/>
              <w:spacing w:line="360" w:lineRule="auto"/>
            </w:pPr>
            <w:r>
              <w:drawing>
                <ns1:inline>
                  <ns1:extent cx="5646420" cy="1953023"/>
                  <ns1:effectExtent b="0" l="0" r="0" t="0"/>
                  <ns1:docPr descr="" title="" id="266" name="Picture"/>
                  <ns2:graphic>
                    <ns2:graphicData uri="http://schemas.openxmlformats.org/drawingml/2006/picture">
                      <ns3:pic>
                        <ns3:nvPicPr>
                          <ns3:cNvPr descr="assets/figures/fig_seg_error_es.png" id="267" name="Picture"/>
                          <ns3:cNvPicPr>
                            <ns2:picLocks noChangeArrowheads="1" noChangeAspect="1"/>
                          </ns3:cNvPicPr>
                        </ns3:nvPicPr>
                        <ns3:blipFill>
                          <ns2:blip ns4:embed="rId265"/>
                          <ns2:stretch>
                            <ns2:fillRect/>
                          </ns2:stretch>
                        </ns3:blipFill>
                        <ns3:spPr bwMode="auto">
                          <ns2:xfrm>
                            <ns2:off x="0" y="0"/>
                            <ns2:ext cx="5646420" cy="1953023"/>
                          </ns2:xfrm>
                          <ns2:prstGeom prst="rect">
                            <ns2:avLst/>
                          </ns2:prstGeom>
                          <ns2:noFill/>
                          <ns2:ln w="9525">
                            <ns2:noFill/>
                            <ns2:headEnd/>
                            <ns2:tailEnd/>
                          </ns2:ln>
                        </ns3:spPr>
                      </ns3:pic>
                    </ns2:graphicData>
                  </ns2:graphic>
                </ns1:inline>
              </w:drawing>
            </w:r>
          </w:p>
          <w:p>
            <w:pPr>
              <w:pStyle w:val="ImageCaption"/>
              <w:spacing w:before="200" w:line="360" w:lineRule="auto"/>
              <w:jc w:val="center"/>
            </w:pPr>
            <w:r>
              <w:t xml:space="preserve">Figura 6.2: Diferencia de calidad entre instancias mal clasificadas y bien clasificadas,</w:t>
            </w:r>
            <w:r>
              <w:t xml:space="preserve"> </w:t>
            </w:r>
            <w:r>
              <w:t xml:space="preserve">por explicador y métrica (UCI Adult). Cada punto es la media por ejecución de la</w:t>
            </w:r>
            <w:r>
              <w:t xml:space="preserve"> </w:t>
            </w:r>
            <w:r>
              <w:t xml:space="preserve">diferencia, con su intervalo del 95 %; el marcador relleno indica una diferencia</w:t>
            </w:r>
            <w:r>
              <w:t xml:space="preserve"> </w:t>
            </w:r>
            <w:r>
              <w:t xml:space="preserve">significativa tras la corrección de Holm. Los valores negativos indican menor</w:t>
            </w:r>
            <w:r>
              <w:t xml:space="preserve"> </w:t>
            </w:r>
            <w:r>
              <w:t xml:space="preserve">calidad en los errores. El panel central muestra el resultado principal: la</w:t>
            </w:r>
            <w:r>
              <w:t xml:space="preserve"> </w:t>
            </w:r>
            <w:r>
              <w:t xml:space="preserve">estabilidad es menor en los errores para los cuatro</w:t>
            </w:r>
            <w:r>
              <w:t xml:space="preserve"> </w:t>
            </w:r>
            <w:r>
              <w:t xml:space="preserve">explicadores.</w:t>
            </w:r>
          </w:p>
          <w:bookmarkEnd w:id="268"/>
        </w:tc>
      </w:tr>
    </w:tbl>
    <w:p>
      <w:pPr>
        <w:pStyle w:val="Textoindependiente"/>
        <w:spacing w:line="360" w:lineRule="auto"/>
        <w:jc w:val="both"/>
      </w:pPr>
      <w:r>
        <w:t xml:space="preserve">El ajuste por el margen separa dos causas (</w:t>
      </w:r>
      <w:hyperlink w:anchor="fig-seg-margen">
        <w:r>
          <w:rPr>
            <w:rStyle w:val="Hipervnculo"/>
          </w:rPr>
          <w:t xml:space="preserve">Figura 6.3</w:t>
        </w:r>
      </w:hyperlink>
      <w:r>
        <w:t xml:space="preserve">). Los errores están más cerca de la</w:t>
      </w:r>
      <w:r>
        <w:t xml:space="preserve"> </w:t>
      </w:r>
      <w:r>
        <w:t xml:space="preserve">frontera: en las ejecuciones de SHAP, la mediana del margen es 0.18 en los</w:t>
      </w:r>
      <w:r>
        <w:t xml:space="preserve"> </w:t>
      </w:r>
      <w:r>
        <w:t xml:space="preserve">errores frente a 0.43 en los aciertos. Con el margen controlado, el déficit de</w:t>
      </w:r>
      <w:r>
        <w:t xml:space="preserve"> </w:t>
      </w:r>
      <w:r>
        <w:t xml:space="preserve">DiCE casi desaparece (</w:t>
      </w:r>
      <ns5:oMath>
        <ns5:r>
          <ns5:rPr>
            <ns5:sty ns5:val="p"/>
          </ns5:rPr>
          <ns5:t>−</ns5:t>
        </ns5:r>
        <ns5:r>
          <ns5:t>0.014</ns5:t>
        </ns5:r>
      </ns5:oMath>
      <w:r>
        <w:t xml:space="preserve">): cerca de la frontera un contrafactual requiere</w:t>
      </w:r>
      <w:r>
        <w:t xml:space="preserve"> </w:t>
      </w:r>
      <w:r>
        <w:t xml:space="preserve">un cambio pequeño, que varía más bajo ruido, sea correcta o no la predicción.</w:t>
      </w:r>
      <w:r>
        <w:t xml:space="preserve"> </w:t>
      </w:r>
      <w:r>
        <w:t xml:space="preserve">El déficit de SHAP se reduce pero permanece (</w:t>
      </w:r>
      <ns5:oMath>
        <ns5:r>
          <ns5:rPr>
            <ns5:sty ns5:val="p"/>
          </ns5:rPr>
          <ns5:t>−</ns5:t>
        </ns5:r>
        <ns5:r>
          <ns5:t>0.042</ns5:t>
        </ns5:r>
      </ns5:oMath>
      <w:r>
        <w:t xml:space="preserve">). A igual margen, además,</w:t>
      </w:r>
      <w:r>
        <w:t xml:space="preserve"> </w:t>
      </w:r>
      <w:r>
        <w:t xml:space="preserve">las características que SHAP sitúa primero sostienen una parte menor de una</w:t>
      </w:r>
      <w:r>
        <w:t xml:space="preserve"> </w:t>
      </w:r>
      <w:r>
        <w:t xml:space="preserve">predicción errónea.</w:t>
      </w:r>
    </w:p>
    <w:tbl>
      <w:tblPr>
        <w:tblStyle w:val="Table"/>
        <w:tblW w:type="pct" w:w="5000"/>
        <w:jc w:val="center"/>
        <w:tblLayout w:type="fixed"/>
        <w:tblLook w:firstRow="0" w:lastRow="0" w:firstColumn="0" w:lastColumn="0" w:noHBand="0" w:noVBand="0" w:val="0000"/>
      </w:tblPr>
      <w:tblGrid>
        <w:gridCol w:w="7920"/>
      </w:tblGrid>
      <w:tr>
        <w:tc>
          <w:tcPr/>
          <w:bookmarkStart w:id="272" w:name="fig-seg-margen"/>
          <w:p>
            <w:pPr>
              <w:pStyle w:val="Compact"/>
              <w:jc w:val="center"/>
              <w:spacing w:line="360" w:lineRule="auto"/>
            </w:pPr>
            <w:r>
              <w:drawing>
                <ns1:inline>
                  <ns1:extent cx="5646420" cy="1964215"/>
                  <ns1:effectExtent b="0" l="0" r="0" t="0"/>
                  <ns1:docPr descr="" title="" id="270" name="Picture"/>
                  <ns2:graphic>
                    <ns2:graphicData uri="http://schemas.openxmlformats.org/drawingml/2006/picture">
                      <ns3:pic>
                        <ns3:nvPicPr>
                          <ns3:cNvPr descr="assets/figures/fig_seg_margen_es.png" id="271" name="Picture"/>
                          <ns3:cNvPicPr>
                            <ns2:picLocks noChangeArrowheads="1" noChangeAspect="1"/>
                          </ns3:cNvPicPr>
                        </ns3:nvPicPr>
                        <ns3:blipFill>
                          <ns2:blip ns4:embed="rId269"/>
                          <ns2:stretch>
                            <ns2:fillRect/>
                          </ns2:stretch>
                        </ns3:blipFill>
                        <ns3:spPr bwMode="auto">
                          <ns2:xfrm>
                            <ns2:off x="0" y="0"/>
                            <ns2:ext cx="5646420" cy="1964215"/>
                          </ns2:xfrm>
                          <ns2:prstGeom prst="rect">
                            <ns2:avLst/>
                          </ns2:prstGeom>
                          <ns2:noFill/>
                          <ns2:ln w="9525">
                            <ns2:noFill/>
                            <ns2:headEnd/>
                            <ns2:tailEnd/>
                          </ns2:ln>
                        </ns3:spPr>
                      </ns3:pic>
                    </ns2:graphicData>
                  </ns2:graphic>
                </ns1:inline>
              </w:drawing>
            </w:r>
          </w:p>
          <w:p>
            <w:pPr>
              <w:pStyle w:val="ImageCaption"/>
              <w:spacing w:before="200" w:line="360" w:lineRule="auto"/>
              <w:jc w:val="center"/>
            </w:pPr>
            <w:r>
              <w:t xml:space="preserve">Figura 6.3: Estabilidad media según el margen de predicción, para instancias bien y mal</w:t>
            </w:r>
            <w:r>
              <w:t xml:space="preserve"> </w:t>
            </w:r>
            <w:r>
              <w:t xml:space="preserve">clasificadas (UCI Adult). En SHAP, la línea de las instancias mal clasificadas</w:t>
            </w:r>
            <w:r>
              <w:t xml:space="preserve"> </w:t>
            </w:r>
            <w:r>
              <w:t xml:space="preserve">queda por debajo en todos los intervalos de margen: el déficit no se debe solo a</w:t>
            </w:r>
            <w:r>
              <w:t xml:space="preserve"> </w:t>
            </w:r>
            <w:r>
              <w:t xml:space="preserve">la cercanía a la frontera. En DiCE, las dos líneas coinciden hasta márgenes</w:t>
            </w:r>
            <w:r>
              <w:t xml:space="preserve"> </w:t>
            </w:r>
            <w:r>
              <w:t xml:space="preserve">altos: a igual margen, el déficit casi</w:t>
            </w:r>
            <w:r>
              <w:t xml:space="preserve"> </w:t>
            </w:r>
            <w:r>
              <w:t xml:space="preserve">desaparece.</w:t>
            </w:r>
          </w:p>
          <w:bookmarkEnd w:id="272"/>
        </w:tc>
      </w:tr>
    </w:tbl>
    <w:p>
      <w:pPr>
        <w:pStyle w:val="Textoindependiente"/>
        <w:spacing w:line="360" w:lineRule="auto"/>
        <w:jc w:val="both"/>
      </w:pPr>
      <w:r>
        <w:t xml:space="preserve">Una comprobación se añadió</w:t>
      </w:r>
      <w:r>
        <w:t xml:space="preserve"> </w:t>
      </w:r>
      <w:r>
        <w:rPr>
          <w:i/>
          <w:iCs/>
        </w:rPr>
        <w:t xml:space="preserve">post hoc</w:t>
      </w:r>
      <w:r>
        <w:t xml:space="preserve">. Parte de las instancias explicadas</w:t>
      </w:r>
      <w:r>
        <w:t xml:space="preserve"> </w:t>
      </w:r>
      <w:r>
        <w:t xml:space="preserve">pertenece a los datos de entrenamiento de los modelos (70,788 de las</w:t>
      </w:r>
      <w:r>
        <w:t xml:space="preserve"> </w:t>
      </w:r>
      <w:r>
        <w:t xml:space="preserve">analizadas). Sobre las instancias fuera de entrenamiento, el déficit de</w:t>
      </w:r>
      <w:r>
        <w:t xml:space="preserve"> </w:t>
      </w:r>
      <w:r>
        <w:t xml:space="preserve">estabilidad se mantiene: la mediana es</w:t>
      </w:r>
      <w:r>
        <w:t xml:space="preserve"> </w:t>
      </w:r>
      <ns5:oMath>
        <ns5:r>
          <ns5:rPr>
            <ns5:sty ns5:val="p"/>
          </ns5:rPr>
          <ns5:t>−</ns5:t>
        </ns5:r>
        <ns5:r>
          <ns5:t>0.068</ns5:t>
        </ns5:r>
      </ns5:oMath>
      <w:r>
        <w:t xml:space="preserve"> </w:t>
      </w:r>
      <w:r>
        <w:t xml:space="preserve">para SHAP y</w:t>
      </w:r>
      <w:r>
        <w:t xml:space="preserve"> </w:t>
      </w:r>
      <ns5:oMath>
        <ns5:r>
          <ns5:rPr>
            <ns5:sty ns5:val="p"/>
          </ns5:rPr>
          <ns5:t>−</ns5:t>
        </ns5:r>
        <ns5:r>
          <ns5:t>0.212</ns5:t>
        </ns5:r>
      </ns5:oMath>
      <w:r>
        <w:t xml:space="preserve"> </w:t>
      </w:r>
      <w:r>
        <w:t xml:space="preserve">para DiCE.</w:t>
      </w:r>
    </w:p>
    <w:p>
      <w:pPr>
        <w:pStyle w:val="Textoindependiente"/>
        <w:spacing w:line="360" w:lineRule="auto"/>
        <w:jc w:val="both"/>
      </w:pPr>
      <w:r>
        <w:rPr>
          <w:b/>
          <w:bCs/>
        </w:rPr>
        <w:t xml:space="preserve">Límites.</w:t>
      </w:r>
      <w:r>
        <w:t xml:space="preserve"> </w:t>
      </w:r>
      <w:r>
        <w:t xml:space="preserve">El patrón depende de la familia de modelos. El contraste externo</w:t>
      </w:r>
      <w:r>
        <w:t xml:space="preserve"> </w:t>
      </w:r>
      <w:r>
        <w:t xml:space="preserve">no reproduce el déficit de estabilidad de SHAP: en German Credit, la estabilidad</w:t>
      </w:r>
      <w:r>
        <w:t xml:space="preserve"> </w:t>
      </w:r>
      <w:r>
        <w:t xml:space="preserve">de SHAP fue mayor en los errores en cuatro de seis ejecuciones (mediana</w:t>
      </w:r>
      <w:r>
        <w:t xml:space="preserve"> </w:t>
      </w:r>
      <ns5:oMath>
        <ns5:r>
          <ns5:rPr>
            <ns5:sty ns5:val="p"/>
          </ns5:rPr>
          <ns5:t>+</ns5:t>
        </ns5:r>
        <ns5:r>
          <ns5:t>0.025</ns5:t>
        </ns5:r>
      </ns5:oMath>
      <w:r>
        <w:t xml:space="preserve">), y la causa de esa inversión no se conoce. El contraste externo</w:t>
      </w:r>
      <w:r>
        <w:t xml:space="preserve"> </w:t>
      </w:r>
      <w:r>
        <w:t xml:space="preserve">dispone de seis ejecuciones por explicador y solo de modelos de árboles. Las</w:t>
      </w:r>
      <w:r>
        <w:t xml:space="preserve"> </w:t>
      </w:r>
      <w:r>
        <w:t xml:space="preserve">métricas son las</w:t>
      </w:r>
      <w:r>
        <w:t xml:space="preserve"> </w:t>
      </w:r>
      <w:r>
        <w:rPr>
          <w:i/>
          <w:iCs/>
        </w:rPr>
        <w:t xml:space="preserve">proxies</w:t>
      </w:r>
      <w:r>
        <w:t xml:space="preserve"> </w:t>
      </w:r>
      <w:r>
        <w:t xml:space="preserve">del Capítulo 3: que un usuario resulte engañado por</w:t>
      </w:r>
      <w:r>
        <w:t xml:space="preserve"> </w:t>
      </w:r>
      <w:r>
        <w:t xml:space="preserve">la explicación de una predicción errónea no se ha medido.</w:t>
      </w:r>
    </w:p>
    <w:p>
      <w:pPr>
        <w:pStyle w:val="Textoindependiente"/>
        <w:spacing w:line="360" w:lineRule="auto"/>
        <w:jc w:val="both"/>
      </w:pPr>
      <w:r>
        <w:rPr>
          <w:b/>
          <w:bCs/>
        </w:rPr>
        <w:t xml:space="preserve">Consecuencia.</w:t>
      </w:r>
      <w:r>
        <w:t xml:space="preserve"> </w:t>
      </w:r>
      <w:r>
        <w:t xml:space="preserve">Los promedios del Capítulo 4 describen mejor las explicaciones</w:t>
      </w:r>
      <w:r>
        <w:t xml:space="preserve"> </w:t>
      </w:r>
      <w:r>
        <w:t xml:space="preserve">de las predicciones correctas que las de las erróneas. Una auditoría que use</w:t>
      </w:r>
      <w:r>
        <w:t xml:space="preserve"> </w:t>
      </w:r>
      <w:r>
        <w:t xml:space="preserve">estos métodos debería reportar la calidad de la explicación por separado para</w:t>
      </w:r>
      <w:r>
        <w:t xml:space="preserve"> </w:t>
      </w:r>
      <w:r>
        <w:t xml:space="preserve">aciertos y errores, y comprobar la estabilidad de la explicación concreta que</w:t>
      </w:r>
      <w:r>
        <w:t xml:space="preserve"> </w:t>
      </w:r>
      <w:r>
        <w:t xml:space="preserve">se emplee para impugnar o justificar una decisión.</w:t>
      </w:r>
    </w:p>
    <w:bookmarkEnd w:id="273"/>
    <w:bookmarkStart w:id="279" w:name="sec-seg-concordancia"/>
    <w:p>
      <w:pPr>
        <w:pStyle w:val="Ttulo2"/>
        <w:spacing w:line="360" w:lineRule="auto"/>
        <w:jc w:val="both"/>
      </w:pPr>
      <w:r>
        <w:t xml:space="preserve">6.3 </w:t>
      </w:r>
      <w:r>
        <w:t xml:space="preserve">Estudio de Concordancia entre Explicadores</w:t>
      </w:r>
    </w:p>
    <w:p>
      <w:pPr>
        <w:pStyle w:val="FirstParagraph"/>
        <w:spacing w:line="360" w:lineRule="auto"/>
        <w:jc w:val="both"/>
      </w:pPr>
      <w:r>
        <w:rPr>
          <w:b/>
          <w:bCs/>
        </w:rPr>
        <w:t xml:space="preserve">Pregunta.</w:t>
      </w:r>
      <w:r>
        <w:t xml:space="preserve"> </w:t>
      </w:r>
      <w:r>
        <w:t xml:space="preserve">El Estudio Pareado LIME–SHAP compara los dos métodos por sus</w:t>
      </w:r>
      <w:r>
        <w:t xml:space="preserve"> </w:t>
      </w:r>
      <w:r>
        <w:t xml:space="preserve">métricas de calidad. No dice si, para una misma predicción, ambos señalan las</w:t>
      </w:r>
      <w:r>
        <w:t xml:space="preserve"> </w:t>
      </w:r>
      <w:r>
        <w:t xml:space="preserve">mismas características. Este estudio mide esa concordancia instancia por</w:t>
      </w:r>
      <w:r>
        <w:t xml:space="preserve"> </w:t>
      </w:r>
      <w:r>
        <w:t xml:space="preserve">instancia.</w:t>
      </w:r>
    </w:p>
    <w:p>
      <w:pPr>
        <w:pStyle w:val="Textoindependiente"/>
        <w:spacing w:line="360" w:lineRule="auto"/>
        <w:jc w:val="both"/>
      </w:pPr>
      <w:r>
        <w:rPr>
          <w:b/>
          <w:bCs/>
        </w:rPr>
        <w:t xml:space="preserve">Diseño.</w:t>
      </w:r>
      <w:r>
        <w:t xml:space="preserve"> </w:t>
      </w:r>
      <w:r>
        <w:t xml:space="preserve">SHAP y LIME explicaron las mismas instancias de los mismos modelos</w:t>
      </w:r>
      <w:r>
        <w:t xml:space="preserve"> </w:t>
      </w:r>
      <w:r>
        <w:t xml:space="preserve">en tres conjuntos de datos: Adult, German Credit y Breast Cancer Wisconsin. Para</w:t>
      </w:r>
      <w:r>
        <w:t xml:space="preserve"> </w:t>
      </w:r>
      <w:r>
        <w:t xml:space="preserve">los dos últimos se produjo una cohorte nueva de LIME sobre exactamente las</w:t>
      </w:r>
      <w:r>
        <w:t xml:space="preserve"> </w:t>
      </w:r>
      <w:r>
        <w:t xml:space="preserve">instancias almacenadas en las ejecuciones de SHAP de EXP3. El resultado son</w:t>
      </w:r>
      <w:r>
        <w:t xml:space="preserve"> </w:t>
      </w:r>
      <w:r>
        <w:t xml:space="preserve">31,411 explicaciones pareadas en 86 ejecuciones. La medida primaria es el</w:t>
      </w:r>
      <w:r>
        <w:t xml:space="preserve"> </w:t>
      </w:r>
      <w:r>
        <w:t xml:space="preserve">solapamiento de Jaccard entre las cinco características de mayor peso absoluto</w:t>
      </w:r>
      <w:r>
        <w:t xml:space="preserve"> </w:t>
      </w:r>
      <w:r>
        <w:t xml:space="preserve">de cada método,</w:t>
      </w:r>
      <w:r>
        <w:t xml:space="preserve"> </w:t>
      </w:r>
      <ns5:oMath>
        <ns5:sSub>
          <ns5:e>
            <ns5:r>
              <ns5:t>J</ns5:t>
            </ns5:r>
          </ns5:e>
          <ns5:sub>
            <ns5:r>
              <ns5:t>5</ns5:t>
            </ns5:r>
          </ns5:sub>
        </ns5:sSub>
      </ns5:oMath>
      <w:r>
        <w:t xml:space="preserve">. Cada medida se promedia primero dentro de la ejecución,</w:t>
      </w:r>
      <w:r>
        <w:t xml:space="preserve"> </w:t>
      </w:r>
      <w:r>
        <w:t xml:space="preserve">y los intervalos remuestrean semillas, no instancias. El plan no preveía</w:t>
      </w:r>
      <w:r>
        <w:t xml:space="preserve"> </w:t>
      </w:r>
      <w:r>
        <w:t xml:space="preserve">pruebas de hipótesis y no se reporta ningún valor</w:t>
      </w:r>
      <w:r>
        <w:t xml:space="preserve"> </w:t>
      </w:r>
      <ns5:oMath>
        <ns5:r>
          <ns5:t>p</ns5:t>
        </ns5:r>
      </ns5:oMath>
      <w:r>
        <w:t xml:space="preserve">.</w:t>
      </w:r>
    </w:p>
    <w:p>
      <w:pPr>
        <w:pStyle w:val="Textoindependiente"/>
        <w:spacing w:line="360" w:lineRule="auto"/>
        <w:jc w:val="both"/>
      </w:pPr>
      <w:r>
        <w:rPr>
          <w:b/>
          <w:bCs/>
        </w:rPr>
        <w:t xml:space="preserve">Resultados.</w:t>
      </w:r>
      <w:r>
        <w:t xml:space="preserve"> </w:t>
      </w:r>
      <w:r>
        <w:t xml:space="preserve">La concordancia es parcial (</w:t>
      </w:r>
      <w:hyperlink w:anchor="tbl-seg-concordancia">
        <w:r>
          <w:rPr>
            <w:rStyle w:val="Hipervnculo"/>
          </w:rPr>
          <w:t xml:space="preserve">Tabla 6.3</w:t>
        </w:r>
      </w:hyperlink>
      <w:r>
        <w:t xml:space="preserve">). En Adult y</w:t>
      </w:r>
      <w:r>
        <w:t xml:space="preserve"> </w:t>
      </w:r>
      <w:r>
        <w:t xml:space="preserve">en German Credit, los dos métodos comparten de media menos de tres de sus cinco</w:t>
      </w:r>
      <w:r>
        <w:t xml:space="preserve"> </w:t>
      </w:r>
      <w:r>
        <w:t xml:space="preserve">características principales.</w:t>
      </w:r>
    </w:p>
    <w:tbl>
      <w:tblPr>
        <w:tblStyle w:val="Table"/>
        <w:tblW w:type="pct" w:w="5000"/>
        <w:jc w:val="center"/>
        <w:tblLayout w:type="fixed"/>
        <w:tblLook w:firstRow="0" w:lastRow="0" w:firstColumn="0" w:lastColumn="0" w:noHBand="0" w:noVBand="0" w:val="0000"/>
      </w:tblPr>
      <w:tblGrid>
        <w:gridCol w:w="7920"/>
      </w:tblGrid>
      <w:tr>
        <w:tc>
          <w:tcPr/>
          <w:bookmarkStart w:id="274" w:name="tbl-seg-concordancia"/>
          <w:p>
            <w:pPr>
              <w:pStyle w:val="ImageCaption"/>
              <w:spacing w:before="200" w:line="360" w:lineRule="auto"/>
              <w:jc w:val="center"/>
            </w:pPr>
            <w:r>
              <w:t xml:space="preserve">Tabla 6.3: Solapamiento medio de las cinco características principales de SHAP y LIME</w:t>
            </w:r>
            <w:r>
              <w:t xml:space="preserve"> </w:t>
            </w:r>
            <w:r>
              <w:t xml:space="preserve">para la misma instancia, y solapamiento entre la lista de SHAP de una instancia</w:t>
            </w:r>
            <w:r>
              <w:t xml:space="preserve"> </w:t>
            </w:r>
            <w:r>
              <w:t xml:space="preserve">y la lista de LIME de otra instancia de la misma ejecución (referencia de</w:t>
            </w:r>
            <w:r>
              <w:t xml:space="preserve"> </w:t>
            </w:r>
            <w:r>
              <w:t xml:space="preserve">permutación,</w:t>
            </w:r>
            <w:r>
              <w:t xml:space="preserve"> </w:t>
            </w:r>
            <w:r>
              <w:rPr>
                <w:i/>
                <w:iCs/>
              </w:rPr>
              <w:t xml:space="preserve">post hoc</w:t>
            </w:r>
            <w:r>
              <w:t xml:space="preserve">).</w:t>
            </w:r>
          </w:p>
          <w:tbl>
            <w:tblPr>
              <w:tblStyle w:val="Table"/>
              <w:tblW w:type="pct" w:w="500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Row="1" w:lastRow="0" w:firstColumn="0" w:lastColumn="0" w:noHBand="0" w:noVBand="0" w:val="0020"/>
            </w:tblPr>
            <w:tblGrid>
              <w:gridCol w:w="1770"/>
              <w:gridCol w:w="652"/>
              <w:gridCol w:w="2329"/>
              <w:gridCol w:w="3168"/>
            </w:tblGrid>
            <w:tr>
              <w:trPr>
                <w:tblHeader w:val="on"/>
              </w:trPr>
              <w:tc>
                <w:tcPr/>
                <w:p>
                  <w:pPr>
                    <w:pStyle w:val="Compact"/>
                    <w:jc w:val="both"/>
                    <w:jc w:val="center"/>
                    <w:spacing w:line="360" w:lineRule="auto"/>
                  </w:pPr>
                  <w:r>
                    <w:rPr>
                      <w:bCs/>
                      <w:b/>
                    </w:rPr>
                    <w:t xml:space="preserve">Conjunto de datos</w:t>
                  </w:r>
                </w:p>
              </w:tc>
              <w:tc>
                <w:tcPr/>
                <w:p>
                  <w:pPr>
                    <w:pStyle w:val="Compact"/>
                    <w:jc w:val="both"/>
                    <w:jc w:val="center"/>
                    <w:spacing w:line="360" w:lineRule="auto"/>
                  </w:pPr>
                  <w:r>
                    <w:rPr>
                      <w:bCs/>
                      <w:b/>
                    </w:rPr>
                    <w:t xml:space="preserve">Pares</w:t>
                  </w:r>
                </w:p>
              </w:tc>
              <w:tc>
                <w:tcPr/>
                <w:p>
                  <w:pPr>
                    <w:pStyle w:val="Compact"/>
                    <w:jc w:val="both"/>
                    <w:jc w:val="center"/>
                    <w:spacing w:line="360" w:lineRule="auto"/>
                  </w:pPr>
                  <ns5:oMath>
                    <ns5:sSub>
                      <ns5:e>
                        <ns5:r>
                          <ns5:t>J</ns5:t>
                        </ns5:r>
                      </ns5:e>
                      <ns5:sub>
                        <ns5:r>
                          <ns5:t>5</ns5:t>
                        </ns5:r>
                      </ns5:sub>
                    </ns5:sSub>
                  </ns5:oMath>
                  <w:r>
                    <w:rPr>
                      <w:bCs/>
                      <w:b/>
                    </w:rPr>
                    <w:t xml:space="preserve"> </w:t>
                  </w:r>
                  <w:r>
                    <w:rPr>
                      <w:bCs/>
                      <w:b/>
                    </w:rPr>
                    <w:t xml:space="preserve">entre SHAP y LIME</w:t>
                  </w:r>
                </w:p>
              </w:tc>
              <w:tc>
                <w:tcPr/>
                <w:p>
                  <w:pPr>
                    <w:pStyle w:val="Compact"/>
                    <w:jc w:val="both"/>
                    <w:jc w:val="center"/>
                    <w:spacing w:line="360" w:lineRule="auto"/>
                  </w:pPr>
                  <ns5:oMath>
                    <ns5:sSub>
                      <ns5:e>
                        <ns5:r>
                          <ns5:t>J</ns5:t>
                        </ns5:r>
                      </ns5:e>
                      <ns5:sub>
                        <ns5:r>
                          <ns5:t>5</ns5:t>
                        </ns5:r>
                      </ns5:sub>
                    </ns5:sSub>
                  </ns5:oMath>
                  <w:r>
                    <w:rPr>
                      <w:bCs/>
                      <w:b/>
                    </w:rPr>
                    <w:t xml:space="preserve"> </w:t>
                  </w:r>
                  <w:r>
                    <w:rPr>
                      <w:bCs/>
                      <w:b/>
                    </w:rPr>
                    <w:t xml:space="preserve">entre instancias distintas</w:t>
                  </w:r>
                </w:p>
              </w:tc>
            </w:tr>
            <w:tr>
              <w:tc>
                <w:tcPr/>
                <w:p>
                  <w:pPr>
                    <w:pStyle w:val="Compact"/>
                    <w:jc w:val="both"/>
                    <w:jc w:val="center"/>
                    <w:spacing w:line="360" w:lineRule="auto"/>
                  </w:pPr>
                  <w:r>
                    <w:t xml:space="preserve">Adult</w:t>
                  </w:r>
                </w:p>
              </w:tc>
              <w:tc>
                <w:tcPr/>
                <w:p>
                  <w:pPr>
                    <w:pStyle w:val="Compact"/>
                    <w:jc w:val="both"/>
                    <w:jc w:val="center"/>
                    <w:spacing w:line="360" w:lineRule="auto"/>
                  </w:pPr>
                  <w:r>
                    <w:t xml:space="preserve">29,667</w:t>
                  </w:r>
                </w:p>
              </w:tc>
              <w:tc>
                <w:tcPr/>
                <w:p>
                  <w:pPr>
                    <w:pStyle w:val="Compact"/>
                    <w:jc w:val="both"/>
                    <w:jc w:val="center"/>
                    <w:spacing w:line="360" w:lineRule="auto"/>
                  </w:pPr>
                  <w:r>
                    <w:t xml:space="preserve">0.393</w:t>
                  </w:r>
                </w:p>
              </w:tc>
              <w:tc>
                <w:tcPr/>
                <w:p>
                  <w:pPr>
                    <w:pStyle w:val="Compact"/>
                    <w:jc w:val="both"/>
                    <w:jc w:val="center"/>
                    <w:spacing w:line="360" w:lineRule="auto"/>
                  </w:pPr>
                  <w:r>
                    <w:t xml:space="preserve">0.203</w:t>
                  </w:r>
                </w:p>
              </w:tc>
            </w:tr>
            <w:tr>
              <w:tc>
                <w:tcPr/>
                <w:p>
                  <w:pPr>
                    <w:pStyle w:val="Compact"/>
                    <w:jc w:val="both"/>
                    <w:jc w:val="center"/>
                    <w:spacing w:line="360" w:lineRule="auto"/>
                  </w:pPr>
                  <w:r>
                    <w:t xml:space="preserve">German Credit</w:t>
                  </w:r>
                </w:p>
              </w:tc>
              <w:tc>
                <w:tcPr/>
                <w:p>
                  <w:pPr>
                    <w:pStyle w:val="Compact"/>
                    <w:jc w:val="both"/>
                    <w:jc w:val="center"/>
                    <w:spacing w:line="360" w:lineRule="auto"/>
                  </w:pPr>
                  <w:r>
                    <w:t xml:space="preserve">1,060</w:t>
                  </w:r>
                </w:p>
              </w:tc>
              <w:tc>
                <w:tcPr/>
                <w:p>
                  <w:pPr>
                    <w:pStyle w:val="Compact"/>
                    <w:jc w:val="both"/>
                    <w:jc w:val="center"/>
                    <w:spacing w:line="360" w:lineRule="auto"/>
                  </w:pPr>
                  <w:r>
                    <w:t xml:space="preserve">0.387</w:t>
                  </w:r>
                </w:p>
              </w:tc>
              <w:tc>
                <w:tcPr/>
                <w:p>
                  <w:pPr>
                    <w:pStyle w:val="Compact"/>
                    <w:jc w:val="both"/>
                    <w:jc w:val="center"/>
                    <w:spacing w:line="360" w:lineRule="auto"/>
                  </w:pPr>
                  <w:r>
                    <w:t xml:space="preserve">0.287</w:t>
                  </w:r>
                </w:p>
              </w:tc>
            </w:tr>
            <w:tr>
              <w:tc>
                <w:tcPr/>
                <w:p>
                  <w:pPr>
                    <w:pStyle w:val="Compact"/>
                    <w:jc w:val="both"/>
                    <w:jc w:val="center"/>
                    <w:spacing w:line="360" w:lineRule="auto"/>
                  </w:pPr>
                  <w:r>
                    <w:t xml:space="preserve">Breast Cancer</w:t>
                  </w:r>
                </w:p>
              </w:tc>
              <w:tc>
                <w:tcPr/>
                <w:p>
                  <w:pPr>
                    <w:pStyle w:val="Compact"/>
                    <w:jc w:val="both"/>
                    <w:jc w:val="center"/>
                    <w:spacing w:line="360" w:lineRule="auto"/>
                  </w:pPr>
                  <w:r>
                    <w:t xml:space="preserve">684</w:t>
                  </w:r>
                </w:p>
              </w:tc>
              <w:tc>
                <w:tcPr/>
                <w:p>
                  <w:pPr>
                    <w:pStyle w:val="Compact"/>
                    <w:jc w:val="both"/>
                    <w:jc w:val="center"/>
                    <w:spacing w:line="360" w:lineRule="auto"/>
                  </w:pPr>
                  <w:r>
                    <w:t xml:space="preserve">0.714</w:t>
                  </w:r>
                </w:p>
              </w:tc>
              <w:tc>
                <w:tcPr/>
                <w:p>
                  <w:pPr>
                    <w:pStyle w:val="Compact"/>
                    <w:jc w:val="both"/>
                    <w:jc w:val="center"/>
                    <w:spacing w:line="360" w:lineRule="auto"/>
                  </w:pPr>
                  <w:r>
                    <w:t xml:space="preserve">0.648</w:t>
                  </w:r>
                </w:p>
              </w:tc>
            </w:tr>
          </w:tbl>
          <w:bookmarkEnd w:id="274"/>
          <w:p>
            <w:pPr>
              <w:spacing w:line="360" w:lineRule="auto"/>
              <w:jc w:val="both"/>
            </w:pPr>
          </w:p>
        </w:tc>
      </w:tr>
    </w:tbl>
    <w:p>
      <w:pPr>
        <w:pStyle w:val="Textoindependiente"/>
        <w:spacing w:line="360" w:lineRule="auto"/>
        <w:jc w:val="both"/>
      </w:pPr>
      <w:r>
        <w:t xml:space="preserve"> </w:t>
      </w:r>
    </w:p>
    <w:tbl>
      <w:tblPr>
        <w:tblStyle w:val="Table"/>
        <w:tblW w:type="pct" w:w="5000"/>
        <w:jc w:val="center"/>
        <w:tblLayout w:type="fixed"/>
        <w:tblLook w:firstRow="0" w:lastRow="0" w:firstColumn="0" w:lastColumn="0" w:noHBand="0" w:noVBand="0" w:val="0000"/>
      </w:tblPr>
      <w:tblGrid>
        <w:gridCol w:w="7920"/>
      </w:tblGrid>
      <w:tr>
        <w:tc>
          <w:tcPr/>
          <w:bookmarkStart w:id="278" w:name="fig-seg-concordancia"/>
          <w:p>
            <w:pPr>
              <w:pStyle w:val="Compact"/>
              <w:jc w:val="center"/>
              <w:spacing w:line="360" w:lineRule="auto"/>
            </w:pPr>
            <w:r>
              <w:drawing>
                <ns1:inline>
                  <ns1:extent cx="5349240" cy="2985338"/>
                  <ns1:effectExtent b="0" l="0" r="0" t="0"/>
                  <ns1:docPr descr="" title="" id="276" name="Picture"/>
                  <ns2:graphic>
                    <ns2:graphicData uri="http://schemas.openxmlformats.org/drawingml/2006/picture">
                      <ns3:pic>
                        <ns3:nvPicPr>
                          <ns3:cNvPr descr="assets/figures/fig_seg_concordancia_es.png" id="277" name="Picture"/>
                          <ns3:cNvPicPr>
                            <ns2:picLocks noChangeArrowheads="1" noChangeAspect="1"/>
                          </ns3:cNvPicPr>
                        </ns3:nvPicPr>
                        <ns3:blipFill>
                          <ns2:blip ns4:embed="rId275"/>
                          <ns2:stretch>
                            <ns2:fillRect/>
                          </ns2:stretch>
                        </ns3:blipFill>
                        <ns3:spPr bwMode="auto">
                          <ns2:xfrm>
                            <ns2:off x="0" y="0"/>
                            <ns2:ext cx="5349240" cy="2985338"/>
                          </ns2:xfrm>
                          <ns2:prstGeom prst="rect">
                            <ns2:avLst/>
                          </ns2:prstGeom>
                          <ns2:noFill/>
                          <ns2:ln w="9525">
                            <ns2:noFill/>
                            <ns2:headEnd/>
                            <ns2:tailEnd/>
                          </ns2:ln>
                        </ns3:spPr>
                      </ns3:pic>
                    </ns2:graphicData>
                  </ns2:graphic>
                </ns1:inline>
              </w:drawing>
            </w:r>
          </w:p>
          <w:p>
            <w:pPr>
              <w:pStyle w:val="ImageCaption"/>
              <w:spacing w:before="200" w:line="360" w:lineRule="auto"/>
              <w:jc w:val="center"/>
            </w:pPr>
            <w:r>
              <w:t xml:space="preserve">Figura 6.4: Solapamiento de las cinco características principales de SHAP y LIME, por</w:t>
            </w:r>
            <w:r>
              <w:t xml:space="preserve"> </w:t>
            </w:r>
            <w:r>
              <w:t xml:space="preserve">conjunto de datos y modelo. El punto relleno compara las dos explicaciones de la</w:t>
            </w:r>
            <w:r>
              <w:t xml:space="preserve"> </w:t>
            </w:r>
            <w:r>
              <w:t xml:space="preserve">misma instancia; el punto hueco, la lista de SHAP de una instancia con la lista</w:t>
            </w:r>
            <w:r>
              <w:t xml:space="preserve"> </w:t>
            </w:r>
            <w:r>
              <w:t xml:space="preserve">de LIME de otra instancia de la misma ejecución. La barra gris entre ambos es la</w:t>
            </w:r>
            <w:r>
              <w:t xml:space="preserve"> </w:t>
            </w:r>
            <w:r>
              <w:t xml:space="preserve">parte del solapamiento propia de la instancia: amplia en Adult, pequeña en</w:t>
            </w:r>
            <w:r>
              <w:t xml:space="preserve"> </w:t>
            </w:r>
            <w:r>
              <w:t xml:space="preserve">Breast Cancer.</w:t>
            </w:r>
          </w:p>
          <w:bookmarkEnd w:id="278"/>
        </w:tc>
      </w:tr>
    </w:tbl>
    <w:p>
      <w:pPr>
        <w:pStyle w:val="Textoindependiente"/>
        <w:spacing w:line="360" w:lineRule="auto"/>
        <w:jc w:val="both"/>
      </w:pPr>
      <w:r>
        <w:t xml:space="preserve">Tres análisis</w:t>
      </w:r>
      <w:r>
        <w:t xml:space="preserve"> </w:t>
      </w:r>
      <w:r>
        <w:rPr>
          <w:i/>
          <w:iCs/>
        </w:rPr>
        <w:t xml:space="preserve">post hoc</w:t>
      </w:r>
      <w:r>
        <w:t xml:space="preserve"> </w:t>
      </w:r>
      <w:r>
        <w:t xml:space="preserve">precisan la lectura de esa cifra; el primero se</w:t>
      </w:r>
      <w:r>
        <w:t xml:space="preserve"> </w:t>
      </w:r>
      <w:r>
        <w:t xml:space="preserve">aprecia en la</w:t>
      </w:r>
      <w:r>
        <w:t xml:space="preserve"> </w:t>
      </w:r>
      <w:hyperlink w:anchor="fig-seg-concordancia">
        <w:r>
          <w:rPr>
            <w:rStyle w:val="Hipervnculo"/>
          </w:rPr>
          <w:t xml:space="preserve">Figura 6.4</w:t>
        </w:r>
      </w:hyperlink>
      <w:r>
        <w:t xml:space="preserve">.</w:t>
      </w:r>
    </w:p>
    <w:p>
      <w:pPr>
        <w:pStyle w:val="Compact"/>
        <w:numPr>
          <w:ilvl w:val="0"/>
          <w:numId w:val="1021"/>
        </w:numPr>
        <w:spacing w:line="360" w:lineRule="auto"/>
        <w:jc w:val="both"/>
      </w:pPr>
      <w:r>
        <w:rPr>
          <w:b/>
          <w:bCs/>
        </w:rPr>
        <w:t xml:space="preserve">Una parte del solapamiento no depende de la instancia.</w:t>
      </w:r>
      <w:r>
        <w:t xml:space="preserve"> </w:t>
      </w:r>
      <w:r>
        <w:t xml:space="preserve">La lista de SHAP</w:t>
      </w:r>
      <w:r>
        <w:t xml:space="preserve"> </w:t>
      </w:r>
      <w:r>
        <w:t xml:space="preserve">de una instancia y la lista de LIME de otra instancia distinta ya se solapan</w:t>
      </w:r>
      <w:r>
        <w:t xml:space="preserve"> </w:t>
      </w:r>
      <w:r>
        <w:t xml:space="preserve">de forma apreciable (última columna). La parte propia de la instancia es</w:t>
      </w:r>
      <w:r>
        <w:t xml:space="preserve"> </w:t>
      </w:r>
      <w:r>
        <w:t xml:space="preserve">0.191 en Adult y menor en los otros dos conjuntos. El solapamiento alto de</w:t>
      </w:r>
      <w:r>
        <w:t xml:space="preserve"> </w:t>
      </w:r>
      <w:r>
        <w:t xml:space="preserve">Breast Cancer refleja sobre todo un orden de las características común a</w:t>
      </w:r>
      <w:r>
        <w:t xml:space="preserve"> </w:t>
      </w:r>
      <w:r>
        <w:t xml:space="preserve">casi todas las instancias.</w:t>
      </w:r>
    </w:p>
    <w:p>
      <w:pPr>
        <w:pStyle w:val="Compact"/>
        <w:numPr>
          <w:ilvl w:val="0"/>
          <w:numId w:val="1021"/>
        </w:numPr>
        <w:spacing w:line="360" w:lineRule="auto"/>
        <w:jc w:val="both"/>
      </w:pPr>
      <w:r>
        <w:rPr>
          <w:b/>
          <w:bCs/>
        </w:rPr>
        <w:t xml:space="preserve">Ningún método se reproduce por completo a sí mismo.</w:t>
      </w:r>
      <w:r>
        <w:t xml:space="preserve"> </w:t>
      </w:r>
      <w:r>
        <w:t xml:space="preserve">Al repetir la</w:t>
      </w:r>
      <w:r>
        <w:t xml:space="preserve"> </w:t>
      </w:r>
      <w:r>
        <w:t xml:space="preserve">explicación con otro estado aleatorio, el solapamiento entre las dos</w:t>
      </w:r>
      <w:r>
        <w:t xml:space="preserve"> </w:t>
      </w:r>
      <w:r>
        <w:t xml:space="preserve">repeticiones en Adult fue 0.690 para LIME y 0.782 para SHAP. La concordancia</w:t>
      </w:r>
      <w:r>
        <w:t xml:space="preserve"> </w:t>
      </w:r>
      <w:r>
        <w:t xml:space="preserve">entre métodos quedó por debajo de esa autoconcordancia en todos los modelos</w:t>
      </w:r>
      <w:r>
        <w:t xml:space="preserve"> </w:t>
      </w:r>
      <w:r>
        <w:t xml:space="preserve">probados. El desacuerdo entre métodos es, por tanto, real, pero una</w:t>
      </w:r>
      <w:r>
        <w:t xml:space="preserve"> </w:t>
      </w:r>
      <w:r>
        <w:t xml:space="preserve">comparación que ignore la repetibilidad de cada uno lo sobrestima.</w:t>
      </w:r>
    </w:p>
    <w:p>
      <w:pPr>
        <w:pStyle w:val="Compact"/>
        <w:numPr>
          <w:ilvl w:val="0"/>
          <w:numId w:val="1021"/>
        </w:numPr>
        <w:spacing w:line="360" w:lineRule="auto"/>
        <w:jc w:val="both"/>
      </w:pPr>
      <w:r>
        <w:rPr>
          <w:b/>
          <w:bCs/>
        </w:rPr>
        <w:t xml:space="preserve">Los signos requieren la misma magnitud.</w:t>
      </w:r>
      <w:r>
        <w:t xml:space="preserve"> </w:t>
      </w:r>
      <w:r>
        <w:t xml:space="preserve">LIME sin discretización devuelve</w:t>
      </w:r>
      <w:r>
        <w:t xml:space="preserve"> </w:t>
      </w:r>
      <w:r>
        <w:t xml:space="preserve">pendientes locales, y SHAP devuelve contribuciones respecto de una referencia.</w:t>
      </w:r>
      <w:r>
        <w:t xml:space="preserve"> </w:t>
      </w:r>
      <w:r>
        <w:t xml:space="preserve">Convertidas las pendientes en contribuciones, los signos de las</w:t>
      </w:r>
      <w:r>
        <w:t xml:space="preserve"> </w:t>
      </w:r>
      <w:r>
        <w:t xml:space="preserve">características compartidas coinciden entre 0.945 y 0.990 de los casos, un</w:t>
      </w:r>
      <w:r>
        <w:t xml:space="preserve"> </w:t>
      </w:r>
      <w:r>
        <w:t xml:space="preserve">nivel que también alcanza una dirección fija por característica.</w:t>
      </w:r>
    </w:p>
    <w:p>
      <w:pPr>
        <w:pStyle w:val="FirstParagraph"/>
        <w:spacing w:line="360" w:lineRule="auto"/>
        <w:jc w:val="both"/>
      </w:pPr>
      <w:r>
        <w:t xml:space="preserve">La concordancia varió con el modelo y con el conjunto de datos, y no fue</w:t>
      </w:r>
      <w:r>
        <w:t xml:space="preserve"> </w:t>
      </w:r>
      <w:r>
        <w:t xml:space="preserve">sistemáticamente menor en las instancias mal clasificadas.</w:t>
      </w:r>
    </w:p>
    <w:p>
      <w:pPr>
        <w:pStyle w:val="Textoindependiente"/>
        <w:spacing w:line="360" w:lineRule="auto"/>
        <w:jc w:val="both"/>
      </w:pPr>
      <w:r>
        <w:rPr>
          <w:b/>
          <w:bCs/>
        </w:rPr>
        <w:t xml:space="preserve">Límites.</w:t>
      </w:r>
      <w:r>
        <w:t xml:space="preserve"> </w:t>
      </w:r>
      <w:r>
        <w:t xml:space="preserve">Tres conjuntos de datos tabulares y una configuración por</w:t>
      </w:r>
      <w:r>
        <w:t xml:space="preserve"> </w:t>
      </w:r>
      <w:r>
        <w:t xml:space="preserve">explicador; LIME se usó con ancho de kernel 3.0, el mismo del benchmark</w:t>
      </w:r>
      <w:r>
        <w:t xml:space="preserve"> </w:t>
      </w:r>
      <w:r>
        <w:t xml:space="preserve">primario. Cinco semillas en Adult y tres en los otros dos conjuntos, de modo</w:t>
      </w:r>
      <w:r>
        <w:t xml:space="preserve"> </w:t>
      </w:r>
      <w:r>
        <w:t xml:space="preserve">que los intervalos describen la dispersión entre semillas. El experimento de</w:t>
      </w:r>
      <w:r>
        <w:t xml:space="preserve"> </w:t>
      </w:r>
      <w:r>
        <w:t xml:space="preserve">autoconcordancia usó una submuestra. Las ejecuciones de SHAP sobre SVM están</w:t>
      </w:r>
      <w:r>
        <w:t xml:space="preserve"> </w:t>
      </w:r>
      <w:r>
        <w:t xml:space="preserve">incompletas y esa familia aporta menos pares.</w:t>
      </w:r>
    </w:p>
    <w:p>
      <w:pPr>
        <w:pStyle w:val="Textoindependiente"/>
        <w:spacing w:line="360" w:lineRule="auto"/>
        <w:jc w:val="both"/>
      </w:pPr>
      <w:r>
        <w:rPr>
          <w:b/>
          <w:bCs/>
        </w:rPr>
        <w:t xml:space="preserve">Consecuencia.</w:t>
      </w:r>
      <w:r>
        <w:t xml:space="preserve"> </w:t>
      </w:r>
      <w:r>
        <w:t xml:space="preserve">SHAP y LIME no son intercambiables a nivel de instancia. Una</w:t>
      </w:r>
      <w:r>
        <w:t xml:space="preserve"> </w:t>
      </w:r>
      <w:r>
        <w:t xml:space="preserve">explicación mostrada a un usuario debe nombrar el explicador que la produjo, y</w:t>
      </w:r>
      <w:r>
        <w:t xml:space="preserve"> </w:t>
      </w:r>
      <w:r>
        <w:t xml:space="preserve">un informe de concordancia entre explicadores debe indicar el modelo, el</w:t>
      </w:r>
      <w:r>
        <w:t xml:space="preserve"> </w:t>
      </w:r>
      <w:r>
        <w:t xml:space="preserve">conjunto de datos, la configuración y la repetibilidad de cada método.</w:t>
      </w:r>
    </w:p>
    <w:bookmarkEnd w:id="279"/>
    <w:bookmarkStart w:id="285" w:name="sec-seg-transferencia"/>
    <w:p>
      <w:pPr>
        <w:pStyle w:val="Ttulo2"/>
        <w:spacing w:line="360" w:lineRule="auto"/>
        <w:jc w:val="both"/>
      </w:pPr>
      <w:r>
        <w:t xml:space="preserve">6.4 </w:t>
      </w:r>
      <w:r>
        <w:t xml:space="preserve">Estudio de Transferencia entre Conjuntos de Datos</w:t>
      </w:r>
    </w:p>
    <w:p>
      <w:pPr>
        <w:pStyle w:val="FirstParagraph"/>
        <w:spacing w:line="360" w:lineRule="auto"/>
        <w:jc w:val="both"/>
      </w:pPr>
      <w:r>
        <w:rPr>
          <w:b/>
          <w:bCs/>
        </w:rPr>
        <w:t xml:space="preserve">Pregunta.</w:t>
      </w:r>
      <w:r>
        <w:t xml:space="preserve"> </w:t>
      </w:r>
      <w:r>
        <w:t xml:space="preserve">La limitación de validez externa declarada en el Capítulo 3 es que</w:t>
      </w:r>
      <w:r>
        <w:t xml:space="preserve"> </w:t>
      </w:r>
      <w:r>
        <w:t xml:space="preserve">el benchmark opera sobre un solo conjunto de datos, con una extensión parcial a</w:t>
      </w:r>
      <w:r>
        <w:t xml:space="preserve"> </w:t>
      </w:r>
      <w:r>
        <w:t xml:space="preserve">otros dos (EXP3). Este estudio pregunta si el orden de los cuatro métodos,</w:t>
      </w:r>
      <w:r>
        <w:t xml:space="preserve"> </w:t>
      </w:r>
      <w:r>
        <w:t xml:space="preserve">obtenido en un conjunto de datos tabular, se mantiene en otros.</w:t>
      </w:r>
    </w:p>
    <w:p>
      <w:pPr>
        <w:pStyle w:val="Textoindependiente"/>
        <w:spacing w:line="360" w:lineRule="auto"/>
        <w:jc w:val="both"/>
      </w:pPr>
      <w:r>
        <w:rPr>
          <w:b/>
          <w:bCs/>
        </w:rPr>
        <w:t xml:space="preserve">Diseño.</w:t>
      </w:r>
      <w:r>
        <w:t xml:space="preserve"> </w:t>
      </w:r>
      <w:r>
        <w:t xml:space="preserve">Es un experimento nuevo, con protocolo propio. Dieciséis conjuntos</w:t>
      </w:r>
      <w:r>
        <w:t xml:space="preserve"> </w:t>
      </w:r>
      <w:r>
        <w:t xml:space="preserve">de datos públicos, tabulares y de clasificación binaria, se eligieron con una</w:t>
      </w:r>
      <w:r>
        <w:t xml:space="preserve"> </w:t>
      </w:r>
      <w:r>
        <w:t xml:space="preserve">regla fijada antes de calcular ninguna explicación. Sobre cada uno se entrenaron</w:t>
      </w:r>
      <w:r>
        <w:t xml:space="preserve"> </w:t>
      </w:r>
      <w:r>
        <w:t xml:space="preserve">cuatro clasificadores (regresión logística, bosque aleatorio, XGBoost y</w:t>
      </w:r>
      <w:r>
        <w:t xml:space="preserve"> </w:t>
      </w:r>
      <w:r>
        <w:t xml:space="preserve">perceptrón multicapa) y se aplicaron los cuatro métodos con una única</w:t>
      </w:r>
      <w:r>
        <w:t xml:space="preserve"> </w:t>
      </w:r>
      <w:r>
        <w:t xml:space="preserve">configuración, sin ajuste por conjunto de datos, con cinco semillas y 200</w:t>
      </w:r>
      <w:r>
        <w:t xml:space="preserve"> </w:t>
      </w:r>
      <w:r>
        <w:t xml:space="preserve">instancias por ejecución. El diseño factorial completo comprende 1,280</w:t>
      </w:r>
      <w:r>
        <w:t xml:space="preserve"> </w:t>
      </w:r>
      <w:r>
        <w:t xml:space="preserve">ejecuciones y 256,000 instancias explicadas; dentro de cada bloque, los cuatro</w:t>
      </w:r>
      <w:r>
        <w:t xml:space="preserve"> </w:t>
      </w:r>
      <w:r>
        <w:t xml:space="preserve">métodos explican las mismas instancias del mismo clasificador.</w:t>
      </w:r>
    </w:p>
    <w:p>
      <w:pPr>
        <w:pStyle w:val="Textoindependiente"/>
        <w:spacing w:line="360" w:lineRule="auto"/>
        <w:jc w:val="both"/>
      </w:pPr>
      <w:r>
        <w:t xml:space="preserve">Los métodos se ordenan en cuatro medidas definidas sobre las características que</w:t>
      </w:r>
      <w:r>
        <w:t xml:space="preserve"> </w:t>
      </w:r>
      <w:r>
        <w:t xml:space="preserve">una explicación nombra: una brecha de fidelidad por enmascaramiento, la</w:t>
      </w:r>
      <w:r>
        <w:t xml:space="preserve"> </w:t>
      </w:r>
      <w:r>
        <w:t xml:space="preserve">estabilidad, la parsimonia y el coste. Sus definiciones operativas no son las</w:t>
      </w:r>
      <w:r>
        <w:t xml:space="preserve"> </w:t>
      </w:r>
      <w:r>
        <w:t xml:space="preserve">del Capítulo 3 —la estabilidad, por ejemplo, es aquí el solapamiento de las</w:t>
      </w:r>
      <w:r>
        <w:t xml:space="preserve"> </w:t>
      </w:r>
      <w:r>
        <w:t xml:space="preserve">cinco características principales bajo ruido, y no la similitud coseno de la</w:t>
      </w:r>
      <w:r>
        <w:t xml:space="preserve"> </w:t>
      </w:r>
      <w:hyperlink w:anchor="eq-estabilidad">
        <w:r>
          <w:rPr>
            <w:rStyle w:val="Hipervnculo"/>
          </w:rPr>
          <w:t xml:space="preserve">Ecuación 3.6</w:t>
        </w:r>
      </w:hyperlink>
      <w:r>
        <w:t xml:space="preserve">—, de modo que este estudio no</w:t>
      </w:r>
      <w:r>
        <w:t xml:space="preserve"> </w:t>
      </w:r>
      <w:r>
        <w:t xml:space="preserve">replica las cifras del Capítulo 4. La unidad de análisis es el conjunto de</w:t>
      </w:r>
      <w:r>
        <w:t xml:space="preserve"> </w:t>
      </w:r>
      <w:r>
        <w:t xml:space="preserve">datos. La concordancia entre conjuntos de datos es la correlación de rangos</w:t>
      </w:r>
      <w:r>
        <w:t xml:space="preserve"> </w:t>
      </w:r>
      <w:r>
        <w:t xml:space="preserve">media entre los órdenes de todos los pares de conjuntos, con intervalo</w:t>
      </w:r>
      <w:r>
        <w:t xml:space="preserve"> </w:t>
      </w:r>
      <w:r>
        <w:rPr>
          <w:i/>
          <w:iCs/>
        </w:rPr>
        <w:t xml:space="preserve">bootstrap</w:t>
      </w:r>
      <w:r>
        <w:t xml:space="preserve"> </w:t>
      </w:r>
      <w:r>
        <w:t xml:space="preserve">y prueba de permutación corregida por Holm. La regla de decisión se</w:t>
      </w:r>
      <w:r>
        <w:t xml:space="preserve"> </w:t>
      </w:r>
      <w:r>
        <w:t xml:space="preserve">fijó de antemano: el orden «generaliza» si el intervalo queda por encima de</w:t>
      </w:r>
      <w:r>
        <w:t xml:space="preserve"> </w:t>
      </w:r>
      <w:r>
        <w:t xml:space="preserve">0.5.</w:t>
      </w:r>
    </w:p>
    <w:p>
      <w:pPr>
        <w:pStyle w:val="Textoindependiente"/>
        <w:spacing w:line="360" w:lineRule="auto"/>
        <w:jc w:val="both"/>
      </w:pPr>
      <w:r>
        <w:rPr>
          <w:b/>
          <w:bCs/>
        </w:rPr>
        <w:t xml:space="preserve">Resultados.</w:t>
      </w:r>
      <w:r>
        <w:t xml:space="preserve"> </w:t>
      </w:r>
      <w:r>
        <w:t xml:space="preserve">El orden de los métodos coincide entre conjuntos de datos mucho</w:t>
      </w:r>
      <w:r>
        <w:t xml:space="preserve"> </w:t>
      </w:r>
      <w:r>
        <w:t xml:space="preserve">más de lo esperable por azar en las cuatro medidas (</w:t>
      </w:r>
      <w:hyperlink w:anchor="tbl-seg-transferencia">
        <w:r>
          <w:rPr>
            <w:rStyle w:val="Hipervnculo"/>
          </w:rPr>
          <w:t xml:space="preserve">Tabla 6.4</w:t>
        </w:r>
      </w:hyperlink>
      <w:r>
        <w:t xml:space="preserve">;</w:t>
      </w:r>
      <w:r>
        <w:t xml:space="preserve"> </w:t>
      </w:r>
      <ns5:oMath>
        <ns5:r>
          <ns5:t>p</ns5:t>
        </ns5:r>
        <ns5:r>
          <ns5:rPr>
            <ns5:sty ns5:val="p"/>
          </ns5:rPr>
          <ns5:t>&lt;</ns5:t>
        </ns5:r>
        <ns5:r>
          <ns5:t>0.001</ns5:t>
        </ns5:r>
      </ns5:oMath>
      <w:r>
        <w:t xml:space="preserve"> </w:t>
      </w:r>
      <w:r>
        <w:t xml:space="preserve">en todas).</w:t>
      </w:r>
    </w:p>
    <w:tbl>
      <w:tblPr>
        <w:tblStyle w:val="Table"/>
        <w:tblW w:type="pct" w:w="5000"/>
        <w:jc w:val="center"/>
        <w:tblLayout w:type="fixed"/>
        <w:tblLook w:firstRow="0" w:lastRow="0" w:firstColumn="0" w:lastColumn="0" w:noHBand="0" w:noVBand="0" w:val="0000"/>
      </w:tblPr>
      <w:tblGrid>
        <w:gridCol w:w="7920"/>
      </w:tblGrid>
      <w:tr>
        <w:tc>
          <w:tcPr/>
          <w:bookmarkStart w:id="280" w:name="tbl-seg-transferencia"/>
          <w:p>
            <w:pPr>
              <w:pStyle w:val="ImageCaption"/>
              <w:spacing w:before="200" w:line="360" w:lineRule="auto"/>
              <w:jc w:val="center"/>
            </w:pPr>
            <w:r>
              <w:t xml:space="preserve">Tabla 6.4: Rango medio de cada método en los 16 conjuntos de datos (1 = mejor),</w:t>
            </w:r>
            <w:r>
              <w:t xml:space="preserve"> </w:t>
            </w:r>
            <w:r>
              <w:t xml:space="preserve">concordancia de los órdenes entre conjuntos de datos y concordancia entre</w:t>
            </w:r>
            <w:r>
              <w:t xml:space="preserve"> </w:t>
            </w:r>
            <w:r>
              <w:t xml:space="preserve">semillas dentro de un mismo conjunto.</w:t>
            </w:r>
          </w:p>
          <w:tbl>
            <w:tblPr>
              <w:tblStyle w:val="Table"/>
              <w:tblW w:type="pct" w:w="500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Row="1" w:lastRow="0" w:firstColumn="0" w:lastColumn="0" w:noHBand="0" w:noVBand="0" w:val="0020"/>
            </w:tblPr>
            <w:tblGrid>
              <w:gridCol w:w="844"/>
              <w:gridCol w:w="633"/>
              <w:gridCol w:w="633"/>
              <w:gridCol w:w="950"/>
              <w:gridCol w:w="633"/>
              <w:gridCol w:w="2534"/>
              <w:gridCol w:w="1689"/>
            </w:tblGrid>
            <w:tr>
              <w:trPr>
                <w:tblHeader w:val="on"/>
              </w:trPr>
              <w:tc>
                <w:tcPr/>
                <w:p>
                  <w:pPr>
                    <w:pStyle w:val="Compact"/>
                    <w:jc w:val="both"/>
                    <w:jc w:val="center"/>
                    <w:spacing w:line="360" w:lineRule="auto"/>
                  </w:pPr>
                  <w:r>
                    <w:rPr>
                      <w:bCs/>
                      <w:b/>
                    </w:rPr>
                    <w:t xml:space="preserve">Medida</w:t>
                  </w:r>
                </w:p>
              </w:tc>
              <w:tc>
                <w:tcPr/>
                <w:p>
                  <w:pPr>
                    <w:pStyle w:val="Compact"/>
                    <w:jc w:val="both"/>
                    <w:jc w:val="center"/>
                    <w:spacing w:line="360" w:lineRule="auto"/>
                  </w:pPr>
                  <w:r>
                    <w:rPr>
                      <w:bCs/>
                      <w:b/>
                    </w:rPr>
                    <w:t xml:space="preserve">LIME</w:t>
                  </w:r>
                </w:p>
              </w:tc>
              <w:tc>
                <w:tcPr/>
                <w:p>
                  <w:pPr>
                    <w:pStyle w:val="Compact"/>
                    <w:jc w:val="both"/>
                    <w:jc w:val="center"/>
                    <w:spacing w:line="360" w:lineRule="auto"/>
                  </w:pPr>
                  <w:r>
                    <w:rPr>
                      <w:bCs/>
                      <w:b/>
                    </w:rPr>
                    <w:t xml:space="preserve">SHAP</w:t>
                  </w:r>
                </w:p>
              </w:tc>
              <w:tc>
                <w:tcPr/>
                <w:p>
                  <w:pPr>
                    <w:pStyle w:val="Compact"/>
                    <w:jc w:val="both"/>
                    <w:jc w:val="center"/>
                    <w:spacing w:line="360" w:lineRule="auto"/>
                  </w:pPr>
                  <w:r>
                    <w:rPr>
                      <w:bCs/>
                      <w:b/>
                    </w:rPr>
                    <w:t xml:space="preserve">Anchors</w:t>
                  </w:r>
                </w:p>
              </w:tc>
              <w:tc>
                <w:tcPr/>
                <w:p>
                  <w:pPr>
                    <w:pStyle w:val="Compact"/>
                    <w:jc w:val="both"/>
                    <w:jc w:val="center"/>
                    <w:spacing w:line="360" w:lineRule="auto"/>
                  </w:pPr>
                  <w:r>
                    <w:rPr>
                      <w:bCs/>
                      <w:b/>
                    </w:rPr>
                    <w:t xml:space="preserve">DiCE</w:t>
                  </w:r>
                </w:p>
              </w:tc>
              <w:tc>
                <w:tcPr/>
                <w:p>
                  <w:pPr>
                    <w:pStyle w:val="Compact"/>
                    <w:jc w:val="both"/>
                    <w:jc w:val="center"/>
                    <w:spacing w:line="360" w:lineRule="auto"/>
                  </w:pPr>
                  <w:r>
                    <w:rPr>
                      <w:bCs/>
                      <w:b/>
                    </w:rPr>
                    <w:t xml:space="preserve">Concordancia [IC 95 %]</w:t>
                  </w:r>
                </w:p>
              </w:tc>
              <w:tc>
                <w:tcPr/>
                <w:p>
                  <w:pPr>
                    <w:pStyle w:val="Compact"/>
                    <w:jc w:val="both"/>
                    <w:jc w:val="center"/>
                    <w:spacing w:line="360" w:lineRule="auto"/>
                  </w:pPr>
                  <w:r>
                    <w:rPr>
                      <w:bCs/>
                      <w:b/>
                    </w:rPr>
                    <w:t xml:space="preserve">Entre semillas</w:t>
                  </w:r>
                </w:p>
              </w:tc>
            </w:tr>
            <w:tr>
              <w:tc>
                <w:tcPr/>
                <w:p>
                  <w:pPr>
                    <w:pStyle w:val="Compact"/>
                    <w:jc w:val="both"/>
                    <w:jc w:val="center"/>
                    <w:spacing w:line="360" w:lineRule="auto"/>
                  </w:pPr>
                  <w:r>
                    <w:t xml:space="preserve">Brecha de fidelidad</w:t>
                  </w:r>
                </w:p>
              </w:tc>
              <w:tc>
                <w:tcPr/>
                <w:p>
                  <w:pPr>
                    <w:pStyle w:val="Compact"/>
                    <w:jc w:val="both"/>
                    <w:jc w:val="center"/>
                    <w:spacing w:line="360" w:lineRule="auto"/>
                  </w:pPr>
                  <w:r>
                    <w:t xml:space="preserve">2.12</w:t>
                  </w:r>
                </w:p>
              </w:tc>
              <w:tc>
                <w:tcPr/>
                <w:p>
                  <w:pPr>
                    <w:pStyle w:val="Compact"/>
                    <w:jc w:val="both"/>
                    <w:jc w:val="center"/>
                    <w:spacing w:line="360" w:lineRule="auto"/>
                  </w:pPr>
                  <w:r>
                    <w:t xml:space="preserve">1.19</w:t>
                  </w:r>
                </w:p>
              </w:tc>
              <w:tc>
                <w:tcPr/>
                <w:p>
                  <w:pPr>
                    <w:pStyle w:val="Compact"/>
                    <w:jc w:val="both"/>
                    <w:jc w:val="center"/>
                    <w:spacing w:line="360" w:lineRule="auto"/>
                  </w:pPr>
                  <w:r>
                    <w:t xml:space="preserve">3.06</w:t>
                  </w:r>
                </w:p>
              </w:tc>
              <w:tc>
                <w:tcPr/>
                <w:p>
                  <w:pPr>
                    <w:pStyle w:val="Compact"/>
                    <w:jc w:val="both"/>
                    <w:jc w:val="center"/>
                    <w:spacing w:line="360" w:lineRule="auto"/>
                  </w:pPr>
                  <w:r>
                    <w:t xml:space="preserve">3.62</w:t>
                  </w:r>
                </w:p>
              </w:tc>
              <w:tc>
                <w:tcPr/>
                <w:p>
                  <w:pPr>
                    <w:pStyle w:val="Compact"/>
                    <w:jc w:val="both"/>
                    <w:jc w:val="center"/>
                    <w:spacing w:line="360" w:lineRule="auto"/>
                  </w:pPr>
                  <w:r>
                    <w:t xml:space="preserve">0.67 [0.49, 0.85]</w:t>
                  </w:r>
                </w:p>
              </w:tc>
              <w:tc>
                <w:tcPr/>
                <w:p>
                  <w:pPr>
                    <w:pStyle w:val="Compact"/>
                    <w:jc w:val="both"/>
                    <w:jc w:val="center"/>
                    <w:spacing w:line="360" w:lineRule="auto"/>
                  </w:pPr>
                  <w:r>
                    <w:t xml:space="preserve">0.948</w:t>
                  </w:r>
                </w:p>
              </w:tc>
            </w:tr>
            <w:tr>
              <w:tc>
                <w:tcPr/>
                <w:p>
                  <w:pPr>
                    <w:pStyle w:val="Compact"/>
                    <w:jc w:val="both"/>
                    <w:jc w:val="center"/>
                    <w:spacing w:line="360" w:lineRule="auto"/>
                  </w:pPr>
                  <w:r>
                    <w:t xml:space="preserve">Estabilidad</w:t>
                  </w:r>
                </w:p>
              </w:tc>
              <w:tc>
                <w:tcPr/>
                <w:p>
                  <w:pPr>
                    <w:pStyle w:val="Compact"/>
                    <w:jc w:val="both"/>
                    <w:jc w:val="center"/>
                    <w:spacing w:line="360" w:lineRule="auto"/>
                  </w:pPr>
                  <w:r>
                    <w:t xml:space="preserve">2.06</w:t>
                  </w:r>
                </w:p>
              </w:tc>
              <w:tc>
                <w:tcPr/>
                <w:p>
                  <w:pPr>
                    <w:pStyle w:val="Compact"/>
                    <w:jc w:val="both"/>
                    <w:jc w:val="center"/>
                    <w:spacing w:line="360" w:lineRule="auto"/>
                  </w:pPr>
                  <w:r>
                    <w:t xml:space="preserve">1.12</w:t>
                  </w:r>
                </w:p>
              </w:tc>
              <w:tc>
                <w:tcPr/>
                <w:p>
                  <w:pPr>
                    <w:pStyle w:val="Compact"/>
                    <w:jc w:val="both"/>
                    <w:jc w:val="center"/>
                    <w:spacing w:line="360" w:lineRule="auto"/>
                  </w:pPr>
                  <w:r>
                    <w:t xml:space="preserve">2.81</w:t>
                  </w:r>
                </w:p>
              </w:tc>
              <w:tc>
                <w:tcPr/>
                <w:p>
                  <w:pPr>
                    <w:pStyle w:val="Compact"/>
                    <w:jc w:val="both"/>
                    <w:jc w:val="center"/>
                    <w:spacing w:line="360" w:lineRule="auto"/>
                  </w:pPr>
                  <w:r>
                    <w:t xml:space="preserve">4.00</w:t>
                  </w:r>
                </w:p>
              </w:tc>
              <w:tc>
                <w:tcPr/>
                <w:p>
                  <w:pPr>
                    <w:pStyle w:val="Compact"/>
                    <w:jc w:val="both"/>
                    <w:jc w:val="center"/>
                    <w:spacing w:line="360" w:lineRule="auto"/>
                  </w:pPr>
                  <w:r>
                    <w:t xml:space="preserve">0.88 [0.79, 0.95]</w:t>
                  </w:r>
                </w:p>
              </w:tc>
              <w:tc>
                <w:tcPr/>
                <w:p>
                  <w:pPr>
                    <w:pStyle w:val="Compact"/>
                    <w:jc w:val="both"/>
                    <w:jc w:val="center"/>
                    <w:spacing w:line="360" w:lineRule="auto"/>
                  </w:pPr>
                  <w:r>
                    <w:t xml:space="preserve">0.973</w:t>
                  </w:r>
                </w:p>
              </w:tc>
            </w:tr>
            <w:tr>
              <w:tc>
                <w:tcPr/>
                <w:p>
                  <w:pPr>
                    <w:pStyle w:val="Compact"/>
                    <w:jc w:val="both"/>
                    <w:jc w:val="center"/>
                    <w:spacing w:line="360" w:lineRule="auto"/>
                  </w:pPr>
                  <w:r>
                    <w:t xml:space="preserve">Parsimonia</w:t>
                  </w:r>
                </w:p>
              </w:tc>
              <w:tc>
                <w:tcPr/>
                <w:p>
                  <w:pPr>
                    <w:pStyle w:val="Compact"/>
                    <w:jc w:val="both"/>
                    <w:jc w:val="center"/>
                    <w:spacing w:line="360" w:lineRule="auto"/>
                  </w:pPr>
                  <w:r>
                    <w:t xml:space="preserve">2.97</w:t>
                  </w:r>
                </w:p>
              </w:tc>
              <w:tc>
                <w:tcPr/>
                <w:p>
                  <w:pPr>
                    <w:pStyle w:val="Compact"/>
                    <w:jc w:val="both"/>
                    <w:jc w:val="center"/>
                    <w:spacing w:line="360" w:lineRule="auto"/>
                  </w:pPr>
                  <w:r>
                    <w:t xml:space="preserve">3.91</w:t>
                  </w:r>
                </w:p>
              </w:tc>
              <w:tc>
                <w:tcPr/>
                <w:p>
                  <w:pPr>
                    <w:pStyle w:val="Compact"/>
                    <w:jc w:val="both"/>
                    <w:jc w:val="center"/>
                    <w:spacing w:line="360" w:lineRule="auto"/>
                  </w:pPr>
                  <w:r>
                    <w:t xml:space="preserve">1.69</w:t>
                  </w:r>
                </w:p>
              </w:tc>
              <w:tc>
                <w:tcPr/>
                <w:p>
                  <w:pPr>
                    <w:pStyle w:val="Compact"/>
                    <w:jc w:val="both"/>
                    <w:jc w:val="center"/>
                    <w:spacing w:line="360" w:lineRule="auto"/>
                  </w:pPr>
                  <w:r>
                    <w:t xml:space="preserve">1.44</w:t>
                  </w:r>
                </w:p>
              </w:tc>
              <w:tc>
                <w:tcPr/>
                <w:p>
                  <w:pPr>
                    <w:pStyle w:val="Compact"/>
                    <w:jc w:val="both"/>
                    <w:jc w:val="center"/>
                    <w:spacing w:line="360" w:lineRule="auto"/>
                  </w:pPr>
                  <w:r>
                    <w:t xml:space="preserve">0.79 [0.66, 0.92]</w:t>
                  </w:r>
                </w:p>
              </w:tc>
              <w:tc>
                <w:tcPr/>
                <w:p>
                  <w:pPr>
                    <w:pStyle w:val="Compact"/>
                    <w:jc w:val="both"/>
                    <w:jc w:val="center"/>
                    <w:spacing w:line="360" w:lineRule="auto"/>
                  </w:pPr>
                  <w:r>
                    <w:t xml:space="preserve">0.995</w:t>
                  </w:r>
                </w:p>
              </w:tc>
            </w:tr>
            <w:tr>
              <w:tc>
                <w:tcPr/>
                <w:p>
                  <w:pPr>
                    <w:pStyle w:val="Compact"/>
                    <w:jc w:val="both"/>
                    <w:jc w:val="center"/>
                    <w:spacing w:line="360" w:lineRule="auto"/>
                  </w:pPr>
                  <w:r>
                    <w:t xml:space="preserve">Coste</w:t>
                  </w:r>
                </w:p>
              </w:tc>
              <w:tc>
                <w:tcPr/>
                <w:p>
                  <w:pPr>
                    <w:pStyle w:val="Compact"/>
                    <w:jc w:val="both"/>
                    <w:jc w:val="center"/>
                    <w:spacing w:line="360" w:lineRule="auto"/>
                  </w:pPr>
                  <w:r>
                    <w:t xml:space="preserve">1.06</w:t>
                  </w:r>
                </w:p>
              </w:tc>
              <w:tc>
                <w:tcPr/>
                <w:p>
                  <w:pPr>
                    <w:pStyle w:val="Compact"/>
                    <w:jc w:val="both"/>
                    <w:jc w:val="center"/>
                    <w:spacing w:line="360" w:lineRule="auto"/>
                  </w:pPr>
                  <w:r>
                    <w:t xml:space="preserve">1.94</w:t>
                  </w:r>
                </w:p>
              </w:tc>
              <w:tc>
                <w:tcPr/>
                <w:p>
                  <w:pPr>
                    <w:pStyle w:val="Compact"/>
                    <w:jc w:val="both"/>
                    <w:jc w:val="center"/>
                    <w:spacing w:line="360" w:lineRule="auto"/>
                  </w:pPr>
                  <w:r>
                    <w:t xml:space="preserve">3.50</w:t>
                  </w:r>
                </w:p>
              </w:tc>
              <w:tc>
                <w:tcPr/>
                <w:p>
                  <w:pPr>
                    <w:pStyle w:val="Compact"/>
                    <w:jc w:val="both"/>
                    <w:jc w:val="center"/>
                    <w:spacing w:line="360" w:lineRule="auto"/>
                  </w:pPr>
                  <w:r>
                    <w:t xml:space="preserve">3.50</w:t>
                  </w:r>
                </w:p>
              </w:tc>
              <w:tc>
                <w:tcPr/>
                <w:p>
                  <w:pPr>
                    <w:pStyle w:val="Compact"/>
                    <w:jc w:val="both"/>
                    <w:jc w:val="center"/>
                    <w:spacing w:line="360" w:lineRule="auto"/>
                  </w:pPr>
                  <w:r>
                    <w:t xml:space="preserve">0.87 [0.82, 0.91]</w:t>
                  </w:r>
                </w:p>
              </w:tc>
              <w:tc>
                <w:tcPr/>
                <w:p>
                  <w:pPr>
                    <w:pStyle w:val="Compact"/>
                    <w:jc w:val="both"/>
                    <w:jc w:val="center"/>
                    <w:spacing w:line="360" w:lineRule="auto"/>
                  </w:pPr>
                  <w:r>
                    <w:t xml:space="preserve">0.975</w:t>
                  </w:r>
                </w:p>
              </w:tc>
            </w:tr>
          </w:tbl>
          <w:bookmarkEnd w:id="280"/>
          <w:p>
            <w:pPr>
              <w:spacing w:line="360" w:lineRule="auto"/>
              <w:jc w:val="both"/>
            </w:pPr>
          </w:p>
        </w:tc>
      </w:tr>
    </w:tbl>
    <w:p>
      <w:pPr>
        <w:pStyle w:val="Textoindependiente"/>
        <w:spacing w:line="360" w:lineRule="auto"/>
        <w:jc w:val="both"/>
      </w:pPr>
      <w:r>
        <w:t xml:space="preserve">Según la regla fijada, el orden generaliza en estabilidad, parsimonia y coste.</w:t>
      </w:r>
      <w:r>
        <w:t xml:space="preserve"> </w:t>
      </w:r>
      <w:r>
        <w:t xml:space="preserve">En la brecha de fidelidad el orden es compartido, pero su fuerza queda</w:t>
      </w:r>
      <w:r>
        <w:t xml:space="preserve"> </w:t>
      </w:r>
      <w:r>
        <w:t xml:space="preserve">indeterminada, porque el intervalo alcanza un valor inferior a 0.5. En todas las</w:t>
      </w:r>
      <w:r>
        <w:t xml:space="preserve"> </w:t>
      </w:r>
      <w:r>
        <w:t xml:space="preserve">medidas, la concordancia entre conjuntos de datos es menor que la concordancia</w:t>
      </w:r>
      <w:r>
        <w:t xml:space="preserve"> </w:t>
      </w:r>
      <w:r>
        <w:t xml:space="preserve">entre semillas: el conjunto de datos sí desplaza el orden, y lo desplaza más en</w:t>
      </w:r>
      <w:r>
        <w:t xml:space="preserve"> </w:t>
      </w:r>
      <w:r>
        <w:t xml:space="preserve">las posiciones intermedias y bajas que en la primera.</w:t>
      </w:r>
    </w:p>
    <w:tbl>
      <w:tblPr>
        <w:tblStyle w:val="Table"/>
        <w:tblW w:type="pct" w:w="5000"/>
        <w:jc w:val="center"/>
        <w:tblLayout w:type="fixed"/>
        <w:tblLook w:firstRow="0" w:lastRow="0" w:firstColumn="0" w:lastColumn="0" w:noHBand="0" w:noVBand="0" w:val="0000"/>
      </w:tblPr>
      <w:tblGrid>
        <w:gridCol w:w="7920"/>
      </w:tblGrid>
      <w:tr>
        <w:tc>
          <w:tcPr/>
          <w:bookmarkStart w:id="284" w:name="fig-seg-transferencia"/>
          <w:p>
            <w:pPr>
              <w:pStyle w:val="Compact"/>
              <w:jc w:val="center"/>
              <w:spacing w:line="360" w:lineRule="auto"/>
            </w:pPr>
            <w:r>
              <w:drawing>
                <ns1:inline>
                  <ns1:extent cx="5646420" cy="5021034"/>
                  <ns1:effectExtent b="0" l="0" r="0" t="0"/>
                  <ns1:docPr descr="" title="" id="282" name="Picture"/>
                  <ns2:graphic>
                    <ns2:graphicData uri="http://schemas.openxmlformats.org/drawingml/2006/picture">
                      <ns3:pic>
                        <ns3:nvPicPr>
                          <ns3:cNvPr descr="assets/figures/fig_seg_transferencia_es.png" id="283" name="Picture"/>
                          <ns3:cNvPicPr>
                            <ns2:picLocks noChangeArrowheads="1" noChangeAspect="1"/>
                          </ns3:cNvPicPr>
                        </ns3:nvPicPr>
                        <ns3:blipFill>
                          <ns2:blip ns4:embed="rId281"/>
                          <ns2:stretch>
                            <ns2:fillRect/>
                          </ns2:stretch>
                        </ns3:blipFill>
                        <ns3:spPr bwMode="auto">
                          <ns2:xfrm>
                            <ns2:off x="0" y="0"/>
                            <ns2:ext cx="5646420" cy="5021034"/>
                          </ns2:xfrm>
                          <ns2:prstGeom prst="rect">
                            <ns2:avLst/>
                          </ns2:prstGeom>
                          <ns2:noFill/>
                          <ns2:ln w="9525">
                            <ns2:noFill/>
                            <ns2:headEnd/>
                            <ns2:tailEnd/>
                          </ns2:ln>
                        </ns3:spPr>
                      </ns3:pic>
                    </ns2:graphicData>
                  </ns2:graphic>
                </ns1:inline>
              </w:drawing>
            </w:r>
          </w:p>
          <w:p>
            <w:pPr>
              <w:pStyle w:val="ImageCaption"/>
              <w:spacing w:before="200" w:line="360" w:lineRule="auto"/>
              <w:jc w:val="center"/>
            </w:pPr>
            <w:r>
              <w:t xml:space="preserve">Figura 6.5: Rango de cada método en cada uno de los 16 conjuntos de datos, por medida (1 =</w:t>
            </w:r>
            <w:r>
              <w:t xml:space="preserve"> </w:t>
            </w:r>
            <w:r>
              <w:t xml:space="preserve">mejor). Adult, a la izquierda, es el conjunto de referencia. Las líneas de SHAP</w:t>
            </w:r>
            <w:r>
              <w:t xml:space="preserve"> </w:t>
            </w:r>
            <w:r>
              <w:t xml:space="preserve">y LIME rara vez se cruzan con las de Anchors y DiCE; las de Anchors y DiCE se</w:t>
            </w:r>
            <w:r>
              <w:t xml:space="preserve"> </w:t>
            </w:r>
            <w:r>
              <w:t xml:space="preserve">cruzan entre sí con frecuencia en la brecha de fidelidad, la parsimonia y el</w:t>
            </w:r>
            <w:r>
              <w:t xml:space="preserve"> </w:t>
            </w:r>
            <w:r>
              <w:t xml:space="preserve">coste.</w:t>
            </w:r>
          </w:p>
          <w:bookmarkEnd w:id="284"/>
        </w:tc>
      </w:tr>
    </w:tbl>
    <w:p>
      <w:pPr>
        <w:pStyle w:val="Textoindependiente"/>
        <w:spacing w:line="360" w:lineRule="auto"/>
        <w:jc w:val="both"/>
      </w:pPr>
      <w:r>
        <w:t xml:space="preserve">La</w:t>
      </w:r>
      <w:r>
        <w:t xml:space="preserve"> </w:t>
      </w:r>
      <w:hyperlink w:anchor="fig-seg-transferencia">
        <w:r>
          <w:rPr>
            <w:rStyle w:val="Hipervnculo"/>
          </w:rPr>
          <w:t xml:space="preserve">Figura 6.5</w:t>
        </w:r>
      </w:hyperlink>
      <w:r>
        <w:t xml:space="preserve"> </w:t>
      </w:r>
      <w:r>
        <w:t xml:space="preserve">muestra dónde se conserva el orden y dónde no.</w:t>
      </w:r>
      <w:r>
        <w:t xml:space="preserve"> </w:t>
      </w:r>
      <w:r>
        <w:t xml:space="preserve">Tomando Adult como referencia, de las 24 comparaciones entre pares de métodos,</w:t>
      </w:r>
      <w:r>
        <w:t xml:space="preserve"> </w:t>
      </w:r>
      <w:r>
        <w:t xml:space="preserve">12 conservan su orden en los otros 15 conjuntos de datos y 21 lo conservan en al</w:t>
      </w:r>
      <w:r>
        <w:t xml:space="preserve"> </w:t>
      </w:r>
      <w:r>
        <w:t xml:space="preserve">menos 12. Las tres débiles son todas entre Anchors y DiCE; en coste, ese par</w:t>
      </w:r>
      <w:r>
        <w:t xml:space="preserve"> </w:t>
      </w:r>
      <w:r>
        <w:t xml:space="preserve">mantiene el orden de Adult en 7 de 15 conjuntos. SHAP ocupa la primera posición</w:t>
      </w:r>
      <w:r>
        <w:t xml:space="preserve"> </w:t>
      </w:r>
      <w:r>
        <w:t xml:space="preserve">en la brecha de fidelidad en 13 de los 16 conjuntos y en estabilidad en 14.</w:t>
      </w:r>
    </w:p>
    <w:p>
      <w:pPr>
        <w:pStyle w:val="Textoindependiente"/>
        <w:spacing w:line="360" w:lineRule="auto"/>
        <w:jc w:val="both"/>
      </w:pPr>
      <w:r>
        <w:rPr>
          <w:b/>
          <w:bCs/>
        </w:rPr>
        <w:t xml:space="preserve">Límites.</w:t>
      </w:r>
      <w:r>
        <w:t xml:space="preserve"> </w:t>
      </w:r>
      <w:r>
        <w:t xml:space="preserve">Tres límites condicionan la lectura, y los tres se establecieron</w:t>
      </w:r>
      <w:r>
        <w:t xml:space="preserve"> </w:t>
      </w:r>
      <w:r>
        <w:t xml:space="preserve">tras revisar los resultados.</w:t>
      </w:r>
    </w:p>
    <w:p>
      <w:pPr>
        <w:pStyle w:val="Compact"/>
        <w:numPr>
          <w:ilvl w:val="0"/>
          <w:numId w:val="1022"/>
        </w:numPr>
        <w:spacing w:line="360" w:lineRule="auto"/>
        <w:jc w:val="both"/>
      </w:pPr>
      <w:r>
        <w:t xml:space="preserve">Buena parte de la concordancia se sigue del formato de salida y de la</w:t>
      </w:r>
      <w:r>
        <w:t xml:space="preserve"> </w:t>
      </w:r>
      <w:r>
        <w:t xml:space="preserve">configuración de cada método —el número de características que nombra, el</w:t>
      </w:r>
      <w:r>
        <w:t xml:space="preserve"> </w:t>
      </w:r>
      <w:r>
        <w:t xml:space="preserve">algoritmo, los parámetros fijados—, no de una propiedad de las explicaciones.</w:t>
      </w:r>
    </w:p>
    <w:p>
      <w:pPr>
        <w:pStyle w:val="Compact"/>
        <w:numPr>
          <w:ilvl w:val="0"/>
          <w:numId w:val="1022"/>
        </w:numPr>
        <w:spacing w:line="360" w:lineRule="auto"/>
        <w:jc w:val="both"/>
      </w:pPr>
      <w:r>
        <w:t xml:space="preserve">Las medidas son</w:t>
      </w:r>
      <w:r>
        <w:t xml:space="preserve"> </w:t>
      </w:r>
      <w:r>
        <w:rPr>
          <w:i/>
          <w:iCs/>
        </w:rPr>
        <w:t xml:space="preserve">proxies</w:t>
      </w:r>
      <w:r>
        <w:t xml:space="preserve"> </w:t>
      </w:r>
      <w:r>
        <w:t xml:space="preserve">comunes que descartan lo propio de cada salida: el</w:t>
      </w:r>
      <w:r>
        <w:t xml:space="preserve"> </w:t>
      </w:r>
      <w:r>
        <w:t xml:space="preserve">signo de una atribución, la regla como condición suficiente y la dirección</w:t>
      </w:r>
      <w:r>
        <w:t xml:space="preserve"> </w:t>
      </w:r>
      <w:r>
        <w:t xml:space="preserve">del cambio que propone un contrafactual.</w:t>
      </w:r>
    </w:p>
    <w:p>
      <w:pPr>
        <w:pStyle w:val="Compact"/>
        <w:numPr>
          <w:ilvl w:val="0"/>
          <w:numId w:val="1022"/>
        </w:numPr>
        <w:spacing w:line="360" w:lineRule="auto"/>
        <w:jc w:val="both"/>
      </w:pPr>
      <w:r>
        <w:t xml:space="preserve">Fallaron 1,425 de las instancias (0.56 %), casi todas de DiCE; repetir el</w:t>
      </w:r>
      <w:r>
        <w:t xml:space="preserve"> </w:t>
      </w:r>
      <w:r>
        <w:t xml:space="preserve">análisis sobre las instancias que los cuatro métodos explicaron conduce a</w:t>
      </w:r>
      <w:r>
        <w:t xml:space="preserve"> </w:t>
      </w:r>
      <w:r>
        <w:t xml:space="preserve">las mismas cuatro decisiones.</w:t>
      </w:r>
    </w:p>
    <w:p>
      <w:pPr>
        <w:pStyle w:val="FirstParagraph"/>
        <w:spacing w:line="360" w:lineRule="auto"/>
        <w:jc w:val="both"/>
      </w:pPr>
      <w:r>
        <w:t xml:space="preserve">En consecuencia, el resultado describe la concordancia de órdenes bajo un</w:t>
      </w:r>
      <w:r>
        <w:t xml:space="preserve"> </w:t>
      </w:r>
      <w:r>
        <w:t xml:space="preserve">protocolo de evaluación fijo. No constituye un ordenamiento de la calidad de</w:t>
      </w:r>
      <w:r>
        <w:t xml:space="preserve"> </w:t>
      </w:r>
      <w:r>
        <w:t xml:space="preserve">las explicaciones en general.</w:t>
      </w:r>
    </w:p>
    <w:p>
      <w:pPr>
        <w:pStyle w:val="Textoindependiente"/>
        <w:spacing w:line="360" w:lineRule="auto"/>
        <w:jc w:val="both"/>
      </w:pPr>
      <w:r>
        <w:rPr>
          <w:b/>
          <w:bCs/>
        </w:rPr>
        <w:t xml:space="preserve">Consecuencia.</w:t>
      </w:r>
      <w:r>
        <w:t xml:space="preserve"> </w:t>
      </w:r>
      <w:r>
        <w:t xml:space="preserve">El orden relativo observado en el benchmark primario no es</w:t>
      </w:r>
      <w:r>
        <w:t xml:space="preserve"> </w:t>
      </w:r>
      <w:r>
        <w:t xml:space="preserve">una particularidad de Adult: bajo un protocolo común, la posición de SHAP y de</w:t>
      </w:r>
      <w:r>
        <w:t xml:space="preserve"> </w:t>
      </w:r>
      <w:r>
        <w:t xml:space="preserve">LIME respecto de Anchors y DiCE se mantiene en la mayoría de los conjuntos de</w:t>
      </w:r>
      <w:r>
        <w:t xml:space="preserve"> </w:t>
      </w:r>
      <w:r>
        <w:t xml:space="preserve">datos. No se transfiere, en cambio, el orden entre Anchors y DiCE, ni la</w:t>
      </w:r>
      <w:r>
        <w:t xml:space="preserve"> </w:t>
      </w:r>
      <w:r>
        <w:t xml:space="preserve">magnitud de las diferencias. La limitación de validez externa se reduce para el</w:t>
      </w:r>
      <w:r>
        <w:t xml:space="preserve"> </w:t>
      </w:r>
      <w:r>
        <w:t xml:space="preserve">orden de los métodos y permanece para los valores absolutos y para los dominios</w:t>
      </w:r>
      <w:r>
        <w:t xml:space="preserve"> </w:t>
      </w:r>
      <w:r>
        <w:t xml:space="preserve">no tabulares.</w:t>
      </w:r>
    </w:p>
    <w:bookmarkEnd w:id="285"/>
    <w:bookmarkStart w:id="290" w:name="sec-seg-jueces"/>
    <w:p>
      <w:pPr>
        <w:pStyle w:val="Ttulo2"/>
        <w:spacing w:line="360" w:lineRule="auto"/>
        <w:jc w:val="both"/>
      </w:pPr>
      <w:r>
        <w:t xml:space="preserve">6.5 </w:t>
      </w:r>
      <w:r>
        <w:t xml:space="preserve">Controles posteriores del Estudio de Fiabilidad Inter-juez</w:t>
      </w:r>
    </w:p>
    <w:p>
      <w:pPr>
        <w:pStyle w:val="FirstParagraph"/>
        <w:spacing w:line="360" w:lineRule="auto"/>
        <w:jc w:val="both"/>
      </w:pPr>
      <w:r>
        <w:t xml:space="preserve">El Capítulo 5 reporta que los jueces basados en modelos de lenguaje no alcanzan</w:t>
      </w:r>
      <w:r>
        <w:t xml:space="preserve"> </w:t>
      </w:r>
      <w:r>
        <w:t xml:space="preserve">la fiabilidad aceptable en ninguna de las dos cohortes (§</w:t>
      </w:r>
      <w:hyperlink w:anchor="sec-exp4-fiabilidad">
        <w:r>
          <w:rPr>
            <w:rStyle w:val="Hipervnculo"/>
          </w:rPr>
          <w:t xml:space="preserve">5.8</w:t>
        </w:r>
      </w:hyperlink>
      <w:r>
        <w:t xml:space="preserve">).</w:t>
      </w:r>
      <w:r>
        <w:t xml:space="preserve"> </w:t>
      </w:r>
      <w:r>
        <w:t xml:space="preserve">Tras ese resultado se hicieron tres análisis sobre la segunda cohorte, cada uno</w:t>
      </w:r>
      <w:r>
        <w:t xml:space="preserve"> </w:t>
      </w:r>
      <w:r>
        <w:t xml:space="preserve">anotado con su fecha antes de calcularlo. Preguntan sobre qué recae el acuerdo</w:t>
      </w:r>
      <w:r>
        <w:t xml:space="preserve"> </w:t>
      </w:r>
      <w:r>
        <w:t xml:space="preserve">que sí existe.</w:t>
      </w:r>
    </w:p>
    <w:p>
      <w:pPr>
        <w:pStyle w:val="Textoindependiente"/>
        <w:spacing w:line="360" w:lineRule="auto"/>
        <w:jc w:val="both"/>
      </w:pPr>
      <w:r>
        <w:rPr>
          <w:b/>
          <w:bCs/>
        </w:rPr>
        <w:t xml:space="preserve">Dos precisiones sobre el diseño original.</w:t>
      </w:r>
      <w:r>
        <w:t xml:space="preserve"> </w:t>
      </w:r>
      <w:r>
        <w:t xml:space="preserve">La revisión posterior del</w:t>
      </w:r>
      <w:r>
        <w:t xml:space="preserve"> </w:t>
      </w:r>
      <w:r>
        <w:t xml:space="preserve">material entregado a los jueces encontró dos hechos que acotan la lectura del</w:t>
      </w:r>
      <w:r>
        <w:t xml:space="preserve"> </w:t>
      </w:r>
      <w:r>
        <w:t xml:space="preserve">Capítulo 5.</w:t>
      </w:r>
    </w:p>
    <w:p>
      <w:pPr>
        <w:pStyle w:val="Compact"/>
        <w:numPr>
          <w:ilvl w:val="0"/>
          <w:numId w:val="1023"/>
        </w:numPr>
        <w:spacing w:line="360" w:lineRule="auto"/>
        <w:jc w:val="both"/>
      </w:pPr>
      <w:r>
        <w:t xml:space="preserve">En las tres condiciones de la segunda cohorte, el registro de cada caso</w:t>
      </w:r>
      <w:r>
        <w:t xml:space="preserve"> </w:t>
      </w:r>
      <w:r>
        <w:t xml:space="preserve">contenía las métricas técnicas de la explicación y el resultado de la</w:t>
      </w:r>
      <w:r>
        <w:t xml:space="preserve"> </w:t>
      </w:r>
      <w:r>
        <w:t xml:space="preserve">predicción, que junto con la predicción permite deducir la etiqueta</w:t>
      </w:r>
      <w:r>
        <w:t xml:space="preserve"> </w:t>
      </w:r>
      <w:r>
        <w:t xml:space="preserve">verdadera. La condición llamada «con la etiqueta oculta» no la ocultaba, por</w:t>
      </w:r>
      <w:r>
        <w:t xml:space="preserve"> </w:t>
      </w:r>
      <w:r>
        <w:t xml:space="preserve">tanto, de forma efectiva. Se añadió una condición</w:t>
      </w:r>
      <w:r>
        <w:t xml:space="preserve"> </w:t>
      </w:r>
      <w:r>
        <w:rPr>
          <w:i/>
          <w:iCs/>
        </w:rPr>
        <w:t xml:space="preserve">limpia</w:t>
      </w:r>
      <w:r>
        <w:t xml:space="preserve">, sin métricas, sin</w:t>
      </w:r>
      <w:r>
        <w:t xml:space="preserve"> </w:t>
      </w:r>
      <w:r>
        <w:t xml:space="preserve">resultado y sin etiqueta, con una llamada por juez.</w:t>
      </w:r>
    </w:p>
    <w:p>
      <w:pPr>
        <w:pStyle w:val="Compact"/>
        <w:numPr>
          <w:ilvl w:val="0"/>
          <w:numId w:val="1023"/>
        </w:numPr>
        <w:spacing w:line="360" w:lineRule="auto"/>
        <w:jc w:val="both"/>
      </w:pPr>
      <w:r>
        <w:t xml:space="preserve">El formato común con que el benchmark presenta las explicaciones es una lista</w:t>
      </w:r>
      <w:r>
        <w:t xml:space="preserve"> </w:t>
      </w:r>
      <w:r>
        <w:t xml:space="preserve">de diez características con un peso. Para SHAP y LIME, esa lista contiene las</w:t>
      </w:r>
      <w:r>
        <w:t xml:space="preserve"> </w:t>
      </w:r>
      <w:r>
        <w:t xml:space="preserve">atribuciones del método. Para Anchors y DiCE no contiene la explicación en su</w:t>
      </w:r>
      <w:r>
        <w:t xml:space="preserve"> </w:t>
      </w:r>
      <w:r>
        <w:t xml:space="preserve">forma propia: la regla aparece sin umbrales y el contrafactual sin dirección</w:t>
      </w:r>
      <w:r>
        <w:t xml:space="preserve"> </w:t>
      </w:r>
      <w:r>
        <w:t xml:space="preserve">ni valor nuevo. El análisis principal de estos controles se restringe por</w:t>
      </w:r>
      <w:r>
        <w:t xml:space="preserve"> </w:t>
      </w:r>
      <w:r>
        <w:t xml:space="preserve">ello a los casos de SHAP y LIME.</w:t>
      </w:r>
    </w:p>
    <w:p>
      <w:pPr>
        <w:pStyle w:val="FirstParagraph"/>
        <w:spacing w:line="360" w:lineRule="auto"/>
        <w:jc w:val="both"/>
      </w:pPr>
      <w:r>
        <w:rPr>
          <w:b/>
          <w:bCs/>
        </w:rPr>
        <w:t xml:space="preserve">El acuerdo recae sobre el método.</w:t>
      </w:r>
      <w:r>
        <w:t xml:space="preserve"> </w:t>
      </w:r>
      <w:r>
        <w:t xml:space="preserve">Hasta el 67 % de la varianza de las</w:t>
      </w:r>
      <w:r>
        <w:t xml:space="preserve"> </w:t>
      </w:r>
      <w:r>
        <w:t xml:space="preserve">puntuaciones se sitúa entre métodos explicadores. Dentro de un método, donde un</w:t>
      </w:r>
      <w:r>
        <w:t xml:space="preserve"> </w:t>
      </w:r>
      <w:r>
        <w:t xml:space="preserve">usuario querría que el juez distinguiera una explicación mejor de una peor, el</w:t>
      </w:r>
      <w:r>
        <w:t xml:space="preserve"> </w:t>
      </w:r>
      <w:r>
        <w:t xml:space="preserve">acuerdo es bajo: entre los casos de SHAP y LIME con algún peso no nulo, el</w:t>
      </w:r>
      <w:r>
        <w:t xml:space="preserve"> </w:t>
      </w:r>
      <w:r>
        <w:t xml:space="preserve">ICC(1,1) más alto es 0.41, y entre los casos de SHAP ninguno supera 0.22,</w:t>
      </w:r>
      <w:r>
        <w:t xml:space="preserve"> </w:t>
      </w:r>
      <w:r>
        <w:t xml:space="preserve">porque los casos reciben casi la misma puntuación.</w:t>
      </w:r>
    </w:p>
    <w:p>
      <w:pPr>
        <w:pStyle w:val="Textoindependiente"/>
        <w:spacing w:line="360" w:lineRule="auto"/>
        <w:jc w:val="both"/>
      </w:pPr>
      <w:r>
        <w:rPr>
          <w:b/>
          <w:bCs/>
        </w:rPr>
        <w:t xml:space="preserve">Control positivo.</w:t>
      </w:r>
      <w:r>
        <w:t xml:space="preserve"> </w:t>
      </w:r>
      <w:r>
        <w:t xml:space="preserve">Los 79 casos de SHAP y LIME con peso no nulo se puntuaron</w:t>
      </w:r>
      <w:r>
        <w:t xml:space="preserve"> </w:t>
      </w:r>
      <w:r>
        <w:t xml:space="preserve">de nuevo en dos versiones degradadas de forma conocida. Cuando se eliminaron</w:t>
      </w:r>
      <w:r>
        <w:t xml:space="preserve"> </w:t>
      </w:r>
      <w:r>
        <w:t xml:space="preserve">siete de los diez elementos, los tres jueces redujeron la Completitud y su ICC</w:t>
      </w:r>
      <w:r>
        <w:t xml:space="preserve"> </w:t>
      </w:r>
      <w:r>
        <w:t xml:space="preserve">subió de 0.18 a 0.60: los jueces sí acuerdan cuando la diferencia es visible en</w:t>
      </w:r>
      <w:r>
        <w:t xml:space="preserve"> </w:t>
      </w:r>
      <w:r>
        <w:t xml:space="preserve">la forma del texto. Cuando los pesos se asignaron a características</w:t>
      </w:r>
      <w:r>
        <w:t xml:space="preserve"> </w:t>
      </w:r>
      <w:r>
        <w:t xml:space="preserve">equivocadas, lo que deja intacta la forma y vuelve erróneo el contenido, solo</w:t>
      </w:r>
      <w:r>
        <w:t xml:space="preserve"> </w:t>
      </w:r>
      <w:r>
        <w:t xml:space="preserve">uno de los tres jueces redujo la Plausibilidad semántica, y el acuerdo no</w:t>
      </w:r>
      <w:r>
        <w:t xml:space="preserve"> </w:t>
      </w:r>
      <w:r>
        <w:t xml:space="preserve">aumentó (</w:t>
      </w:r>
      <w:hyperlink w:anchor="fig-seg-jueces">
        <w:r>
          <w:rPr>
            <w:rStyle w:val="Hipervnculo"/>
          </w:rPr>
          <w:t xml:space="preserve">Figura 6.6</w:t>
        </w:r>
      </w:hyperlink>
      <w:r>
        <w:t xml:space="preserve">).</w:t>
      </w:r>
    </w:p>
    <w:tbl>
      <w:tblPr>
        <w:tblStyle w:val="Table"/>
        <w:tblW w:type="pct" w:w="5000"/>
        <w:jc w:val="center"/>
        <w:tblLayout w:type="fixed"/>
        <w:tblLook w:firstRow="0" w:lastRow="0" w:firstColumn="0" w:lastColumn="0" w:noHBand="0" w:noVBand="0" w:val="0000"/>
      </w:tblPr>
      <w:tblGrid>
        <w:gridCol w:w="7920"/>
      </w:tblGrid>
      <w:tr>
        <w:tc>
          <w:tcPr/>
          <w:bookmarkStart w:id="289" w:name="fig-seg-jueces"/>
          <w:p>
            <w:pPr>
              <w:pStyle w:val="Compact"/>
              <w:jc w:val="center"/>
              <w:spacing w:line="360" w:lineRule="auto"/>
            </w:pPr>
            <w:r>
              <w:drawing>
                <ns1:inline>
                  <ns1:extent cx="5052060" cy="2325230"/>
                  <ns1:effectExtent b="0" l="0" r="0" t="0"/>
                  <ns1:docPr descr="" title="" id="287" name="Picture"/>
                  <ns2:graphic>
                    <ns2:graphicData uri="http://schemas.openxmlformats.org/drawingml/2006/picture">
                      <ns3:pic>
                        <ns3:nvPicPr>
                          <ns3:cNvPr descr="assets/figures/fig_seg_jueces_es.png" id="288" name="Picture"/>
                          <ns3:cNvPicPr>
                            <ns2:picLocks noChangeArrowheads="1" noChangeAspect="1"/>
                          </ns3:cNvPicPr>
                        </ns3:nvPicPr>
                        <ns3:blipFill>
                          <ns2:blip ns4:embed="rId286"/>
                          <ns2:stretch>
                            <ns2:fillRect/>
                          </ns2:stretch>
                        </ns3:blipFill>
                        <ns3:spPr bwMode="auto">
                          <ns2:xfrm>
                            <ns2:off x="0" y="0"/>
                            <ns2:ext cx="5052060" cy="2325230"/>
                          </ns2:xfrm>
                          <ns2:prstGeom prst="rect">
                            <ns2:avLst/>
                          </ns2:prstGeom>
                          <ns2:noFill/>
                          <ns2:ln w="9525">
                            <ns2:noFill/>
                            <ns2:headEnd/>
                            <ns2:tailEnd/>
                          </ns2:ln>
                        </ns3:spPr>
                      </ns3:pic>
                    </ns2:graphicData>
                  </ns2:graphic>
                </ns1:inline>
              </w:drawing>
            </w:r>
          </w:p>
          <w:p>
            <w:pPr>
              <w:pStyle w:val="ImageCaption"/>
              <w:spacing w:before="200" w:line="360" w:lineRule="auto"/>
              <w:jc w:val="center"/>
            </w:pPr>
            <w:r>
              <w:t xml:space="preserve">Figura 6.6: Acuerdo entre los tres jueces en el control positivo, para los casos de SHAP y</w:t>
            </w:r>
            <w:r>
              <w:t xml:space="preserve"> </w:t>
            </w:r>
            <w:r>
              <w:t xml:space="preserve">LIME con algún peso no nulo. Se compara el ICC(1,1) sobre los textos</w:t>
            </w:r>
            <w:r>
              <w:t xml:space="preserve"> </w:t>
            </w:r>
            <w:r>
              <w:t xml:space="preserve">almacenados con el obtenido al añadir cada versión degradada. Truncar el texto</w:t>
            </w:r>
            <w:r>
              <w:t xml:space="preserve"> </w:t>
            </w:r>
            <w:r>
              <w:t xml:space="preserve">eleva el acuerdo en Completitud; reasignar los pesos a características</w:t>
            </w:r>
            <w:r>
              <w:t xml:space="preserve"> </w:t>
            </w:r>
            <w:r>
              <w:t xml:space="preserve">equivocadas no eleva el acuerdo en ninguna de las dos dimensiones. Ningún valor</w:t>
            </w:r>
            <w:r>
              <w:t xml:space="preserve"> </w:t>
            </w:r>
            <w:r>
              <w:t xml:space="preserve">alcanza el umbral de fiabilidad</w:t>
            </w:r>
            <w:r>
              <w:t xml:space="preserve"> </w:t>
            </w:r>
            <w:r>
              <w:t xml:space="preserve">aceptable.</w:t>
            </w:r>
          </w:p>
          <w:bookmarkEnd w:id="289"/>
        </w:tc>
      </w:tr>
    </w:tbl>
    <w:p>
      <w:pPr>
        <w:pStyle w:val="Textoindependiente"/>
        <w:spacing w:line="360" w:lineRule="auto"/>
        <w:jc w:val="both"/>
      </w:pPr>
      <w:r>
        <w:rPr>
          <w:b/>
          <w:bCs/>
        </w:rPr>
        <w:t xml:space="preserve">Efecto del contenido de la consigna.</w:t>
      </w:r>
      <w:r>
        <w:t xml:space="preserve"> </w:t>
      </w:r>
      <w:r>
        <w:t xml:space="preserve">Con las métricas técnicas en la</w:t>
      </w:r>
      <w:r>
        <w:t xml:space="preserve"> </w:t>
      </w:r>
      <w:r>
        <w:t xml:space="preserve">consigna, uno de los jueces nombró una métrica en el 80 % de sus respuestas. Sin</w:t>
      </w:r>
      <w:r>
        <w:t xml:space="preserve"> </w:t>
      </w:r>
      <w:r>
        <w:t xml:space="preserve">ellas, ese juez puntuó más alto, y el acuerdo en Utilidad para auditoría bajó</w:t>
      </w:r>
      <w:r>
        <w:t xml:space="preserve"> </w:t>
      </w:r>
      <w:r>
        <w:t xml:space="preserve">de 0.66 a 0.42, comparando en ambos casos una sola llamada por juez. Lo que se</w:t>
      </w:r>
      <w:r>
        <w:t xml:space="preserve"> </w:t>
      </w:r>
      <w:r>
        <w:t xml:space="preserve">incluye en la consigna pasa a formar parte de lo que se mide.</w:t>
      </w:r>
    </w:p>
    <w:p>
      <w:pPr>
        <w:pStyle w:val="Textoindependiente"/>
        <w:spacing w:line="360" w:lineRule="auto"/>
        <w:jc w:val="both"/>
      </w:pPr>
      <w:r>
        <w:rPr>
          <w:b/>
          <w:bCs/>
        </w:rPr>
        <w:t xml:space="preserve">Consecuencia.</w:t>
      </w:r>
      <w:r>
        <w:t xml:space="preserve"> </w:t>
      </w:r>
      <w:r>
        <w:t xml:space="preserve">Estos controles refuerzan y precisan el resultado negativo de</w:t>
      </w:r>
      <w:r>
        <w:t xml:space="preserve"> </w:t>
      </w:r>
      <w:r>
        <w:t xml:space="preserve">P2, sin modificarlo. Los jueces de esta clase acuerdan sobre el método y sobre</w:t>
      </w:r>
      <w:r>
        <w:t xml:space="preserve"> </w:t>
      </w:r>
      <w:r>
        <w:t xml:space="preserve">la forma visible de una explicación, no sobre si es correcta. El gradiente</w:t>
      </w:r>
      <w:r>
        <w:t xml:space="preserve"> </w:t>
      </w:r>
      <w:r>
        <w:t xml:space="preserve">entre dimensiones descrito en el Capítulo 5 debe leerse con esta precisión: una</w:t>
      </w:r>
      <w:r>
        <w:t xml:space="preserve"> </w:t>
      </w:r>
      <w:r>
        <w:t xml:space="preserve">dimensión con mayor acuerdo no es por ello una dimensión mejor medida. Los</w:t>
      </w:r>
      <w:r>
        <w:t xml:space="preserve"> </w:t>
      </w:r>
      <w:r>
        <w:t xml:space="preserve">límites son los del estudio original —no hay puntuaciones humanas y los dos</w:t>
      </w:r>
      <w:r>
        <w:t xml:space="preserve"> </w:t>
      </w:r>
      <w:r>
        <w:t xml:space="preserve">paneles son modelos pequeños—, a los que se añade que la condición limpia y el</w:t>
      </w:r>
      <w:r>
        <w:t xml:space="preserve"> </w:t>
      </w:r>
      <w:r>
        <w:t xml:space="preserve">control disponen de una sola llamada por juez.</w:t>
      </w:r>
    </w:p>
    <w:bookmarkEnd w:id="290"/>
    <w:bookmarkStart w:id="292" w:name="sec-seg-sintesis"/>
    <w:p>
      <w:pPr>
        <w:pStyle w:val="Ttulo2"/>
        <w:spacing w:line="360" w:lineRule="auto"/>
        <w:jc w:val="both"/>
      </w:pPr>
      <w:r>
        <w:t xml:space="preserve">6.6 </w:t>
      </w:r>
      <w:r>
        <w:t xml:space="preserve">Qué cambia y qué no cambia en las conclusiones</w:t>
      </w:r>
    </w:p>
    <w:p>
      <w:pPr>
        <w:pStyle w:val="FirstParagraph"/>
        <w:spacing w:line="360" w:lineRule="auto"/>
        <w:jc w:val="both"/>
      </w:pPr>
      <w:r>
        <w:t xml:space="preserve">Los cuatro trabajos apuntan en la misma dirección: precisan el alcance de las</w:t>
      </w:r>
      <w:r>
        <w:t xml:space="preserve"> </w:t>
      </w:r>
      <w:r>
        <w:t xml:space="preserve">conclusiones sin alterar su contenido.</w:t>
      </w:r>
    </w:p>
    <w:tbl>
      <w:tblPr>
        <w:tblStyle w:val="Table"/>
        <w:tblW w:type="pct" w:w="5000"/>
        <w:jc w:val="center"/>
        <w:tblLayout w:type="fixed"/>
        <w:tblLook w:firstRow="0" w:lastRow="0" w:firstColumn="0" w:lastColumn="0" w:noHBand="0" w:noVBand="0" w:val="0000"/>
      </w:tblPr>
      <w:tblGrid>
        <w:gridCol w:w="7920"/>
      </w:tblGrid>
      <w:tr>
        <w:tc>
          <w:tcPr/>
          <w:bookmarkStart w:id="291" w:name="tbl-seg-sintesis"/>
          <w:p>
            <w:pPr>
              <w:pStyle w:val="ImageCaption"/>
              <w:spacing w:before="200" w:line="360" w:lineRule="auto"/>
              <w:jc w:val="center"/>
            </w:pPr>
            <w:r>
              <w:t xml:space="preserve">Tabla 6.5: Efecto de los estudios de seguimiento sobre las conclusiones de los estudios</w:t>
            </w:r>
            <w:r>
              <w:t xml:space="preserve"> </w:t>
            </w:r>
            <w:r>
              <w:t xml:space="preserve">principales.</w:t>
            </w:r>
          </w:p>
          <w:tbl>
            <w:tblPr>
              <w:tblStyle w:val="Table"/>
              <w:tblW w:type="pct" w:w="500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Row="1" w:lastRow="0" w:firstColumn="0" w:lastColumn="0" w:noHBand="0" w:noVBand="0" w:val="0020"/>
            </w:tblPr>
            <w:tblGrid>
              <w:gridCol w:w="2640"/>
              <w:gridCol w:w="2640"/>
              <w:gridCol w:w="2640"/>
            </w:tblGrid>
            <w:tr>
              <w:trPr>
                <w:tblHeader w:val="on"/>
              </w:trPr>
              <w:tc>
                <w:tcPr/>
                <w:p>
                  <w:pPr>
                    <w:pStyle w:val="Compact"/>
                    <w:jc w:val="both"/>
                    <w:jc w:val="center"/>
                    <w:spacing w:line="360" w:lineRule="auto"/>
                  </w:pPr>
                  <w:r>
                    <w:rPr>
                      <w:bCs/>
                      <w:b/>
                    </w:rPr>
                    <w:t xml:space="preserve">Conclusión de los estudios principales</w:t>
                  </w:r>
                </w:p>
              </w:tc>
              <w:tc>
                <w:tcPr/>
                <w:p>
                  <w:pPr>
                    <w:pStyle w:val="Compact"/>
                    <w:jc w:val="both"/>
                    <w:jc w:val="center"/>
                    <w:spacing w:line="360" w:lineRule="auto"/>
                  </w:pPr>
                  <w:r>
                    <w:rPr>
                      <w:bCs/>
                      <w:b/>
                    </w:rPr>
                    <w:t xml:space="preserve">Qué añade el seguimiento</w:t>
                  </w:r>
                </w:p>
              </w:tc>
              <w:tc>
                <w:tcPr/>
                <w:p>
                  <w:pPr>
                    <w:pStyle w:val="Compact"/>
                    <w:jc w:val="both"/>
                    <w:jc w:val="center"/>
                    <w:spacing w:line="360" w:lineRule="auto"/>
                  </w:pPr>
                  <w:r>
                    <w:rPr>
                      <w:bCs/>
                      <w:b/>
                    </w:rPr>
                    <w:t xml:space="preserve">Estado</w:t>
                  </w:r>
                </w:p>
              </w:tc>
            </w:tr>
            <w:tr>
              <w:tc>
                <w:tcPr/>
                <w:p>
                  <w:pPr>
                    <w:pStyle w:val="Compact"/>
                    <w:jc w:val="both"/>
                    <w:jc w:val="center"/>
                    <w:spacing w:line="360" w:lineRule="auto"/>
                  </w:pPr>
                  <w:r>
                    <w:t xml:space="preserve">SHAP presenta el mejor perfil de fidelidad y estabilidad en Adult</w:t>
                  </w:r>
                </w:p>
              </w:tc>
              <w:tc>
                <w:tcPr/>
                <w:p>
                  <w:pPr>
                    <w:pStyle w:val="Compact"/>
                    <w:jc w:val="both"/>
                    <w:jc w:val="center"/>
                    <w:spacing w:line="360" w:lineRule="auto"/>
                  </w:pPr>
                  <w:r>
                    <w:t xml:space="preserve">La posición de SHAP se mantiene en la mayoría de 16 conjuntos de datos bajo un protocolo común; la estabilidad de sus explicaciones es menor en las predicciones erróneas</w:t>
                  </w:r>
                </w:p>
              </w:tc>
              <w:tc>
                <w:tcPr/>
                <w:p>
                  <w:pPr>
                    <w:pStyle w:val="Compact"/>
                    <w:jc w:val="both"/>
                    <w:jc w:val="center"/>
                    <w:spacing w:line="360" w:lineRule="auto"/>
                  </w:pPr>
                  <w:r>
                    <w:t xml:space="preserve">Se mantiene, con dos precisiones</w:t>
                  </w:r>
                </w:p>
              </w:tc>
            </w:tr>
            <w:tr>
              <w:tc>
                <w:tcPr/>
                <w:p>
                  <w:pPr>
                    <w:pStyle w:val="Compact"/>
                    <w:jc w:val="both"/>
                    <w:jc w:val="center"/>
                    <w:spacing w:line="360" w:lineRule="auto"/>
                  </w:pPr>
                  <w:r>
                    <w:t xml:space="preserve">LIME es la alternativa de menor coste</w:t>
                  </w:r>
                </w:p>
              </w:tc>
              <w:tc>
                <w:tcPr/>
                <w:p>
                  <w:pPr>
                    <w:pStyle w:val="Compact"/>
                    <w:jc w:val="both"/>
                    <w:jc w:val="center"/>
                    <w:spacing w:line="360" w:lineRule="auto"/>
                  </w:pPr>
                  <w:r>
                    <w:t xml:space="preserve">LIME es el método de menor coste en 15 de los 16 conjuntos de datos</w:t>
                  </w:r>
                </w:p>
              </w:tc>
              <w:tc>
                <w:tcPr/>
                <w:p>
                  <w:pPr>
                    <w:pStyle w:val="Compact"/>
                    <w:jc w:val="both"/>
                    <w:jc w:val="center"/>
                    <w:spacing w:line="360" w:lineRule="auto"/>
                  </w:pPr>
                  <w:r>
                    <w:t xml:space="preserve">Se mantiene</w:t>
                  </w:r>
                </w:p>
              </w:tc>
            </w:tr>
            <w:tr>
              <w:tc>
                <w:tcPr/>
                <w:p>
                  <w:pPr>
                    <w:pStyle w:val="Compact"/>
                    <w:jc w:val="both"/>
                    <w:jc w:val="center"/>
                    <w:spacing w:line="360" w:lineRule="auto"/>
                  </w:pPr>
                  <w:r>
                    <w:t xml:space="preserve">SHAP y LIME difieren en calidad y coste (H3)</w:t>
                  </w:r>
                </w:p>
              </w:tc>
              <w:tc>
                <w:tcPr/>
                <w:p>
                  <w:pPr>
                    <w:pStyle w:val="Compact"/>
                    <w:jc w:val="both"/>
                    <w:jc w:val="center"/>
                    <w:spacing w:line="360" w:lineRule="auto"/>
                  </w:pPr>
                  <w:r>
                    <w:t xml:space="preserve">Además, para la misma instancia nombran características en parte distintas, y ninguno se reproduce por completo a sí mismo</w:t>
                  </w:r>
                </w:p>
              </w:tc>
              <w:tc>
                <w:tcPr/>
                <w:p>
                  <w:pPr>
                    <w:pStyle w:val="Compact"/>
                    <w:jc w:val="both"/>
                    <w:jc w:val="center"/>
                    <w:spacing w:line="360" w:lineRule="auto"/>
                  </w:pPr>
                  <w:r>
                    <w:t xml:space="preserve">Se mantiene y se amplía</w:t>
                  </w:r>
                </w:p>
              </w:tc>
            </w:tr>
            <w:tr>
              <w:tc>
                <w:tcPr/>
                <w:p>
                  <w:pPr>
                    <w:pStyle w:val="Compact"/>
                    <w:jc w:val="both"/>
                    <w:jc w:val="center"/>
                    <w:spacing w:line="360" w:lineRule="auto"/>
                  </w:pPr>
                  <w:r>
                    <w:t xml:space="preserve">Anchors y DiCE atienden objetivos distintos</w:t>
                  </w:r>
                </w:p>
              </w:tc>
              <w:tc>
                <w:tcPr/>
                <w:p>
                  <w:pPr>
                    <w:pStyle w:val="Compact"/>
                    <w:jc w:val="both"/>
                    <w:jc w:val="center"/>
                    <w:spacing w:line="360" w:lineRule="auto"/>
                  </w:pPr>
                  <w:r>
                    <w:t xml:space="preserve">Su orden relativo no se transfiere entre conjuntos de datos, y las medidas comunes descartan lo propio de sus salidas</w:t>
                  </w:r>
                </w:p>
              </w:tc>
              <w:tc>
                <w:tcPr/>
                <w:p>
                  <w:pPr>
                    <w:pStyle w:val="Compact"/>
                    <w:jc w:val="both"/>
                    <w:jc w:val="center"/>
                    <w:spacing w:line="360" w:lineRule="auto"/>
                  </w:pPr>
                  <w:r>
                    <w:t xml:space="preserve">Se mantiene; refuerza la cautela</w:t>
                  </w:r>
                </w:p>
              </w:tc>
            </w:tr>
            <w:tr>
              <w:tc>
                <w:tcPr/>
                <w:p>
                  <w:pPr>
                    <w:pStyle w:val="Compact"/>
                    <w:jc w:val="both"/>
                    <w:jc w:val="center"/>
                    <w:spacing w:line="360" w:lineRule="auto"/>
                  </w:pPr>
                  <w:r>
                    <w:t xml:space="preserve">Los jueces LLM no alcanzan fiabilidad aceptable (P2)</w:t>
                  </w:r>
                </w:p>
              </w:tc>
              <w:tc>
                <w:tcPr/>
                <w:p>
                  <w:pPr>
                    <w:pStyle w:val="Compact"/>
                    <w:jc w:val="both"/>
                    <w:jc w:val="center"/>
                    <w:spacing w:line="360" w:lineRule="auto"/>
                  </w:pPr>
                  <w:r>
                    <w:t xml:space="preserve">El acuerdo existente recae sobre el método y la forma, no sobre la corrección</w:t>
                  </w:r>
                </w:p>
              </w:tc>
              <w:tc>
                <w:tcPr/>
                <w:p>
                  <w:pPr>
                    <w:pStyle w:val="Compact"/>
                    <w:jc w:val="both"/>
                    <w:jc w:val="center"/>
                    <w:spacing w:line="360" w:lineRule="auto"/>
                  </w:pPr>
                  <w:r>
                    <w:t xml:space="preserve">Se mantiene y se precisa</w:t>
                  </w:r>
                </w:p>
              </w:tc>
            </w:tr>
          </w:tbl>
          <w:bookmarkEnd w:id="291"/>
          <w:p>
            <w:pPr>
              <w:spacing w:line="360" w:lineRule="auto"/>
              <w:jc w:val="both"/>
            </w:pPr>
          </w:p>
        </w:tc>
      </w:tr>
    </w:tbl>
    <w:p>
      <w:pPr>
        <w:pStyle w:val="Textoindependiente"/>
        <w:spacing w:line="360" w:lineRule="auto"/>
        <w:jc w:val="both"/>
      </w:pPr>
      <w:r>
        <w:t xml:space="preserve">Tres recomendaciones de reporte se desprenden de este capítulo y se incorporan</w:t>
      </w:r>
      <w:r>
        <w:t xml:space="preserve"> </w:t>
      </w:r>
      <w:r>
        <w:t xml:space="preserve">a las conclusiones: reportar la calidad de la explicación por separado para</w:t>
      </w:r>
      <w:r>
        <w:t xml:space="preserve"> </w:t>
      </w:r>
      <w:r>
        <w:t xml:space="preserve">predicciones correctas e incorrectas; acompañar toda comparación entre</w:t>
      </w:r>
      <w:r>
        <w:t xml:space="preserve"> </w:t>
      </w:r>
      <w:r>
        <w:t xml:space="preserve">explicadores de la repetibilidad de cada uno; y declarar el protocolo —</w:t>
      </w:r>
      <w:r>
        <w:t xml:space="preserve"> </w:t>
      </w:r>
      <w:r>
        <w:t xml:space="preserve">configuración, medidas y conjuntos de datos— del que depende un orden entre</w:t>
      </w:r>
      <w:r>
        <w:t xml:space="preserve"> </w:t>
      </w:r>
      <w:r>
        <w:t xml:space="preserve">métodos antes de tratarlo como propiedad de los métodos.</w:t>
      </w:r>
    </w:p>
    <w:bookmarkEnd w:id="292"/>
    <w:bookmarkEnd w:id="293"/>
    <w:bookmarkStart w:id="314" w:name="conclusiones"/>
    <w:p>
      <w:pPr>
        <w:pStyle w:val="Ttulo1"/>
        <w:spacing w:line="360" w:lineRule="auto"/>
        <w:jc w:val="both"/>
      </w:pPr>
      <w:r>
        <w:t xml:space="preserve">Capítulo 7. </w:t>
      </w:r>
      <w:r>
        <w:t xml:space="preserve">Conclusiones</w:t>
      </w:r>
    </w:p>
    <w:p>
      <w:pPr>
        <w:pStyle w:val="FirstParagraph"/>
        <w:spacing w:line="360" w:lineRule="auto"/>
        <w:jc w:val="both"/>
      </w:pPr>
      <w:r>
        <w:t xml:space="preserve">Esta tesis parte de una constatación empírica recurrente en la literatura: el</w:t>
      </w:r>
      <w:r>
        <w:t xml:space="preserve"> </w:t>
      </w:r>
      <w:r>
        <w:t xml:space="preserve">campo de la evaluación de métodos XAI carece de marcos operativos que conecten</w:t>
      </w:r>
      <w:r>
        <w:t xml:space="preserve"> </w:t>
      </w:r>
      <w:r>
        <w:t xml:space="preserve">la ejecución experimental con la inferencia estadística admisible</w:t>
      </w:r>
      <w:r>
        <w:t xml:space="preserve"> </w:t>
      </w:r>
      <w:r>
        <w:t xml:space="preserve">(Pawlicki et al. 2024; Abdul Kadir et al. 2023; Canha et al. 2025)</w:t>
      </w:r>
      <w:r>
        <w:t xml:space="preserve">. El problema no es la ausencia de</w:t>
      </w:r>
      <w:r>
        <w:t xml:space="preserve"> </w:t>
      </w:r>
      <w:r>
        <w:t xml:space="preserve">métricas —se han identificado más de noventa constructos distintos</w:t>
      </w:r>
      <w:r>
        <w:t xml:space="preserve"> </w:t>
      </w:r>
      <w:r>
        <w:t xml:space="preserve">(Pawlicki et al. 2024)</w:t>
      </w:r>
      <w:r>
        <w:t xml:space="preserve">— sino la fragmentación conceptual y la falta de vinculación</w:t>
      </w:r>
      <w:r>
        <w:t xml:space="preserve"> </w:t>
      </w:r>
      <w:r>
        <w:t xml:space="preserve">auditable entre diseño experimental, artefactos de resultado y afirmaciones</w:t>
      </w:r>
      <w:r>
        <w:t xml:space="preserve"> </w:t>
      </w:r>
      <w:r>
        <w:t xml:space="preserve">inferenciales. Esta tesis responde a ese problema con tres contribuciones</w:t>
      </w:r>
      <w:r>
        <w:t xml:space="preserve"> </w:t>
      </w:r>
      <w:r>
        <w:t xml:space="preserve">articuladas: la secuencia operativa FOM-7, un benchmark multi-métrico sobre</w:t>
      </w:r>
      <w:r>
        <w:t xml:space="preserve"> </w:t>
      </w:r>
      <w:r>
        <w:t xml:space="preserve">datos tabulares reales y una taxonomía del espacio de métricas de evaluación XAI.</w:t>
      </w:r>
    </w:p>
    <w:bookmarkStart w:id="297" w:name="sec-respuesta"/>
    <w:p>
      <w:pPr>
        <w:pStyle w:val="Ttulo2"/>
        <w:spacing w:line="360" w:lineRule="auto"/>
        <w:jc w:val="both"/>
      </w:pPr>
      <w:r>
        <w:t xml:space="preserve">7.1 </w:t>
      </w:r>
      <w:r>
        <w:t xml:space="preserve">Respuesta al problema de investigación e hipótesis</w:t>
      </w:r>
    </w:p>
    <w:p>
      <w:pPr>
        <w:pStyle w:val="FirstParagraph"/>
        <w:spacing w:line="360" w:lineRule="auto"/>
        <w:jc w:val="both"/>
      </w:pPr>
      <w:r>
        <w:t xml:space="preserve">El problema de investigación formulado en el Capítulo 1 pregunta:</w:t>
      </w:r>
      <w:r>
        <w:t xml:space="preserve"> </w:t>
      </w:r>
      <w:r>
        <w:rPr>
          <w:i/>
          <w:iCs/>
        </w:rPr>
        <w:t xml:space="preserve">¿En qué</w:t>
      </w:r>
      <w:r>
        <w:rPr>
          <w:i/>
          <w:iCs/>
        </w:rPr>
        <w:t xml:space="preserve"> </w:t>
      </w:r>
      <w:r>
        <w:rPr>
          <w:i/>
          <w:iCs/>
        </w:rPr>
        <w:t xml:space="preserve">medida difieren los métodos de explicabilidad agnósticos al modelo en un</w:t>
      </w:r>
      <w:r>
        <w:rPr>
          <w:i/>
          <w:iCs/>
        </w:rPr>
        <w:t xml:space="preserve"> </w:t>
      </w:r>
      <w:r>
        <w:rPr>
          <w:i/>
          <w:iCs/>
        </w:rPr>
        <w:t xml:space="preserve">conjunto multidimensional de métricas de calidad bajo condiciones de</w:t>
      </w:r>
      <w:r>
        <w:rPr>
          <w:i/>
          <w:iCs/>
        </w:rPr>
        <w:t xml:space="preserve"> </w:t>
      </w:r>
      <w:r>
        <w:rPr>
          <w:i/>
          <w:iCs/>
        </w:rPr>
        <w:t xml:space="preserve">benchmarking controladas y reproducibles, y qué criterios técnicos permiten</w:t>
      </w:r>
      <w:r>
        <w:rPr>
          <w:i/>
          <w:iCs/>
        </w:rPr>
        <w:t xml:space="preserve"> </w:t>
      </w:r>
      <w:r>
        <w:rPr>
          <w:i/>
          <w:iCs/>
        </w:rPr>
        <w:t xml:space="preserve">orientar su selección en función de los objetivos operativos?</w:t>
      </w:r>
    </w:p>
    <w:p>
      <w:pPr>
        <w:pStyle w:val="Textoindependiente"/>
        <w:spacing w:line="360" w:lineRule="auto"/>
        <w:jc w:val="both"/>
      </w:pPr>
      <w:r>
        <w:t xml:space="preserve">Los resultados del benchmark responden esta pregunta con precisión</w:t>
      </w:r>
      <w:r>
        <w:t xml:space="preserve"> </w:t>
      </w:r>
      <w:r>
        <w:t xml:space="preserve">cuantitativa. Las diferencias entre métodos son grandes, consistentes y</w:t>
      </w:r>
      <w:r>
        <w:t xml:space="preserve"> </w:t>
      </w:r>
      <w:r>
        <w:t xml:space="preserve">estadísticamente robustas bajo el protocolo FOM-7. La respuesta directa es:</w:t>
      </w:r>
      <w:r>
        <w:t xml:space="preserve"> </w:t>
      </w:r>
      <w:r>
        <w:rPr>
          <w:b/>
          <w:bCs/>
        </w:rPr>
        <w:t xml:space="preserve">SHAP presenta el mejor perfil de fidelidad y estabilidad en los contextos</w:t>
      </w:r>
      <w:r>
        <w:rPr>
          <w:b/>
          <w:bCs/>
        </w:rPr>
        <w:t xml:space="preserve"> </w:t>
      </w:r>
      <w:r>
        <w:rPr>
          <w:b/>
          <w:bCs/>
        </w:rPr>
        <w:t xml:space="preserve">modelo-muestra evaluados; LIME es una alternativa cuando el coste computacional</w:t>
      </w:r>
      <w:r>
        <w:rPr>
          <w:b/>
          <w:bCs/>
        </w:rPr>
        <w:t xml:space="preserve"> </w:t>
      </w:r>
      <w:r>
        <w:rPr>
          <w:b/>
          <w:bCs/>
        </w:rPr>
        <w:t xml:space="preserve">es crítico, con la condición de aceptar explicaciones inestables; Anchors y</w:t>
      </w:r>
      <w:r>
        <w:rPr>
          <w:b/>
          <w:bCs/>
        </w:rPr>
        <w:t xml:space="preserve"> </w:t>
      </w:r>
      <w:r>
        <w:rPr>
          <w:b/>
          <w:bCs/>
        </w:rPr>
        <w:t xml:space="preserve">DiCE atienden objetivos explicativos cualitativamente distintos que las métricas</w:t>
      </w:r>
      <w:r>
        <w:rPr>
          <w:b/>
          <w:bCs/>
        </w:rPr>
        <w:t xml:space="preserve"> </w:t>
      </w:r>
      <w:r>
        <w:rPr>
          <w:b/>
          <w:bCs/>
        </w:rPr>
        <w:t xml:space="preserve">de atribución no capturan plenamente.</w:t>
      </w:r>
      <w:r>
        <w:t xml:space="preserve"> </w:t>
      </w:r>
      <w:r>
        <w:t xml:space="preserve">Esta orientación es robusta: emerge de</w:t>
      </w:r>
      <w:r>
        <w:t xml:space="preserve"> </w:t>
      </w:r>
      <w:r>
        <w:t xml:space="preserve">275 artefactos calificados,</w:t>
      </w:r>
      <w:r>
        <w:t xml:space="preserve"> </w:t>
      </w:r>
      <w:r>
        <w:t xml:space="preserve">se replica a través de cinco modelos, cinco semillas y tres tamaños de muestra,</w:t>
      </w:r>
      <w:r>
        <w:t xml:space="preserve"> </w:t>
      </w:r>
      <w:r>
        <w:t xml:space="preserve">y es resistente al 8.3% de datos ausentes del diseño.</w:t>
      </w:r>
    </w:p>
    <w:p>
      <w:pPr>
        <w:pStyle w:val="Textoindependiente"/>
        <w:spacing w:line="360" w:lineRule="auto"/>
        <w:jc w:val="both"/>
      </w:pPr>
      <w:r>
        <w:t xml:space="preserve">La resolución formal de las hipótesis y proposiciones se sintetiza en la</w:t>
      </w:r>
      <w:r>
        <w:t xml:space="preserve"> </w:t>
      </w:r>
      <w:hyperlink w:anchor="tbl-hipotesis">
        <w:r>
          <w:rPr>
            <w:rStyle w:val="Hipervnculo"/>
          </w:rPr>
          <w:t xml:space="preserve">Tabla 7.1</w:t>
        </w:r>
      </w:hyperlink>
      <w:r>
        <w:t xml:space="preserve">, y el cierre de los objetivos específicos, en la</w:t>
      </w:r>
      <w:r>
        <w:t xml:space="preserve"> </w:t>
      </w:r>
      <w:hyperlink w:anchor="tbl-objetivos">
        <w:r>
          <w:rPr>
            <w:rStyle w:val="Hipervnculo"/>
          </w:rPr>
          <w:t xml:space="preserve">Tabla 7.2</w:t>
        </w:r>
      </w:hyperlink>
      <w:r>
        <w:t xml:space="preserve">:</w:t>
      </w:r>
    </w:p>
    <w:tbl>
      <w:tblPr>
        <w:tblStyle w:val="Table"/>
        <w:tblW w:type="pct" w:w="5000"/>
        <w:jc w:val="center"/>
        <w:tblLayout w:type="fixed"/>
        <w:tblLook w:firstRow="0" w:lastRow="0" w:firstColumn="0" w:lastColumn="0" w:noHBand="0" w:noVBand="0" w:val="0000"/>
      </w:tblPr>
      <w:tblGrid>
        <w:gridCol w:w="7920"/>
      </w:tblGrid>
      <w:tr>
        <w:tc>
          <w:tcPr/>
          <w:bookmarkStart w:id="294" w:name="tbl-hipotesis"/>
          <w:p>
            <w:pPr>
              <w:pStyle w:val="ImageCaption"/>
              <w:spacing w:before="200" w:line="360" w:lineRule="auto"/>
              <w:jc w:val="center"/>
            </w:pPr>
            <w:r>
              <w:t xml:space="preserve">Tabla 7.1: Síntesis de hipótesis y proposiciones de trabajo.</w:t>
            </w:r>
          </w:p>
          <w:tbl>
            <w:tblPr>
              <w:tblStyle w:val="Table"/>
              <w:tblW w:type="pct" w:w="500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Row="1" w:lastRow="0" w:firstColumn="0" w:lastColumn="0" w:noHBand="0" w:noVBand="0" w:val="0020"/>
            </w:tblPr>
            <w:tblGrid>
              <w:gridCol w:w="3600"/>
              <w:gridCol w:w="1584"/>
              <w:gridCol w:w="2736"/>
            </w:tblGrid>
            <w:tr>
              <w:trPr>
                <w:tblHeader w:val="on"/>
              </w:trPr>
              <w:tc>
                <w:tcPr/>
                <w:p>
                  <w:pPr>
                    <w:pStyle w:val="Compact"/>
                    <w:jc w:val="both"/>
                    <w:spacing w:line="360" w:lineRule="auto"/>
                  </w:pPr>
                  <w:r>
                    <w:rPr>
                      <w:bCs/>
                      <w:b/>
                    </w:rPr>
                    <w:t xml:space="preserve">Hipótesis / Proposición</w:t>
                  </w:r>
                </w:p>
              </w:tc>
              <w:tc>
                <w:tcPr/>
                <w:p>
                  <w:pPr>
                    <w:pStyle w:val="Compact"/>
                    <w:jc w:val="both"/>
                    <w:spacing w:line="360" w:lineRule="auto"/>
                  </w:pPr>
                  <w:r>
                    <w:rPr>
                      <w:bCs/>
                      <w:b/>
                    </w:rPr>
                    <w:t xml:space="preserve">Resultado</w:t>
                  </w:r>
                </w:p>
              </w:tc>
              <w:tc>
                <w:tcPr/>
                <w:p>
                  <w:pPr>
                    <w:pStyle w:val="Compact"/>
                    <w:jc w:val="both"/>
                    <w:spacing w:line="360" w:lineRule="auto"/>
                  </w:pPr>
                  <w:r>
                    <w:rPr>
                      <w:bCs/>
                      <w:b/>
                    </w:rPr>
                    <w:t xml:space="preserve">Estadístico clave</w:t>
                  </w:r>
                </w:p>
              </w:tc>
            </w:tr>
            <w:tr>
              <w:tc>
                <w:tcPr/>
                <w:p>
                  <w:pPr>
                    <w:pStyle w:val="Compact"/>
                    <w:jc w:val="both"/>
                    <w:spacing w:line="360" w:lineRule="auto"/>
                  </w:pPr>
                  <w:r>
                    <w:t xml:space="preserve">H1: diferencias en fidelidad</w:t>
                  </w:r>
                </w:p>
              </w:tc>
              <w:tc>
                <w:tcPr/>
                <w:p>
                  <w:pPr>
                    <w:pStyle w:val="Compact"/>
                    <w:jc w:val="both"/>
                    <w:spacing w:line="360" w:lineRule="auto"/>
                  </w:pPr>
                  <w:r>
                    <w:rPr>
                      <w:b/>
                      <w:bCs/>
                    </w:rPr>
                    <w:t xml:space="preserve">Confirmada</w:t>
                  </w:r>
                </w:p>
              </w:tc>
              <w:tc>
                <w:tcPr/>
                <w:p>
                  <w:pPr>
                    <w:pStyle w:val="Compact"/>
                    <w:jc w:val="both"/>
                    <w:spacing w:line="360" w:lineRule="auto"/>
                  </w:pPr>
                  <w:r>
                    <w:t xml:space="preserve">Friedman:</w:t>
                  </w:r>
                  <w:r>
                    <w:t xml:space="preserve"> </w:t>
                  </w:r>
                  <ns5:oMath>
                    <ns5:sSubSup>
                      <ns5:e>
                        <ns5:r>
                          <ns5:t>χ</ns5:t>
                        </ns5:r>
                      </ns5:e>
                      <ns5:sub>
                        <ns5:r>
                          <ns5:t>F</ns5:t>
                        </ns5:r>
                      </ns5:sub>
                      <ns5:sup>
                        <ns5:r>
                          <ns5:t>2</ns5:t>
                        </ns5:r>
                      </ns5:sup>
                    </ns5:sSubSup>
                    <ns5:r>
                      <ns5:rPr>
                        <ns5:sty ns5:val="p"/>
                      </ns5:rPr>
                      <ns5:t>=</ns5:t>
                    </ns5:r>
                    <ns5:r>
                      <ns5:t>42.12</ns5:t>
                    </ns5:r>
                  </ns5:oMath>
                  <w:r>
                    <w:t xml:space="preserve">; seguimiento dirigido SHAP–LIME: 15 de 15 bloques y</w:t>
                  </w:r>
                  <w:r>
                    <w:t xml:space="preserve"> </w:t>
                  </w:r>
                  <ns5:oMath>
                    <ns5:sSub>
                      <ns5:e>
                        <ns5:r>
                          <ns5:t>p</ns5:t>
                        </ns5:r>
                      </ns5:e>
                      <ns5:sub>
                        <ns5:r>
                          <ns5:rPr>
                            <ns5:sty ns5:val="p"/>
                          </ns5:rPr>
                          <ns5:t>H</ns5:t>
                        </ns5:r>
                        <ns5:r>
                          <ns5:rPr>
                            <ns5:sty ns5:val="p"/>
                          </ns5:rPr>
                          <ns5:t>o</ns5:t>
                        </ns5:r>
                        <ns5:r>
                          <ns5:rPr>
                            <ns5:sty ns5:val="p"/>
                          </ns5:rPr>
                          <ns5:t>l</ns5:t>
                        </ns5:r>
                        <ns5:r>
                          <ns5:rPr>
                            <ns5:sty ns5:val="p"/>
                          </ns5:rPr>
                          <ns5:t>m</ns5:t>
                        </ns5:r>
                      </ns5:sub>
                    </ns5:sSub>
                    <ns5:r>
                      <ns5:rPr>
                        <ns5:sty ns5:val="p"/>
                      </ns5:rPr>
                      <ns5:t>=</ns5:t>
                    </ns5:r>
                    <ns5:r>
                      <ns5:t>3.05</ns5:t>
                    </ns5:r>
                    <ns5:r>
                      <ns5:rPr>
                        <ns5:sty ns5:val="p"/>
                      </ns5:rPr>
                      <ns5:t>×</ns5:t>
                    </ns5:r>
                    <ns5:sSup>
                      <ns5:e>
                        <ns5:r>
                          <ns5:t>10</ns5:t>
                        </ns5:r>
                      </ns5:e>
                      <ns5:sup>
                        <ns5:r>
                          <ns5:rPr>
                            <ns5:sty ns5:val="p"/>
                          </ns5:rPr>
                          <ns5:t>−</ns5:t>
                        </ns5:r>
                        <ns5:r>
                          <ns5:t>4</ns5:t>
                        </ns5:r>
                      </ns5:sup>
                    </ns5:sSup>
                  </ns5:oMath>
                </w:p>
              </w:tc>
            </w:tr>
            <w:tr>
              <w:tc>
                <w:tcPr/>
                <w:p>
                  <w:pPr>
                    <w:pStyle w:val="Compact"/>
                    <w:jc w:val="both"/>
                    <w:spacing w:line="360" w:lineRule="auto"/>
                  </w:pPr>
                  <w:r>
                    <w:t xml:space="preserve">H2: diferencias en estabilidad</w:t>
                  </w:r>
                </w:p>
              </w:tc>
              <w:tc>
                <w:tcPr/>
                <w:p>
                  <w:pPr>
                    <w:pStyle w:val="Compact"/>
                    <w:jc w:val="both"/>
                    <w:spacing w:line="360" w:lineRule="auto"/>
                  </w:pPr>
                  <w:r>
                    <w:rPr>
                      <w:b/>
                      <w:bCs/>
                    </w:rPr>
                    <w:t xml:space="preserve">Confirmada</w:t>
                  </w:r>
                </w:p>
              </w:tc>
              <w:tc>
                <w:tcPr/>
                <w:p>
                  <w:pPr>
                    <w:pStyle w:val="Compact"/>
                    <w:jc w:val="both"/>
                    <w:spacing w:line="360" w:lineRule="auto"/>
                  </w:pPr>
                  <ns5:oMath>
                    <ns5:sSubSup>
                      <ns5:e>
                        <ns5:r>
                          <ns5:t>χ</ns5:t>
                        </ns5:r>
                      </ns5:e>
                      <ns5:sub>
                        <ns5:r>
                          <ns5:t>F</ns5:t>
                        </ns5:r>
                      </ns5:sub>
                      <ns5:sup>
                        <ns5:r>
                          <ns5:t>2</ns5:t>
                        </ns5:r>
                      </ns5:sup>
                    </ns5:sSubSup>
                    <ns5:r>
                      <ns5:rPr>
                        <ns5:sty ns5:val="p"/>
                      </ns5:rPr>
                      <ns5:t>=</ns5:t>
                    </ns5:r>
                    <ns5:r>
                      <ns5:t>40.68</ns5:t>
                    </ns5:r>
                  </ns5:oMath>
                  <w:r>
                    <w:t xml:space="preserve">; margen 421%</w:t>
                  </w:r>
                </w:p>
              </w:tc>
            </w:tr>
            <w:tr>
              <w:tc>
                <w:tcPr/>
                <w:p>
                  <w:pPr>
                    <w:pStyle w:val="Compact"/>
                    <w:jc w:val="both"/>
                    <w:spacing w:line="360" w:lineRule="auto"/>
                  </w:pPr>
                  <w:r>
                    <w:t xml:space="preserve">H3: SHAP-LIME difieren en calidad y coste</w:t>
                  </w:r>
                </w:p>
              </w:tc>
              <w:tc>
                <w:tcPr/>
                <w:p>
                  <w:pPr>
                    <w:pStyle w:val="Compact"/>
                    <w:jc w:val="both"/>
                    <w:spacing w:line="360" w:lineRule="auto"/>
                  </w:pPr>
                  <w:r>
                    <w:rPr>
                      <w:b/>
                      <w:bCs/>
                    </w:rPr>
                    <w:t xml:space="preserve">Confirmada</w:t>
                  </w:r>
                </w:p>
              </w:tc>
              <w:tc>
                <w:tcPr/>
                <w:p>
                  <w:pPr>
                    <w:pStyle w:val="Compact"/>
                    <w:jc w:val="both"/>
                    <w:spacing w:line="360" w:lineRule="auto"/>
                  </w:pPr>
                  <ns5:oMath>
                    <ns5:sSub>
                      <ns5:e>
                        <ns5:r>
                          <ns5:t>d</ns5:t>
                        </ns5:r>
                      </ns5:e>
                      <ns5:sub>
                        <ns5:r>
                          <ns5:t>z</ns5:t>
                        </ns5:r>
                      </ns5:sub>
                    </ns5:sSub>
                    <ns5:r>
                      <ns5:rPr>
                        <ns5:sty ns5:val="p"/>
                      </ns5:rPr>
                      <ns5:t>=</ns5:t>
                    </ns5:r>
                    <ns5:r>
                      <ns5:rPr>
                        <ns5:sty ns5:val="p"/>
                      </ns5:rPr>
                      <ns5:t>+</ns5:t>
                    </ns5:r>
                    <ns5:r>
                      <ns5:t>4.82</ns5:t>
                    </ns5:r>
                  </ns5:oMath>
                  <w:r>
                    <w:t xml:space="preserve"> </w:t>
                  </w:r>
                  <w:r>
                    <w:t xml:space="preserve">(fidelidad);</w:t>
                  </w:r>
                  <w:r>
                    <w:t xml:space="preserve"> </w:t>
                  </w:r>
                  <ns5:oMath>
                    <ns5:sSub>
                      <ns5:e>
                        <ns5:r>
                          <ns5:t>d</ns5:t>
                        </ns5:r>
                      </ns5:e>
                      <ns5:sub>
                        <ns5:r>
                          <ns5:t>z</ns5:t>
                        </ns5:r>
                      </ns5:sub>
                    </ns5:sSub>
                    <ns5:r>
                      <ns5:rPr>
                        <ns5:sty ns5:val="p"/>
                      </ns5:rPr>
                      <ns5:t>=</ns5:t>
                    </ns5:r>
                    <ns5:r>
                      <ns5:rPr>
                        <ns5:sty ns5:val="p"/>
                      </ns5:rPr>
                      <ns5:t>+</ns5:t>
                    </ns5:r>
                    <ns5:r>
                      <ns5:t>3.00</ns5:t>
                    </ns5:r>
                  </ns5:oMath>
                  <w:r>
                    <w:t xml:space="preserve"> </w:t>
                  </w:r>
                  <w:r>
                    <w:t xml:space="preserve">(estabilidad); 75/75 positivas</w:t>
                  </w:r>
                </w:p>
              </w:tc>
            </w:tr>
            <w:tr>
              <w:tc>
                <w:tcPr/>
                <w:p>
                  <w:pPr>
                    <w:pStyle w:val="Compact"/>
                    <w:jc w:val="both"/>
                    <w:spacing w:line="360" w:lineRule="auto"/>
                  </w:pPr>
                  <w:r>
                    <w:t xml:space="preserve">P1: CV &lt; 15% en métricas primarias</w:t>
                  </w:r>
                </w:p>
              </w:tc>
              <w:tc>
                <w:tcPr/>
                <w:p>
                  <w:pPr>
                    <w:pStyle w:val="Compact"/>
                    <w:jc w:val="both"/>
                    <w:spacing w:line="360" w:lineRule="auto"/>
                  </w:pPr>
                  <w:r>
                    <w:rPr>
                      <w:b/>
                      <w:bCs/>
                    </w:rPr>
                    <w:t xml:space="preserve">Parcialmente confirmada</w:t>
                  </w:r>
                </w:p>
              </w:tc>
              <w:tc>
                <w:tcPr/>
                <w:p>
                  <w:pPr>
                    <w:pStyle w:val="Compact"/>
                    <w:jc w:val="both"/>
                    <w:spacing w:line="360" w:lineRule="auto"/>
                  </w:pPr>
                  <w:r>
                    <w:t xml:space="preserve">SHAP-fidelidad: CV=0.8%; LIME-estabilidad: CV=86.2% (incoherencia estructural, no ruido del protocolo)</w:t>
                  </w:r>
                </w:p>
              </w:tc>
            </w:tr>
            <w:tr>
              <w:tc>
                <w:tcPr/>
                <w:p>
                  <w:pPr>
                    <w:pStyle w:val="Compact"/>
                    <w:jc w:val="both"/>
                    <w:spacing w:line="360" w:lineRule="auto"/>
                  </w:pPr>
                  <w:r>
                    <w:t xml:space="preserve">P2 (exploratoria, declarada en el Capítulo 1): Jueces LLM alcanzan fiabilidad aceptable en evaluación semántica XAI</w:t>
                  </w:r>
                </w:p>
              </w:tc>
              <w:tc>
                <w:tcPr/>
                <w:p>
                  <w:pPr>
                    <w:pStyle w:val="Compact"/>
                    <w:jc w:val="both"/>
                    <w:spacing w:line="360" w:lineRule="auto"/>
                  </w:pPr>
                  <w:r>
                    <w:rPr>
                      <w:b/>
                      <w:bCs/>
                    </w:rPr>
                    <w:t xml:space="preserve">No confirmada (resultado negativo, replicado)</w:t>
                  </w:r>
                </w:p>
              </w:tc>
              <w:tc>
                <w:tcPr/>
                <w:p>
                  <w:pPr>
                    <w:pStyle w:val="Compact"/>
                    <w:jc w:val="both"/>
                    <w:spacing w:line="360" w:lineRule="auto"/>
                  </w:pPr>
                  <w:r>
                    <w:t xml:space="preserve">Cohorte original: ICC(1,1) entre 0.321 y 0.601 (</w:t>
                  </w:r>
                  <ns5:oMath>
                    <ns5:r>
                      <ns5:t>n</ns5:t>
                    </ns5:r>
                    <ns5:r>
                      <ns5:rPr>
                        <ns5:sty ns5:val="p"/>
                      </ns5:rPr>
                      <ns5:t>=</ns5:t>
                    </ns5:r>
                    <ns5:r>
                      <ns5:t>147</ns5:t>
                    </ns5:r>
                  </ns5:oMath>
                  <w:r>
                    <w:t xml:space="preserve">, 3 jueces). Replicación con otro panel sobre los mismos casos: entre</w:t>
                  </w:r>
                  <w:r>
                    <w:t xml:space="preserve"> </w:t>
                  </w:r>
                  <ns5:oMath>
                    <ns5:r>
                      <ns5:rPr>
                        <ns5:sty ns5:val="p"/>
                      </ns5:rPr>
                      <ns5:t>−</ns5:t>
                    </ns5:r>
                    <ns5:r>
                      <ns5:t>0.025</ns5:t>
                    </ns5:r>
                  </ns5:oMath>
                  <w:r>
                    <w:t xml:space="preserve"> </w:t>
                  </w:r>
                  <w:r>
                    <w:t xml:space="preserve">y 0.731 (</w:t>
                  </w:r>
                  <ns5:oMath>
                    <ns5:r>
                      <ns5:t>n</ns5:t>
                    </ns5:r>
                    <ns5:r>
                      <ns5:rPr>
                        <ns5:sty ns5:val="p"/>
                      </ns5:rPr>
                      <ns5:t>=</ns5:t>
                    </ns5:r>
                    <ns5:r>
                      <ns5:t>192</ns5:t>
                    </ns5:r>
                  </ns5:oMath>
                  <w:r>
                    <w:t xml:space="preserve">). En la condición primaria, ninguna dimensión alcanza el umbral</w:t>
                  </w:r>
                  <w:r>
                    <w:t xml:space="preserve"> </w:t>
                  </w:r>
                  <ns5:oMath>
                    <ns5:r>
                      <ns5:rPr>
                        <ns5:sty ns5:val="p"/>
                      </ns5:rPr>
                      <ns5:t>≥</ns5:t>
                    </ns5:r>
                    <ns5:r>
                      <ns5:t>0.75</ns5:t>
                    </ns5:r>
                  </ns5:oMath>
                  <w:r>
                    <w:t xml:space="preserve"> </w:t>
                  </w:r>
                  <w:r>
                    <w:t xml:space="preserve">en ninguna de las dos cohortes</w:t>
                  </w:r>
                </w:p>
              </w:tc>
            </w:tr>
          </w:tbl>
          <w:bookmarkEnd w:id="294"/>
          <w:p>
            <w:pPr>
              <w:spacing w:line="360" w:lineRule="auto"/>
              <w:jc w:val="both"/>
            </w:pPr>
          </w:p>
        </w:tc>
      </w:tr>
    </w:tbl>
    <w:p>
      <w:pPr>
        <w:pStyle w:val="Textoindependiente"/>
        <w:spacing w:line="360" w:lineRule="auto"/>
        <w:jc w:val="both"/>
      </w:pPr>
      <w:r>
        <w:t xml:space="preserve"> </w:t>
      </w:r>
    </w:p>
    <w:tbl>
      <w:tblPr>
        <w:tblStyle w:val="Table"/>
        <w:tblW w:type="pct" w:w="5000"/>
        <w:jc w:val="center"/>
        <w:tblLayout w:type="fixed"/>
        <w:tblLook w:firstRow="0" w:lastRow="0" w:firstColumn="0" w:lastColumn="0" w:noHBand="0" w:noVBand="0" w:val="0000"/>
      </w:tblPr>
      <w:tblGrid>
        <w:gridCol w:w="7920"/>
      </w:tblGrid>
      <w:tr>
        <w:tc>
          <w:tcPr/>
          <w:bookmarkStart w:id="295" w:name="tbl-objetivos"/>
          <w:p>
            <w:pPr>
              <w:pStyle w:val="ImageCaption"/>
              <w:spacing w:before="200" w:line="360" w:lineRule="auto"/>
              <w:jc w:val="center"/>
            </w:pPr>
            <w:r>
              <w:t xml:space="preserve">Tabla 7.2: Cierre de objetivos específicos.</w:t>
            </w:r>
          </w:p>
          <w:tbl>
            <w:tblPr>
              <w:tblStyle w:val="Table"/>
              <w:tblW w:type="pct" w:w="500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Row="1" w:lastRow="0" w:firstColumn="0" w:lastColumn="0" w:noHBand="0" w:noVBand="0" w:val="0020"/>
            </w:tblPr>
            <w:tblGrid>
              <w:gridCol w:w="5735"/>
              <w:gridCol w:w="2184"/>
            </w:tblGrid>
            <w:tr>
              <w:trPr>
                <w:tblHeader w:val="on"/>
              </w:trPr>
              <w:tc>
                <w:tcPr/>
                <w:p>
                  <w:pPr>
                    <w:pStyle w:val="Compact"/>
                    <w:jc w:val="both"/>
                    <w:spacing w:line="360" w:lineRule="auto"/>
                  </w:pPr>
                  <w:r>
                    <w:rPr>
                      <w:bCs/>
                      <w:b/>
                    </w:rPr>
                    <w:t xml:space="preserve">Objetivo específico</w:t>
                  </w:r>
                </w:p>
              </w:tc>
              <w:tc>
                <w:tcPr/>
                <w:p>
                  <w:pPr>
                    <w:pStyle w:val="Compact"/>
                    <w:jc w:val="both"/>
                    <w:spacing w:line="360" w:lineRule="auto"/>
                  </w:pPr>
                  <w:r>
                    <w:rPr>
                      <w:bCs/>
                      <w:b/>
                    </w:rPr>
                    <w:t xml:space="preserve">Estado</w:t>
                  </w:r>
                </w:p>
              </w:tc>
            </w:tr>
            <w:tr>
              <w:tc>
                <w:tcPr/>
                <w:p>
                  <w:pPr>
                    <w:pStyle w:val="Compact"/>
                    <w:jc w:val="both"/>
                    <w:spacing w:line="360" w:lineRule="auto"/>
                  </w:pPr>
                  <w:r>
                    <w:t xml:space="preserve">OE1 — Formalizar protocolo FOM-7</w:t>
                  </w:r>
                </w:p>
              </w:tc>
              <w:tc>
                <w:tcPr/>
                <w:p>
                  <w:pPr>
                    <w:pStyle w:val="Compact"/>
                    <w:jc w:val="both"/>
                    <w:spacing w:line="360" w:lineRule="auto"/>
                  </w:pPr>
                  <w:r>
                    <w:t xml:space="preserve">Completado. El protocolo opera como secuencia de 7 puertas y produjo 275 artefactos calificados con trazabilidad completa.</w:t>
                  </w:r>
                </w:p>
              </w:tc>
            </w:tr>
            <w:tr>
              <w:tc>
                <w:tcPr/>
                <w:p>
                  <w:pPr>
                    <w:pStyle w:val="Compact"/>
                    <w:jc w:val="both"/>
                    <w:spacing w:line="360" w:lineRule="auto"/>
                  </w:pPr>
                  <w:r>
                    <w:t xml:space="preserve">OE2 — Evaluar SHAP, LIME, Anchors, DiCE sobre 5 modelos</w:t>
                  </w:r>
                </w:p>
              </w:tc>
              <w:tc>
                <w:tcPr/>
                <w:p>
                  <w:pPr>
                    <w:pStyle w:val="Compact"/>
                    <w:jc w:val="both"/>
                    <w:spacing w:line="360" w:lineRule="auto"/>
                  </w:pPr>
                  <w:r>
                    <w:t xml:space="preserve">Completado. Benchmark multi-métrico sobre UCI Adult Income con 5 métricas primarias.</w:t>
                  </w:r>
                </w:p>
              </w:tc>
            </w:tr>
            <w:tr>
              <w:tc>
                <w:tcPr/>
                <w:p>
                  <w:pPr>
                    <w:pStyle w:val="Compact"/>
                    <w:jc w:val="both"/>
                    <w:spacing w:line="360" w:lineRule="auto"/>
                  </w:pPr>
                  <w:r>
                    <w:t xml:space="preserve">OE3 — Cuantificar la relación calidad-coste SHAP-LIME</w:t>
                  </w:r>
                </w:p>
              </w:tc>
              <w:tc>
                <w:tcPr/>
                <w:p>
                  <w:pPr>
                    <w:pStyle w:val="Compact"/>
                    <w:jc w:val="both"/>
                    <w:spacing w:line="360" w:lineRule="auto"/>
                  </w:pPr>
                  <w:r>
                    <w:t xml:space="preserve">Completado. Análisis pareado sobre 75 celdas coincidentes con corrección de multiplicidad Holm-Bonferroni.</w:t>
                  </w:r>
                </w:p>
              </w:tc>
            </w:tr>
            <w:tr>
              <w:tc>
                <w:tcPr/>
                <w:p>
                  <w:pPr>
                    <w:pStyle w:val="Compact"/>
                    <w:jc w:val="both"/>
                    <w:spacing w:line="360" w:lineRule="auto"/>
                  </w:pPr>
                  <w:r>
                    <w:t xml:space="preserve">OE4 — Caracterizar reproducibilidad del protocolo</w:t>
                  </w:r>
                </w:p>
              </w:tc>
              <w:tc>
                <w:tcPr/>
                <w:p>
                  <w:pPr>
                    <w:pStyle w:val="Compact"/>
                    <w:jc w:val="both"/>
                    <w:spacing w:line="360" w:lineRule="auto"/>
                  </w:pPr>
                  <w:r>
                    <w:t xml:space="preserve">Completado. CV &lt; 3% en fidelidad para el subgrupo replicado RF/</w:t>
                  </w:r>
                  <ns5:oMath>
                    <ns5:r>
                      <ns5:t>N</ns5:t>
                    </ns5:r>
                    <ns5:r>
                      <ns5:rPr>
                        <ns5:sty ns5:val="p"/>
                      </ns5:rPr>
                      <ns5:t>=</ns5:t>
                    </ns5:r>
                    <ns5:r>
                      <ns5:t>100</ns5:t>
                    </ns5:r>
                  </ns5:oMath>
                  <w:r>
                    <w:t xml:space="preserve"> </w:t>
                  </w:r>
                  <w:r>
                    <w:t xml:space="preserve">y CV agrupado de 11.4% (SHAP) y 12.0% (LIME) sobre el conjunto completo de ejecuciones, todos por debajo del umbral del 15% de P1; variabilidad del coste inherente a la heterogeneidad del hardware.</w:t>
                  </w:r>
                </w:p>
              </w:tc>
            </w:tr>
            <w:tr>
              <w:tc>
                <w:tcPr/>
                <w:p>
                  <w:pPr>
                    <w:pStyle w:val="Compact"/>
                    <w:jc w:val="both"/>
                    <w:spacing w:line="360" w:lineRule="auto"/>
                  </w:pPr>
                  <w:r>
                    <w:t xml:space="preserve">OE5 — Construir taxonomía estructurada y explicitar brechas de constructo</w:t>
                  </w:r>
                </w:p>
              </w:tc>
              <w:tc>
                <w:tcPr/>
                <w:p>
                  <w:pPr>
                    <w:pStyle w:val="Compact"/>
                    <w:jc w:val="both"/>
                    <w:spacing w:line="360" w:lineRule="auto"/>
                  </w:pPr>
                  <w:r>
                    <w:t xml:space="preserve">Completado. Taxonomía de cuatro ejes en el Capítulo 5; tres brechas enunciadas en §</w:t>
                  </w:r>
                  <w:hyperlink w:anchor="sec-taxonomia-brechas">
                    <w:r>
                      <w:rPr>
                        <w:rStyle w:val="Hipervnculo"/>
                      </w:rPr>
                      <w:t xml:space="preserve">5.6</w:t>
                    </w:r>
                  </w:hyperlink>
                  <w:r>
                    <w:t xml:space="preserve">, de las que la Brecha 3 origina OE6.</w:t>
                  </w:r>
                </w:p>
              </w:tc>
            </w:tr>
            <w:tr>
              <w:tc>
                <w:tcPr/>
                <w:p>
                  <w:pPr>
                    <w:pStyle w:val="Compact"/>
                    <w:jc w:val="both"/>
                    <w:spacing w:line="360" w:lineRule="auto"/>
                  </w:pPr>
                  <w:r>
                    <w:t xml:space="preserve">OE6 — Cuantificar fiabilidad de evaluadores semánticos LLM (objetivo exploratorio, derivado de la Brecha 3)</w:t>
                  </w:r>
                </w:p>
              </w:tc>
              <w:tc>
                <w:tcPr/>
                <w:p>
                  <w:pPr>
                    <w:pStyle w:val="Compact"/>
                    <w:jc w:val="both"/>
                    <w:spacing w:line="360" w:lineRule="auto"/>
                  </w:pPr>
                  <w:r>
                    <w:t xml:space="preserve">Completado (resultado negativo, replicado). EXP4: ICC(1,1) entre 0.321 y 0.601 en 7 dimensiones en la cohorte original. Una segunda cohorte con otro panel de jueces reproduce el resultado en la condición primaria: ninguna dimensión alcanza el umbral</w:t>
                  </w:r>
                  <w:r>
                    <w:t xml:space="preserve"> </w:t>
                  </w:r>
                  <ns5:oMath>
                    <ns5:r>
                      <ns5:rPr>
                        <ns5:sty ns5:val="p"/>
                      </ns5:rPr>
                      <ns5:t>≥</ns5:t>
                    </ns5:r>
                    <ns5:r>
                      <ns5:t>0.75</ns5:t>
                    </ns5:r>
                  </ns5:oMath>
                  <w:r>
                    <w:t xml:space="preserve">. Véase §</w:t>
                  </w:r>
                  <w:hyperlink w:anchor="sec-exp4-fiabilidad">
                    <w:r>
                      <w:rPr>
                        <w:rStyle w:val="Hipervnculo"/>
                      </w:rPr>
                      <w:t xml:space="preserve">5.8</w:t>
                    </w:r>
                  </w:hyperlink>
                  <w:r>
                    <w:t xml:space="preserve">.</w:t>
                  </w:r>
                </w:p>
              </w:tc>
            </w:tr>
          </w:tbl>
          <w:bookmarkEnd w:id="295"/>
          <w:p>
            <w:pPr>
              <w:spacing w:line="360" w:lineRule="auto"/>
              <w:jc w:val="both"/>
            </w:pPr>
          </w:p>
        </w:tc>
      </w:tr>
    </w:tbl>
    <w:bookmarkStart w:id="296" w:name="sec-concl-seguimiento"/>
    <w:p>
      <w:pPr>
        <w:pStyle w:val="Ttulo3"/>
        <w:spacing w:line="360" w:lineRule="auto"/>
        <w:jc w:val="both"/>
      </w:pPr>
      <w:r>
        <w:t xml:space="preserve">7.1.1 </w:t>
      </w:r>
      <w:r>
        <w:t xml:space="preserve">Aportes de los estudios de seguimiento</w:t>
      </w:r>
    </w:p>
    <w:p>
      <w:pPr>
        <w:pStyle w:val="FirstParagraph"/>
        <w:spacing w:line="360" w:lineRule="auto"/>
        <w:jc w:val="both"/>
      </w:pPr>
      <w:r>
        <w:t xml:space="preserve">Los estudios de seguimiento del Capítulo 6 no resuelven ninguna hipótesis ni</w:t>
      </w:r>
      <w:r>
        <w:t xml:space="preserve"> </w:t>
      </w:r>
      <w:r>
        <w:t xml:space="preserve">cierran ningún objetivo específico: atienden a la cláusula del objetivo general</w:t>
      </w:r>
      <w:r>
        <w:t xml:space="preserve"> </w:t>
      </w:r>
      <w:r>
        <w:t xml:space="preserve">que exige delimitar el alcance de validez de la evidencia. Su efecto sobre cada</w:t>
      </w:r>
      <w:r>
        <w:t xml:space="preserve"> </w:t>
      </w:r>
      <w:r>
        <w:t xml:space="preserve">conclusión se resume en</w:t>
      </w:r>
      <w:r>
        <w:t xml:space="preserve"> </w:t>
      </w:r>
      <w:hyperlink w:anchor="tbl-seg-sintesis">
        <w:r>
          <w:rPr>
            <w:rStyle w:val="Hipervnculo"/>
          </w:rPr>
          <w:t xml:space="preserve">Tabla 6.5</w:t>
        </w:r>
      </w:hyperlink>
      <w:r>
        <w:t xml:space="preserve">. En conjunto establecen cuatro</w:t>
      </w:r>
      <w:r>
        <w:t xml:space="preserve"> </w:t>
      </w:r>
      <w:r>
        <w:t xml:space="preserve">precisiones:</w:t>
      </w:r>
    </w:p>
    <w:p>
      <w:pPr>
        <w:pStyle w:val="Compact"/>
        <w:numPr>
          <w:ilvl w:val="0"/>
          <w:numId w:val="1024"/>
        </w:numPr>
        <w:spacing w:line="360" w:lineRule="auto"/>
        <w:jc w:val="both"/>
      </w:pPr>
      <w:r>
        <w:rPr>
          <w:b/>
          <w:bCs/>
        </w:rPr>
        <w:t xml:space="preserve">Ante el error.</w:t>
      </w:r>
      <w:r>
        <w:t xml:space="preserve"> </w:t>
      </w:r>
      <w:r>
        <w:t xml:space="preserve">Los promedios del benchmark describen mejor las</w:t>
      </w:r>
      <w:r>
        <w:t xml:space="preserve"> </w:t>
      </w:r>
      <w:r>
        <w:t xml:space="preserve">explicaciones de las predicciones correctas que las de las erróneas: la</w:t>
      </w:r>
      <w:r>
        <w:t xml:space="preserve"> </w:t>
      </w:r>
      <w:r>
        <w:t xml:space="preserve">estabilidad es menor en las instancias mal clasificadas para los cuatro</w:t>
      </w:r>
      <w:r>
        <w:t xml:space="preserve"> </w:t>
      </w:r>
      <w:r>
        <w:t xml:space="preserve">explicadores, y en SHAP ese déficit no se explica por la cercanía a la</w:t>
      </w:r>
      <w:r>
        <w:t xml:space="preserve"> </w:t>
      </w:r>
      <w:r>
        <w:t xml:space="preserve">frontera de decisión (§</w:t>
      </w:r>
      <w:hyperlink w:anchor="sec-seg-error">
        <w:r>
          <w:rPr>
            <w:rStyle w:val="Hipervnculo"/>
          </w:rPr>
          <w:t xml:space="preserve">6.2</w:t>
        </w:r>
      </w:hyperlink>
      <w:r>
        <w:t xml:space="preserve">).</w:t>
      </w:r>
    </w:p>
    <w:p>
      <w:pPr>
        <w:pStyle w:val="Compact"/>
        <w:numPr>
          <w:ilvl w:val="0"/>
          <w:numId w:val="1024"/>
        </w:numPr>
        <w:spacing w:line="360" w:lineRule="auto"/>
        <w:jc w:val="both"/>
      </w:pPr>
      <w:r>
        <w:rPr>
          <w:b/>
          <w:bCs/>
        </w:rPr>
        <w:t xml:space="preserve">Ante el cambio de explicador.</w:t>
      </w:r>
      <w:r>
        <w:t xml:space="preserve"> </w:t>
      </w:r>
      <w:r>
        <w:t xml:space="preserve">SHAP y LIME no son intercambiables a nivel</w:t>
      </w:r>
      <w:r>
        <w:t xml:space="preserve"> </w:t>
      </w:r>
      <w:r>
        <w:t xml:space="preserve">de instancia, y ninguno se reproduce por completo a sí mismo al repetirse</w:t>
      </w:r>
      <w:r>
        <w:t xml:space="preserve"> </w:t>
      </w:r>
      <w:r>
        <w:t xml:space="preserve">(§</w:t>
      </w:r>
      <w:hyperlink w:anchor="sec-seg-concordancia">
        <w:r>
          <w:rPr>
            <w:rStyle w:val="Hipervnculo"/>
          </w:rPr>
          <w:t xml:space="preserve">6.3</w:t>
        </w:r>
      </w:hyperlink>
      <w:r>
        <w:t xml:space="preserve">).</w:t>
      </w:r>
    </w:p>
    <w:p>
      <w:pPr>
        <w:pStyle w:val="Compact"/>
        <w:numPr>
          <w:ilvl w:val="0"/>
          <w:numId w:val="1024"/>
        </w:numPr>
        <w:spacing w:line="360" w:lineRule="auto"/>
        <w:jc w:val="both"/>
      </w:pPr>
      <w:r>
        <w:rPr>
          <w:b/>
          <w:bCs/>
        </w:rPr>
        <w:t xml:space="preserve">Ante el cambio de conjunto de datos.</w:t>
      </w:r>
      <w:r>
        <w:t xml:space="preserve"> </w:t>
      </w:r>
      <w:r>
        <w:t xml:space="preserve">El orden de los métodos se conserva</w:t>
      </w:r>
      <w:r>
        <w:t xml:space="preserve"> </w:t>
      </w:r>
      <w:r>
        <w:t xml:space="preserve">en la mayoría de 16 conjuntos de datos tabulares bajo un protocolo común,</w:t>
      </w:r>
      <w:r>
        <w:t xml:space="preserve"> </w:t>
      </w:r>
      <w:r>
        <w:t xml:space="preserve">salvo el orden entre Anchors y DiCE; ese resultado describe el protocolo de</w:t>
      </w:r>
      <w:r>
        <w:t xml:space="preserve"> </w:t>
      </w:r>
      <w:r>
        <w:t xml:space="preserve">evaluación y no la calidad de las explicaciones en general</w:t>
      </w:r>
      <w:r>
        <w:t xml:space="preserve"> </w:t>
      </w:r>
      <w:r>
        <w:t xml:space="preserve">(§</w:t>
      </w:r>
      <w:hyperlink w:anchor="sec-seg-transferencia">
        <w:r>
          <w:rPr>
            <w:rStyle w:val="Hipervnculo"/>
          </w:rPr>
          <w:t xml:space="preserve">6.4</w:t>
        </w:r>
      </w:hyperlink>
      <w:r>
        <w:t xml:space="preserve">).</w:t>
      </w:r>
    </w:p>
    <w:p>
      <w:pPr>
        <w:pStyle w:val="Compact"/>
        <w:numPr>
          <w:ilvl w:val="0"/>
          <w:numId w:val="1024"/>
        </w:numPr>
        <w:spacing w:line="360" w:lineRule="auto"/>
        <w:jc w:val="both"/>
      </w:pPr>
      <w:r>
        <w:rPr>
          <w:b/>
          <w:bCs/>
        </w:rPr>
        <w:t xml:space="preserve">Ante el instrumento semántico.</w:t>
      </w:r>
      <w:r>
        <w:t xml:space="preserve"> </w:t>
      </w:r>
      <w:r>
        <w:t xml:space="preserve">El acuerdo que los jueces LLM alcanzan</w:t>
      </w:r>
      <w:r>
        <w:t xml:space="preserve"> </w:t>
      </w:r>
      <w:r>
        <w:t xml:space="preserve">recae sobre el método y la forma visible de la explicación, no sobre su</w:t>
      </w:r>
      <w:r>
        <w:t xml:space="preserve"> </w:t>
      </w:r>
      <w:r>
        <w:t xml:space="preserve">corrección (§</w:t>
      </w:r>
      <w:hyperlink w:anchor="sec-seg-jueces">
        <w:r>
          <w:rPr>
            <w:rStyle w:val="Hipervnculo"/>
          </w:rPr>
          <w:t xml:space="preserve">6.5</w:t>
        </w:r>
      </w:hyperlink>
      <w:r>
        <w:t xml:space="preserve">).</w:t>
      </w:r>
    </w:p>
    <w:p>
      <w:pPr>
        <w:pStyle w:val="FirstParagraph"/>
        <w:spacing w:line="360" w:lineRule="auto"/>
        <w:jc w:val="both"/>
      </w:pPr>
      <w:r>
        <w:t xml:space="preserve">De ellas se siguen tres recomendaciones de reporte, que complementan los</w:t>
      </w:r>
      <w:r>
        <w:t xml:space="preserve"> </w:t>
      </w:r>
      <w:r>
        <w:t xml:space="preserve">criterios de selección de §</w:t>
      </w:r>
      <w:hyperlink w:anchor="sec-contribuciones">
        <w:r>
          <w:rPr>
            <w:rStyle w:val="Hipervnculo"/>
          </w:rPr>
          <w:t xml:space="preserve">7.2</w:t>
        </w:r>
      </w:hyperlink>
      <w:r>
        <w:t xml:space="preserve"> </w:t>
      </w:r>
      <w:r>
        <w:t xml:space="preserve">sin sustituirlos: reportar la</w:t>
      </w:r>
      <w:r>
        <w:t xml:space="preserve"> </w:t>
      </w:r>
      <w:r>
        <w:t xml:space="preserve">calidad de la explicación por separado para predicciones correctas e</w:t>
      </w:r>
      <w:r>
        <w:t xml:space="preserve"> </w:t>
      </w:r>
      <w:r>
        <w:t xml:space="preserve">incorrectas; acompañar toda comparación entre explicadores de la repetibilidad</w:t>
      </w:r>
      <w:r>
        <w:t xml:space="preserve"> </w:t>
      </w:r>
      <w:r>
        <w:t xml:space="preserve">de cada uno; y declarar el protocolo del que depende un orden entre métodos</w:t>
      </w:r>
      <w:r>
        <w:t xml:space="preserve"> </w:t>
      </w:r>
      <w:r>
        <w:t xml:space="preserve">antes de tratarlo como propiedad de los métodos.</w:t>
      </w:r>
    </w:p>
    <w:bookmarkEnd w:id="296"/>
    <w:bookmarkEnd w:id="297"/>
    <w:bookmarkStart w:id="305" w:name="sec-contribuciones"/>
    <w:p>
      <w:pPr>
        <w:pStyle w:val="Ttulo2"/>
        <w:spacing w:line="360" w:lineRule="auto"/>
        <w:jc w:val="both"/>
      </w:pPr>
      <w:r>
        <w:t xml:space="preserve">7.2 </w:t>
      </w:r>
      <w:r>
        <w:t xml:space="preserve">Contribuciones científicas</w:t>
      </w:r>
    </w:p>
    <w:bookmarkStart w:id="298" w:name="X2e7af289f3df14f7e31f2445fc83a79cfc8b431"/>
    <w:p>
      <w:pPr>
        <w:pStyle w:val="Ttulo3"/>
        <w:spacing w:line="360" w:lineRule="auto"/>
        <w:jc w:val="both"/>
      </w:pPr>
      <w:r>
        <w:t xml:space="preserve">7.2.1 </w:t>
      </w:r>
      <w:r>
        <w:t xml:space="preserve">Contribución metodológica: protocolo FOM-7</w:t>
      </w:r>
    </w:p>
    <w:p>
      <w:pPr>
        <w:pStyle w:val="FirstParagraph"/>
        <w:spacing w:line="360" w:lineRule="auto"/>
        <w:jc w:val="both"/>
      </w:pPr>
      <w:r>
        <w:t xml:space="preserve">El protocolo FOM-7 (</w:t>
      </w:r>
      <w:r>
        <w:rPr>
          <w:i/>
          <w:iCs/>
        </w:rPr>
        <w:t xml:space="preserve">Framework Operation Method</w:t>
      </w:r>
      <w:r>
        <w:t xml:space="preserve">, siete puertas) formaliza los</w:t>
      </w:r>
      <w:r>
        <w:t xml:space="preserve"> </w:t>
      </w:r>
      <w:r>
        <w:t xml:space="preserve">requisitos de benchmarking reproducible identificados en la literatura</w:t>
      </w:r>
      <w:r>
        <w:t xml:space="preserve"> </w:t>
      </w:r>
      <w:r>
        <w:t xml:space="preserve">(Canha et al. 2025; Agarwal et al. 2022; Hedström et al. 2023)</w:t>
      </w:r>
      <w:r>
        <w:t xml:space="preserve"> </w:t>
      </w:r>
      <w:r>
        <w:t xml:space="preserve">en una secuencia operativa</w:t>
      </w:r>
      <w:r>
        <w:t xml:space="preserve"> </w:t>
      </w:r>
      <w:r>
        <w:t xml:space="preserve">implementable: (1) congelación del protocolo, (2) ejecución por lotes con</w:t>
      </w:r>
      <w:r>
        <w:t xml:space="preserve"> </w:t>
      </w:r>
      <w:r>
        <w:t xml:space="preserve">semillas declarativas, (3) auditoría de integridad de artefactos, (4)</w:t>
      </w:r>
      <w:r>
        <w:t xml:space="preserve"> </w:t>
      </w:r>
      <w:r>
        <w:t xml:space="preserve">armonización a tablas de análisis, (5) exportación inferencial determinista,</w:t>
      </w:r>
      <w:r>
        <w:t xml:space="preserve"> </w:t>
      </w:r>
      <w:r>
        <w:t xml:space="preserve">(6) perfilado de reproducibilidad, (7) reporte con trazabilidad de</w:t>
      </w:r>
      <w:r>
        <w:t xml:space="preserve"> </w:t>
      </w:r>
      <w:r>
        <w:t xml:space="preserve">afirmaciones.</w:t>
      </w:r>
    </w:p>
    <w:p>
      <w:pPr>
        <w:pStyle w:val="Textoindependiente"/>
        <w:spacing w:line="360" w:lineRule="auto"/>
        <w:jc w:val="both"/>
      </w:pPr>
      <w:r>
        <w:t xml:space="preserve">La contribución metodológica no es la lista de siete pasos —cada uno de ellos</w:t>
      </w:r>
      <w:r>
        <w:t xml:space="preserve"> </w:t>
      </w:r>
      <w:r>
        <w:t xml:space="preserve">es un requisito conocido individualmente— sino su integración en una</w:t>
      </w:r>
      <w:r>
        <w:t xml:space="preserve"> </w:t>
      </w:r>
      <w:r>
        <w:t xml:space="preserve">secuencia que garantiza que</w:t>
      </w:r>
      <w:r>
        <w:t xml:space="preserve"> </w:t>
      </w:r>
      <w:r>
        <w:rPr>
          <w:i/>
          <w:iCs/>
        </w:rPr>
        <w:t xml:space="preserve">ninguna afirmación inferencial puede formularse</w:t>
      </w:r>
      <w:r>
        <w:rPr>
          <w:i/>
          <w:iCs/>
        </w:rPr>
        <w:t xml:space="preserve"> </w:t>
      </w:r>
      <w:r>
        <w:rPr>
          <w:i/>
          <w:iCs/>
        </w:rPr>
        <w:t xml:space="preserve">sin que todas las puertas previas estén satisfechas</w:t>
      </w:r>
      <w:r>
        <w:t xml:space="preserve">. Esta propiedad de</w:t>
      </w:r>
      <w:r>
        <w:t xml:space="preserve"> </w:t>
      </w:r>
      <w:r>
        <w:t xml:space="preserve">cierre secuencial elimina la categoría de estudios que reportan estadísticos</w:t>
      </w:r>
      <w:r>
        <w:t xml:space="preserve"> </w:t>
      </w:r>
      <w:r>
        <w:t xml:space="preserve">significativos sobre artefactos contaminados (datos de calibración mezclados</w:t>
      </w:r>
      <w:r>
        <w:t xml:space="preserve"> </w:t>
      </w:r>
      <w:r>
        <w:t xml:space="preserve">con datos confirmatorios, artefactos malformados no detectados, corrección de</w:t>
      </w:r>
      <w:r>
        <w:t xml:space="preserve"> </w:t>
      </w:r>
      <w:r>
        <w:t xml:space="preserve">multiplicidad omitida). Es precisamente este tipo de contaminación el que,</w:t>
      </w:r>
      <w:r>
        <w:t xml:space="preserve"> </w:t>
      </w:r>
      <w:r>
        <w:t xml:space="preserve">según Pawlicki et al.</w:t>
      </w:r>
      <w:r>
        <w:t xml:space="preserve"> </w:t>
      </w:r>
      <w:r>
        <w:t xml:space="preserve">(2024)</w:t>
      </w:r>
      <w:r>
        <w:t xml:space="preserve">, hace que los estudios publicados en</w:t>
      </w:r>
      <w:r>
        <w:t xml:space="preserve"> </w:t>
      </w:r>
      <w:r>
        <w:t xml:space="preserve">evaluación XAI sean frecuentemente inconmensurables entre sí.</w:t>
      </w:r>
    </w:p>
    <w:p>
      <w:pPr>
        <w:pStyle w:val="Textoindependiente"/>
        <w:spacing w:line="360" w:lineRule="auto"/>
        <w:jc w:val="both"/>
      </w:pPr>
      <w:r>
        <w:t xml:space="preserve">FOM-7 está disponible como código fuente verificable con rastreabilidad completa</w:t>
      </w:r>
      <w:r>
        <w:t xml:space="preserve"> </w:t>
      </w:r>
      <w:r>
        <w:t xml:space="preserve">de artefactos, satisfaciendo los criterios de la iniciativa</w:t>
      </w:r>
      <w:r>
        <w:t xml:space="preserve"> </w:t>
      </w:r>
      <w:r>
        <w:rPr>
          <w:i/>
          <w:iCs/>
        </w:rPr>
        <w:t xml:space="preserve">Reproducible AI</w:t>
      </w:r>
      <w:r>
        <w:t xml:space="preserve"> </w:t>
      </w:r>
      <w:r>
        <w:t xml:space="preserve">discutidos en</w:t>
      </w:r>
      <w:r>
        <w:t xml:space="preserve"> </w:t>
      </w:r>
      <w:r>
        <w:t xml:space="preserve">(Canha et al. 2025)</w:t>
      </w:r>
      <w:r>
        <w:t xml:space="preserve">.</w:t>
      </w:r>
    </w:p>
    <w:bookmarkEnd w:id="298"/>
    <w:bookmarkStart w:id="299" w:name="X93d1d918ce055ba24ba9e9f0b305f424c9a5ca8"/>
    <w:p>
      <w:pPr>
        <w:pStyle w:val="Ttulo3"/>
        <w:spacing w:line="360" w:lineRule="auto"/>
        <w:jc w:val="both"/>
      </w:pPr>
      <w:r>
        <w:t xml:space="preserve">7.2.2 </w:t>
      </w:r>
      <w:r>
        <w:t xml:space="preserve">Contribución teórica: disociación fidelidad-estabilidad y taxonomía de métricas</w:t>
      </w:r>
    </w:p>
    <w:p>
      <w:pPr>
        <w:pStyle w:val="FirstParagraph"/>
        <w:spacing w:line="360" w:lineRule="auto"/>
        <w:jc w:val="both"/>
      </w:pPr>
      <w:r>
        <w:t xml:space="preserve">La disociación empírica entre fidelidad y estabilidad, documentada con</w:t>
      </w:r>
      <w:r>
        <w:t xml:space="preserve"> </w:t>
      </w:r>
      <w:r>
        <w:t xml:space="preserve">tamaños de efecto de magnitud muy grande (</w:t>
      </w:r>
      <ns5:oMath>
        <ns5:sSub>
          <ns5:e>
            <ns5:r>
              <ns5:t>d</ns5:t>
            </ns5:r>
          </ns5:e>
          <ns5:sub>
            <ns5:r>
              <ns5:t>z</ns5:t>
            </ns5:r>
          </ns5:sub>
        </ns5:sSub>
        <ns5:r>
          <ns5:rPr>
            <ns5:sty ns5:val="p"/>
          </ns5:rPr>
          <ns5:t>≥</ns5:t>
        </ns5:r>
        <ns5:r>
          <ns5:t>3.00</ns5:t>
        </ns5:r>
      </ns5:oMath>
      <w:r>
        <w:t xml:space="preserve">) y sin excepciones en</w:t>
      </w:r>
      <w:r>
        <w:t xml:space="preserve"> </w:t>
      </w:r>
      <w:r>
        <w:t xml:space="preserve">75 pares, constituye evidencia cuantitativa de una propiedad que la literatura</w:t>
      </w:r>
      <w:r>
        <w:t xml:space="preserve"> </w:t>
      </w:r>
      <w:r>
        <w:t xml:space="preserve">había asumido pero raramente demostrado: las dimensiones de calidad de las</w:t>
      </w:r>
      <w:r>
        <w:t xml:space="preserve"> </w:t>
      </w:r>
      <w:r>
        <w:t xml:space="preserve">explicaciones XAI son parcialmente independientes y no sustituibles entre sí</w:t>
      </w:r>
      <w:r>
        <w:t xml:space="preserve"> </w:t>
      </w:r>
      <w:r>
        <w:t xml:space="preserve">(Pawlicki et al. 2024; Bhattacharya y Verbert 2024; Burger et al. 2023)</w:t>
      </w:r>
      <w:r>
        <w:t xml:space="preserve">. Específicamente, la inestabilidad de LIME no</w:t>
      </w:r>
      <w:r>
        <w:t xml:space="preserve"> </w:t>
      </w:r>
      <w:r>
        <w:t xml:space="preserve">es un artefacto de escenarios extremos ni de un presupuesto de muestreo</w:t>
      </w:r>
      <w:r>
        <w:t xml:space="preserve"> </w:t>
      </w:r>
      <w:r>
        <w:t xml:space="preserve">insuficiente, sino una propiedad reproducible del método bajo las condiciones</w:t>
      </w:r>
      <w:r>
        <w:t xml:space="preserve"> </w:t>
      </w:r>
      <w:r>
        <w:t xml:space="preserve">controladas del benchmark —y, como delimitan §</w:t>
      </w:r>
      <w:hyperlink w:anchor="sec-limitaciones">
        <w:r>
          <w:rPr>
            <w:rStyle w:val="Hipervnculo"/>
          </w:rPr>
          <w:t xml:space="preserve">7.4</w:t>
        </w:r>
      </w:hyperlink>
      <w:r>
        <w:t xml:space="preserve"> </w:t>
      </w:r>
      <w:r>
        <w:t xml:space="preserve">y §</w:t>
      </w:r>
      <w:hyperlink w:anchor="sec-exp3-nota">
        <w:r>
          <w:rPr>
            <w:rStyle w:val="Hipervnculo"/>
          </w:rPr>
          <w:t xml:space="preserve">7.5.1</w:t>
        </w:r>
      </w:hyperlink>
      <w:r>
        <w:t xml:space="preserve">,</w:t>
      </w:r>
      <w:r>
        <w:t xml:space="preserve"> </w:t>
      </w:r>
      <w:r>
        <w:t xml:space="preserve">una propiedad del par (configuración, espacio de características) más que del</w:t>
      </w:r>
      <w:r>
        <w:t xml:space="preserve"> </w:t>
      </w:r>
      <w:r>
        <w:t xml:space="preserve">método en abstracto. Esta demostración cuantifica el riesgo de usar LIME en</w:t>
      </w:r>
      <w:r>
        <w:t xml:space="preserve"> </w:t>
      </w:r>
      <w:r>
        <w:t xml:space="preserve">contextos donde se exija consistencia explicativa (auditoría, decisiones de alto</w:t>
      </w:r>
      <w:r>
        <w:t xml:space="preserve"> </w:t>
      </w:r>
      <w:r>
        <w:t xml:space="preserve">riesgo) sin haber medido antes su estabilidad en el espacio de despliegue, un</w:t>
      </w:r>
      <w:r>
        <w:t xml:space="preserve"> </w:t>
      </w:r>
      <w:r>
        <w:t xml:space="preserve">riesgo que los trabajos de referencia sobre LIME</w:t>
      </w:r>
      <w:r>
        <w:t xml:space="preserve"> </w:t>
      </w:r>
      <w:r>
        <w:t xml:space="preserve">(Ribeiro 2016)</w:t>
      </w:r>
      <w:r>
        <w:t xml:space="preserve"> </w:t>
      </w:r>
      <w:r>
        <w:t xml:space="preserve">no cuantifican</w:t>
      </w:r>
      <w:r>
        <w:t xml:space="preserve"> </w:t>
      </w:r>
      <w:r>
        <w:t xml:space="preserve">en benchmarks multi-métricos.</w:t>
      </w:r>
    </w:p>
    <w:p>
      <w:pPr>
        <w:pStyle w:val="Textoindependiente"/>
        <w:spacing w:line="360" w:lineRule="auto"/>
        <w:jc w:val="both"/>
      </w:pPr>
      <w:r>
        <w:t xml:space="preserve">La taxonomía desarrollada en el Capítulo 5 complementa este hallazgo empírico con un marco</w:t>
      </w:r>
      <w:r>
        <w:t xml:space="preserve"> </w:t>
      </w:r>
      <w:r>
        <w:t xml:space="preserve">conceptual que organiza el espacio de métricas de evaluación en cuatro ejes</w:t>
      </w:r>
      <w:r>
        <w:t xml:space="preserve"> </w:t>
      </w:r>
      <w:r>
        <w:t xml:space="preserve">y que localiza explícitamente las dimensiones no cubiertas por los benchmarks</w:t>
      </w:r>
      <w:r>
        <w:t xml:space="preserve"> </w:t>
      </w:r>
      <w:r>
        <w:t xml:space="preserve">funcionally-grounded, incluyendo la comprehensibilidad percibida por el usuario</w:t>
      </w:r>
      <w:r>
        <w:t xml:space="preserve"> </w:t>
      </w:r>
      <w:r>
        <w:t xml:space="preserve">(Bhattacharya y Verbert 2024; Arrieta 2019)</w:t>
      </w:r>
      <w:r>
        <w:t xml:space="preserve">. La taxonomía integra y extiende los marcos</w:t>
      </w:r>
      <w:r>
        <w:t xml:space="preserve"> </w:t>
      </w:r>
      <w:r>
        <w:t xml:space="preserve">previos de Schwalbe y Finzel</w:t>
      </w:r>
      <w:r>
        <w:t xml:space="preserve"> </w:t>
      </w:r>
      <w:r>
        <w:t xml:space="preserve">(2023)</w:t>
      </w:r>
      <w:r>
        <w:t xml:space="preserve">, Abdulkadir et al.</w:t>
      </w:r>
      <w:r>
        <w:t xml:space="preserve"> </w:t>
      </w:r>
      <w:r>
        <w:t xml:space="preserve">(2023)</w:t>
      </w:r>
      <w:r>
        <w:t xml:space="preserve"> </w:t>
      </w:r>
      <w:r>
        <w:t xml:space="preserve">y Canha et al.</w:t>
      </w:r>
      <w:r>
        <w:t xml:space="preserve"> </w:t>
      </w:r>
      <w:r>
        <w:t xml:space="preserve">(2025)</w:t>
      </w:r>
      <w:r>
        <w:t xml:space="preserve">, alineándola explícitamente con</w:t>
      </w:r>
      <w:r>
        <w:t xml:space="preserve"> </w:t>
      </w:r>
      <w:r>
        <w:t xml:space="preserve">el espacio experimental del benchmark.</w:t>
      </w:r>
    </w:p>
    <w:bookmarkEnd w:id="299"/>
    <w:bookmarkStart w:id="304" w:name="X6583905c1b1630bf3acfdae91528ca52ef61481"/>
    <w:p>
      <w:pPr>
        <w:pStyle w:val="Ttulo3"/>
        <w:spacing w:line="360" w:lineRule="auto"/>
        <w:jc w:val="both"/>
      </w:pPr>
      <w:r>
        <w:t xml:space="preserve">7.2.3 </w:t>
      </w:r>
      <w:r>
        <w:t xml:space="preserve">Contribución aplicada: criterios prescriptivos de selección de métodos XAI</w:t>
      </w:r>
    </w:p>
    <w:p>
      <w:pPr>
        <w:pStyle w:val="FirstParagraph"/>
        <w:spacing w:line="360" w:lineRule="auto"/>
        <w:jc w:val="both"/>
      </w:pPr>
      <w:r>
        <w:t xml:space="preserve">Los resultados del benchmark son suficientemente consistentes para formular</w:t>
      </w:r>
      <w:r>
        <w:t xml:space="preserve"> </w:t>
      </w:r>
      <w:r>
        <w:t xml:space="preserve">criterios de selección prescriptivos en lugar de simples</w:t>
      </w:r>
      <w:r>
        <w:t xml:space="preserve"> </w:t>
      </w:r>
      <w:r>
        <w:t xml:space="preserve">“recomendaciones</w:t>
      </w:r>
      <w:r>
        <w:t xml:space="preserve"> </w:t>
      </w:r>
      <w:r>
        <w:t xml:space="preserve">contextuales”</w:t>
      </w:r>
      <w:r>
        <w:t xml:space="preserve">. El carácter prescriptivo se refiere a la firmeza del criterio</w:t>
      </w:r>
      <w:r>
        <w:t xml:space="preserve"> </w:t>
      </w:r>
      <w:r>
        <w:t xml:space="preserve">dada la evidencia, no a su alcance: cada criterio queda condicionado a las</w:t>
      </w:r>
      <w:r>
        <w:t xml:space="preserve"> </w:t>
      </w:r>
      <w:r>
        <w:t xml:space="preserve">condiciones del benchmark especificadas en</w:t>
      </w:r>
      <w:r>
        <w:t xml:space="preserve"> </w:t>
      </w:r>
      <w:hyperlink w:anchor="tbl-fronteras-generalizacion">
        <w:r>
          <w:rPr>
            <w:rStyle w:val="Hipervnculo"/>
          </w:rPr>
          <w:t xml:space="preserve">Tabla 7.4</w:t>
        </w:r>
      </w:hyperlink>
      <w:r>
        <w:t xml:space="preserve"> </w:t>
      </w:r>
      <w:r>
        <w:t xml:space="preserve">—dataset Adult Income, clasificación tabular binaria, las cinco familias de</w:t>
      </w:r>
      <w:r>
        <w:t xml:space="preserve"> </w:t>
      </w:r>
      <w:r>
        <w:t xml:space="preserve">modelo evaluadas y las operacionalizaciones métricas del Capítulo 3— y ninguno</w:t>
      </w:r>
      <w:r>
        <w:t xml:space="preserve"> </w:t>
      </w:r>
      <w:r>
        <w:t xml:space="preserve">se extiende a preferencias de usuarios finales, dominios regulados con</w:t>
      </w:r>
      <w:r>
        <w:t xml:space="preserve"> </w:t>
      </w:r>
      <w:r>
        <w:t xml:space="preserve">restricciones normativas propias ni criterios de comprehensibilidad. Con esa</w:t>
      </w:r>
      <w:r>
        <w:t xml:space="preserve"> </w:t>
      </w:r>
      <w:r>
        <w:t xml:space="preserve">delimitación:</w:t>
      </w:r>
    </w:p>
    <w:p>
      <w:pPr>
        <w:pStyle w:val="Textoindependiente"/>
        <w:spacing w:line="360" w:lineRule="auto"/>
        <w:jc w:val="both"/>
      </w:pPr>
      <w:r>
        <w:rPr>
          <w:b/>
          <w:bCs/>
        </w:rPr>
        <w:t xml:space="preserve">SHAP debe seleccionarse</w:t>
      </w:r>
      <w:r>
        <w:t xml:space="preserve"> </w:t>
      </w:r>
      <w:r>
        <w:t xml:space="preserve">como método primario en cualquier aplicación que</w:t>
      </w:r>
      <w:r>
        <w:t xml:space="preserve"> </w:t>
      </w:r>
      <w:r>
        <w:t xml:space="preserve">requiera fidelidad o consistencia explicativa verificables, con la condición de</w:t>
      </w:r>
      <w:r>
        <w:t xml:space="preserve"> </w:t>
      </w:r>
      <w:r>
        <w:t xml:space="preserve">comprobar el umbral en la familia de modelo concreta. Sobre la media global SHAP</w:t>
      </w:r>
      <w:r>
        <w:t xml:space="preserve"> </w:t>
      </w:r>
      <w:r>
        <w:t xml:space="preserve">satisface</w:t>
      </w:r>
      <w:r>
        <w:t xml:space="preserve"> </w:t>
      </w:r>
      <ns5:oMath>
        <ns5:acc>
          <ns5:accPr>
            <ns5:chr ns5:val="‾"/>
          </ns5:accPr>
          <ns5:e>
            <ns5:r>
              <ns5:t>F</ns5:t>
            </ns5:r>
          </ns5:e>
        </ns5:acc>
        <ns5:r>
          <ns5:rPr>
            <ns5:sty ns5:val="p"/>
          </ns5:rPr>
          <ns5:t>=</ns5:t>
        </ns5:r>
        <ns5:r>
          <ns5:t>0.808</ns5:t>
        </ns5:r>
        <ns5:r>
          <ns5:rPr>
            <ns5:sty ns5:val="p"/>
          </ns5:rPr>
          <ns5:t>≥</ns5:t>
        </ns5:r>
        <ns5:r>
          <ns5:t>0.80</ns5:t>
        </ns5:r>
      </ns5:oMath>
      <w:r>
        <w:t xml:space="preserve"> </w:t>
      </w:r>
      <w:r>
        <w:t xml:space="preserve">y</w:t>
      </w:r>
      <w:r>
        <w:t xml:space="preserve"> </w:t>
      </w:r>
      <ns5:oMath>
        <ns5:acc>
          <ns5:accPr>
            <ns5:chr ns5:val="‾"/>
          </ns5:accPr>
          <ns5:e>
            <ns5:r>
              <ns5:t>S</ns5:t>
            </ns5:r>
          </ns5:e>
        </ns5:acc>
        <ns5:r>
          <ns5:rPr>
            <ns5:sty ns5:val="p"/>
          </ns5:rPr>
          <ns5:t>=</ns5:t>
        </ns5:r>
        <ns5:r>
          <ns5:t>0.732</ns5:t>
        </ns5:r>
        <ns5:r>
          <ns5:rPr>
            <ns5:sty ns5:val="p"/>
          </ns5:rPr>
          <ns5:t>≥</ns5:t>
        </ns5:r>
        <ns5:r>
          <ns5:t>0.70</ns5:t>
        </ns5:r>
      </ns5:oMath>
      <w:r>
        <w:t xml:space="preserve">, pero la</w:t>
      </w:r>
      <w:r>
        <w:t xml:space="preserve"> </w:t>
      </w:r>
      <w:r>
        <w:t xml:space="preserve">media global no es el criterio operativo: por familia, la fidelidad alcanza</w:t>
      </w:r>
      <w:r>
        <w:t xml:space="preserve"> </w:t>
      </w:r>
      <ns5:oMath>
        <ns5:r>
          <ns5:rPr>
            <ns5:sty ns5:val="p"/>
          </ns5:rPr>
          <ns5:t>≥</ns5:t>
        </ns5:r>
        <ns5:r>
          <ns5:t>0.80</ns5:t>
        </ns5:r>
      </ns5:oMath>
      <w:r>
        <w:t xml:space="preserve"> </w:t>
      </w:r>
      <w:r>
        <w:t xml:space="preserve">solo en logreg (0.946) y SVM (0.882), y la estabilidad alcanza</w:t>
      </w:r>
      <w:r>
        <w:t xml:space="preserve"> </w:t>
      </w:r>
      <ns5:oMath>
        <ns5:r>
          <ns5:rPr>
            <ns5:sty ns5:val="p"/>
          </ns5:rPr>
          <ns5:t>≥</ns5:t>
        </ns5:r>
        <ns5:r>
          <ns5:t>0.70</ns5:t>
        </ns5:r>
      </ns5:oMath>
      <w:r>
        <w:t xml:space="preserve"> </w:t>
      </w:r>
      <w:r>
        <w:t xml:space="preserve">solo en logreg (0.880), RF (0.949) y SVM (0.925), descendiendo a</w:t>
      </w:r>
      <w:r>
        <w:t xml:space="preserve"> </w:t>
      </w:r>
      <w:r>
        <w:t xml:space="preserve">0.575 en XGBoost y 0.331 en MLP. Para modelos basados en árboles, TreeSHAP</w:t>
      </w:r>
      <w:r>
        <w:t xml:space="preserve"> </w:t>
      </w:r>
      <w:r>
        <w:t xml:space="preserve">reduce el coste en dos o tres órdenes de magnitud respecto a KernelSHAP —21 ms</w:t>
      </w:r>
      <w:r>
        <w:t xml:space="preserve"> </w:t>
      </w:r>
      <w:r>
        <w:t xml:space="preserve">por instancia en XGBoost y 2,820 ms en Random Forest, frente a 54,231 ms en SVM—</w:t>
      </w:r>
      <w:r>
        <w:t xml:space="preserve"> </w:t>
      </w:r>
      <w:r>
        <w:t xml:space="preserve">lo que hace esta elección también la más eficiente en XGBoost.</w:t>
      </w:r>
    </w:p>
    <w:p>
      <w:pPr>
        <w:pStyle w:val="Textoindependiente"/>
        <w:spacing w:line="360" w:lineRule="auto"/>
        <w:jc w:val="both"/>
      </w:pPr>
      <w:r>
        <w:rPr>
          <w:b/>
          <w:bCs/>
        </w:rPr>
        <w:t xml:space="preserve">LIME puede seleccionarse</w:t>
      </w:r>
      <w:r>
        <w:t xml:space="preserve"> </w:t>
      </w:r>
      <w:r>
        <w:t xml:space="preserve">exclusivamente cuando el coste computacional es</w:t>
      </w:r>
      <w:r>
        <w:t xml:space="preserve"> </w:t>
      </w:r>
      <w:r>
        <w:t xml:space="preserve">el criterio dominante y la aplicación no requiere comparación de explicaciones</w:t>
      </w:r>
      <w:r>
        <w:t xml:space="preserve"> </w:t>
      </w:r>
      <w:r>
        <w:t xml:space="preserve">entre instancias ni auditoría de consistencia. Las medias por familia de modelo</w:t>
      </w:r>
      <w:r>
        <w:t xml:space="preserve"> </w:t>
      </w:r>
      <w:r>
        <w:t xml:space="preserve">de LIME en logreg/xgb/mlp —73 ms, 122 ms y 52 ms por instancia respectivamente—</w:t>
      </w:r>
      <w:r>
        <w:t xml:space="preserve"> </w:t>
      </w:r>
      <w:r>
        <w:t xml:space="preserve">hacen posible la explicación en tiempo real, con la condición</w:t>
      </w:r>
      <w:r>
        <w:t xml:space="preserve"> </w:t>
      </w:r>
      <w:r>
        <w:t xml:space="preserve">explícita de que las explicaciones no sean comparadas entre ejecuciones. En SVM</w:t>
      </w:r>
      <w:r>
        <w:t xml:space="preserve"> </w:t>
      </w:r>
      <w:r>
        <w:t xml:space="preserve">esa ventaja desaparece: LIME asciende a 17,620 ms de media.</w:t>
      </w:r>
    </w:p>
    <w:p>
      <w:pPr>
        <w:pStyle w:val="Textoindependiente"/>
        <w:spacing w:line="360" w:lineRule="auto"/>
        <w:jc w:val="both"/>
      </w:pPr>
      <w:r>
        <w:rPr>
          <w:b/>
          <w:bCs/>
        </w:rPr>
        <w:t xml:space="preserve">Anchors debe usarse con cautela</w:t>
      </w:r>
      <w:r>
        <w:t xml:space="preserve"> </w:t>
      </w:r>
      <w:r>
        <w:t xml:space="preserve">para modelos no-lineales (RF, SVM, MLP) en</w:t>
      </w:r>
      <w:r>
        <w:t xml:space="preserve"> </w:t>
      </w:r>
      <w:r>
        <w:t xml:space="preserve">aplicaciones de latencia crítica: sus medias por familia de modelo —15,564 ms</w:t>
      </w:r>
      <w:r>
        <w:t xml:space="preserve"> </w:t>
      </w:r>
      <w:r>
        <w:t xml:space="preserve">(MLP), 37,415 ms (SVM) y 48,955 ms (RF) por instancia— son inviables en</w:t>
      </w:r>
      <w:r>
        <w:t xml:space="preserve"> </w:t>
      </w:r>
      <w:r>
        <w:t xml:space="preserve">producción, y su cobertura analítica cae al 76.0% por no convergencia. Su uso es</w:t>
      </w:r>
      <w:r>
        <w:t xml:space="preserve"> </w:t>
      </w:r>
      <w:r>
        <w:t xml:space="preserve">justificable exclusivamente cuando la</w:t>
      </w:r>
      <w:r>
        <w:t xml:space="preserve"> </w:t>
      </w:r>
      <w:r>
        <w:t xml:space="preserve">forma semántica IF-THEN es un requisito regulatorio o de usuario y el modelo</w:t>
      </w:r>
      <w:r>
        <w:t xml:space="preserve"> </w:t>
      </w:r>
      <w:r>
        <w:t xml:space="preserve">es de complejidad baja (logreg, 2,918 ms).</w:t>
      </w:r>
    </w:p>
    <w:p>
      <w:pPr>
        <w:pStyle w:val="Textoindependiente"/>
        <w:spacing w:line="360" w:lineRule="auto"/>
        <w:jc w:val="both"/>
      </w:pPr>
      <w:r>
        <w:rPr>
          <w:b/>
          <w:bCs/>
        </w:rPr>
        <w:t xml:space="preserve">DiCE es la opción de esta comparación orientada a acciones correctivas</w:t>
      </w:r>
      <w:r>
        <w:t xml:space="preserve"> </w:t>
      </w:r>
      <w:r>
        <w:t xml:space="preserve">cuando el objetivo es generar acciones correctivas</w:t>
      </w:r>
      <w:r>
        <w:t xml:space="preserve"> </w:t>
      </w:r>
      <w:r>
        <w:t xml:space="preserve">(</w:t>
      </w:r>
      <w:r>
        <w:rPr>
          <w:i/>
          <w:iCs/>
        </w:rPr>
        <w:t xml:space="preserve">algorithmic recourse</w:t>
      </w:r>
      <w:r>
        <w:t xml:space="preserve">) para cambiar la predicción. Sus métricas de fidelidad</w:t>
      </w:r>
      <w:r>
        <w:t xml:space="preserve"> </w:t>
      </w:r>
      <w:r>
        <w:t xml:space="preserve">bajas son irrelevantes para este objetivo, puesto que la métrica de atribución no</w:t>
      </w:r>
      <w:r>
        <w:t xml:space="preserve"> </w:t>
      </w:r>
      <w:r>
        <w:t xml:space="preserve">mide lo que DiCE optimiza. Su coste, en cambio, sí es una restricción real y no</w:t>
      </w:r>
      <w:r>
        <w:t xml:space="preserve"> </w:t>
      </w:r>
      <w:r>
        <w:t xml:space="preserve">debe presentarse como moderado: con una media de 28,209 ms por instancia</w:t>
      </w:r>
      <w:r>
        <w:t xml:space="preserve"> </w:t>
      </w:r>
      <w:r>
        <w:t xml:space="preserve">(mediana 11,880 ms) es el segundo más elevado del benchmark, solo por debajo de</w:t>
      </w:r>
      <w:r>
        <w:t xml:space="preserve"> </w:t>
      </w:r>
      <w:r>
        <w:t xml:space="preserve">Anchors (38,159 ms), y varía entre 12,634 ms (MLP) y 66,266 ms (SVM) según la</w:t>
      </w:r>
      <w:r>
        <w:t xml:space="preserve"> </w:t>
      </w:r>
      <w:r>
        <w:t xml:space="preserve">familia de modelo. DiCE se justifica cuando el recourse es el objetivo y no</w:t>
      </w:r>
      <w:r>
        <w:t xml:space="preserve"> </w:t>
      </w:r>
      <w:r>
        <w:t xml:space="preserve">existe sustituto, no por eficiencia.</w:t>
      </w:r>
    </w:p>
    <w:p>
      <w:pPr>
        <w:pStyle w:val="Textoindependiente"/>
        <w:spacing w:line="360" w:lineRule="auto"/>
        <w:jc w:val="both"/>
      </w:pPr>
      <w:r>
        <w:t xml:space="preserve">La</w:t>
      </w:r>
      <w:r>
        <w:t xml:space="preserve"> </w:t>
      </w:r>
      <w:hyperlink w:anchor="fig-guia-seleccion">
        <w:r>
          <w:rPr>
            <w:rStyle w:val="Hipervnculo"/>
          </w:rPr>
          <w:t xml:space="preserve">Figura 7.1</w:t>
        </w:r>
      </w:hyperlink>
      <w:r>
        <w:t xml:space="preserve"> </w:t>
      </w:r>
      <w:r>
        <w:t xml:space="preserve">resume estos criterios: el requisito que domina en la</w:t>
      </w:r>
      <w:r>
        <w:t xml:space="preserve"> </w:t>
      </w:r>
      <w:r>
        <w:t xml:space="preserve">aplicación, el método que le corresponde y la condición que debe verificarse</w:t>
      </w:r>
      <w:r>
        <w:t xml:space="preserve"> </w:t>
      </w:r>
      <w:r>
        <w:t xml:space="preserve">antes de adoptarlo.</w:t>
      </w:r>
    </w:p>
    <w:tbl>
      <w:tblPr>
        <w:tblStyle w:val="Table"/>
        <w:tblW w:type="pct" w:w="5000"/>
        <w:jc w:val="center"/>
        <w:tblLayout w:type="fixed"/>
        <w:tblLook w:firstRow="0" w:lastRow="0" w:firstColumn="0" w:lastColumn="0" w:noHBand="0" w:noVBand="0" w:val="0000"/>
      </w:tblPr>
      <w:tblGrid>
        <w:gridCol w:w="7920"/>
      </w:tblGrid>
      <w:tr>
        <w:tc>
          <w:tcPr/>
          <w:bookmarkStart w:id="303" w:name="fig-guia-seleccion"/>
          <w:p>
            <w:pPr>
              <w:pStyle w:val="Compact"/>
              <w:jc w:val="center"/>
              <w:spacing w:line="360" w:lineRule="auto"/>
            </w:pPr>
            <w:r>
              <w:drawing>
                <ns1:inline>
                  <ns1:extent cx="5646420" cy="3162667"/>
                  <ns1:effectExtent b="0" l="0" r="0" t="0"/>
                  <ns1:docPr descr="" title="" id="301" name="Picture"/>
                  <ns2:graphic>
                    <ns2:graphicData uri="http://schemas.openxmlformats.org/drawingml/2006/picture">
                      <ns3:pic>
                        <ns3:nvPicPr>
                          <ns3:cNvPr descr="assets/figures/fig_guia_seleccion_es.png" id="302" name="Picture"/>
                          <ns3:cNvPicPr>
                            <ns2:picLocks noChangeArrowheads="1" noChangeAspect="1"/>
                          </ns3:cNvPicPr>
                        </ns3:nvPicPr>
                        <ns3:blipFill>
                          <ns2:blip ns4:embed="rId300"/>
                          <ns2:stretch>
                            <ns2:fillRect/>
                          </ns2:stretch>
                        </ns3:blipFill>
                        <ns3:spPr bwMode="auto">
                          <ns2:xfrm>
                            <ns2:off x="0" y="0"/>
                            <ns2:ext cx="5646420" cy="3162667"/>
                          </ns2:xfrm>
                          <ns2:prstGeom prst="rect">
                            <ns2:avLst/>
                          </ns2:prstGeom>
                          <ns2:noFill/>
                          <ns2:ln w="9525">
                            <ns2:noFill/>
                            <ns2:headEnd/>
                            <ns2:tailEnd/>
                          </ns2:ln>
                        </ns3:spPr>
                      </ns3:pic>
                    </ns2:graphicData>
                  </ns2:graphic>
                </ns1:inline>
              </w:drawing>
            </w:r>
          </w:p>
          <w:p>
            <w:pPr>
              <w:pStyle w:val="ImageCaption"/>
              <w:spacing w:before="200" w:line="360" w:lineRule="auto"/>
              <w:jc w:val="center"/>
            </w:pPr>
            <w:r>
              <w:t xml:space="preserve">Figura 7.1: Guía de selección de métodos derivada de los criterios de esta sección.</w:t>
            </w:r>
            <w:r>
              <w:t xml:space="preserve"> </w:t>
            </w:r>
            <w:r>
              <w:t xml:space="preserve">Cada fila lleva la condición que debe comprobarse antes de usar el método; la</w:t>
            </w:r>
            <w:r>
              <w:t xml:space="preserve"> </w:t>
            </w:r>
            <w:r>
              <w:t xml:space="preserve">franja inferior recoge las recomendaciones de reporte de los estudios de</w:t>
            </w:r>
            <w:r>
              <w:t xml:space="preserve"> </w:t>
            </w:r>
            <w:r>
              <w:t xml:space="preserve">seguimiento. La guía vale para las condiciones del benchmark y no sustituye</w:t>
            </w:r>
            <w:r>
              <w:t xml:space="preserve"> </w:t>
            </w:r>
            <w:r>
              <w:t xml:space="preserve">la verificación en el despliegue concreto. Fuente: elaboración propia.</w:t>
            </w:r>
          </w:p>
          <w:bookmarkEnd w:id="303"/>
        </w:tc>
      </w:tr>
    </w:tbl>
    <w:bookmarkEnd w:id="304"/>
    <w:bookmarkEnd w:id="305"/>
    <w:bookmarkStart w:id="307" w:name="sec-posicionamiento"/>
    <w:p>
      <w:pPr>
        <w:pStyle w:val="Ttulo2"/>
        <w:spacing w:line="360" w:lineRule="auto"/>
        <w:jc w:val="both"/>
      </w:pPr>
      <w:r>
        <w:t xml:space="preserve">7.3 </w:t>
      </w:r>
      <w:r>
        <w:t xml:space="preserve">Posicionamiento respecto a la literatura y separación de contribuciones</w:t>
      </w:r>
    </w:p>
    <w:p>
      <w:pPr>
        <w:pStyle w:val="FirstParagraph"/>
        <w:spacing w:line="360" w:lineRule="auto"/>
        <w:jc w:val="both"/>
      </w:pPr>
      <w:r>
        <w:t xml:space="preserve">Las tres contribuciones de esta tesis deben separarse con precisión de los</w:t>
      </w:r>
      <w:r>
        <w:t xml:space="preserve"> </w:t>
      </w:r>
      <w:r>
        <w:t xml:space="preserve">trabajos más cercanos para que su originalidad sea evaluable. La Tabla</w:t>
      </w:r>
      <w:r>
        <w:t xml:space="preserve"> </w:t>
      </w:r>
      <w:hyperlink w:anchor="tbl-contribucion-separacion">
        <w:r>
          <w:rPr>
            <w:rStyle w:val="Hipervnculo"/>
          </w:rPr>
          <w:t xml:space="preserve">7.3</w:t>
        </w:r>
      </w:hyperlink>
      <w:r>
        <w:t xml:space="preserve"> </w:t>
      </w:r>
      <w:r>
        <w:t xml:space="preserve">realiza esta separación de forma explícita.</w:t>
      </w:r>
    </w:p>
    <w:tbl>
      <w:tblPr>
        <w:tblStyle w:val="Table"/>
        <w:tblW w:type="pct" w:w="5000"/>
        <w:jc w:val="center"/>
        <w:tblLayout w:type="fixed"/>
        <w:tblLook w:firstRow="0" w:lastRow="0" w:firstColumn="0" w:lastColumn="0" w:noHBand="0" w:noVBand="0" w:val="0000"/>
      </w:tblPr>
      <w:tblGrid>
        <w:gridCol w:w="7920"/>
      </w:tblGrid>
      <w:tr>
        <w:tc>
          <w:tcPr/>
          <w:bookmarkStart w:id="306" w:name="tbl-contribucion-separacion"/>
          <w:p>
            <w:pPr>
              <w:pStyle w:val="ImageCaption"/>
              <w:spacing w:before="200" w:line="360" w:lineRule="auto"/>
              <w:jc w:val="center"/>
            </w:pPr>
            <w:r>
              <w:t xml:space="preserve">Tabla 7.3: Separación de contribuciones respecto a los trabajos más cercanos.</w:t>
            </w:r>
          </w:p>
          <w:tbl>
            <w:tblPr>
              <w:tblStyle w:val="Table"/>
              <w:tblW w:type="pct" w:w="500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Row="1" w:lastRow="0" w:firstColumn="0" w:lastColumn="0" w:noHBand="0" w:noVBand="0" w:val="0020"/>
            </w:tblPr>
            <w:tblGrid>
              <w:gridCol w:w="1980"/>
              <w:gridCol w:w="1980"/>
              <w:gridCol w:w="1980"/>
              <w:gridCol w:w="1980"/>
            </w:tblGrid>
            <w:tr>
              <w:trPr>
                <w:tblHeader w:val="on"/>
              </w:trPr>
              <w:tc>
                <w:tcPr/>
                <w:p>
                  <w:pPr>
                    <w:pStyle w:val="Compact"/>
                    <w:jc w:val="both"/>
                    <w:jc w:val="center"/>
                    <w:spacing w:line="360" w:lineRule="auto"/>
                  </w:pPr>
                  <w:r>
                    <w:rPr>
                      <w:bCs/>
                      <w:b/>
                    </w:rPr>
                    <w:t xml:space="preserve">Contribución</w:t>
                  </w:r>
                </w:p>
              </w:tc>
              <w:tc>
                <w:tcPr/>
                <w:p>
                  <w:pPr>
                    <w:pStyle w:val="Compact"/>
                    <w:jc w:val="both"/>
                    <w:jc w:val="center"/>
                    <w:spacing w:line="360" w:lineRule="auto"/>
                  </w:pPr>
                  <w:r>
                    <w:rPr>
                      <w:bCs/>
                      <w:b/>
                    </w:rPr>
                    <w:t xml:space="preserve">Trabajos más cercanos</w:t>
                  </w:r>
                </w:p>
              </w:tc>
              <w:tc>
                <w:tcPr/>
                <w:p>
                  <w:pPr>
                    <w:pStyle w:val="Compact"/>
                    <w:jc w:val="both"/>
                    <w:jc w:val="center"/>
                    <w:spacing w:line="360" w:lineRule="auto"/>
                  </w:pPr>
                  <w:r>
                    <w:rPr>
                      <w:bCs/>
                      <w:b/>
                    </w:rPr>
                    <w:t xml:space="preserve">En qué se solapa</w:t>
                  </w:r>
                </w:p>
              </w:tc>
              <w:tc>
                <w:tcPr/>
                <w:p>
                  <w:pPr>
                    <w:pStyle w:val="Compact"/>
                    <w:jc w:val="both"/>
                    <w:jc w:val="center"/>
                    <w:spacing w:line="360" w:lineRule="auto"/>
                  </w:pPr>
                  <w:r>
                    <w:rPr>
                      <w:bCs/>
                      <w:b/>
                    </w:rPr>
                    <w:t xml:space="preserve">En qué difiere esta tesis</w:t>
                  </w:r>
                </w:p>
              </w:tc>
            </w:tr>
            <w:tr>
              <w:tc>
                <w:tcPr/>
                <w:p>
                  <w:pPr>
                    <w:pStyle w:val="Compact"/>
                    <w:jc w:val="both"/>
                    <w:jc w:val="center"/>
                    <w:spacing w:line="360" w:lineRule="auto"/>
                  </w:pPr>
                  <w:r>
                    <w:rPr>
                      <w:b/>
                      <w:bCs/>
                    </w:rPr>
                    <w:t xml:space="preserve">FOM-7 — protocolo de benchmarking reproducible</w:t>
                  </w:r>
                </w:p>
              </w:tc>
              <w:tc>
                <w:tcPr/>
                <w:p>
                  <w:pPr>
                    <w:pStyle w:val="Compact"/>
                    <w:jc w:val="both"/>
                    <w:jc w:val="center"/>
                    <w:spacing w:line="360" w:lineRule="auto"/>
                  </w:pPr>
                  <w:r>
                    <w:t xml:space="preserve">OpenXAI</w:t>
                  </w:r>
                  <w:r>
                    <w:t xml:space="preserve"> </w:t>
                  </w:r>
                  <w:r>
                    <w:t xml:space="preserve">(Agarwal et al. 2022)</w:t>
                  </w:r>
                  <w:r>
                    <w:t xml:space="preserve">; Quantus</w:t>
                  </w:r>
                  <w:r>
                    <w:t xml:space="preserve"> </w:t>
                  </w:r>
                  <w:r>
                    <w:t xml:space="preserve">(Hedström et al. 2023)</w:t>
                  </w:r>
                  <w:r>
                    <w:t xml:space="preserve">; Canha et al.</w:t>
                  </w:r>
                  <w:r>
                    <w:t xml:space="preserve"> </w:t>
                  </w:r>
                  <w:r>
                    <w:t xml:space="preserve">(2025)</w:t>
                  </w:r>
                </w:p>
              </w:tc>
              <w:tc>
                <w:tcPr/>
                <w:p>
                  <w:pPr>
                    <w:pStyle w:val="Compact"/>
                    <w:jc w:val="both"/>
                    <w:jc w:val="center"/>
                    <w:spacing w:line="360" w:lineRule="auto"/>
                  </w:pPr>
                  <w:r>
                    <w:t xml:space="preserve">Objetivo de estandarización, uso de métricas functionally-grounded, énfasis en reproducibilidad</w:t>
                  </w:r>
                </w:p>
              </w:tc>
              <w:tc>
                <w:tcPr/>
                <w:p>
                  <w:pPr>
                    <w:pStyle w:val="Compact"/>
                    <w:jc w:val="both"/>
                    <w:jc w:val="center"/>
                    <w:spacing w:line="360" w:lineRule="auto"/>
                  </w:pPr>
                  <w:r>
                    <w:t xml:space="preserve">FOM-7 añade siete puertas secuenciales con criterios de admisibilidad y falla explícitos; OpenXAI y Quantus no regulan la cadena diseño-artefacto-inferencia-claim; Canha et al. proponen principios sin implementación operativa completa</w:t>
                  </w:r>
                </w:p>
              </w:tc>
            </w:tr>
            <w:tr>
              <w:tc>
                <w:tcPr/>
                <w:p>
                  <w:pPr>
                    <w:pStyle w:val="Compact"/>
                    <w:jc w:val="both"/>
                    <w:jc w:val="center"/>
                    <w:spacing w:line="360" w:lineRule="auto"/>
                  </w:pPr>
                  <w:r>
                    <w:rPr>
                      <w:b/>
                      <w:bCs/>
                    </w:rPr>
                    <w:t xml:space="preserve">Benchmark multi-métrico SHAP-LIME-Anchors-DiCE</w:t>
                  </w:r>
                </w:p>
              </w:tc>
              <w:tc>
                <w:tcPr/>
                <w:p>
                  <w:pPr>
                    <w:pStyle w:val="Compact"/>
                    <w:jc w:val="both"/>
                    <w:jc w:val="center"/>
                    <w:spacing w:line="360" w:lineRule="auto"/>
                  </w:pPr>
                  <w:r>
                    <w:t xml:space="preserve">Nauta et al.</w:t>
                  </w:r>
                  <w:r>
                    <w:t xml:space="preserve"> </w:t>
                  </w:r>
                  <w:r>
                    <w:t xml:space="preserve">(2023)</w:t>
                  </w:r>
                  <w:r>
                    <w:t xml:space="preserve"> </w:t>
                  </w:r>
                  <w:r>
                    <w:t xml:space="preserve">(revisión de 30 propiedades); Altukhi et al.</w:t>
                  </w:r>
                  <w:r>
                    <w:t xml:space="preserve"> </w:t>
                  </w:r>
                  <w:r>
                    <w:t xml:space="preserve">(2025)</w:t>
                  </w:r>
                  <w:r>
                    <w:t xml:space="preserve"> </w:t>
                  </w:r>
                  <w:r>
                    <w:t xml:space="preserve">(comparación de explicadores); Hedström et al.</w:t>
                  </w:r>
                  <w:r>
                    <w:t xml:space="preserve"> </w:t>
                  </w:r>
                  <w:r>
                    <w:t xml:space="preserve">(2023)</w:t>
                  </w:r>
                  <w:r>
                    <w:t xml:space="preserve"> </w:t>
                  </w:r>
                  <w:r>
                    <w:t xml:space="preserve">(Quantus evaluation)</w:t>
                  </w:r>
                </w:p>
              </w:tc>
              <w:tc>
                <w:tcPr/>
                <w:p>
                  <w:pPr>
                    <w:pStyle w:val="Compact"/>
                    <w:jc w:val="both"/>
                    <w:jc w:val="center"/>
                    <w:spacing w:line="360" w:lineRule="auto"/>
                  </w:pPr>
                  <w:r>
                    <w:t xml:space="preserve">Comparación de métodos agnósticos; uso de fidelidad y estabilidad como métricas primarias</w:t>
                  </w:r>
                </w:p>
              </w:tc>
              <w:tc>
                <w:tcPr/>
                <w:p>
                  <w:pPr>
                    <w:pStyle w:val="Compact"/>
                    <w:jc w:val="both"/>
                    <w:jc w:val="center"/>
                    <w:spacing w:line="360" w:lineRule="auto"/>
                  </w:pPr>
                  <w:r>
                    <w:t xml:space="preserve">Esta tesis usa diseño factorial con cinco modelos, cinco semillas y tres tamaños de muestra; reporta tamaños de efecto (</w:t>
                  </w:r>
                  <ns5:oMath>
                    <ns5:sSub>
                      <ns5:e>
                        <ns5:r>
                          <ns5:t>d</ns5:t>
                        </ns5:r>
                      </ns5:e>
                      <ns5:sub>
                        <ns5:r>
                          <ns5:t>z</ns5:t>
                        </ns5:r>
                      </ns5:sub>
                    </ns5:sSub>
                  </ns5:oMath>
                  <w:r>
                    <w:t xml:space="preserve">) y control de multiplicidad Holm-Bonferroni; cuantifica la disociación fidelidad-estabilidad con evidencia pareada en 75 celdas</w:t>
                  </w:r>
                </w:p>
              </w:tc>
            </w:tr>
            <w:tr>
              <w:tc>
                <w:tcPr/>
                <w:p>
                  <w:pPr>
                    <w:pStyle w:val="Compact"/>
                    <w:jc w:val="both"/>
                    <w:jc w:val="center"/>
                    <w:spacing w:line="360" w:lineRule="auto"/>
                  </w:pPr>
                  <w:r>
                    <w:rPr>
                      <w:b/>
                      <w:bCs/>
                    </w:rPr>
                    <w:t xml:space="preserve">Taxonomía de cuatro ejes</w:t>
                  </w:r>
                </w:p>
              </w:tc>
              <w:tc>
                <w:tcPr/>
                <w:p>
                  <w:pPr>
                    <w:pStyle w:val="Compact"/>
                    <w:jc w:val="both"/>
                    <w:jc w:val="center"/>
                    <w:spacing w:line="360" w:lineRule="auto"/>
                  </w:pPr>
                  <w:r>
                    <w:t xml:space="preserve">Schwalbe y Finzel</w:t>
                  </w:r>
                  <w:r>
                    <w:t xml:space="preserve"> </w:t>
                  </w:r>
                  <w:r>
                    <w:t xml:space="preserve">(2023)</w:t>
                  </w:r>
                  <w:r>
                    <w:t xml:space="preserve"> </w:t>
                  </w:r>
                  <w:r>
                    <w:t xml:space="preserve">(taxonomía de conceptos XAI); Abdulkadir et al.</w:t>
                  </w:r>
                  <w:r>
                    <w:t xml:space="preserve"> </w:t>
                  </w:r>
                  <w:r>
                    <w:t xml:space="preserve">(2023)</w:t>
                  </w:r>
                  <w:r>
                    <w:t xml:space="preserve"> </w:t>
                  </w:r>
                  <w:r>
                    <w:t xml:space="preserve">(revisión de métricas); Doshi-Velez y Kim</w:t>
                  </w:r>
                  <w:r>
                    <w:t xml:space="preserve"> </w:t>
                  </w:r>
                  <w:r>
                    <w:t xml:space="preserve">(2017)</w:t>
                  </w:r>
                  <w:r>
                    <w:t xml:space="preserve"> </w:t>
                  </w:r>
                  <w:r>
                    <w:t xml:space="preserve">(tres tipos de evaluación)</w:t>
                  </w:r>
                </w:p>
              </w:tc>
              <w:tc>
                <w:tcPr/>
                <w:p>
                  <w:pPr>
                    <w:pStyle w:val="Compact"/>
                    <w:jc w:val="both"/>
                    <w:jc w:val="center"/>
                    <w:spacing w:line="360" w:lineRule="auto"/>
                  </w:pPr>
                  <w:r>
                    <w:t xml:space="preserve">Uso de dimensiones de calidad (fidelidad, robustez, complejidad); distinción entre evaluación humana y computacional</w:t>
                  </w:r>
                </w:p>
              </w:tc>
              <w:tc>
                <w:tcPr/>
                <w:p>
                  <w:pPr>
                    <w:pStyle w:val="Compact"/>
                    <w:jc w:val="both"/>
                    <w:jc w:val="center"/>
                    <w:spacing w:line="360" w:lineRule="auto"/>
                  </w:pPr>
                  <w:r>
                    <w:t xml:space="preserve">La taxonomía de esta tesis añade el eje de contexto de tarea como dimensión operativa; la ubica explícitamente en relación con el benchmark empírico; y proporciona el alcance inferencial admisible para cada cuadrante</w:t>
                  </w:r>
                </w:p>
              </w:tc>
            </w:tr>
          </w:tbl>
          <w:bookmarkEnd w:id="306"/>
          <w:p>
            <w:pPr>
              <w:spacing w:line="360" w:lineRule="auto"/>
              <w:jc w:val="both"/>
            </w:pPr>
          </w:p>
        </w:tc>
      </w:tr>
    </w:tbl>
    <w:p>
      <w:pPr>
        <w:pStyle w:val="Textoindependiente"/>
        <w:spacing w:line="360" w:lineRule="auto"/>
        <w:jc w:val="both"/>
      </w:pPr>
      <w:r>
        <w:t xml:space="preserve">El posicionamiento más informativo se obtiene comparando la tesis con los dos</w:t>
      </w:r>
      <w:r>
        <w:t xml:space="preserve"> </w:t>
      </w:r>
      <w:r>
        <w:t xml:space="preserve">trabajos más cercanos en alcance. OpenXAI</w:t>
      </w:r>
      <w:r>
        <w:t xml:space="preserve"> </w:t>
      </w:r>
      <w:r>
        <w:t xml:space="preserve">(Agarwal et al. 2022)</w:t>
      </w:r>
      <w:r>
        <w:t xml:space="preserve"> </w:t>
      </w:r>
      <w:r>
        <w:t xml:space="preserve">proporciona una</w:t>
      </w:r>
      <w:r>
        <w:t xml:space="preserve"> </w:t>
      </w:r>
      <w:r>
        <w:t xml:space="preserve">plataforma con ground-truth sintético y permite comparar métodos bajo</w:t>
      </w:r>
      <w:r>
        <w:t xml:space="preserve"> </w:t>
      </w:r>
      <w:r>
        <w:t xml:space="preserve">condiciones estandarizadas; sin embargo, no ofrece un protocolo de calificación</w:t>
      </w:r>
      <w:r>
        <w:t xml:space="preserve"> </w:t>
      </w:r>
      <w:r>
        <w:t xml:space="preserve">de artefactos, no requiere separación EXP1/EXP2, y no contempla control de</w:t>
      </w:r>
      <w:r>
        <w:t xml:space="preserve"> </w:t>
      </w:r>
      <w:r>
        <w:t xml:space="preserve">multiplicidad sobre familias de hipótesis. Nauta et al.</w:t>
      </w:r>
      <w:r>
        <w:t xml:space="preserve"> </w:t>
      </w:r>
      <w:r>
        <w:t xml:space="preserve">(2023)</w:t>
      </w:r>
      <w:r>
        <w:t xml:space="preserve"> </w:t>
      </w:r>
      <w:r>
        <w:t xml:space="preserve">proporcionan la revisión más amplia disponible de propiedades de evaluación XAI</w:t>
      </w:r>
      <w:r>
        <w:t xml:space="preserve"> </w:t>
      </w:r>
      <w:r>
        <w:t xml:space="preserve">(30 propiedades, taxonomía propia), pero su contribución es conceptual: no</w:t>
      </w:r>
      <w:r>
        <w:t xml:space="preserve"> </w:t>
      </w:r>
      <w:r>
        <w:t xml:space="preserve">producen un benchmark experimental con análisis inferencial. Esta tesis ocupa</w:t>
      </w:r>
      <w:r>
        <w:t xml:space="preserve"> </w:t>
      </w:r>
      <w:r>
        <w:t xml:space="preserve">el espacio entre ambas obras: implementa un pipeline experimental completo con</w:t>
      </w:r>
      <w:r>
        <w:t xml:space="preserve"> </w:t>
      </w:r>
      <w:r>
        <w:t xml:space="preserve">gobernanza de protocolo (FOM-7), produce evidencia empírica con análisis</w:t>
      </w:r>
      <w:r>
        <w:t xml:space="preserve"> </w:t>
      </w:r>
      <w:r>
        <w:t xml:space="preserve">estadístico riguroso, y contribuye una taxonomía que integra esas propiedades</w:t>
      </w:r>
      <w:r>
        <w:t xml:space="preserve"> </w:t>
      </w:r>
      <w:r>
        <w:t xml:space="preserve">con su alcance inferencial operacional.</w:t>
      </w:r>
    </w:p>
    <w:p>
      <w:pPr>
        <w:pStyle w:val="Textoindependiente"/>
        <w:spacing w:line="360" w:lineRule="auto"/>
        <w:jc w:val="both"/>
      </w:pPr>
      <w:r>
        <w:t xml:space="preserve">El aporte de FOM-7 respecto a Canha et al.</w:t>
      </w:r>
      <w:r>
        <w:t xml:space="preserve"> </w:t>
      </w:r>
      <w:r>
        <w:t xml:space="preserve">(2025)</w:t>
      </w:r>
      <w:r>
        <w:t xml:space="preserve"> </w:t>
      </w:r>
      <w:r>
        <w:t xml:space="preserve">es también</w:t>
      </w:r>
      <w:r>
        <w:t xml:space="preserve"> </w:t>
      </w:r>
      <w:r>
        <w:t xml:space="preserve">diferenciable. Canha et al. articulan principios de reproducibilidad para XAI</w:t>
      </w:r>
      <w:r>
        <w:t xml:space="preserve"> </w:t>
      </w:r>
      <w:r>
        <w:t xml:space="preserve">(declaración de semillas, versionado, separación de conjuntos), pero sin una</w:t>
      </w:r>
      <w:r>
        <w:t xml:space="preserve"> </w:t>
      </w:r>
      <w:r>
        <w:t xml:space="preserve">secuencia de puertas con criterios explícitos de falla y admisibilidad. FOM-7</w:t>
      </w:r>
      <w:r>
        <w:t xml:space="preserve"> </w:t>
      </w:r>
      <w:r>
        <w:t xml:space="preserve">convierte esos principios en un protocolo ejecutable cuya puerta 3 (auditoría de</w:t>
      </w:r>
      <w:r>
        <w:t xml:space="preserve"> </w:t>
      </w:r>
      <w:r>
        <w:t xml:space="preserve">integridad de artefactos) controla la contaminación antes de la inferencia, y</w:t>
      </w:r>
      <w:r>
        <w:t xml:space="preserve"> </w:t>
      </w:r>
      <w:r>
        <w:t xml:space="preserve">cuya puerta 7 (trazabilidad de claims) garantiza que cada afirmación publicada</w:t>
      </w:r>
      <w:r>
        <w:t xml:space="preserve"> </w:t>
      </w:r>
      <w:r>
        <w:t xml:space="preserve">puede rastrearse hasta una celda del diseño factorial.</w:t>
      </w:r>
    </w:p>
    <w:bookmarkEnd w:id="307"/>
    <w:bookmarkStart w:id="308" w:name="sec-limitaciones"/>
    <w:p>
      <w:pPr>
        <w:pStyle w:val="Ttulo2"/>
        <w:spacing w:line="360" w:lineRule="auto"/>
        <w:jc w:val="both"/>
      </w:pPr>
      <w:r>
        <w:t xml:space="preserve">7.4 </w:t>
      </w:r>
      <w:r>
        <w:t xml:space="preserve">Limitaciones del estudio</w:t>
      </w:r>
    </w:p>
    <w:p>
      <w:pPr>
        <w:pStyle w:val="FirstParagraph"/>
        <w:spacing w:line="360" w:lineRule="auto"/>
        <w:jc w:val="both"/>
      </w:pPr>
      <w:r>
        <w:t xml:space="preserve">Cuatro limitaciones deben tenerse en cuenta al interpretar los resultados y</w:t>
      </w:r>
      <w:r>
        <w:t xml:space="preserve"> </w:t>
      </w:r>
      <w:r>
        <w:t xml:space="preserve">generalizar los criterios de selección.</w:t>
      </w:r>
    </w:p>
    <w:p>
      <w:pPr>
        <w:pStyle w:val="Textoindependiente"/>
        <w:spacing w:line="360" w:lineRule="auto"/>
        <w:jc w:val="both"/>
      </w:pPr>
      <w:r>
        <w:rPr>
          <w:b/>
          <w:bCs/>
        </w:rPr>
        <w:t xml:space="preserve">Universo experimental acotado.</w:t>
      </w:r>
      <w:r>
        <w:t xml:space="preserve"> </w:t>
      </w:r>
      <w:r>
        <w:t xml:space="preserve">El benchmark opera sobre el conjunto de</w:t>
      </w:r>
      <w:r>
        <w:t xml:space="preserve"> </w:t>
      </w:r>
      <w:r>
        <w:t xml:space="preserve">datos UCI Adult Income, que es tabular, binario y de tamaño moderado (48,842</w:t>
      </w:r>
      <w:r>
        <w:t xml:space="preserve"> </w:t>
      </w:r>
      <w:r>
        <w:t xml:space="preserve">instancias). La extensión de los hallazgos a datos de imagen, texto o series</w:t>
      </w:r>
      <w:r>
        <w:t xml:space="preserve"> </w:t>
      </w:r>
      <w:r>
        <w:t xml:space="preserve">temporales requiere redefinir las operacionalizaciones de fidelidad y</w:t>
      </w:r>
      <w:r>
        <w:t xml:space="preserve"> </w:t>
      </w:r>
      <w:r>
        <w:t xml:space="preserve">estabilidad, que en este benchmark son específicas de la estructura de</w:t>
      </w:r>
      <w:r>
        <w:t xml:space="preserve"> </w:t>
      </w:r>
      <w:r>
        <w:t xml:space="preserve">características tabulares. Dentro del dominio tabular, el Estudio de</w:t>
      </w:r>
      <w:r>
        <w:t xml:space="preserve"> </w:t>
      </w:r>
      <w:r>
        <w:t xml:space="preserve">Transferencia entre Conjuntos de Datos (§</w:t>
      </w:r>
      <w:hyperlink w:anchor="sec-seg-transferencia">
        <w:r>
          <w:rPr>
            <w:rStyle w:val="Hipervnculo"/>
          </w:rPr>
          <w:t xml:space="preserve">6.4</w:t>
        </w:r>
      </w:hyperlink>
      <w:r>
        <w:t xml:space="preserve">) reduce esta</w:t>
      </w:r>
      <w:r>
        <w:t xml:space="preserve"> </w:t>
      </w:r>
      <w:r>
        <w:t xml:space="preserve">limitación para el orden de los métodos, que se conserva en la mayoría de 16</w:t>
      </w:r>
      <w:r>
        <w:t xml:space="preserve"> </w:t>
      </w:r>
      <w:r>
        <w:t xml:space="preserve">conjuntos de datos, pero no para las magnitudes reportadas en el Capítulo 4,</w:t>
      </w:r>
      <w:r>
        <w:t xml:space="preserve"> </w:t>
      </w:r>
      <w:r>
        <w:t xml:space="preserve">porque emplea un protocolo y unas definiciones operativas propios.</w:t>
      </w:r>
    </w:p>
    <w:p>
      <w:pPr>
        <w:pStyle w:val="Textoindependiente"/>
        <w:spacing w:line="360" w:lineRule="auto"/>
        <w:jc w:val="both"/>
      </w:pPr>
      <w:r>
        <w:rPr>
          <w:b/>
          <w:bCs/>
        </w:rPr>
        <w:t xml:space="preserve">Operacionalizaciones métricas específicas.</w:t>
      </w:r>
      <w:r>
        <w:t xml:space="preserve"> </w:t>
      </w:r>
      <w:r>
        <w:t xml:space="preserve">Fidelidad y estabilidad se</w:t>
      </w:r>
      <w:r>
        <w:t xml:space="preserve"> </w:t>
      </w:r>
      <w:r>
        <w:t xml:space="preserve">operacionalizan aquí mediante enmascaramiento de características y</w:t>
      </w:r>
      <w:r>
        <w:t xml:space="preserve"> </w:t>
      </w:r>
      <w:r>
        <w:t xml:space="preserve">perturbación gaussiana, respectivamente. Otras operacionalizaciones —por</w:t>
      </w:r>
      <w:r>
        <w:t xml:space="preserve"> </w:t>
      </w:r>
      <w:r>
        <w:t xml:space="preserve">ejemplo, fidelidad como ROAR</w:t>
      </w:r>
      <w:r>
        <w:t xml:space="preserve"> </w:t>
      </w:r>
      <w:r>
        <w:t xml:space="preserve">(Zheng et al. 2025)</w:t>
      </w:r>
      <w:r>
        <w:t xml:space="preserve"> </w:t>
      </w:r>
      <w:r>
        <w:t xml:space="preserve">o estabilidad como estimación de la</w:t>
      </w:r>
      <w:r>
        <w:t xml:space="preserve"> </w:t>
      </w:r>
      <w:r>
        <w:t xml:space="preserve">constante de Lipschitz local</w:t>
      </w:r>
      <w:r>
        <w:t xml:space="preserve"> </w:t>
      </w:r>
      <w:r>
        <w:t xml:space="preserve">(Canha et al. 2025)</w:t>
      </w:r>
      <w:r>
        <w:t xml:space="preserve">— pueden producir ordenamientos</w:t>
      </w:r>
      <w:r>
        <w:t xml:space="preserve"> </w:t>
      </w:r>
      <w:r>
        <w:t xml:space="preserve">distintos, especialmente en el rango medio de los métodos (Anchors-DiCE).</w:t>
      </w:r>
    </w:p>
    <w:p>
      <w:pPr>
        <w:pStyle w:val="Textoindependiente"/>
        <w:spacing w:line="360" w:lineRule="auto"/>
        <w:jc w:val="both"/>
      </w:pPr>
      <w:r>
        <w:rPr>
          <w:b/>
          <w:bCs/>
        </w:rPr>
        <w:t xml:space="preserve">Ausencia de evaluación human-centered.</w:t>
      </w:r>
      <w:r>
        <w:t xml:space="preserve"> </w:t>
      </w:r>
      <w:r>
        <w:t xml:space="preserve">El benchmark es exclusivamente</w:t>
      </w:r>
      <w:r>
        <w:t xml:space="preserve"> </w:t>
      </w:r>
      <w:r>
        <w:t xml:space="preserve">funcionally-grounded. La dimensión de comprehensibilidad percibida, utilidad</w:t>
      </w:r>
      <w:r>
        <w:t xml:space="preserve"> </w:t>
      </w:r>
      <w:r>
        <w:t xml:space="preserve">para la toma de decisiones y confianza del usuario</w:t>
      </w:r>
      <w:r>
        <w:t xml:space="preserve"> </w:t>
      </w:r>
      <w:r>
        <w:t xml:space="preserve">(Bhattacharya y Verbert 2024)</w:t>
      </w:r>
      <w:r>
        <w:t xml:space="preserve"> </w:t>
      </w:r>
      <w:r>
        <w:t xml:space="preserve">no está</w:t>
      </w:r>
      <w:r>
        <w:t xml:space="preserve"> </w:t>
      </w:r>
      <w:r>
        <w:t xml:space="preserve">cubierta. La taxonomía del Capítulo 5 hace explícita esta limitación y la</w:t>
      </w:r>
      <w:r>
        <w:t xml:space="preserve"> </w:t>
      </w:r>
      <w:r>
        <w:t xml:space="preserve">localiza en los ejes de fuente de evidencia y contexto de tarea, pero los</w:t>
      </w:r>
      <w:r>
        <w:t xml:space="preserve"> </w:t>
      </w:r>
      <w:r>
        <w:t xml:space="preserve">criterios de selección prescriptivos derivados no incorporan preferencias de</w:t>
      </w:r>
      <w:r>
        <w:t xml:space="preserve"> </w:t>
      </w:r>
      <w:r>
        <w:t xml:space="preserve">usuarios finales.</w:t>
      </w:r>
    </w:p>
    <w:p>
      <w:pPr>
        <w:pStyle w:val="Textoindependiente"/>
        <w:spacing w:line="360" w:lineRule="auto"/>
        <w:jc w:val="both"/>
      </w:pPr>
      <w:r>
        <w:rPr>
          <w:b/>
          <w:bCs/>
        </w:rPr>
        <w:t xml:space="preserve">Configuraciones de referencia y artefactos de diseño.</w:t>
      </w:r>
      <w:r>
        <w:t xml:space="preserve"> </w:t>
      </w:r>
      <w:r>
        <w:t xml:space="preserve">Los resultados son válidos bajo las configuraciones de referencia de cada método. Tres caveats específicos deben tenerse en cuenta al interpretar las métricas de LIME.</w:t>
      </w:r>
    </w:p>
    <w:p>
      <w:pPr>
        <w:pStyle w:val="Textoindependiente"/>
        <w:spacing w:line="360" w:lineRule="auto"/>
        <w:jc w:val="both"/>
      </w:pPr>
      <w:r>
        <w:rPr>
          <w:i/>
          <w:iCs/>
        </w:rPr>
        <w:t xml:space="preserve">Artefacto de parsimonia.</w:t>
      </w:r>
      <w:r>
        <w:t xml:space="preserve"> </w:t>
      </w:r>
      <w:r>
        <w:t xml:space="preserve">El parámetro</w:t>
      </w:r>
      <w:r>
        <w:t xml:space="preserve"> </w:t>
      </w:r>
      <w:r>
        <w:rPr>
          <w:rStyle w:val="VerbatimChar"/>
        </w:rPr>
        <w:t xml:space="preserve">num_features = 10</w:t>
      </w:r>
      <w:r>
        <w:t xml:space="preserve"> </w:t>
      </w:r>
      <w:r>
        <w:t xml:space="preserve">de LIME actúa como techo rígido sobre el número de características activas devueltas. La parsimonia de LIME es, por tanto, un artefacto de configuración, no una propiedad emergente del modelo sustituto local. Las comparaciones de parsimonia con métodos sin restricción explícita deben interpretarse en este contexto.</w:t>
      </w:r>
    </w:p>
    <w:p>
      <w:pPr>
        <w:pStyle w:val="Textoindependiente"/>
        <w:spacing w:line="360" w:lineRule="auto"/>
        <w:jc w:val="both"/>
      </w:pPr>
      <w:r>
        <w:rPr>
          <w:i/>
          <w:iCs/>
        </w:rPr>
        <w:t xml:space="preserve">Alcance de la inestabilidad de LIME.</w:t>
      </w:r>
      <w:r>
        <w:t xml:space="preserve"> </w:t>
      </w:r>
      <w:r>
        <w:t xml:space="preserve">La inestabilidad de LIME observada en EXP2 (CV = 86.2%, similitud coseno media ≈ 0.014) fue examinada sistemáticamente variando</w:t>
      </w:r>
      <w:r>
        <w:t xml:space="preserve"> </w:t>
      </w:r>
      <w:r>
        <w:rPr>
          <w:rStyle w:val="VerbatimChar"/>
        </w:rPr>
        <w:t xml:space="preserve">num_samples</w:t>
      </w:r>
      <w:r>
        <w:t xml:space="preserve"> </w:t>
      </w:r>
      <w:r>
        <w:t xml:space="preserve">∈ {500, 1000, 2000}: la estabilidad permanece cercana a cero en todos los niveles, lo que descarta que el resultado sea un artefacto de convergencia del muestreo. La sensibilidad al ancho del kernel, en cambio, sí es sustantiva. Un análisis a</w:t>
      </w:r>
      <w:r>
        <w:t xml:space="preserve"> </w:t>
      </w:r>
      <w:r>
        <w:rPr>
          <w:rStyle w:val="VerbatimChar"/>
        </w:rPr>
        <w:t xml:space="preserve">kernel_width</w:t>
      </w:r>
      <w:r>
        <w:t xml:space="preserve"> </w:t>
      </w:r>
      <w:r>
        <w:t xml:space="preserve">∈ {0.25, 0.75, 3.0, 10.0} muestra que los valores inferiores a 3.0 producen pesos degenerados (cero) en el espacio de características preprocesado de 103 dimensiones —de modo que 3.0 es el mínimo viable— pero que</w:t>
      </w:r>
      <w:r>
        <w:t xml:space="preserve"> </w:t>
      </w:r>
      <w:r>
        <w:rPr>
          <w:rStyle w:val="VerbatimChar"/>
        </w:rPr>
        <w:t xml:space="preserve">kernel_width = 10.0</w:t>
      </w:r>
      <w:r>
        <w:t xml:space="preserve"> </w:t>
      </w:r>
      <w:r>
        <w:t xml:space="preserve">recupera una estabilidad de 0.664 a costa de la fidelidad, que desciende de 0.518 a 0.441 (Apéndice C,</w:t>
      </w:r>
      <w:r>
        <w:t xml:space="preserve"> </w:t>
      </w:r>
      <w:hyperlink w:anchor="tbl-appendix-lime-kw-sensitivity">
        <w:r>
          <w:rPr>
            <w:rStyle w:val="Hipervnculo"/>
          </w:rPr>
          <w:t xml:space="preserve">Tabla 7.11</w:t>
        </w:r>
      </w:hyperlink>
      <w:r>
        <w:t xml:space="preserve">). El resultado debe enunciarse, por tanto, con su condición de producción: bajo la configuración de referencia y en el espacio de 103 dimensiones de Adult Income, las explicaciones de LIME son casi ortogonales entre réplicas; no se trata de una propiedad universal del método, sino de una propiedad del par (configuración, espacio de características). La validación cruzada de EXP3 (§</w:t>
      </w:r>
      <w:hyperlink w:anchor="sec-exp3-nota">
        <w:r>
          <w:rPr>
            <w:rStyle w:val="Hipervnculo"/>
          </w:rPr>
          <w:t xml:space="preserve">7.5.1</w:t>
        </w:r>
      </w:hyperlink>
      <w:r>
        <w:t xml:space="preserve">) confirma esta lectura desde el otro extremo: con el mismo</w:t>
      </w:r>
      <w:r>
        <w:t xml:space="preserve"> </w:t>
      </w:r>
      <w:r>
        <w:rPr>
          <w:rStyle w:val="VerbatimChar"/>
        </w:rPr>
        <w:t xml:space="preserve">kernel_width = 3.0</w:t>
      </w:r>
      <w:r>
        <w:t xml:space="preserve">, LIME alcanza estabilidades de 0.748–0.927 en Breast Cancer y German Credit. La consecuencia práctica no es más débil, sino más accionable: la estabilidad de LIME no puede presuponerse a partir de la literatura ni de este benchmark, debe medirse en el espacio de características y la configuración del despliegue concreto.</w:t>
      </w:r>
    </w:p>
    <w:p>
      <w:pPr>
        <w:pStyle w:val="Textoindependiente"/>
        <w:spacing w:line="360" w:lineRule="auto"/>
        <w:jc w:val="both"/>
      </w:pPr>
      <w:r>
        <w:rPr>
          <w:i/>
          <w:iCs/>
        </w:rPr>
        <w:t xml:space="preserve">Sesgo de enmascaramiento y correlaciones de características.</w:t>
      </w:r>
      <w:r>
        <w:t xml:space="preserve"> </w:t>
      </w:r>
      <w:r>
        <w:t xml:space="preserve">La métrica de fidelidad enmascara características individualmente sustituyéndolas por valores de referencia medios. En el dataset Adult Income, pares como</w:t>
      </w:r>
      <w:r>
        <w:t xml:space="preserve"> </w:t>
      </w:r>
      <w:r>
        <w:rPr>
          <w:rStyle w:val="VerbatimChar"/>
        </w:rPr>
        <w:t xml:space="preserve">education</w:t>
      </w:r>
      <w:r>
        <w:t xml:space="preserve">/</w:t>
      </w:r>
      <w:r>
        <w:rPr>
          <w:rStyle w:val="VerbatimChar"/>
        </w:rPr>
        <w:t xml:space="preserve">education-num</w:t>
      </w:r>
      <w:r>
        <w:t xml:space="preserve"> </w:t>
      </w:r>
      <w:r>
        <w:t xml:space="preserve">(</w:t>
      </w:r>
      <ns5:oMath>
        <ns5:r>
          <ns5:t>r</ns5:t>
        </ns5:r>
        <ns5:r>
          <ns5:rPr>
            <ns5:sty ns5:val="p"/>
          </ns5:rPr>
          <ns5:t>=</ns5:t>
        </ns5:r>
        <ns5:r>
          <ns5:t>1.0</ns5:t>
        </ns5:r>
      </ns5:oMath>
      <w:r>
        <w:t xml:space="preserve">) y</w:t>
      </w:r>
      <w:r>
        <w:t xml:space="preserve"> </w:t>
      </w:r>
      <w:r>
        <w:rPr>
          <w:rStyle w:val="VerbatimChar"/>
        </w:rPr>
        <w:t xml:space="preserve">occupation</w:t>
      </w:r>
      <w:r>
        <w:t xml:space="preserve">/</w:t>
      </w:r>
      <w:r>
        <w:rPr>
          <w:rStyle w:val="VerbatimChar"/>
        </w:rPr>
        <w:t xml:space="preserve">education</w:t>
      </w:r>
      <w:r>
        <w:t xml:space="preserve"> </w:t>
      </w:r>
      <w:r>
        <w:t xml:space="preserve">(Cramér’s</w:t>
      </w:r>
      <w:r>
        <w:t xml:space="preserve"> </w:t>
      </w:r>
      <ns5:oMath>
        <ns5:r>
          <ns5:t>V</ns5:t>
        </ns5:r>
        <ns5:r>
          <ns5:rPr>
            <ns5:sty ns5:val="p"/>
          </ns5:rPr>
          <ns5:t>=</ns5:t>
        </ns5:r>
        <ns5:r>
          <ns5:t>0.196</ns5:t>
        </ns5:r>
      </ns5:oMath>
      <w:r>
        <w:t xml:space="preserve">) están moderadamente correlacionados. El enmascaramiento independiente de características correlacionadas genera instancias fuera de la distribución de entrenamiento, lo que puede sesgar la estimación de la importancia de características al hacer que el modelo reciba combinaciones de valores implausibles</w:t>
      </w:r>
      <w:r>
        <w:t xml:space="preserve"> </w:t>
      </w:r>
      <w:r>
        <w:t xml:space="preserve">(Hooker et al. 2019; Rong et al. 2022)</w:t>
      </w:r>
      <w:r>
        <w:t xml:space="preserve">. El operador común y determinista favorece la comparabilidad procedimental, pero no preserva la distribución conjunta ni elimina ese sesgo. No puede descartarse que parte de la brecha de fidelidad SHAP-LIME refleje sensibilidad diferencial a este mecanismo en lugar de diferencias puras de calidad de atribución.</w:t>
      </w:r>
    </w:p>
    <w:bookmarkEnd w:id="308"/>
    <w:bookmarkStart w:id="311" w:name="sec-fronteras"/>
    <w:p>
      <w:pPr>
        <w:pStyle w:val="Ttulo2"/>
        <w:spacing w:line="360" w:lineRule="auto"/>
        <w:jc w:val="both"/>
      </w:pPr>
      <w:r>
        <w:t xml:space="preserve">7.5 </w:t>
      </w:r>
      <w:r>
        <w:t xml:space="preserve">Fronteras de generalización</w:t>
      </w:r>
    </w:p>
    <w:p>
      <w:pPr>
        <w:pStyle w:val="FirstParagraph"/>
        <w:spacing w:line="360" w:lineRule="auto"/>
        <w:jc w:val="both"/>
      </w:pPr>
      <w:r>
        <w:t xml:space="preserve">La claridad sobre los límites de las afirmaciones es un requisito de integridad</w:t>
      </w:r>
      <w:r>
        <w:t xml:space="preserve"> </w:t>
      </w:r>
      <w:r>
        <w:t xml:space="preserve">científica. La Tabla</w:t>
      </w:r>
      <w:r>
        <w:t xml:space="preserve"> </w:t>
      </w:r>
      <w:hyperlink w:anchor="tbl-fronteras-generalizacion">
        <w:r>
          <w:rPr>
            <w:rStyle w:val="Hipervnculo"/>
          </w:rPr>
          <w:t xml:space="preserve">7.4</w:t>
        </w:r>
      </w:hyperlink>
      <w:r>
        <w:t xml:space="preserve"> </w:t>
      </w:r>
      <w:r>
        <w:t xml:space="preserve">especifica el alcance</w:t>
      </w:r>
      <w:r>
        <w:t xml:space="preserve"> </w:t>
      </w:r>
      <w:r>
        <w:t xml:space="preserve">soportado y el alcance no soportado de los hallazgos principales, junto con la</w:t>
      </w:r>
      <w:r>
        <w:t xml:space="preserve"> </w:t>
      </w:r>
      <w:r>
        <w:t xml:space="preserve">evidencia que sería necesaria para extender las conclusiones.</w:t>
      </w:r>
    </w:p>
    <w:tbl>
      <w:tblPr>
        <w:tblStyle w:val="Table"/>
        <w:tblW w:type="pct" w:w="5000"/>
        <w:jc w:val="center"/>
        <w:tblLayout w:type="fixed"/>
        <w:tblLook w:firstRow="0" w:lastRow="0" w:firstColumn="0" w:lastColumn="0" w:noHBand="0" w:noVBand="0" w:val="0000"/>
      </w:tblPr>
      <w:tblGrid>
        <w:gridCol w:w="7920"/>
      </w:tblGrid>
      <w:tr>
        <w:tc>
          <w:tcPr/>
          <w:bookmarkStart w:id="309" w:name="tbl-fronteras-generalizacion"/>
          <w:p>
            <w:pPr>
              <w:pStyle w:val="ImageCaption"/>
              <w:spacing w:before="200" w:line="360" w:lineRule="auto"/>
              <w:jc w:val="center"/>
            </w:pPr>
            <w:r>
              <w:t xml:space="preserve">Tabla 7.4: Fronteras de generalización de los hallazgos principales.</w:t>
            </w:r>
          </w:p>
          <w:tbl>
            <w:tblPr>
              <w:tblStyle w:val="Table"/>
              <w:tblW w:type="pct" w:w="500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Row="1" w:lastRow="0" w:firstColumn="0" w:lastColumn="0" w:noHBand="0" w:noVBand="0" w:val="0020"/>
            </w:tblPr>
            <w:tblGrid>
              <w:gridCol w:w="1980"/>
              <w:gridCol w:w="1980"/>
              <w:gridCol w:w="1980"/>
              <w:gridCol w:w="1980"/>
            </w:tblGrid>
            <w:tr>
              <w:trPr>
                <w:tblHeader w:val="on"/>
              </w:trPr>
              <w:tc>
                <w:tcPr/>
                <w:p>
                  <w:pPr>
                    <w:pStyle w:val="Compact"/>
                    <w:jc w:val="both"/>
                    <w:jc w:val="center"/>
                    <w:spacing w:line="360" w:lineRule="auto"/>
                  </w:pPr>
                  <w:r>
                    <w:rPr>
                      <w:bCs/>
                      <w:b/>
                    </w:rPr>
                    <w:t xml:space="preserve">Afirmación</w:t>
                  </w:r>
                </w:p>
              </w:tc>
              <w:tc>
                <w:tcPr/>
                <w:p>
                  <w:pPr>
                    <w:pStyle w:val="Compact"/>
                    <w:jc w:val="both"/>
                    <w:jc w:val="center"/>
                    <w:spacing w:line="360" w:lineRule="auto"/>
                  </w:pPr>
                  <w:r>
                    <w:rPr>
                      <w:bCs/>
                      <w:b/>
                    </w:rPr>
                    <w:t xml:space="preserve">Soportada para</w:t>
                  </w:r>
                </w:p>
              </w:tc>
              <w:tc>
                <w:tcPr/>
                <w:p>
                  <w:pPr>
                    <w:pStyle w:val="Compact"/>
                    <w:jc w:val="both"/>
                    <w:jc w:val="center"/>
                    <w:spacing w:line="360" w:lineRule="auto"/>
                  </w:pPr>
                  <w:r>
                    <w:rPr>
                      <w:bCs/>
                      <w:b/>
                    </w:rPr>
                    <w:t xml:space="preserve">No soportada para</w:t>
                  </w:r>
                </w:p>
              </w:tc>
              <w:tc>
                <w:tcPr/>
                <w:p>
                  <w:pPr>
                    <w:pStyle w:val="Compact"/>
                    <w:jc w:val="both"/>
                    <w:jc w:val="center"/>
                    <w:spacing w:line="360" w:lineRule="auto"/>
                  </w:pPr>
                  <w:r>
                    <w:rPr>
                      <w:bCs/>
                      <w:b/>
                    </w:rPr>
                    <w:t xml:space="preserve">Validación futura requerida</w:t>
                  </w:r>
                </w:p>
              </w:tc>
            </w:tr>
            <w:tr>
              <w:tc>
                <w:tcPr/>
                <w:p>
                  <w:pPr>
                    <w:pStyle w:val="Compact"/>
                    <w:jc w:val="both"/>
                    <w:jc w:val="center"/>
                    <w:spacing w:line="360" w:lineRule="auto"/>
                  </w:pPr>
                  <w:r>
                    <w:t xml:space="preserve">SHAP supera a LIME en fidelidad (efecto muy grande,</w:t>
                  </w:r>
                  <w:r>
                    <w:t xml:space="preserve"> </w:t>
                  </w:r>
                  <ns5:oMath>
                    <ns5:sSub>
                      <ns5:e>
                        <ns5:r>
                          <ns5:t>d</ns5:t>
                        </ns5:r>
                      </ns5:e>
                      <ns5:sub>
                        <ns5:r>
                          <ns5:t>z</ns5:t>
                        </ns5:r>
                      </ns5:sub>
                    </ns5:sSub>
                    <ns5:r>
                      <ns5:rPr>
                        <ns5:sty ns5:val="p"/>
                      </ns5:rPr>
                      <ns5:t>=</ns5:t>
                    </ns5:r>
                    <ns5:r>
                      <ns5:t>4.82</ns5:t>
                    </ns5:r>
                  </ns5:oMath>
                  <w:r>
                    <w:t xml:space="preserve">)</w:t>
                  </w:r>
                </w:p>
              </w:tc>
              <w:tc>
                <w:tcPr/>
                <w:p>
                  <w:pPr>
                    <w:pStyle w:val="Compact"/>
                    <w:jc w:val="both"/>
                    <w:jc w:val="center"/>
                    <w:spacing w:line="360" w:lineRule="auto"/>
                  </w:pPr>
                  <w:r>
                    <w:t xml:space="preserve">UCI Adult Income; clasificación tabular binaria; cinco modelos ML convencionales; métricas de fidelidad por enmascaramiento de características</w:t>
                  </w:r>
                </w:p>
              </w:tc>
              <w:tc>
                <w:tcPr/>
                <w:p>
                  <w:pPr>
                    <w:pStyle w:val="Compact"/>
                    <w:jc w:val="both"/>
                    <w:jc w:val="center"/>
                    <w:spacing w:line="360" w:lineRule="auto"/>
                  </w:pPr>
                  <w:r>
                    <w:t xml:space="preserve">Dominios de imagen, texto, series temporales; datasets tabulares adicionales para la comparación específica SHAP-LIME; otras operacionalizaciones de fidelidad (ROAR, pixel-flipping)</w:t>
                  </w:r>
                </w:p>
              </w:tc>
              <w:tc>
                <w:tcPr/>
                <w:p>
                  <w:pPr>
                    <w:pStyle w:val="Compact"/>
                    <w:jc w:val="both"/>
                    <w:jc w:val="center"/>
                    <w:spacing w:line="360" w:lineRule="auto"/>
                  </w:pPr>
                  <w:r>
                    <w:rPr>
                      <w:b/>
                      <w:bCs/>
                    </w:rPr>
                    <w:t xml:space="preserve">Validación parcial completada (EXP3):</w:t>
                  </w:r>
                  <w:r>
                    <w:t xml:space="preserve"> </w:t>
                  </w:r>
                  <w:r>
                    <w:t xml:space="preserve">el ordenamiento SHAP</w:t>
                  </w:r>
                  <w:r>
                    <w:t xml:space="preserve"> </w:t>
                  </w:r>
                  <ns5:oMath>
                    <ns5:r>
                      <ns5:rPr>
                        <ns5:sty ns5:val="p"/>
                      </ns5:rPr>
                      <ns5:t>&gt;</ns5:t>
                    </ns5:r>
                  </ns5:oMath>
                  <w:r>
                    <w:t xml:space="preserve"> </w:t>
                  </w:r>
                  <w:r>
                    <w:t xml:space="preserve">Anchors en fidelidad fue replicado en Breast Cancer Wisconsin y German Credit (12/12 combinaciones pareadas; véase §</w:t>
                  </w:r>
                  <w:hyperlink w:anchor="sec-exp3-nota">
                    <w:r>
                      <w:rPr>
                        <w:rStyle w:val="Hipervnculo"/>
                      </w:rPr>
                      <w:t xml:space="preserve">7.5.1</w:t>
                    </w:r>
                  </w:hyperlink>
                  <w:r>
                    <w:t xml:space="preserve">). La extensión posterior incorporó LIME en esos dos datasets, pero no instrumentó estabilidad de SHAP; por tanto, el contraste pareado SHAP-LIME completo fuera de Adult permanece pendiente.</w:t>
                  </w:r>
                  <w:r>
                    <w:t xml:space="preserve"> </w:t>
                  </w:r>
                  <w:r>
                    <w:rPr>
                      <w:b/>
                      <w:bCs/>
                    </w:rPr>
                    <w:t xml:space="preserve">Seguimiento (§</w:t>
                  </w:r>
                  <w:hyperlink w:anchor="sec-seg-transferencia">
                    <w:r>
                      <w:rPr>
                        <w:rStyle w:val="Hipervnculo"/>
                        <w:b/>
                        <w:bCs/>
                      </w:rPr>
                      <w:t xml:space="preserve">6.4</w:t>
                    </w:r>
                  </w:hyperlink>
                  <w:r>
                    <w:rPr>
                      <w:b/>
                      <w:bCs/>
                    </w:rPr>
                    <w:t xml:space="preserve">):</w:t>
                  </w:r>
                  <w:r>
                    <w:t xml:space="preserve"> </w:t>
                  </w:r>
                  <w:r>
                    <w:t xml:space="preserve">bajo un protocolo común, el par LIME–SHAP conserva el orden de Adult en 13 de los otros 15 conjuntos de datos en la brecha de fidelidad y en estabilidad; ese estudio no replica las magnitudes de este benchmark.</w:t>
                  </w:r>
                </w:p>
              </w:tc>
            </w:tr>
            <w:tr>
              <w:tc>
                <w:tcPr/>
                <w:p>
                  <w:pPr>
                    <w:pStyle w:val="Compact"/>
                    <w:jc w:val="both"/>
                    <w:jc w:val="center"/>
                    <w:spacing w:line="360" w:lineRule="auto"/>
                  </w:pPr>
                  <w:r>
                    <w:t xml:space="preserve">La inestabilidad de LIME es casi total en la condición medida (CV=86%, media≈0.014)</w:t>
                  </w:r>
                </w:p>
              </w:tc>
              <w:tc>
                <w:tcPr/>
                <w:p>
                  <w:pPr>
                    <w:pStyle w:val="Compact"/>
                    <w:jc w:val="both"/>
                    <w:jc w:val="center"/>
                    <w:spacing w:line="360" w:lineRule="auto"/>
                  </w:pPr>
                  <w:r>
                    <w:t xml:space="preserve">UCI Adult Income; espacio preprocesado de 103 dimensiones predominantemente binario; estabilidad definida como similitud coseno bajo perturbación gaussiana; configuración</w:t>
                  </w:r>
                  <w:r>
                    <w:t xml:space="preserve"> </w:t>
                  </w:r>
                  <w:r>
                    <w:rPr>
                      <w:rStyle w:val="VerbatimChar"/>
                    </w:rPr>
                    <w:t xml:space="preserve">num_samples=1000</w:t>
                  </w:r>
                  <w:r>
                    <w:t xml:space="preserve">,</w:t>
                  </w:r>
                  <w:r>
                    <w:t xml:space="preserve"> </w:t>
                  </w:r>
                  <w:r>
                    <w:rPr>
                      <w:rStyle w:val="VerbatimChar"/>
                    </w:rPr>
                    <w:t xml:space="preserve">kernel_width=3.0</w:t>
                  </w:r>
                </w:p>
              </w:tc>
              <w:tc>
                <w:tcPr/>
                <w:p>
                  <w:pPr>
                    <w:pStyle w:val="Compact"/>
                    <w:jc w:val="both"/>
                    <w:jc w:val="center"/>
                    <w:spacing w:line="360" w:lineRule="auto"/>
                  </w:pPr>
                  <w:r>
                    <w:t xml:space="preserve">Otros espacios de características o datasets —§</w:t>
                  </w:r>
                  <w:hyperlink w:anchor="sec-exp3-nota">
                    <w:r>
                      <w:rPr>
                        <w:rStyle w:val="Hipervnculo"/>
                      </w:rPr>
                      <w:t xml:space="preserve">7.5.1</w:t>
                    </w:r>
                  </w:hyperlink>
                  <w:r>
                    <w:t xml:space="preserve"> </w:t>
                  </w:r>
                  <w:r>
                    <w:t xml:space="preserve">mide 0.748–0.927 en Breast Cancer y German Credit bajo la misma configuración—; otros anchos de kernel (</w:t>
                  </w:r>
                  <w:r>
                    <w:rPr>
                      <w:rStyle w:val="VerbatimChar"/>
                    </w:rPr>
                    <w:t xml:space="preserve">kernel_width=10.0</w:t>
                  </w:r>
                  <w:r>
                    <w:t xml:space="preserve"> </w:t>
                  </w:r>
                  <w:r>
                    <w:t xml:space="preserve">produce 0.664, Apéndice C); otras definiciones de estabilidad (distancia Lipschitz local, varianza de pesos)</w:t>
                  </w:r>
                </w:p>
              </w:tc>
              <w:tc>
                <w:tcPr/>
                <w:p>
                  <w:pPr>
                    <w:pStyle w:val="Compact"/>
                    <w:jc w:val="both"/>
                    <w:jc w:val="center"/>
                    <w:spacing w:line="360" w:lineRule="auto"/>
                  </w:pPr>
                  <w:r>
                    <w:t xml:space="preserve">Interacción entre</w:t>
                  </w:r>
                  <w:r>
                    <w:t xml:space="preserve"> </w:t>
                  </w:r>
                  <w:r>
                    <w:rPr>
                      <w:rStyle w:val="VerbatimChar"/>
                    </w:rPr>
                    <w:t xml:space="preserve">kernel_width</w:t>
                  </w:r>
                  <w:r>
                    <w:t xml:space="preserve"> </w:t>
                  </w:r>
                  <w:r>
                    <w:t xml:space="preserve">y la dimensionalidad del espacio de características; estabilidad bajo esquemas de perturbación no gaussianos; instrumentación de la estabilidad de SHAP en los datasets de EXP3 para obtener el contraste pareado completo</w:t>
                  </w:r>
                </w:p>
              </w:tc>
            </w:tr>
            <w:tr>
              <w:tc>
                <w:tcPr/>
                <w:p>
                  <w:pPr>
                    <w:pStyle w:val="Compact"/>
                    <w:jc w:val="both"/>
                    <w:jc w:val="center"/>
                    <w:spacing w:line="360" w:lineRule="auto"/>
                  </w:pPr>
                  <w:r>
                    <w:t xml:space="preserve">FOM-7 produce resultados reproducibles (CV&lt;3% en fidelidad en el subgrupo replicado RF/</w:t>
                  </w:r>
                  <ns5:oMath>
                    <ns5:r>
                      <ns5:t>N</ns5:t>
                    </ns5:r>
                    <ns5:r>
                      <ns5:rPr>
                        <ns5:sty ns5:val="p"/>
                      </ns5:rPr>
                      <ns5:t>=</ns5:t>
                    </ns5:r>
                    <ns5:r>
                      <ns5:t>100</ns5:t>
                    </ns5:r>
                  </ns5:oMath>
                  <w:r>
                    <w:t xml:space="preserve">; CV agrupado 11.4% SHAP y 12.0% LIME sobre el conjunto completo, frente al umbral del 15% de P1)</w:t>
                  </w:r>
                </w:p>
              </w:tc>
              <w:tc>
                <w:tcPr/>
                <w:p>
                  <w:pPr>
                    <w:pStyle w:val="Compact"/>
                    <w:jc w:val="both"/>
                    <w:jc w:val="center"/>
                    <w:spacing w:line="360" w:lineRule="auto"/>
                  </w:pPr>
                  <w:r>
                    <w:t xml:space="preserve">Entorno controlado; cinco semillas definidas; modelos congelados en EXP1</w:t>
                  </w:r>
                </w:p>
              </w:tc>
              <w:tc>
                <w:tcPr/>
                <w:p>
                  <w:pPr>
                    <w:pStyle w:val="Compact"/>
                    <w:jc w:val="both"/>
                    <w:jc w:val="center"/>
                    <w:spacing w:line="360" w:lineRule="auto"/>
                  </w:pPr>
                  <w:r>
                    <w:t xml:space="preserve">Otros entornos computacionales sin control de recursos; modelos re-entrenados entre ejecuciones; datasets con alta varianza de instancias</w:t>
                  </w:r>
                </w:p>
              </w:tc>
              <w:tc>
                <w:tcPr/>
                <w:p>
                  <w:pPr>
                    <w:pStyle w:val="Compact"/>
                    <w:jc w:val="both"/>
                    <w:jc w:val="center"/>
                    <w:spacing w:line="360" w:lineRule="auto"/>
                  </w:pPr>
                  <w:r>
                    <w:t xml:space="preserve">Replicación independiente con infraestructura distinta; publicación de resultados en Zenodo con instrucciones verificadas</w:t>
                  </w:r>
                </w:p>
              </w:tc>
            </w:tr>
            <w:tr>
              <w:tc>
                <w:tcPr/>
                <w:p>
                  <w:pPr>
                    <w:pStyle w:val="Compact"/>
                    <w:jc w:val="both"/>
                    <w:jc w:val="center"/>
                    <w:spacing w:line="360" w:lineRule="auto"/>
                  </w:pPr>
                  <w:r>
                    <w:t xml:space="preserve">Los criterios prescriptivos de selección son válidos (Contextos A-D)</w:t>
                  </w:r>
                </w:p>
              </w:tc>
              <w:tc>
                <w:tcPr/>
                <w:p>
                  <w:pPr>
                    <w:pStyle w:val="Compact"/>
                    <w:jc w:val="both"/>
                    <w:jc w:val="center"/>
                    <w:spacing w:line="360" w:lineRule="auto"/>
                  </w:pPr>
                  <w:r>
                    <w:t xml:space="preserve">Condiciones del benchmark descritas; modelos y métricas definidas</w:t>
                  </w:r>
                </w:p>
              </w:tc>
              <w:tc>
                <w:tcPr/>
                <w:p>
                  <w:pPr>
                    <w:pStyle w:val="Compact"/>
                    <w:jc w:val="both"/>
                    <w:jc w:val="center"/>
                    <w:spacing w:line="360" w:lineRule="auto"/>
                  </w:pPr>
                  <w:r>
                    <w:t xml:space="preserve">Dominios regulados con restricciones normativas propias; preferencias de usuarios finales; criterios de comprehensibilidad</w:t>
                  </w:r>
                </w:p>
              </w:tc>
              <w:tc>
                <w:tcPr/>
                <w:p>
                  <w:pPr>
                    <w:pStyle w:val="Compact"/>
                    <w:jc w:val="both"/>
                    <w:jc w:val="center"/>
                    <w:spacing w:line="360" w:lineRule="auto"/>
                  </w:pPr>
                  <w:r>
                    <w:t xml:space="preserve">Estudios human-centered en dominios específicos (crédito, salud, justicia) con usuarios expertos</w:t>
                  </w:r>
                </w:p>
              </w:tc>
            </w:tr>
            <w:tr>
              <w:tc>
                <w:tcPr/>
                <w:p>
                  <w:pPr>
                    <w:pStyle w:val="Compact"/>
                    <w:jc w:val="both"/>
                    <w:jc w:val="center"/>
                    <w:spacing w:line="360" w:lineRule="auto"/>
                  </w:pPr>
                  <w:r>
                    <w:t xml:space="preserve">DiCE es preferible para recourse sobre otros métodos</w:t>
                  </w:r>
                </w:p>
              </w:tc>
              <w:tc>
                <w:tcPr/>
                <w:p>
                  <w:pPr>
                    <w:pStyle w:val="Compact"/>
                    <w:jc w:val="both"/>
                    <w:jc w:val="center"/>
                    <w:spacing w:line="360" w:lineRule="auto"/>
                  </w:pPr>
                  <w:r>
                    <w:t xml:space="preserve">Objetivo de cambio de predicción; dataset Adult Income</w:t>
                  </w:r>
                </w:p>
              </w:tc>
              <w:tc>
                <w:tcPr/>
                <w:p>
                  <w:pPr>
                    <w:pStyle w:val="Compact"/>
                    <w:jc w:val="both"/>
                    <w:jc w:val="center"/>
                    <w:spacing w:line="360" w:lineRule="auto"/>
                  </w:pPr>
                  <w:r>
                    <w:t xml:space="preserve">Entornos con restricciones de factibilidad semántica; dominios donde la accionabilidad requiere validación causal</w:t>
                  </w:r>
                </w:p>
              </w:tc>
              <w:tc>
                <w:tcPr/>
                <w:p>
                  <w:pPr>
                    <w:pStyle w:val="Compact"/>
                    <w:jc w:val="both"/>
                    <w:jc w:val="center"/>
                    <w:spacing w:line="360" w:lineRule="auto"/>
                  </w:pPr>
                  <w:r>
                    <w:t xml:space="preserve">Evaluación de contrafactuales bajo restricciones de dominio reales con expertos</w:t>
                  </w:r>
                </w:p>
              </w:tc>
            </w:tr>
            <w:tr>
              <w:tc>
                <w:tcPr/>
                <w:p>
                  <w:pPr>
                    <w:pStyle w:val="Compact"/>
                    <w:jc w:val="both"/>
                    <w:jc w:val="center"/>
                    <w:spacing w:line="360" w:lineRule="auto"/>
                  </w:pPr>
                  <w:r>
                    <w:t xml:space="preserve">La taxonomía de cuatro ejes organiza el espacio de métricas XAI</w:t>
                  </w:r>
                </w:p>
              </w:tc>
              <w:tc>
                <w:tcPr/>
                <w:p>
                  <w:pPr>
                    <w:pStyle w:val="Compact"/>
                    <w:jc w:val="both"/>
                    <w:jc w:val="center"/>
                    <w:spacing w:line="360" w:lineRule="auto"/>
                  </w:pPr>
                  <w:r>
                    <w:t xml:space="preserve">Las 15 métricas catalogadas en la matriz taxonómica; literatura revisada en el corpus de construcción</w:t>
                  </w:r>
                </w:p>
              </w:tc>
              <w:tc>
                <w:tcPr/>
                <w:p>
                  <w:pPr>
                    <w:pStyle w:val="Compact"/>
                    <w:jc w:val="both"/>
                    <w:jc w:val="center"/>
                    <w:spacing w:line="360" w:lineRule="auto"/>
                  </w:pPr>
                  <w:r>
                    <w:t xml:space="preserve">Métricas emergentes no revisadas; métricas específicas de dominio (XAI médica, XAI legal) con propiedades propias</w:t>
                  </w:r>
                </w:p>
              </w:tc>
              <w:tc>
                <w:tcPr/>
                <w:p>
                  <w:pPr>
                    <w:pStyle w:val="Compact"/>
                    <w:jc w:val="both"/>
                    <w:jc w:val="center"/>
                    <w:spacing w:line="360" w:lineRule="auto"/>
                  </w:pPr>
                  <w:r>
                    <w:t xml:space="preserve">Extensión del corpus de revisión; validación por expertos de dominio</w:t>
                  </w:r>
                </w:p>
              </w:tc>
            </w:tr>
          </w:tbl>
          <w:bookmarkEnd w:id="309"/>
          <w:p>
            <w:pPr>
              <w:spacing w:line="360" w:lineRule="auto"/>
              <w:jc w:val="both"/>
            </w:pPr>
          </w:p>
        </w:tc>
      </w:tr>
    </w:tbl>
    <w:p>
      <w:pPr>
        <w:pStyle w:val="Textoindependiente"/>
        <w:spacing w:line="360" w:lineRule="auto"/>
        <w:jc w:val="both"/>
      </w:pPr>
      <w:r>
        <w:t xml:space="preserve">Esta tabla cumple la función de convertir las limitaciones del estudio en</w:t>
      </w:r>
      <w:r>
        <w:t xml:space="preserve"> </w:t>
      </w:r>
      <w:r>
        <w:t xml:space="preserve">información científica estructurada. Al especificar qué evidencia sería</w:t>
      </w:r>
      <w:r>
        <w:t xml:space="preserve"> </w:t>
      </w:r>
      <w:r>
        <w:t xml:space="preserve">necesaria para extender cada afirmación, la tesis no solo reconoce sus límites</w:t>
      </w:r>
      <w:r>
        <w:t xml:space="preserve"> </w:t>
      </w:r>
      <w:r>
        <w:t xml:space="preserve">sino que define la agenda de investigación de la manera más útil para</w:t>
      </w:r>
      <w:r>
        <w:t xml:space="preserve"> </w:t>
      </w:r>
      <w:r>
        <w:t xml:space="preserve">investigadores que deseen construir sobre estos resultados.</w:t>
      </w:r>
    </w:p>
    <w:bookmarkStart w:id="310" w:name="sec-exp3-nota"/>
    <w:p>
      <w:pPr>
        <w:pStyle w:val="Ttulo3"/>
        <w:spacing w:line="360" w:lineRule="auto"/>
        <w:jc w:val="both"/>
      </w:pPr>
      <w:r>
        <w:t xml:space="preserve">7.5.1 </w:t>
      </w:r>
      <w:r>
        <w:t xml:space="preserve">Nota sobre la validación externa parcial: EXP3</w:t>
      </w:r>
    </w:p>
    <w:p>
      <w:pPr>
        <w:pStyle w:val="FirstParagraph"/>
        <w:spacing w:line="360" w:lineRule="auto"/>
        <w:jc w:val="both"/>
      </w:pPr>
      <w:r>
        <w:t xml:space="preserve">Durante el desarrollo de esta línea de investigación se completó una validación</w:t>
      </w:r>
      <w:r>
        <w:t xml:space="preserve"> </w:t>
      </w:r>
      <w:r>
        <w:t xml:space="preserve">externa parcial del ordenamiento de fidelidad (EXP3). El estudio comparó SHAP</w:t>
      </w:r>
      <w:r>
        <w:t xml:space="preserve"> </w:t>
      </w:r>
      <w:r>
        <w:t xml:space="preserve">frente a Anchors en dos datasets tabulares binarios adicionales: Breast Cancer</w:t>
      </w:r>
      <w:r>
        <w:t xml:space="preserve"> </w:t>
      </w:r>
      <w:r>
        <w:t xml:space="preserve">Wisconsin</w:t>
      </w:r>
      <w:r>
        <w:t xml:space="preserve"> </w:t>
      </w:r>
      <w:r>
        <w:t xml:space="preserve">(</w:t>
      </w:r>
      <ns5:oMath>
        <ns5:r>
          <ns5:t>n</ns5:t>
        </ns5:r>
        <ns5:r>
          <ns5:rPr>
            <ns5:sty ns5:val="p"/>
          </ns5:rPr>
          <ns5:t>=</ns5:t>
        </ns5:r>
        <ns5:r>
          <ns5:t>569</ns5:t>
        </ns5:r>
      </ns5:oMath>
      <w:r>
        <w:t xml:space="preserve">, 30 características, Dua y Graff 2019)</w:t>
      </w:r>
      <w:r>
        <w:t xml:space="preserve"> </w:t>
      </w:r>
      <w:r>
        <w:t xml:space="preserve">y German Credit</w:t>
      </w:r>
      <w:r>
        <w:t xml:space="preserve"> </w:t>
      </w:r>
      <w:r>
        <w:t xml:space="preserve">(</w:t>
      </w:r>
      <ns5:oMath>
        <ns5:r>
          <ns5:t>n</ns5:t>
        </ns5:r>
        <ns5:r>
          <ns5:rPr>
            <ns5:sty ns5:val="p"/>
          </ns5:rPr>
          <ns5:t>=</ns5:t>
        </ns5:r>
        <ns5:r>
          <ns5:t>1</ns5:t>
        </ns5:r>
        <ns5:r>
          <ns5:rPr>
            <ns5:sty ns5:val="p"/>
          </ns5:rPr>
          <ns5:t>,</ns5:t>
        </ns5:r>
        <ns5:r>
          <ns5:t>000</ns5:t>
        </ns5:r>
      </ns5:oMath>
      <w:r>
        <w:t xml:space="preserve">, 20 características, Dua y Graff 2019)</w:t>
      </w:r>
      <w:r>
        <w:t xml:space="preserve">, empleando los modelos Random Forest</w:t>
      </w:r>
      <w:r>
        <w:t xml:space="preserve"> </w:t>
      </w:r>
      <w:r>
        <w:t xml:space="preserve">y XGBoost con tres semillas por combinación (</w:t>
      </w:r>
      <ns5:oMath>
        <ns5:r>
          <ns5:t>3</ns5:t>
        </ns5:r>
        <ns5:r>
          <ns5:rPr>
            <ns5:sty ns5:val="p"/>
          </ns5:rPr>
          <ns5:t>×</ns5:t>
        </ns5:r>
        <ns5:r>
          <ns5:t>2</ns5:t>
        </ns5:r>
        <ns5:r>
          <ns5:rPr>
            <ns5:sty ns5:val="p"/>
          </ns5:rPr>
          <ns5:t>×</ns5:t>
        </ns5:r>
        <ns5:r>
          <ns5:t>2</ns5:t>
        </ns5:r>
        <ns5:r>
          <ns5:rPr>
            <ns5:sty ns5:val="p"/>
          </ns5:rPr>
          <ns5:t>=</ns5:t>
        </ns5:r>
        <ns5:r>
          <ns5:t>12</ns5:t>
        </ns5:r>
      </ns5:oMath>
      <w:r>
        <w:t xml:space="preserve"> </w:t>
      </w:r>
      <w:r>
        <w:t xml:space="preserve">comparaciones pareadas por dataset</w:t>
      </w:r>
      <w:r>
        <w:t xml:space="preserve"> </w:t>
      </w:r>
      <ns5:oMath>
        <ns5:r>
          <ns5:rPr>
            <ns5:sty ns5:val="p"/>
          </ns5:rPr>
          <ns5:t>×</ns5:t>
        </ns5:r>
      </ns5:oMath>
      <w:r>
        <w:t xml:space="preserve"> </w:t>
      </w:r>
      <w:r>
        <w:t xml:space="preserve">modelo</w:t>
      </w:r>
      <w:r>
        <w:t xml:space="preserve"> </w:t>
      </w:r>
      <ns5:oMath>
        <ns5:r>
          <ns5:rPr>
            <ns5:sty ns5:val="p"/>
          </ns5:rPr>
          <ns5:t>×</ns5:t>
        </ns5:r>
      </ns5:oMath>
      <w:r>
        <w:t xml:space="preserve"> </w:t>
      </w:r>
      <w:r>
        <w:t xml:space="preserve">semilla). SHAP</w:t>
      </w:r>
      <w:r>
        <w:t xml:space="preserve"> </w:t>
      </w:r>
      <w:r>
        <w:t xml:space="preserve">superó a Anchors en fidelidad en las 12 combinaciones, con brechas medias de</w:t>
      </w:r>
      <w:r>
        <w:t xml:space="preserve"> </w:t>
      </w:r>
      <ns5:oMath>
        <ns5:r>
          <ns5:rPr>
            <ns5:sty ns5:val="p"/>
          </ns5:rPr>
          <ns5:t>+</ns5:t>
        </ns5:r>
        <ns5:r>
          <ns5:t>0.26</ns5:t>
        </ns5:r>
      </ns5:oMath>
      <w:r>
        <w:t xml:space="preserve"> </w:t>
      </w:r>
      <w:r>
        <w:t xml:space="preserve">(German Credit, XGB) a</w:t>
      </w:r>
      <w:r>
        <w:t xml:space="preserve"> </w:t>
      </w:r>
      <ns5:oMath>
        <ns5:r>
          <ns5:rPr>
            <ns5:sty ns5:val="p"/>
          </ns5:rPr>
          <ns5:t>+</ns5:t>
        </ns5:r>
        <ns5:r>
          <ns5:t>0.51</ns5:t>
        </ns5:r>
      </ns5:oMath>
      <w:r>
        <w:t xml:space="preserve"> </w:t>
      </w:r>
      <w:r>
        <w:t xml:space="preserve">(Breast Cancer, RF). Estos resultados</w:t>
      </w:r>
      <w:r>
        <w:t xml:space="preserve"> </w:t>
      </w:r>
      <w:r>
        <w:t xml:space="preserve">replican el ordenamiento observado en EXP2 en espacios de características con</w:t>
      </w:r>
      <w:r>
        <w:t xml:space="preserve"> </w:t>
      </w:r>
      <w:r>
        <w:t xml:space="preserve">dimensionalidad y distribución distintas al dataset primario.</w:t>
      </w:r>
    </w:p>
    <w:p>
      <w:pPr>
        <w:pStyle w:val="Textoindependiente"/>
        <w:spacing w:line="360" w:lineRule="auto"/>
        <w:jc w:val="both"/>
      </w:pPr>
      <w:r>
        <w:t xml:space="preserve">Adicionalmente, se completó una extensión de EXP3 que incluye LIME en los</w:t>
      </w:r>
      <w:r>
        <w:t xml:space="preserve"> </w:t>
      </w:r>
      <w:r>
        <w:t xml:space="preserve">mismos dos datasets, utilizando el protocolo de fidelidad y estabilidad del</w:t>
      </w:r>
      <w:r>
        <w:t xml:space="preserve"> </w:t>
      </w:r>
      <w:r>
        <w:t xml:space="preserve">diseño EXP2 (</w:t>
      </w:r>
      <ns5:oMath>
        <ns5:r>
          <ns5:t>N</ns5:t>
        </ns5:r>
        <ns5:r>
          <ns5:rPr>
            <ns5:sty ns5:val="p"/>
          </ns5:rPr>
          <ns5:t>=</ns5:t>
        </ns5:r>
        <ns5:r>
          <ns5:t>100</ns5:t>
        </ns5:r>
      </ns5:oMath>
      <w:r>
        <w:t xml:space="preserve">, 50 por clase; estabilidad:</w:t>
      </w:r>
      <w:r>
        <w:t xml:space="preserve"> </w:t>
      </w:r>
      <ns5:oMath>
        <ns5:r>
          <ns5:t>T</ns5:t>
        </ns5:r>
        <ns5:r>
          <ns5:rPr>
            <ns5:sty ns5:val="p"/>
          </ns5:rPr>
          <ns5:t>=</ns5:t>
        </ns5:r>
        <ns5:r>
          <ns5:t>15</ns5:t>
        </ns5:r>
      </ns5:oMath>
      <w:r>
        <w:t xml:space="preserve"> </w:t>
      </w:r>
      <w:r>
        <w:t xml:space="preserve">perturbaciones</w:t>
      </w:r>
      <w:r>
        <w:t xml:space="preserve"> </w:t>
      </w:r>
      <w:r>
        <w:t xml:space="preserve">gaussianas,</w:t>
      </w:r>
      <w:r>
        <w:t xml:space="preserve"> </w:t>
      </w:r>
      <ns5:oMath>
        <ns5:r>
          <ns5:t>σ</ns5:t>
        </ns5:r>
        <ns5:r>
          <ns5:rPr>
            <ns5:sty ns5:val="p"/>
          </ns5:rPr>
          <ns5:t>=</ns5:t>
        </ns5:r>
        <ns5:r>
          <ns5:t>0.1</ns5:t>
        </ns5:r>
      </ns5:oMath>
      <w:r>
        <w:t xml:space="preserve">). Los resultados principales son los siguientes.</w:t>
      </w:r>
      <w:r>
        <w:t xml:space="preserve"> </w:t>
      </w:r>
      <w:r>
        <w:t xml:space="preserve">En fidelidad, LIME alcanza valores de</w:t>
      </w:r>
      <w:r>
        <w:t xml:space="preserve"> </w:t>
      </w:r>
      <ns5:oMath>
        <ns5:r>
          <ns5:t>0.713</ns5:t>
        </ns5:r>
      </ns5:oMath>
      <w:r>
        <w:t xml:space="preserve"> </w:t>
      </w:r>
      <w:r>
        <w:t xml:space="preserve">(BC, RF) y</w:t>
      </w:r>
      <w:r>
        <w:t xml:space="preserve"> </w:t>
      </w:r>
      <ns5:oMath>
        <ns5:r>
          <ns5:t>0.543</ns5:t>
        </ns5:r>
      </ns5:oMath>
      <w:r>
        <w:t xml:space="preserve"> </w:t>
      </w:r>
      <w:r>
        <w:t xml:space="preserve">(BC, XGB),</w:t>
      </w:r>
      <w:r>
        <w:t xml:space="preserve"> </w:t>
      </w:r>
      <w:r>
        <w:t xml:space="preserve">frente a</w:t>
      </w:r>
      <w:r>
        <w:t xml:space="preserve"> </w:t>
      </w:r>
      <ns5:oMath>
        <ns5:r>
          <ns5:t>0.483</ns5:t>
        </ns5:r>
      </ns5:oMath>
      <w:r>
        <w:t xml:space="preserve"> </w:t>
      </w:r>
      <w:r>
        <w:t xml:space="preserve">(GC, RF) y</w:t>
      </w:r>
      <w:r>
        <w:t xml:space="preserve"> </w:t>
      </w:r>
      <ns5:oMath>
        <ns5:r>
          <ns5:t>0.468</ns5:t>
        </ns5:r>
      </ns5:oMath>
      <w:r>
        <w:t xml:space="preserve"> </w:t>
      </w:r>
      <w:r>
        <w:t xml:space="preserve">(GC, XGB). El ordenamiento SHAP &gt; LIME se</w:t>
      </w:r>
      <w:r>
        <w:t xml:space="preserve"> </w:t>
      </w:r>
      <w:r>
        <w:t xml:space="preserve">sostiene en German Credit pero la brecha se reduce en Breast Cancer (</w:t>
      </w:r>
      <ns5:oMath>
        <ns5:r>
          <ns5:rPr>
            <ns5:sty ns5:val="p"/>
          </ns5:rPr>
          <ns5:t>+</ns5:t>
        </ns5:r>
        <ns5:r>
          <ns5:t>0.07</ns5:t>
        </ns5:r>
      </ns5:oMath>
      <w:r>
        <w:t xml:space="preserve"> </w:t>
      </w:r>
      <w:r>
        <w:t xml:space="preserve">en BC frente a</w:t>
      </w:r>
      <w:r>
        <w:t xml:space="preserve"> </w:t>
      </w:r>
      <ns5:oMath>
        <ns5:r>
          <ns5:rPr>
            <ns5:sty ns5:val="p"/>
          </ns5:rPr>
          <ns5:t>+</ns5:t>
        </ns5:r>
        <ns5:r>
          <ns5:t>0.27</ns5:t>
        </ns5:r>
      </ns5:oMath>
      <w:r>
        <w:t xml:space="preserve"> </w:t>
      </w:r>
      <w:r>
        <w:t xml:space="preserve">en Adult, ambas cifras para RF). El resultado más notable concierne a la</w:t>
      </w:r>
      <w:r>
        <w:t xml:space="preserve"> </w:t>
      </w:r>
      <w:r>
        <w:t xml:space="preserve">estabilidad: LIME obtiene similitud coseno media de</w:t>
      </w:r>
      <w:r>
        <w:t xml:space="preserve"> </w:t>
      </w:r>
      <ns5:oMath>
        <ns5:r>
          <ns5:t>0.922</ns5:t>
        </ns5:r>
      </ns5:oMath>
      <w:r>
        <w:t xml:space="preserve">–</w:t>
      </w:r>
      <ns5:oMath>
        <ns5:r>
          <ns5:t>0.927</ns5:t>
        </ns5:r>
      </ns5:oMath>
      <w:r>
        <w:t xml:space="preserve"> </w:t>
      </w:r>
      <w:r>
        <w:t xml:space="preserve">en Breast</w:t>
      </w:r>
      <w:r>
        <w:t xml:space="preserve"> </w:t>
      </w:r>
      <w:r>
        <w:t xml:space="preserve">Cancer y</w:t>
      </w:r>
      <w:r>
        <w:t xml:space="preserve"> </w:t>
      </w:r>
      <ns5:oMath>
        <ns5:r>
          <ns5:t>0.748</ns5:t>
        </ns5:r>
      </ns5:oMath>
      <w:r>
        <w:t xml:space="preserve">–</w:t>
      </w:r>
      <ns5:oMath>
        <ns5:r>
          <ns5:t>0.854</ns5:t>
        </ns5:r>
      </ns5:oMath>
      <w:r>
        <w:t xml:space="preserve"> </w:t>
      </w:r>
      <w:r>
        <w:t xml:space="preserve">en German Credit, en marcado contraste con el valor</w:t>
      </w:r>
      <w:r>
        <w:t xml:space="preserve"> </w:t>
      </w:r>
      <w:r>
        <w:t xml:space="preserve">de</w:t>
      </w:r>
      <w:r>
        <w:t xml:space="preserve"> </w:t>
      </w:r>
      <ns5:oMath>
        <ns5:r>
          <ns5:t>0.014</ns5:t>
        </ns5:r>
      </ns5:oMath>
      <w:r>
        <w:t xml:space="preserve"> </w:t>
      </w:r>
      <w:r>
        <w:t xml:space="preserve">registrado en Adult Income. Esta disparidad apunta al espacio de</w:t>
      </w:r>
      <w:r>
        <w:t xml:space="preserve"> </w:t>
      </w:r>
      <w:r>
        <w:t xml:space="preserve">características como factor mediador: Adult Income fue preprocesado mediante</w:t>
      </w:r>
      <w:r>
        <w:t xml:space="preserve"> </w:t>
      </w:r>
      <w:r>
        <w:t xml:space="preserve">codificación one-hot de 13 variables categóricas, produciendo un espacio de</w:t>
      </w:r>
      <w:r>
        <w:t xml:space="preserve"> </w:t>
      </w:r>
      <w:r>
        <w:t xml:space="preserve">103 dimensiones predominantemente binario; Breast Cancer (30 características</w:t>
      </w:r>
      <w:r>
        <w:t xml:space="preserve"> </w:t>
      </w:r>
      <w:r>
        <w:t xml:space="preserve">continuas) y German Credit (61 dimensiones tras preprocesamiento, mezcla de</w:t>
      </w:r>
      <w:r>
        <w:t xml:space="preserve"> </w:t>
      </w:r>
      <w:r>
        <w:t xml:space="preserve">continuas y binarias) presentan estructuras de vecindad más densas y regulares</w:t>
      </w:r>
      <w:r>
        <w:t xml:space="preserve"> </w:t>
      </w:r>
      <w:r>
        <w:t xml:space="preserve">para el kernel de LIME. La inestabilidad estructural de LIME documentada en</w:t>
      </w:r>
      <w:r>
        <w:t xml:space="preserve"> </w:t>
      </w:r>
      <w:r>
        <w:t xml:space="preserve">EXP2 es, por tanto, dependiente del espacio de características, no una</w:t>
      </w:r>
      <w:r>
        <w:t xml:space="preserve"> </w:t>
      </w:r>
      <w:r>
        <w:t xml:space="preserve">propiedad universal del método.</w:t>
      </w:r>
    </w:p>
    <w:p>
      <w:pPr>
        <w:pStyle w:val="Textoindependiente"/>
        <w:spacing w:line="360" w:lineRule="auto"/>
        <w:jc w:val="both"/>
      </w:pPr>
      <w:r>
        <w:t xml:space="preserve">El alcance de EXP3 permanece acotado en dos sentidos relevantes. Primero, la</w:t>
      </w:r>
      <w:r>
        <w:t xml:space="preserve"> </w:t>
      </w:r>
      <w:r>
        <w:t xml:space="preserve">estabilidad de SHAP no fue instrumentada en los datasets adicionales (la sonda</w:t>
      </w:r>
      <w:r>
        <w:t xml:space="preserve"> </w:t>
      </w:r>
      <w:r>
        <w:t xml:space="preserve">se diseñó para LIME), por lo que no es posible calcular diferencias pareadas</w:t>
      </w:r>
      <w:r>
        <w:t xml:space="preserve"> </w:t>
      </w:r>
      <w:r>
        <w:t xml:space="preserve">SHAP-LIME de estabilidad en BC ni GC. Segundo, los modelos SVM y MLP no están</w:t>
      </w:r>
      <w:r>
        <w:t xml:space="preserve"> </w:t>
      </w:r>
      <w:r>
        <w:t xml:space="preserve">cubiertos. En consecuencia, la afirmación principal de esta tesis —SHAP supera</w:t>
      </w:r>
      <w:r>
        <w:t xml:space="preserve"> </w:t>
      </w:r>
      <w:r>
        <w:t xml:space="preserve">a LIME en fidelidad (</w:t>
      </w:r>
      <ns5:oMath>
        <ns5:sSub>
          <ns5:e>
            <ns5:r>
              <ns5:t>d</ns5:t>
            </ns5:r>
          </ns5:e>
          <ns5:sub>
            <ns5:r>
              <ns5:t>z</ns5:t>
            </ns5:r>
          </ns5:sub>
        </ns5:sSub>
        <ns5:r>
          <ns5:rPr>
            <ns5:sty ns5:val="p"/>
          </ns5:rPr>
          <ns5:t>=</ns5:t>
        </ns5:r>
        <ns5:r>
          <ns5:t>4.82</ns5:t>
        </ns5:r>
      </ns5:oMath>
      <w:r>
        <w:t xml:space="preserve">) y en estabilidad (</w:t>
      </w:r>
      <ns5:oMath>
        <ns5:sSub>
          <ns5:e>
            <ns5:r>
              <ns5:t>d</ns5:t>
            </ns5:r>
          </ns5:e>
          <ns5:sub>
            <ns5:r>
              <ns5:t>z</ns5:t>
            </ns5:r>
          </ns5:sub>
        </ns5:sSub>
        <ns5:r>
          <ns5:rPr>
            <ns5:sty ns5:val="p"/>
          </ns5:rPr>
          <ns5:t>=</ns5:t>
        </ns5:r>
        <ns5:r>
          <ns5:t>3.00</ns5:t>
        </ns5:r>
      </ns5:oMath>
      <w:r>
        <w:t xml:space="preserve">)— permanece</w:t>
      </w:r>
      <w:r>
        <w:t xml:space="preserve"> </w:t>
      </w:r>
      <w:r>
        <w:t xml:space="preserve">referida a UCI Adult Income bajo las condiciones del diseño EXP2; la extensión</w:t>
      </w:r>
      <w:r>
        <w:t xml:space="preserve"> </w:t>
      </w:r>
      <w:r>
        <w:t xml:space="preserve">cross-dataset muestra que la ventaja de fidelidad se mantiene pero se atenúa, y</w:t>
      </w:r>
      <w:r>
        <w:t xml:space="preserve"> </w:t>
      </w:r>
      <w:r>
        <w:t xml:space="preserve">que la brecha de estabilidad puede ser un artefacto del espacio de alta dimensión</w:t>
      </w:r>
      <w:r>
        <w:t xml:space="preserve"> </w:t>
      </w:r>
      <w:r>
        <w:t xml:space="preserve">y no una diferencia intrínseca entre métodos.</w:t>
      </w:r>
    </w:p>
    <w:bookmarkEnd w:id="310"/>
    <w:bookmarkEnd w:id="311"/>
    <w:bookmarkStart w:id="312" w:name="sec-futuro"/>
    <w:p>
      <w:pPr>
        <w:pStyle w:val="Ttulo2"/>
        <w:spacing w:line="360" w:lineRule="auto"/>
        <w:jc w:val="both"/>
      </w:pPr>
      <w:r>
        <w:t xml:space="preserve">7.6 </w:t>
      </w:r>
      <w:r>
        <w:t xml:space="preserve">Líneas de investigación futura</w:t>
      </w:r>
    </w:p>
    <w:p>
      <w:pPr>
        <w:pStyle w:val="FirstParagraph"/>
        <w:spacing w:line="360" w:lineRule="auto"/>
        <w:jc w:val="both"/>
      </w:pPr>
      <w:r>
        <w:t xml:space="preserve">Los resultados, las limitaciones y la taxonomía del Capítulo 5 convergen en</w:t>
      </w:r>
      <w:r>
        <w:t xml:space="preserve"> </w:t>
      </w:r>
      <w:r>
        <w:t xml:space="preserve">señalar cinco extensiones de investigación con fundamento empírico:</w:t>
      </w:r>
    </w:p>
    <w:p>
      <w:pPr>
        <w:pStyle w:val="Textoindependiente"/>
        <w:spacing w:line="360" w:lineRule="auto"/>
        <w:jc w:val="both"/>
      </w:pPr>
      <w:r>
        <w:rPr>
          <w:b/>
          <w:bCs/>
        </w:rPr>
        <w:t xml:space="preserve">1. Extensión del benchmark a dominios de imagen y texto.</w:t>
      </w:r>
      <w:r>
        <w:t xml:space="preserve"> </w:t>
      </w:r>
      <w:r>
        <w:t xml:space="preserve">La arquitectura</w:t>
      </w:r>
      <w:r>
        <w:t xml:space="preserve"> </w:t>
      </w:r>
      <w:r>
        <w:t xml:space="preserve">experimental del FOM-7 es portátil. Su aplicación a dominios no tabulares</w:t>
      </w:r>
      <w:r>
        <w:t xml:space="preserve"> </w:t>
      </w:r>
      <w:r>
        <w:t xml:space="preserve">requiere redefinir las métricas de fidelidad (sustituyendo enmascaramiento</w:t>
      </w:r>
      <w:r>
        <w:t xml:space="preserve"> </w:t>
      </w:r>
      <w:r>
        <w:t xml:space="preserve">de características por pixel-flipping o eliminación de tokens) y estabilidad</w:t>
      </w:r>
      <w:r>
        <w:t xml:space="preserve"> </w:t>
      </w:r>
      <w:r>
        <w:t xml:space="preserve">(sustituyendo perturbación gaussiana por transformaciones específicas del</w:t>
      </w:r>
      <w:r>
        <w:t xml:space="preserve"> </w:t>
      </w:r>
      <w:r>
        <w:t xml:space="preserve">dominio). El protocolo FOM-7 está diseñado para acomodar esta extensión sin</w:t>
      </w:r>
      <w:r>
        <w:t xml:space="preserve"> </w:t>
      </w:r>
      <w:r>
        <w:t xml:space="preserve">cambios en su lógica de puertas.</w:t>
      </w:r>
    </w:p>
    <w:p>
      <w:pPr>
        <w:pStyle w:val="Textoindependiente"/>
        <w:spacing w:line="360" w:lineRule="auto"/>
        <w:jc w:val="both"/>
      </w:pPr>
      <w:r>
        <w:rPr>
          <w:b/>
          <w:bCs/>
        </w:rPr>
        <w:t xml:space="preserve">2. Validación de evaluadores semánticos e incorporación de evaluación</w:t>
      </w:r>
      <w:r>
        <w:rPr>
          <w:b/>
          <w:bCs/>
        </w:rPr>
        <w:t xml:space="preserve"> </w:t>
      </w:r>
      <w:r>
        <w:rPr>
          <w:b/>
          <w:bCs/>
        </w:rPr>
        <w:t xml:space="preserve">human-centered.</w:t>
      </w:r>
      <w:r>
        <w:t xml:space="preserve"> </w:t>
      </w:r>
      <w:r>
        <w:t xml:space="preserve">EXP4 (§</w:t>
      </w:r>
      <w:hyperlink w:anchor="sec-exp4-fiabilidad">
        <w:r>
          <w:rPr>
            <w:rStyle w:val="Hipervnculo"/>
          </w:rPr>
          <w:t xml:space="preserve">5.8</w:t>
        </w:r>
      </w:hyperlink>
      <w:r>
        <w:t xml:space="preserve">) estableció que los jueces LLM</w:t>
      </w:r>
      <w:r>
        <w:t xml:space="preserve"> </w:t>
      </w:r>
      <w:r>
        <w:t xml:space="preserve">actuales no alcanzan la convergencia inter-juez necesaria bajo rúbricas sin</w:t>
      </w:r>
      <w:r>
        <w:t xml:space="preserve"> </w:t>
      </w:r>
      <w:r>
        <w:t xml:space="preserve">especificación de stakeholder. La continuación directa de este resultado son dos</w:t>
      </w:r>
      <w:r>
        <w:t xml:space="preserve"> </w:t>
      </w:r>
      <w:r>
        <w:t xml:space="preserve">líneas: primera, rediseñar las rúbricas con los cuatro criterios de formalización</w:t>
      </w:r>
      <w:r>
        <w:t xml:space="preserve"> </w:t>
      </w:r>
      <w:r>
        <w:t xml:space="preserve">identificados en §</w:t>
      </w:r>
      <w:hyperlink w:anchor="sec-exp4-fiabilidad">
        <w:r>
          <w:rPr>
            <w:rStyle w:val="Hipervnculo"/>
          </w:rPr>
          <w:t xml:space="preserve">5.8</w:t>
        </w:r>
      </w:hyperlink>
      <w:r>
        <w:t xml:space="preserve"> </w:t>
      </w:r>
      <w:r>
        <w:t xml:space="preserve">(especificación de stakeholder, criterio</w:t>
      </w:r>
      <w:r>
        <w:t xml:space="preserve"> </w:t>
      </w:r>
      <w:r>
        <w:t xml:space="preserve">de corrección verificable, separación de desiderata secundarios, calibración</w:t>
      </w:r>
      <w:r>
        <w:t xml:space="preserve"> </w:t>
      </w:r>
      <w:r>
        <w:t xml:space="preserve">contra expertos humanos) y replicar EXP4 con las rúbricas revisadas. La cohorte</w:t>
      </w:r>
      <w:r>
        <w:t xml:space="preserve"> </w:t>
      </w:r>
      <w:r>
        <w:t xml:space="preserve">de replicación con un segundo panel de jueces ya aporta una prueba parcial.</w:t>
      </w:r>
      <w:r>
        <w:t xml:space="preserve"> </w:t>
      </w:r>
      <w:r>
        <w:t xml:space="preserve">Sostiene el gradiente para Completitud, Plausibilidad Semántica y Claridad, pero</w:t>
      </w:r>
      <w:r>
        <w:t xml:space="preserve"> </w:t>
      </w:r>
      <w:r>
        <w:t xml:space="preserve">no para Utilidad para auditoría, y muestra que la redacción de la rúbrica</w:t>
      </w:r>
      <w:r>
        <w:t xml:space="preserve"> </w:t>
      </w:r>
      <w:r>
        <w:t xml:space="preserve">desplaza tanto las puntuaciones como la fiabilidad. La calibración deberá, por</w:t>
      </w:r>
      <w:r>
        <w:t xml:space="preserve"> </w:t>
      </w:r>
      <w:r>
        <w:t xml:space="preserve">tanto, estratificarse por dimensión y por panel de jueces, y declarar la</w:t>
      </w:r>
      <w:r>
        <w:t xml:space="preserve"> </w:t>
      </w:r>
      <w:r>
        <w:t xml:space="preserve">condición y la agregación de antemano. Solo después de superar criterios de</w:t>
      </w:r>
      <w:r>
        <w:t xml:space="preserve"> </w:t>
      </w:r>
      <w:r>
        <w:t xml:space="preserve">aceptación declarados podría evaluarse un uso acotado. El gradiente actual es</w:t>
      </w:r>
      <w:r>
        <w:t xml:space="preserve"> </w:t>
      </w:r>
      <w:r>
        <w:t xml:space="preserve">generador de hipótesis y no autoriza un uso confirmativo: en la condición</w:t>
      </w:r>
      <w:r>
        <w:t xml:space="preserve"> </w:t>
      </w:r>
      <w:r>
        <w:t xml:space="preserve">primaria, todos los ICC(1,1) son inferiores a 0.75 en ambas cohortes. La</w:t>
      </w:r>
      <w:r>
        <w:t xml:space="preserve"> </w:t>
      </w:r>
      <w:r>
        <w:t xml:space="preserve">replicación con rúbricas revisadas permitirá determinar si la brecha de</w:t>
      </w:r>
      <w:r>
        <w:t xml:space="preserve"> </w:t>
      </w:r>
      <w:r>
        <w:t xml:space="preserve">fiabilidad se cierra con mayor formalización o refleja límites del paradigma</w:t>
      </w:r>
      <w:r>
        <w:t xml:space="preserve"> </w:t>
      </w:r>
      <w:r>
        <w:t xml:space="preserve">LLM-as-a-judge. Segunda: incorporar estudios de</w:t>
      </w:r>
      <w:r>
        <w:t xml:space="preserve"> </w:t>
      </w:r>
      <w:r>
        <w:t xml:space="preserve">usuario con expertos de dominio (médicos, analistas de crédito) que evalúen</w:t>
      </w:r>
      <w:r>
        <w:t xml:space="preserve"> </w:t>
      </w:r>
      <w:r>
        <w:t xml:space="preserve">comprensión, confianza y utilidad de las explicaciones de SHAP y LIME bajo</w:t>
      </w:r>
      <w:r>
        <w:t xml:space="preserve"> </w:t>
      </w:r>
      <w:r>
        <w:t xml:space="preserve">condiciones de tarea real, produciendo la calibración humana necesaria para</w:t>
      </w:r>
      <w:r>
        <w:t xml:space="preserve"> </w:t>
      </w:r>
      <w:r>
        <w:t xml:space="preserve">validar cualquier evaluador semántico automático.</w:t>
      </w:r>
    </w:p>
    <w:p>
      <w:pPr>
        <w:pStyle w:val="Textoindependiente"/>
        <w:spacing w:line="360" w:lineRule="auto"/>
        <w:jc w:val="both"/>
      </w:pPr>
      <w:r>
        <w:rPr>
          <w:b/>
          <w:bCs/>
        </w:rPr>
        <w:t xml:space="preserve">3. Extensión del análisis de sensibilidad a hiperparámetros.</w:t>
      </w:r>
      <w:r>
        <w:t xml:space="preserve"> </w:t>
      </w:r>
      <w:r>
        <w:t xml:space="preserve">Los análisis de sensibilidad completados en el Apéndice C establecen tres resultados base: (i) la inestabilidad de LIME es robusta a variaciones de</w:t>
      </w:r>
      <w:r>
        <w:t xml:space="preserve"> </w:t>
      </w:r>
      <w:r>
        <w:rPr>
          <w:rStyle w:val="VerbatimChar"/>
        </w:rPr>
        <w:t xml:space="preserve">num_samples</w:t>
      </w:r>
      <w:r>
        <w:t xml:space="preserve"> </w:t>
      </w:r>
      <w:r>
        <w:t xml:space="preserve">∈ {500, 1000, 2000} —la similitud coseno permanece cercana a cero en todos los niveles, descartando que sea un artefacto de convergencia—; (ii)</w:t>
      </w:r>
      <w:r>
        <w:t xml:space="preserve"> </w:t>
      </w:r>
      <w:r>
        <w:rPr>
          <w:rStyle w:val="VerbatimChar"/>
        </w:rPr>
        <w:t xml:space="preserve">kernel_width</w:t>
      </w:r>
      <w:r>
        <w:t xml:space="preserve"> </w:t>
      </w:r>
      <w:r>
        <w:t xml:space="preserve">∈ {0.25, 0.75} produce pesos degenerados en el espacio preprocesado de 103 dimensiones, con</w:t>
      </w:r>
      <w:r>
        <w:t xml:space="preserve"> </w:t>
      </w:r>
      <w:r>
        <w:rPr>
          <w:rStyle w:val="VerbatimChar"/>
        </w:rPr>
        <w:t xml:space="preserve">kernel_width = 3.0</w:t>
      </w:r>
      <w:r>
        <w:t xml:space="preserve"> </w:t>
      </w:r>
      <w:r>
        <w:t xml:space="preserve">como valor mínimo viable y</w:t>
      </w:r>
      <w:r>
        <w:t xml:space="preserve"> </w:t>
      </w:r>
      <w:r>
        <w:rPr>
          <w:rStyle w:val="VerbatimChar"/>
        </w:rPr>
        <w:t xml:space="preserve">kernel_width = 10.0</w:t>
      </w:r>
      <w:r>
        <w:t xml:space="preserve"> </w:t>
      </w:r>
      <w:r>
        <w:t xml:space="preserve">como alternativa más estable a costa de localidad; y (iii) la cobertura de Anchors es extremadamente sensible al umbral de precisión</w:t>
      </w:r>
      <w:r>
        <w:t xml:space="preserve"> </w:t>
      </w:r>
      <ns5:oMath>
        <ns5:r>
          <ns5:t>τ</ns5:t>
        </ns5:r>
      </ns5:oMath>
      <w:r>
        <w:t xml:space="preserve">. Las brechas pendientes incluyen la sensibilidad del tamaño del conjunto de referencia de SHAP más allá del rango evaluado (25–100), la interacción entre</w:t>
      </w:r>
      <w:r>
        <w:t xml:space="preserve"> </w:t>
      </w:r>
      <w:r>
        <w:rPr>
          <w:rStyle w:val="VerbatimChar"/>
        </w:rPr>
        <w:t xml:space="preserve">kernel_width</w:t>
      </w:r>
      <w:r>
        <w:t xml:space="preserve"> </w:t>
      </w:r>
      <w:r>
        <w:t xml:space="preserve">y</w:t>
      </w:r>
      <w:r>
        <w:t xml:space="preserve"> </w:t>
      </w:r>
      <w:r>
        <w:rPr>
          <w:rStyle w:val="VerbatimChar"/>
        </w:rPr>
        <w:t xml:space="preserve">num_samples</w:t>
      </w:r>
      <w:r>
        <w:t xml:space="preserve"> </w:t>
      </w:r>
      <w:r>
        <w:t xml:space="preserve">en espacios de dimensionalidad variable, y la extensión de los análisis a los modelos SVM y MLP, que emplean KernelSHAP en lugar de TreeSHAP y exhiben distintos perfiles de coste-estabilidad.</w:t>
      </w:r>
    </w:p>
    <w:p>
      <w:pPr>
        <w:pStyle w:val="Textoindependiente"/>
        <w:spacing w:line="360" w:lineRule="auto"/>
        <w:jc w:val="both"/>
      </w:pPr>
      <w:r>
        <w:rPr>
          <w:b/>
          <w:bCs/>
        </w:rPr>
        <w:t xml:space="preserve">4. Completar el contraste cross-dataset SHAP-LIME y replicar en dominios</w:t>
      </w:r>
      <w:r>
        <w:rPr>
          <w:b/>
          <w:bCs/>
        </w:rPr>
        <w:t xml:space="preserve"> </w:t>
      </w:r>
      <w:r>
        <w:rPr>
          <w:b/>
          <w:bCs/>
        </w:rPr>
        <w:t xml:space="preserve">de alto riesgo.</w:t>
      </w:r>
      <w:r>
        <w:t xml:space="preserve"> </w:t>
      </w:r>
      <w:r>
        <w:t xml:space="preserve">EXP3 replicó el ordenamiento de fidelidad SHAP-Anchors en</w:t>
      </w:r>
      <w:r>
        <w:t xml:space="preserve"> </w:t>
      </w:r>
      <w:r>
        <w:t xml:space="preserve">Breast Cancer Wisconsin y German Credit, y una extensión posterior incorporó</w:t>
      </w:r>
      <w:r>
        <w:t xml:space="preserve"> </w:t>
      </w:r>
      <w:r>
        <w:t xml:space="preserve">LIME con las mismas métricas de fidelidad y estabilidad. Sin embargo, la</w:t>
      </w:r>
      <w:r>
        <w:t xml:space="preserve"> </w:t>
      </w:r>
      <w:r>
        <w:t xml:space="preserve">estabilidad de SHAP no fue instrumentada en esos datasets, por lo que aún no</w:t>
      </w:r>
      <w:r>
        <w:t xml:space="preserve"> </w:t>
      </w:r>
      <w:r>
        <w:t xml:space="preserve">existe un contraste pareado SHAP-LIME completo de estabilidad fuera de UCI Adult</w:t>
      </w:r>
      <w:r>
        <w:t xml:space="preserve"> </w:t>
      </w:r>
      <w:r>
        <w:t xml:space="preserve">Income. La extensión prioritaria es completar esa instrumentación y ampliar el</w:t>
      </w:r>
      <w:r>
        <w:t xml:space="preserve"> </w:t>
      </w:r>
      <w:r>
        <w:t xml:space="preserve">diseño a más modelos y datasets, de modo que los hallazgos centrales de esta</w:t>
      </w:r>
      <w:r>
        <w:t xml:space="preserve"> </w:t>
      </w:r>
      <w:r>
        <w:t xml:space="preserve">tesis —</w:t>
      </w:r>
      <ns5:oMath>
        <ns5:sSub>
          <ns5:e>
            <ns5:r>
              <ns5:t>d</ns5:t>
            </ns5:r>
          </ns5:e>
          <ns5:sub>
            <ns5:r>
              <ns5:t>z</ns5:t>
            </ns5:r>
          </ns5:sub>
        </ns5:sSub>
        <ns5:r>
          <ns5:rPr>
            <ns5:sty ns5:val="p"/>
          </ns5:rPr>
          <ns5:t>=</ns5:t>
        </ns5:r>
        <ns5:r>
          <ns5:t>4.82</ns5:t>
        </ns5:r>
      </ns5:oMath>
      <w:r>
        <w:t xml:space="preserve"> </w:t>
      </w:r>
      <w:r>
        <w:t xml:space="preserve">en fidelidad y</w:t>
      </w:r>
      <w:r>
        <w:t xml:space="preserve"> </w:t>
      </w:r>
      <ns5:oMath>
        <ns5:sSub>
          <ns5:e>
            <ns5:r>
              <ns5:t>d</ns5:t>
            </ns5:r>
          </ns5:e>
          <ns5:sub>
            <ns5:r>
              <ns5:t>z</ns5:t>
            </ns5:r>
          </ns5:sub>
        </ns5:sSub>
        <ns5:r>
          <ns5:rPr>
            <ns5:sty ns5:val="p"/>
          </ns5:rPr>
          <ns5:t>=</ns5:t>
        </ns5:r>
        <ns5:r>
          <ns5:t>3.00</ns5:t>
        </ns5:r>
      </ns5:oMath>
      <w:r>
        <w:t xml:space="preserve"> </w:t>
      </w:r>
      <w:r>
        <w:t xml:space="preserve">en estabilidad— sean verificables</w:t>
      </w:r>
      <w:r>
        <w:t xml:space="preserve"> </w:t>
      </w:r>
      <w:r>
        <w:t xml:space="preserve">fuera del contexto Adult. El Estudio de Transferencia entre Conjuntos de Datos</w:t>
      </w:r>
      <w:r>
        <w:t xml:space="preserve"> </w:t>
      </w:r>
      <w:r>
        <w:t xml:space="preserve">(§</w:t>
      </w:r>
      <w:hyperlink w:anchor="sec-seg-transferencia">
        <w:r>
          <w:rPr>
            <w:rStyle w:val="Hipervnculo"/>
          </w:rPr>
          <w:t xml:space="preserve">6.4</w:t>
        </w:r>
      </w:hyperlink>
      <w:r>
        <w:t xml:space="preserve">) avanza en esta línea para el orden de los métodos</w:t>
      </w:r>
      <w:r>
        <w:t xml:space="preserve"> </w:t>
      </w:r>
      <w:r>
        <w:t xml:space="preserve">sobre 16 conjuntos de datos, con medidas definidas sobre las características</w:t>
      </w:r>
      <w:r>
        <w:t xml:space="preserve"> </w:t>
      </w:r>
      <w:r>
        <w:t xml:space="preserve">que la explicación nombra; queda pendiente repetirlo con las</w:t>
      </w:r>
      <w:r>
        <w:t xml:space="preserve"> </w:t>
      </w:r>
      <w:r>
        <w:t xml:space="preserve">operacionalizaciones del Capítulo 3 y con medidas propias de las reglas y de</w:t>
      </w:r>
      <w:r>
        <w:t xml:space="preserve"> </w:t>
      </w:r>
      <w:r>
        <w:t xml:space="preserve">los contrafactuales. Una segunda dirección es la validación en dominios</w:t>
      </w:r>
      <w:r>
        <w:t xml:space="preserve"> </w:t>
      </w:r>
      <w:r>
        <w:t xml:space="preserve">regulados (crédito, salud, justicia) con restricciones normativas explícitas</w:t>
      </w:r>
      <w:r>
        <w:t xml:space="preserve"> </w:t>
      </w:r>
      <w:r>
        <w:t xml:space="preserve">(EU AI Act, GDPR Art. 22), donde la elección del método explicador tiene</w:t>
      </w:r>
      <w:r>
        <w:t xml:space="preserve"> </w:t>
      </w:r>
      <w:r>
        <w:t xml:space="preserve">consecuencias legales directas.</w:t>
      </w:r>
    </w:p>
    <w:p>
      <w:pPr>
        <w:pStyle w:val="Textoindependiente"/>
        <w:spacing w:line="360" w:lineRule="auto"/>
        <w:jc w:val="both"/>
      </w:pPr>
      <w:r>
        <w:rPr>
          <w:b/>
          <w:bCs/>
        </w:rPr>
        <w:t xml:space="preserve">5. Formalización del eje de comprehensibilidad en la taxonomía.</w:t>
      </w:r>
      <w:r>
        <w:t xml:space="preserve"> </w:t>
      </w:r>
      <w:r>
        <w:t xml:space="preserve">El eje de</w:t>
      </w:r>
      <w:r>
        <w:t xml:space="preserve"> </w:t>
      </w:r>
      <w:r>
        <w:t xml:space="preserve">contexto de tarea de la taxonomía incluye el contexto</w:t>
      </w:r>
      <w:r>
        <w:t xml:space="preserve"> </w:t>
      </w:r>
      <w:r>
        <w:rPr>
          <w:i/>
          <w:iCs/>
        </w:rPr>
        <w:t xml:space="preserve">usuario final</w:t>
      </w:r>
      <w:r>
        <w:t xml:space="preserve"> </w:t>
      </w:r>
      <w:r>
        <w:t xml:space="preserve">pero no</w:t>
      </w:r>
      <w:r>
        <w:t xml:space="preserve"> </w:t>
      </w:r>
      <w:r>
        <w:t xml:space="preserve">dispone de métricas experimentales en este benchmark. La formalización de</w:t>
      </w:r>
      <w:r>
        <w:t xml:space="preserve"> </w:t>
      </w:r>
      <w:r>
        <w:t xml:space="preserve">métricas de comprehensibilidad normalizadas —siguiendo la propuesta de</w:t>
      </w:r>
      <w:r>
        <w:t xml:space="preserve"> </w:t>
      </w:r>
      <w:r>
        <w:t xml:space="preserve">Bhattacharya y Verbert</w:t>
      </w:r>
      <w:r>
        <w:t xml:space="preserve"> </w:t>
      </w:r>
      <w:r>
        <w:t xml:space="preserve">(2024)</w:t>
      </w:r>
      <w:r>
        <w:t xml:space="preserve"> </w:t>
      </w:r>
      <w:r>
        <w:t xml:space="preserve">de escalas normalizadas entre</w:t>
      </w:r>
      <w:r>
        <w:t xml:space="preserve"> </w:t>
      </w:r>
      <w:r>
        <w:t xml:space="preserve">sistemas— permitiría cerrar el espacio taxonómico con evidencia empírica</w:t>
      </w:r>
      <w:r>
        <w:t xml:space="preserve"> </w:t>
      </w:r>
      <w:r>
        <w:t xml:space="preserve">comparable a la obtenida en los ejes funcionales.</w:t>
      </w:r>
    </w:p>
    <w:bookmarkEnd w:id="312"/>
    <w:bookmarkStart w:id="313" w:name="sec-sintesis"/>
    <w:p>
      <w:pPr>
        <w:pStyle w:val="Ttulo2"/>
        <w:spacing w:line="360" w:lineRule="auto"/>
        <w:jc w:val="both"/>
      </w:pPr>
      <w:r>
        <w:t xml:space="preserve">7.7 </w:t>
      </w:r>
      <w:r>
        <w:t xml:space="preserve">Síntesis final</w:t>
      </w:r>
    </w:p>
    <w:p>
      <w:pPr>
        <w:pStyle w:val="FirstParagraph"/>
        <w:spacing w:line="360" w:lineRule="auto"/>
        <w:jc w:val="both"/>
      </w:pPr>
      <w:r>
        <w:t xml:space="preserve">Esta tesis demuestra empíricamente que los métodos de explicabilidad</w:t>
      </w:r>
      <w:r>
        <w:t xml:space="preserve"> </w:t>
      </w:r>
      <w:r>
        <w:t xml:space="preserve">post-hoc agnósticos al modelo difieren de forma sustantiva, consistente y</w:t>
      </w:r>
      <w:r>
        <w:t xml:space="preserve"> </w:t>
      </w:r>
      <w:r>
        <w:t xml:space="preserve">estadísticamente robusta en múltiples dimensiones de calidad simultáneas. Bajo</w:t>
      </w:r>
      <w:r>
        <w:t xml:space="preserve"> </w:t>
      </w:r>
      <w:r>
        <w:t xml:space="preserve">un protocolo reproducible y trazable, con márgenes de seguridad inferencial</w:t>
      </w:r>
      <w:r>
        <w:t xml:space="preserve"> </w:t>
      </w:r>
      <w:r>
        <w:t xml:space="preserve">que superan el umbral crítico con amplia holgura, los resultados ofrecen una</w:t>
      </w:r>
      <w:r>
        <w:t xml:space="preserve"> </w:t>
      </w:r>
      <w:r>
        <w:t xml:space="preserve">base sólida para la interpretación principal: SHAP es el método más fiable</w:t>
      </w:r>
      <w:r>
        <w:t xml:space="preserve"> </w:t>
      </w:r>
      <w:r>
        <w:t xml:space="preserve">cuando fidelidad y estabilidad son requisitos; LIME es la alternativa eficiente</w:t>
      </w:r>
      <w:r>
        <w:t xml:space="preserve"> </w:t>
      </w:r>
      <w:r>
        <w:t xml:space="preserve">con inestabilidad documentada bajo la configuración y el espacio de</w:t>
      </w:r>
      <w:r>
        <w:t xml:space="preserve"> </w:t>
      </w:r>
      <w:r>
        <w:t xml:space="preserve">características evaluados; Anchors y DiCE satisfacen objetivos</w:t>
      </w:r>
      <w:r>
        <w:t xml:space="preserve"> </w:t>
      </w:r>
      <w:r>
        <w:t xml:space="preserve">explicativos cualitativamente distintos que las métricas de atribución no</w:t>
      </w:r>
      <w:r>
        <w:t xml:space="preserve"> </w:t>
      </w:r>
      <w:r>
        <w:t xml:space="preserve">capturan de forma adecuada.</w:t>
      </w:r>
    </w:p>
    <w:p>
      <w:pPr>
        <w:pStyle w:val="Textoindependiente"/>
        <w:spacing w:line="360" w:lineRule="auto"/>
        <w:jc w:val="both"/>
      </w:pPr>
      <w:r>
        <w:t xml:space="preserve">El aporte adicional de esta investigación no es solo el resultado del</w:t>
      </w:r>
      <w:r>
        <w:t xml:space="preserve"> </w:t>
      </w:r>
      <w:r>
        <w:t xml:space="preserve">benchmark —que podría derivarse de otros estudios comparativos— sino la</w:t>
      </w:r>
      <w:r>
        <w:t xml:space="preserve"> </w:t>
      </w:r>
      <w:r>
        <w:t xml:space="preserve">arquitectura que lo soporta. El protocolo FOM-7 proporciona las condiciones</w:t>
      </w:r>
      <w:r>
        <w:t xml:space="preserve"> </w:t>
      </w:r>
      <w:r>
        <w:t xml:space="preserve">bajo las cuales afirmaciones inferenciales sobre métodos XAI pueden</w:t>
      </w:r>
      <w:r>
        <w:t xml:space="preserve"> </w:t>
      </w:r>
      <w:r>
        <w:t xml:space="preserve">considerarse científicamente acumulables. La taxonomía de cuatro ejes</w:t>
      </w:r>
      <w:r>
        <w:t xml:space="preserve"> </w:t>
      </w:r>
      <w:r>
        <w:t xml:space="preserve">proporciona el mapa conceptual que permite situar cualquier métrica futura en</w:t>
      </w:r>
      <w:r>
        <w:t xml:space="preserve"> </w:t>
      </w:r>
      <w:r>
        <w:t xml:space="preserve">relación con las ya evaluadas. Juntos, protocolo y taxonomía constituyen la</w:t>
      </w:r>
      <w:r>
        <w:t xml:space="preserve"> </w:t>
      </w:r>
      <w:r>
        <w:t xml:space="preserve">infraestructura metodológica que el campo de evaluación XAI necesita para</w:t>
      </w:r>
      <w:r>
        <w:t xml:space="preserve"> </w:t>
      </w:r>
      <w:r>
        <w:t xml:space="preserve">avanzar de la proliferación de métricas hacia la acumulación sistemática de</w:t>
      </w:r>
      <w:r>
        <w:t xml:space="preserve"> </w:t>
      </w:r>
      <w:r>
        <w:t xml:space="preserve">evidencia</w:t>
      </w:r>
      <w:r>
        <w:t xml:space="preserve"> </w:t>
      </w:r>
      <w:r>
        <w:t xml:space="preserve">(Pawlicki et al. 2024; Canha et al. 2025; Bhattacharya y Verbert 2024)</w:t>
      </w:r>
      <w:r>
        <w:t xml:space="preserve">.</w:t>
      </w:r>
    </w:p>
    <w:p>
      <w:pPr>
        <w:pStyle w:val="Textoindependiente"/>
        <w:spacing w:line="360" w:lineRule="auto"/>
        <w:jc w:val="both"/>
      </w:pPr>
      <w:r>
        <w:t xml:space="preserve">La implicación más amplia de esta tesis trasciende el contexto experimental.</w:t>
      </w:r>
      <w:r>
        <w:t xml:space="preserve"> </w:t>
      </w:r>
      <w:r>
        <w:t xml:space="preserve">El hallazgo de que LIME puede exhibir inestabilidad casi total —no marginal,</w:t>
      </w:r>
      <w:r>
        <w:t xml:space="preserve"> </w:t>
      </w:r>
      <w:r>
        <w:t xml:space="preserve">sino sistemática, con CV=86.2% y similitud coseno media de 0.014 bajo la</w:t>
      </w:r>
      <w:r>
        <w:t xml:space="preserve"> </w:t>
      </w:r>
      <w:r>
        <w:t xml:space="preserve">configuración de referencia en el espacio de 103 dimensiones de Adult Income—</w:t>
      </w:r>
      <w:r>
        <w:t xml:space="preserve"> </w:t>
      </w:r>
      <w:r>
        <w:t xml:space="preserve">es relevante para cualquier sistema de apoyo a la decisión que emplee LIME en</w:t>
      </w:r>
      <w:r>
        <w:t xml:space="preserve"> </w:t>
      </w:r>
      <w:r>
        <w:t xml:space="preserve">entornos de auditoría, regulación o alto riesgo. El contexto normativo actual</w:t>
      </w:r>
      <w:r>
        <w:t xml:space="preserve"> </w:t>
      </w:r>
      <w:r>
        <w:t xml:space="preserve">(EU AI Act, GDPR Art. 22) demanda explicaciones verificables y consistentes; un</w:t>
      </w:r>
      <w:r>
        <w:t xml:space="preserve"> </w:t>
      </w:r>
      <w:r>
        <w:t xml:space="preserve">método que produce explicaciones casi ortogonales entre dos ejecuciones de la</w:t>
      </w:r>
      <w:r>
        <w:t xml:space="preserve"> </w:t>
      </w:r>
      <w:r>
        <w:t xml:space="preserve">misma instancia no satisface ese requisito. La implicación operativa, sin</w:t>
      </w:r>
      <w:r>
        <w:t xml:space="preserve"> </w:t>
      </w:r>
      <w:r>
        <w:t xml:space="preserve">embargo, no es que LIME deba descartarse universalmente: EXP3 muestra</w:t>
      </w:r>
      <w:r>
        <w:t xml:space="preserve"> </w:t>
      </w:r>
      <w:r>
        <w:t xml:space="preserve">estabilidades de 0.748–0.927 en espacios de menor dimensión con la misma</w:t>
      </w:r>
      <w:r>
        <w:t xml:space="preserve"> </w:t>
      </w:r>
      <w:r>
        <w:t xml:space="preserve">configuración, y el ancho del kernel modula el resultado dentro de un mismo</w:t>
      </w:r>
      <w:r>
        <w:t xml:space="preserve"> </w:t>
      </w:r>
      <w:r>
        <w:t xml:space="preserve">espacio (§</w:t>
      </w:r>
      <w:hyperlink w:anchor="sec-limitaciones">
        <w:r>
          <w:rPr>
            <w:rStyle w:val="Hipervnculo"/>
          </w:rPr>
          <w:t xml:space="preserve">7.4</w:t>
        </w:r>
      </w:hyperlink>
      <w:r>
        <w:t xml:space="preserve">). La conclusión defendible —sostenida por 75 pares</w:t>
      </w:r>
      <w:r>
        <w:t xml:space="preserve"> </w:t>
      </w:r>
      <w:r>
        <w:t xml:space="preserve">de contraste con efecto</w:t>
      </w:r>
      <w:r>
        <w:t xml:space="preserve"> </w:t>
      </w:r>
      <ns5:oMath>
        <ns5:sSub>
          <ns5:e>
            <ns5:r>
              <ns5:t>d</ns5:t>
            </ns5:r>
          </ns5:e>
          <ns5:sub>
            <ns5:r>
              <ns5:t>z</ns5:t>
            </ns5:r>
          </ns5:sub>
        </ns5:sSub>
        <ns5:r>
          <ns5:rPr>
            <ns5:sty ns5:val="p"/>
          </ns5:rPr>
          <ns5:t>=</ns5:t>
        </ns5:r>
        <ns5:r>
          <ns5:t>3.002</ns5:t>
        </ns5:r>
      </ns5:oMath>
      <w:r>
        <w:t xml:space="preserve"> </w:t>
      </w:r>
      <w:r>
        <w:t xml:space="preserve">y delimitada por ambos análisis— es que la</w:t>
      </w:r>
      <w:r>
        <w:t xml:space="preserve"> </w:t>
      </w:r>
      <w:r>
        <w:t xml:space="preserve">estabilidad de LIME es una propiedad contingente del despliegue y no puede</w:t>
      </w:r>
      <w:r>
        <w:t xml:space="preserve"> </w:t>
      </w:r>
      <w:r>
        <w:t xml:space="preserve">presuponerse: en un régimen regulatorio que exige consistencia, debe medirse y</w:t>
      </w:r>
      <w:r>
        <w:t xml:space="preserve"> </w:t>
      </w:r>
      <w:r>
        <w:t xml:space="preserve">documentarse para el espacio de características y la configuración concretos</w:t>
      </w:r>
      <w:r>
        <w:t xml:space="preserve"> </w:t>
      </w:r>
      <w:r>
        <w:t xml:space="preserve">antes de admitir el método como evidencia. Esta es la afirmación de mayor</w:t>
      </w:r>
      <w:r>
        <w:t xml:space="preserve"> </w:t>
      </w:r>
      <w:r>
        <w:t xml:space="preserve">impacto práctico de la tesis: no es un argumento teórico contra LIME, sino la</w:t>
      </w:r>
      <w:r>
        <w:t xml:space="preserve"> </w:t>
      </w:r>
      <w:r>
        <w:t xml:space="preserve">especificación empírica de qué debe verificarse antes de usarlo en el tipo de</w:t>
      </w:r>
      <w:r>
        <w:t xml:space="preserve"> </w:t>
      </w:r>
      <w:r>
        <w:t xml:space="preserve">despliegue que la regulación exige evaluar.</w:t>
      </w:r>
    </w:p>
    <w:p>
      <w:pPr>
        <w:pStyle w:val="Textoindependiente"/>
        <w:spacing w:line="360" w:lineRule="auto"/>
        <w:jc w:val="both"/>
      </w:pPr>
      <w:r>
        <w:t xml:space="preserve">Los estudios de seguimiento refuerzan esta lectura desde cuatro ángulos. La</w:t>
      </w:r>
      <w:r>
        <w:t xml:space="preserve"> </w:t>
      </w:r>
      <w:r>
        <w:t xml:space="preserve">calidad promedio de un explicador no describe por igual las predicciones</w:t>
      </w:r>
      <w:r>
        <w:t xml:space="preserve"> </w:t>
      </w:r>
      <w:r>
        <w:t xml:space="preserve">correctas y las erróneas; dos explicadores pueden nombrar características</w:t>
      </w:r>
      <w:r>
        <w:t xml:space="preserve"> </w:t>
      </w:r>
      <w:r>
        <w:t xml:space="preserve">distintas para la misma predicción; un orden entre métodos depende del</w:t>
      </w:r>
      <w:r>
        <w:t xml:space="preserve"> </w:t>
      </w:r>
      <w:r>
        <w:t xml:space="preserve">protocolo con que se obtiene, aunque en buena parte se conserve entre conjuntos</w:t>
      </w:r>
      <w:r>
        <w:t xml:space="preserve"> </w:t>
      </w:r>
      <w:r>
        <w:t xml:space="preserve">de datos; y un juez automático puede acordar sobre la forma de una explicación</w:t>
      </w:r>
      <w:r>
        <w:t xml:space="preserve"> </w:t>
      </w:r>
      <w:r>
        <w:t xml:space="preserve">sin advertir que su contenido es erróneo. En los cuatro casos la conclusión es</w:t>
      </w:r>
      <w:r>
        <w:t xml:space="preserve"> </w:t>
      </w:r>
      <w:r>
        <w:t xml:space="preserve">la misma que para la estabilidad de LIME: lo que se afirma de un método</w:t>
      </w:r>
      <w:r>
        <w:t xml:space="preserve"> </w:t>
      </w:r>
      <w:r>
        <w:t xml:space="preserve">explicador debe ir acompañado de las condiciones en que se midió.</w:t>
      </w:r>
    </w:p>
    <w:p>
      <w:pPr>
        <w:pStyle w:val="Textoindependiente"/>
        <w:spacing w:line="360" w:lineRule="auto"/>
        <w:jc w:val="both"/>
      </w:pPr>
      <w:r>
        <w:t xml:space="preserve">El camino hacia la excelencia en evaluación XAI no pasa por proponer una métrica</w:t>
      </w:r>
      <w:r>
        <w:t xml:space="preserve"> </w:t>
      </w:r>
      <w:r>
        <w:t xml:space="preserve">adicional ni por declarar un método dominante universal. Pasa por construir la</w:t>
      </w:r>
      <w:r>
        <w:t xml:space="preserve"> </w:t>
      </w:r>
      <w:r>
        <w:t xml:space="preserve">infraestructura de gobernanza que permita comparar, acumular y defender</w:t>
      </w:r>
      <w:r>
        <w:t xml:space="preserve"> </w:t>
      </w:r>
      <w:r>
        <w:t xml:space="preserve">evidencia sobre métodos de explicación bajo condiciones auditables. FOM-7 y la</w:t>
      </w:r>
      <w:r>
        <w:t xml:space="preserve"> </w:t>
      </w:r>
      <w:r>
        <w:t xml:space="preserve">taxonomía asociada son una contribución concreta a esa infraestructura, y este</w:t>
      </w:r>
      <w:r>
        <w:t xml:space="preserve"> </w:t>
      </w:r>
      <w:r>
        <w:t xml:space="preserve">benchmark es la primera demostración de su aplicación sobre datos tabulares</w:t>
      </w:r>
      <w:r>
        <w:t xml:space="preserve"> </w:t>
      </w:r>
      <w:r>
        <w:t xml:space="preserve">reales bajo control estadístico riguroso. La agenda de investigación señalada</w:t>
      </w:r>
      <w:r>
        <w:t xml:space="preserve"> </w:t>
      </w:r>
      <w:r>
        <w:t xml:space="preserve">en la Sección</w:t>
      </w:r>
      <w:r>
        <w:t xml:space="preserve"> </w:t>
      </w:r>
      <w:hyperlink w:anchor="sec-futuro">
        <w:r>
          <w:rPr>
            <w:rStyle w:val="Hipervnculo"/>
          </w:rPr>
          <w:t xml:space="preserve">7.6</w:t>
        </w:r>
      </w:hyperlink>
      <w:r>
        <w:t xml:space="preserve"> </w:t>
      </w:r>
      <w:r>
        <w:t xml:space="preserve">—extensión a dominios no tabulares, incorporación de</w:t>
      </w:r>
      <w:r>
        <w:t xml:space="preserve"> </w:t>
      </w:r>
      <w:r>
        <w:t xml:space="preserve">evaluación human-centered, análisis de sensibilidad de hiperparámetros,</w:t>
      </w:r>
      <w:r>
        <w:t xml:space="preserve"> </w:t>
      </w:r>
      <w:r>
        <w:t xml:space="preserve">replicación en dominios regulados— define el camino para transformar esta</w:t>
      </w:r>
      <w:r>
        <w:t xml:space="preserve"> </w:t>
      </w:r>
      <w:r>
        <w:t xml:space="preserve">infraestructura en un estándar de facto para la evaluación comparativa de</w:t>
      </w:r>
      <w:r>
        <w:t xml:space="preserve"> </w:t>
      </w:r>
      <w:r>
        <w:t xml:space="preserve">métodos XAI.</w:t>
      </w:r>
    </w:p>
    <w:bookmarkEnd w:id="313"/>
    <w:bookmarkEnd w:id="314"/>
    <w:bookmarkStart w:id="580" w:name="referencias"/>
    <w:p>
      <w:pPr>
        <w:pStyle w:val="Ttulo1"/>
        <w:spacing w:line="360" w:lineRule="auto"/>
        <w:jc w:val="both"/>
      </w:pPr>
      <w:r>
        <w:t xml:space="preserve">Referencias</w:t>
      </w:r>
    </w:p>
    <w:bookmarkStart w:id="579" w:name="refs"/>
    <w:bookmarkStart w:id="316" w:name="ref-abdul2018"/>
    <w:p>
      <w:pPr>
        <w:pStyle w:val="Bibliography"/>
        <w:spacing w:line="360" w:lineRule="auto"/>
        <w:jc w:val="both"/>
      </w:pPr>
      <w:r>
        <w:t xml:space="preserve">Abdul, Ashraf, Jo Vermeulen, Danding Wang, Brian Y. Lim, y Mohan Kankanhalli. 2018.</w:t>
      </w:r>
      <w:r>
        <w:t xml:space="preserve"> </w:t>
      </w:r>
      <w:r>
        <w:t xml:space="preserve">«Trends and Trajectories for Explainable, Accountable and Intelligible Systems: An HCI Research Agenda»</w:t>
      </w:r>
      <w:r>
        <w:t xml:space="preserve">.</w:t>
      </w:r>
      <w:r>
        <w:t xml:space="preserve"> </w:t>
      </w:r>
      <w:r>
        <w:rPr>
          <w:i/>
          <w:iCs/>
        </w:rPr>
        <w:t xml:space="preserve">Proceedings of the 2018 CHI Conference on Human Factors in Computing Systems</w:t>
      </w:r>
      <w:r>
        <w:t xml:space="preserve">, 1-18.</w:t>
      </w:r>
      <w:r>
        <w:t xml:space="preserve"> </w:t>
      </w:r>
      <w:hyperlink ns4:id="rId315">
        <w:r>
          <w:rPr>
            <w:rStyle w:val="Hipervnculo"/>
          </w:rPr>
          <w:t xml:space="preserve">https://doi.org/10.1145/3173574.3174156</w:t>
        </w:r>
      </w:hyperlink>
      <w:r>
        <w:t xml:space="preserve">.</w:t>
      </w:r>
    </w:p>
    <w:bookmarkEnd w:id="316"/>
    <w:bookmarkStart w:id="318" w:name="ref-abdulkadir2023"/>
    <w:p>
      <w:pPr>
        <w:pStyle w:val="Bibliography"/>
        <w:spacing w:line="360" w:lineRule="auto"/>
        <w:jc w:val="both"/>
      </w:pPr>
      <w:r>
        <w:t xml:space="preserve">Abdul Kadir, M., A. Mosavi, y D. Sonntag. 2023.</w:t>
      </w:r>
      <w:r>
        <w:t xml:space="preserve"> </w:t>
      </w:r>
      <w:r>
        <w:t xml:space="preserve">«Evaluation Metrics for XAI: A Review, Taxonomy, and Practical Applications»</w:t>
      </w:r>
      <w:r>
        <w:t xml:space="preserve">.</w:t>
      </w:r>
      <w:r>
        <w:t xml:space="preserve"> </w:t>
      </w:r>
      <w:r>
        <w:rPr>
          <w:i/>
          <w:iCs/>
        </w:rPr>
        <w:t xml:space="preserve">INES 2023 Proceedings</w:t>
      </w:r>
      <w:r>
        <w:t xml:space="preserve">, advance online publication.</w:t>
      </w:r>
      <w:r>
        <w:t xml:space="preserve"> </w:t>
      </w:r>
      <w:hyperlink ns4:id="rId317">
        <w:r>
          <w:rPr>
            <w:rStyle w:val="Hipervnculo"/>
          </w:rPr>
          <w:t xml:space="preserve">https://doi.org/10.1109/INES59045.2023.1030000</w:t>
        </w:r>
      </w:hyperlink>
      <w:r>
        <w:t xml:space="preserve">.</w:t>
      </w:r>
    </w:p>
    <w:bookmarkEnd w:id="318"/>
    <w:bookmarkStart w:id="320" w:name="ref-abusitta2024"/>
    <w:p>
      <w:pPr>
        <w:pStyle w:val="Bibliography"/>
        <w:spacing w:line="360" w:lineRule="auto"/>
        <w:jc w:val="both"/>
      </w:pPr>
      <w:r>
        <w:t xml:space="preserve">Abusitta, Adel, Miles Q. Li, y Benjamin C. M. Fung. 2024.</w:t>
      </w:r>
      <w:r>
        <w:t xml:space="preserve"> </w:t>
      </w:r>
      <w:r>
        <w:rPr>
          <w:i/>
          <w:iCs/>
        </w:rPr>
        <w:t xml:space="preserve">Survey on Explainable Ai: Techniques, Challenges and Open Issues</w:t>
      </w:r>
      <w:r>
        <w:t xml:space="preserve">. Elsevier BV.</w:t>
      </w:r>
      <w:r>
        <w:t xml:space="preserve"> </w:t>
      </w:r>
      <w:hyperlink ns4:id="rId319">
        <w:r>
          <w:rPr>
            <w:rStyle w:val="Hipervnculo"/>
          </w:rPr>
          <w:t xml:space="preserve">https://doi.org/10.2139/ssrn.4710037</w:t>
        </w:r>
      </w:hyperlink>
      <w:r>
        <w:t xml:space="preserve">.</w:t>
      </w:r>
    </w:p>
    <w:bookmarkEnd w:id="320"/>
    <w:bookmarkStart w:id="322" w:name="ref-adadi2018"/>
    <w:p>
      <w:pPr>
        <w:pStyle w:val="Bibliography"/>
        <w:spacing w:line="360" w:lineRule="auto"/>
        <w:jc w:val="both"/>
      </w:pPr>
      <w:r>
        <w:t xml:space="preserve">Adadi, &amp; Berrada, A. 2018.</w:t>
      </w:r>
      <w:r>
        <w:t xml:space="preserve"> </w:t>
      </w:r>
      <w:r>
        <w:t xml:space="preserve">«Peeking Inside the Black-Box: A survey on Explainable Artificial Intelligence (XAI)»</w:t>
      </w:r>
      <w:r>
        <w:t xml:space="preserve">.</w:t>
      </w:r>
      <w:r>
        <w:t xml:space="preserve"> </w:t>
      </w:r>
      <w:r>
        <w:rPr>
          <w:i/>
          <w:iCs/>
        </w:rPr>
        <w:t xml:space="preserve">IEEE Access</w:t>
      </w:r>
      <w:r>
        <w:t xml:space="preserve"> </w:t>
      </w:r>
      <w:r>
        <w:t xml:space="preserve">6: 52138-60.</w:t>
      </w:r>
      <w:r>
        <w:t xml:space="preserve"> </w:t>
      </w:r>
      <w:hyperlink ns4:id="rId321">
        <w:r>
          <w:rPr>
            <w:rStyle w:val="Hipervnculo"/>
          </w:rPr>
          <w:t xml:space="preserve">https://doi.org/10.1109/access.2018.2870052</w:t>
        </w:r>
      </w:hyperlink>
      <w:r>
        <w:t xml:space="preserve">.</w:t>
      </w:r>
    </w:p>
    <w:bookmarkEnd w:id="322"/>
    <w:bookmarkStart w:id="324" w:name="ref-adhikari2022"/>
    <w:p>
      <w:pPr>
        <w:pStyle w:val="Bibliography"/>
        <w:spacing w:line="360" w:lineRule="auto"/>
        <w:jc w:val="both"/>
      </w:pPr>
      <w:r>
        <w:t xml:space="preserve">Adhikari, Jiang, D. 2022.</w:t>
      </w:r>
      <w:r>
        <w:t xml:space="preserve"> </w:t>
      </w:r>
      <w:r>
        <w:t xml:space="preserve">«A comprehensive survey on imputation of missing data in Internet of Things»</w:t>
      </w:r>
      <w:r>
        <w:t xml:space="preserve">.</w:t>
      </w:r>
      <w:r>
        <w:t xml:space="preserve"> </w:t>
      </w:r>
      <w:r>
        <w:rPr>
          <w:i/>
          <w:iCs/>
        </w:rPr>
        <w:t xml:space="preserve">ACM Computing Surveys</w:t>
      </w:r>
      <w:r>
        <w:t xml:space="preserve"> </w:t>
      </w:r>
      <w:r>
        <w:t xml:space="preserve">55 (7): 1-38.</w:t>
      </w:r>
      <w:r>
        <w:t xml:space="preserve"> </w:t>
      </w:r>
      <w:hyperlink ns4:id="rId323">
        <w:r>
          <w:rPr>
            <w:rStyle w:val="Hipervnculo"/>
          </w:rPr>
          <w:t xml:space="preserve">https://doi.org/10.1145/3533381</w:t>
        </w:r>
      </w:hyperlink>
      <w:r>
        <w:t xml:space="preserve">.</w:t>
      </w:r>
    </w:p>
    <w:bookmarkEnd w:id="324"/>
    <w:bookmarkStart w:id="326" w:name="ref-agarwal2023"/>
    <w:p>
      <w:pPr>
        <w:pStyle w:val="Bibliography"/>
        <w:spacing w:line="360" w:lineRule="auto"/>
        <w:jc w:val="both"/>
      </w:pPr>
      <w:r>
        <w:t xml:space="preserve">Agarwal, Chirag, Owen Queen, Himabindu Lakkaraju, y Marinka Zitnik. 2023.</w:t>
      </w:r>
      <w:r>
        <w:t xml:space="preserve"> </w:t>
      </w:r>
      <w:r>
        <w:t xml:space="preserve">«Evaluating explainability for graph neural networks»</w:t>
      </w:r>
      <w:r>
        <w:t xml:space="preserve">.</w:t>
      </w:r>
      <w:r>
        <w:t xml:space="preserve"> </w:t>
      </w:r>
      <w:r>
        <w:rPr>
          <w:i/>
          <w:iCs/>
        </w:rPr>
        <w:t xml:space="preserve">Scientific Data</w:t>
      </w:r>
      <w:r>
        <w:t xml:space="preserve"> </w:t>
      </w:r>
      <w:r>
        <w:t xml:space="preserve">10 (1).</w:t>
      </w:r>
      <w:r>
        <w:t xml:space="preserve"> </w:t>
      </w:r>
      <w:hyperlink ns4:id="rId325">
        <w:r>
          <w:rPr>
            <w:rStyle w:val="Hipervnculo"/>
          </w:rPr>
          <w:t xml:space="preserve">https://doi.org/10.1038/s41597-023-01974-x</w:t>
        </w:r>
      </w:hyperlink>
      <w:r>
        <w:t xml:space="preserve">.</w:t>
      </w:r>
    </w:p>
    <w:bookmarkEnd w:id="326"/>
    <w:bookmarkStart w:id="327" w:name="ref-agarwal2022"/>
    <w:p>
      <w:pPr>
        <w:pStyle w:val="Bibliography"/>
        <w:spacing w:line="360" w:lineRule="auto"/>
        <w:jc w:val="both"/>
      </w:pPr>
      <w:r>
        <w:t xml:space="preserve">Agarwal, C., D. Ley, S. Krishna, et al. 2022.</w:t>
      </w:r>
      <w:r>
        <w:t xml:space="preserve"> </w:t>
      </w:r>
      <w:r>
        <w:t xml:space="preserve">«OpenXAI: Towards a Transparent Evaluation of Post hoc Model Explanations»</w:t>
      </w:r>
      <w:r>
        <w:t xml:space="preserve">.</w:t>
      </w:r>
      <w:r>
        <w:t xml:space="preserve"> </w:t>
      </w:r>
      <w:r>
        <w:rPr>
          <w:i/>
          <w:iCs/>
        </w:rPr>
        <w:t xml:space="preserve">Advances in Neural Information Processing Systems (NeurIPS)</w:t>
      </w:r>
      <w:r>
        <w:t xml:space="preserve">.</w:t>
      </w:r>
    </w:p>
    <w:bookmarkEnd w:id="327"/>
    <w:bookmarkStart w:id="329" w:name="ref-ali2023"/>
    <w:p>
      <w:pPr>
        <w:pStyle w:val="Bibliography"/>
        <w:spacing w:line="360" w:lineRule="auto"/>
        <w:jc w:val="both"/>
      </w:pPr>
      <w:r>
        <w:t xml:space="preserve">Ali, Abuhmed, S. 2023.</w:t>
      </w:r>
      <w:r>
        <w:t xml:space="preserve"> </w:t>
      </w:r>
      <w:r>
        <w:t xml:space="preserve">«Explainable Artificial Intelligence (XAI): What we know and what is left to attain Trustworthy Artificial Intelligence»</w:t>
      </w:r>
      <w:r>
        <w:t xml:space="preserve">.</w:t>
      </w:r>
      <w:r>
        <w:t xml:space="preserve"> </w:t>
      </w:r>
      <w:r>
        <w:rPr>
          <w:i/>
          <w:iCs/>
        </w:rPr>
        <w:t xml:space="preserve">Information Fusion</w:t>
      </w:r>
      <w:r>
        <w:t xml:space="preserve"> </w:t>
      </w:r>
      <w:r>
        <w:t xml:space="preserve">99: 101805.</w:t>
      </w:r>
      <w:r>
        <w:t xml:space="preserve"> </w:t>
      </w:r>
      <w:hyperlink ns4:id="rId328">
        <w:r>
          <w:rPr>
            <w:rStyle w:val="Hipervnculo"/>
          </w:rPr>
          <w:t xml:space="preserve">https://doi.org/10.1016/j.inffus.2023.101805</w:t>
        </w:r>
      </w:hyperlink>
      <w:r>
        <w:t xml:space="preserve">.</w:t>
      </w:r>
    </w:p>
    <w:bookmarkEnd w:id="329"/>
    <w:bookmarkStart w:id="331" w:name="ref-alkhateeb2025"/>
    <w:p>
      <w:pPr>
        <w:pStyle w:val="Bibliography"/>
        <w:spacing w:line="360" w:lineRule="auto"/>
        <w:jc w:val="both"/>
      </w:pPr>
      <w:r>
        <w:t xml:space="preserve">Alkhateeb, Banan Mohammad, y Ellis Solaiman. 2025.</w:t>
      </w:r>
      <w:r>
        <w:t xml:space="preserve"> </w:t>
      </w:r>
      <w:r>
        <w:rPr>
          <w:i/>
          <w:iCs/>
        </w:rPr>
        <w:t xml:space="preserve">Context-Aware Visualization for Explainable AI Recommendations in Social Media: A Vision for User-Aligned Explanations</w:t>
      </w:r>
      <w:r>
        <w:t xml:space="preserve">. Springer Nature Switzerland.</w:t>
      </w:r>
      <w:r>
        <w:t xml:space="preserve"> </w:t>
      </w:r>
      <w:hyperlink ns4:id="rId330">
        <w:r>
          <w:rPr>
            <w:rStyle w:val="Hipervnculo"/>
          </w:rPr>
          <w:t xml:space="preserve">https://doi.org/10.1007/978-3-032-06744-9_14</w:t>
        </w:r>
      </w:hyperlink>
      <w:r>
        <w:t xml:space="preserve">.</w:t>
      </w:r>
    </w:p>
    <w:bookmarkEnd w:id="331"/>
    <w:bookmarkStart w:id="333" w:name="ref-allen2024"/>
    <w:p>
      <w:pPr>
        <w:pStyle w:val="Bibliography"/>
        <w:spacing w:line="360" w:lineRule="auto"/>
        <w:jc w:val="both"/>
      </w:pPr>
      <w:r>
        <w:t xml:space="preserve">Allen, Gan, G. I. 2024.</w:t>
      </w:r>
      <w:r>
        <w:t xml:space="preserve"> </w:t>
      </w:r>
      <w:r>
        <w:t xml:space="preserve">«Interpretable Machine Learning for Discovery: Statistical challenges and opportunities»</w:t>
      </w:r>
      <w:r>
        <w:t xml:space="preserve">.</w:t>
      </w:r>
      <w:r>
        <w:t xml:space="preserve"> </w:t>
      </w:r>
      <w:r>
        <w:rPr>
          <w:i/>
          <w:iCs/>
        </w:rPr>
        <w:t xml:space="preserve">Annual Review of Statistics and Its Application</w:t>
      </w:r>
      <w:r>
        <w:t xml:space="preserve"> </w:t>
      </w:r>
      <w:r>
        <w:t xml:space="preserve">11 (1): 97-121.</w:t>
      </w:r>
      <w:r>
        <w:t xml:space="preserve"> </w:t>
      </w:r>
      <w:hyperlink ns4:id="rId332">
        <w:r>
          <w:rPr>
            <w:rStyle w:val="Hipervnculo"/>
          </w:rPr>
          <w:t xml:space="preserve">https://doi.org/10.1146/annurev-statistics-040120-030919</w:t>
        </w:r>
      </w:hyperlink>
      <w:r>
        <w:t xml:space="preserve">.</w:t>
      </w:r>
    </w:p>
    <w:bookmarkEnd w:id="333"/>
    <w:bookmarkStart w:id="335" w:name="ref-altukhi2025"/>
    <w:p>
      <w:pPr>
        <w:pStyle w:val="Bibliography"/>
        <w:spacing w:line="360" w:lineRule="auto"/>
        <w:jc w:val="both"/>
      </w:pPr>
      <w:r>
        <w:t xml:space="preserve">Altukhi, Pradhan, Z. M. 2025.</w:t>
      </w:r>
      <w:r>
        <w:t xml:space="preserve"> </w:t>
      </w:r>
      <w:r>
        <w:t xml:space="preserve">«A systematic literature review of the latest advancements in XAI»</w:t>
      </w:r>
      <w:r>
        <w:t xml:space="preserve">.</w:t>
      </w:r>
      <w:r>
        <w:t xml:space="preserve"> </w:t>
      </w:r>
      <w:r>
        <w:rPr>
          <w:i/>
          <w:iCs/>
        </w:rPr>
        <w:t xml:space="preserve">Technologies</w:t>
      </w:r>
      <w:r>
        <w:t xml:space="preserve"> </w:t>
      </w:r>
      <w:r>
        <w:t xml:space="preserve">13 (3): 93.</w:t>
      </w:r>
      <w:r>
        <w:t xml:space="preserve"> </w:t>
      </w:r>
      <w:hyperlink ns4:id="rId334">
        <w:r>
          <w:rPr>
            <w:rStyle w:val="Hipervnculo"/>
          </w:rPr>
          <w:t xml:space="preserve">https://doi.org/10.3390/technologies13030093</w:t>
        </w:r>
      </w:hyperlink>
      <w:r>
        <w:t xml:space="preserve">.</w:t>
      </w:r>
    </w:p>
    <w:bookmarkEnd w:id="335"/>
    <w:bookmarkStart w:id="337" w:name="ref-alvarezmelis2018"/>
    <w:p>
      <w:pPr>
        <w:pStyle w:val="Bibliography"/>
        <w:spacing w:line="360" w:lineRule="auto"/>
        <w:jc w:val="both"/>
      </w:pPr>
      <w:r>
        <w:t xml:space="preserve">Alvarez-Melis, David, y Tommi S. Jaakkola. 2018.</w:t>
      </w:r>
      <w:r>
        <w:t xml:space="preserve"> </w:t>
      </w:r>
      <w:r>
        <w:rPr>
          <w:i/>
          <w:iCs/>
        </w:rPr>
        <w:t xml:space="preserve">On the Robustness of Interpretability Methods</w:t>
      </w:r>
      <w:r>
        <w:t xml:space="preserve">.</w:t>
      </w:r>
      <w:r>
        <w:t xml:space="preserve"> </w:t>
      </w:r>
      <w:hyperlink ns4:id="rId336">
        <w:r>
          <w:rPr>
            <w:rStyle w:val="Hipervnculo"/>
          </w:rPr>
          <w:t xml:space="preserve">https://arxiv.org/abs/1806.08049</w:t>
        </w:r>
      </w:hyperlink>
      <w:r>
        <w:t xml:space="preserve">.</w:t>
      </w:r>
    </w:p>
    <w:bookmarkEnd w:id="337"/>
    <w:bookmarkStart w:id="339" w:name="ref-amershi2014"/>
    <w:p>
      <w:pPr>
        <w:pStyle w:val="Bibliography"/>
        <w:spacing w:line="360" w:lineRule="auto"/>
        <w:jc w:val="both"/>
      </w:pPr>
      <w:r>
        <w:t xml:space="preserve">Amershi, Cakmak, S. 2014.</w:t>
      </w:r>
      <w:r>
        <w:t xml:space="preserve"> </w:t>
      </w:r>
      <w:r>
        <w:t xml:space="preserve">«Power to the People: The role of Humans in Interactive Machine Learning»</w:t>
      </w:r>
      <w:r>
        <w:t xml:space="preserve">.</w:t>
      </w:r>
      <w:r>
        <w:t xml:space="preserve"> </w:t>
      </w:r>
      <w:r>
        <w:rPr>
          <w:i/>
          <w:iCs/>
        </w:rPr>
        <w:t xml:space="preserve">AI Magazine</w:t>
      </w:r>
      <w:r>
        <w:t xml:space="preserve"> </w:t>
      </w:r>
      <w:r>
        <w:t xml:space="preserve">35 (4): 105-20.</w:t>
      </w:r>
      <w:r>
        <w:t xml:space="preserve"> </w:t>
      </w:r>
      <w:hyperlink ns4:id="rId338">
        <w:r>
          <w:rPr>
            <w:rStyle w:val="Hipervnculo"/>
          </w:rPr>
          <w:t xml:space="preserve">https://doi.org/10.1609/aimag.v35i4.2513</w:t>
        </w:r>
      </w:hyperlink>
      <w:r>
        <w:t xml:space="preserve">.</w:t>
      </w:r>
    </w:p>
    <w:bookmarkEnd w:id="339"/>
    <w:bookmarkStart w:id="341" w:name="ref-angelov2021"/>
    <w:p>
      <w:pPr>
        <w:pStyle w:val="Bibliography"/>
        <w:spacing w:line="360" w:lineRule="auto"/>
        <w:jc w:val="both"/>
      </w:pPr>
      <w:r>
        <w:t xml:space="preserve">Angelov, Soares, P. P. 2021.</w:t>
      </w:r>
      <w:r>
        <w:t xml:space="preserve"> </w:t>
      </w:r>
      <w:r>
        <w:t xml:space="preserve">«Explainable artificial intelligence: an analytical review»</w:t>
      </w:r>
      <w:r>
        <w:t xml:space="preserve">.</w:t>
      </w:r>
      <w:r>
        <w:t xml:space="preserve"> </w:t>
      </w:r>
      <w:r>
        <w:rPr>
          <w:i/>
          <w:iCs/>
        </w:rPr>
        <w:t xml:space="preserve">Wiley Interdisciplinary Reviews Data Mining and Knowledge Discovery</w:t>
      </w:r>
      <w:r>
        <w:t xml:space="preserve"> </w:t>
      </w:r>
      <w:r>
        <w:t xml:space="preserve">11 (5).</w:t>
      </w:r>
      <w:r>
        <w:t xml:space="preserve"> </w:t>
      </w:r>
      <w:hyperlink ns4:id="rId340">
        <w:r>
          <w:rPr>
            <w:rStyle w:val="Hipervnculo"/>
          </w:rPr>
          <w:t xml:space="preserve">https://doi.org/10.1002/widm.1424</w:t>
        </w:r>
      </w:hyperlink>
      <w:r>
        <w:t xml:space="preserve">.</w:t>
      </w:r>
    </w:p>
    <w:bookmarkEnd w:id="341"/>
    <w:bookmarkStart w:id="343" w:name="ref-apley2020"/>
    <w:p>
      <w:pPr>
        <w:pStyle w:val="Bibliography"/>
        <w:spacing w:line="360" w:lineRule="auto"/>
        <w:jc w:val="both"/>
      </w:pPr>
      <w:r>
        <w:t xml:space="preserve">Apley, &amp; Zhu, D. W. 2020.</w:t>
      </w:r>
      <w:r>
        <w:t xml:space="preserve"> </w:t>
      </w:r>
      <w:r>
        <w:t xml:space="preserve">«Visualizing the effects of predictor variables in black box supervised learning models»</w:t>
      </w:r>
      <w:r>
        <w:t xml:space="preserve">.</w:t>
      </w:r>
      <w:r>
        <w:t xml:space="preserve"> </w:t>
      </w:r>
      <w:r>
        <w:rPr>
          <w:i/>
          <w:iCs/>
        </w:rPr>
        <w:t xml:space="preserve">Journal of the Royal Statistical Society Series B (Statistical Methodology)</w:t>
      </w:r>
      <w:r>
        <w:t xml:space="preserve"> </w:t>
      </w:r>
      <w:r>
        <w:t xml:space="preserve">82 (4): 1059-86.</w:t>
      </w:r>
      <w:r>
        <w:t xml:space="preserve"> </w:t>
      </w:r>
      <w:hyperlink ns4:id="rId342">
        <w:r>
          <w:rPr>
            <w:rStyle w:val="Hipervnculo"/>
          </w:rPr>
          <w:t xml:space="preserve">https://doi.org/10.1111/rssb.12377</w:t>
        </w:r>
      </w:hyperlink>
      <w:r>
        <w:t xml:space="preserve">.</w:t>
      </w:r>
    </w:p>
    <w:bookmarkEnd w:id="343"/>
    <w:bookmarkStart w:id="345" w:name="ref-arrieta2019a"/>
    <w:p>
      <w:pPr>
        <w:pStyle w:val="Bibliography"/>
        <w:spacing w:line="360" w:lineRule="auto"/>
        <w:jc w:val="both"/>
      </w:pPr>
      <w:r>
        <w:t xml:space="preserve">Arrieta, Díaz-Rodríguez, A. B. 2019.</w:t>
      </w:r>
      <w:r>
        <w:t xml:space="preserve"> </w:t>
      </w:r>
      <w:r>
        <w:t xml:space="preserve">«Explainable Artificial Intelligence (XAI): Concepts, taxonomies, opportunities and challenges toward responsible AI»</w:t>
      </w:r>
      <w:r>
        <w:t xml:space="preserve">.</w:t>
      </w:r>
      <w:r>
        <w:t xml:space="preserve"> </w:t>
      </w:r>
      <w:r>
        <w:rPr>
          <w:i/>
          <w:iCs/>
        </w:rPr>
        <w:t xml:space="preserve">Information Fusion</w:t>
      </w:r>
      <w:r>
        <w:t xml:space="preserve"> </w:t>
      </w:r>
      <w:r>
        <w:t xml:space="preserve">58: 82-115.</w:t>
      </w:r>
      <w:r>
        <w:t xml:space="preserve"> </w:t>
      </w:r>
      <w:hyperlink ns4:id="rId344">
        <w:r>
          <w:rPr>
            <w:rStyle w:val="Hipervnculo"/>
          </w:rPr>
          <w:t xml:space="preserve">https://doi.org/10.1016/j.inffus.2019.12.012</w:t>
        </w:r>
      </w:hyperlink>
      <w:r>
        <w:t xml:space="preserve">.</w:t>
      </w:r>
    </w:p>
    <w:bookmarkEnd w:id="345"/>
    <w:bookmarkStart w:id="347" w:name="ref-bacardit2024"/>
    <w:p>
      <w:pPr>
        <w:pStyle w:val="Bibliography"/>
        <w:spacing w:line="360" w:lineRule="auto"/>
        <w:jc w:val="both"/>
      </w:pPr>
      <w:r>
        <w:t xml:space="preserve">Bacardit, Jaume, Alexander Brownlee, Stefano Cagnoni, Giovanni Iacca, John McCall, y David Walker. 2024.</w:t>
      </w:r>
      <w:r>
        <w:t xml:space="preserve"> </w:t>
      </w:r>
      <w:r>
        <w:t xml:space="preserve">«Introduction to the Special Issue on Explainable AI in Evolutionary Computation»</w:t>
      </w:r>
      <w:r>
        <w:t xml:space="preserve">.</w:t>
      </w:r>
      <w:r>
        <w:t xml:space="preserve"> </w:t>
      </w:r>
      <w:r>
        <w:rPr>
          <w:i/>
          <w:iCs/>
        </w:rPr>
        <w:t xml:space="preserve">ACM Transactions on Evolutionary Learning and Optimization</w:t>
      </w:r>
      <w:r>
        <w:t xml:space="preserve"> </w:t>
      </w:r>
      <w:r>
        <w:t xml:space="preserve">4 (1): 1-2.</w:t>
      </w:r>
      <w:r>
        <w:t xml:space="preserve"> </w:t>
      </w:r>
      <w:hyperlink ns4:id="rId346">
        <w:r>
          <w:rPr>
            <w:rStyle w:val="Hipervnculo"/>
          </w:rPr>
          <w:t xml:space="preserve">https://doi.org/10.1145/3649144</w:t>
        </w:r>
      </w:hyperlink>
      <w:r>
        <w:t xml:space="preserve">.</w:t>
      </w:r>
    </w:p>
    <w:bookmarkEnd w:id="347"/>
    <w:bookmarkStart w:id="349" w:name="ref-bastings2020"/>
    <w:p>
      <w:pPr>
        <w:pStyle w:val="Bibliography"/>
        <w:spacing w:line="360" w:lineRule="auto"/>
        <w:jc w:val="both"/>
      </w:pPr>
      <w:r>
        <w:t xml:space="preserve">Bastings, Jasmijn, y Katja Filippova. 2020.</w:t>
      </w:r>
      <w:r>
        <w:t xml:space="preserve"> </w:t>
      </w:r>
      <w:r>
        <w:t xml:space="preserve">«The elephant in the interpretability room: Why use attention as explanation when we have saliency methods?»</w:t>
      </w:r>
      <w:r>
        <w:t xml:space="preserve"> </w:t>
      </w:r>
      <w:r>
        <w:rPr>
          <w:i/>
          <w:iCs/>
        </w:rPr>
        <w:t xml:space="preserve">Proceedings of the Third BlackboxNLP Workshop on Analyzing and Interpreting Neural Networks for NLP</w:t>
      </w:r>
      <w:r>
        <w:t xml:space="preserve">, 149-55.</w:t>
      </w:r>
      <w:r>
        <w:t xml:space="preserve"> </w:t>
      </w:r>
      <w:hyperlink ns4:id="rId348">
        <w:r>
          <w:rPr>
            <w:rStyle w:val="Hipervnculo"/>
          </w:rPr>
          <w:t xml:space="preserve">https://doi.org/10.18653/v1/2020.blackboxnlp-1.14</w:t>
        </w:r>
      </w:hyperlink>
      <w:r>
        <w:t xml:space="preserve">.</w:t>
      </w:r>
    </w:p>
    <w:bookmarkEnd w:id="349"/>
    <w:bookmarkStart w:id="351" w:name="ref-belle2021"/>
    <w:p>
      <w:pPr>
        <w:pStyle w:val="Bibliography"/>
        <w:spacing w:line="360" w:lineRule="auto"/>
        <w:jc w:val="both"/>
      </w:pPr>
      <w:r>
        <w:t xml:space="preserve">Belle, &amp; Papantonis, V. 2021.</w:t>
      </w:r>
      <w:r>
        <w:t xml:space="preserve"> </w:t>
      </w:r>
      <w:r>
        <w:t xml:space="preserve">«Principles and practice of explainable machine learning»</w:t>
      </w:r>
      <w:r>
        <w:t xml:space="preserve">.</w:t>
      </w:r>
      <w:r>
        <w:t xml:space="preserve"> </w:t>
      </w:r>
      <w:r>
        <w:rPr>
          <w:i/>
          <w:iCs/>
        </w:rPr>
        <w:t xml:space="preserve">Frontiers in Big Data</w:t>
      </w:r>
      <w:r>
        <w:t xml:space="preserve"> </w:t>
      </w:r>
      <w:r>
        <w:t xml:space="preserve">4.</w:t>
      </w:r>
      <w:r>
        <w:t xml:space="preserve"> </w:t>
      </w:r>
      <w:hyperlink ns4:id="rId350">
        <w:r>
          <w:rPr>
            <w:rStyle w:val="Hipervnculo"/>
          </w:rPr>
          <w:t xml:space="preserve">https://doi.org/10.3389/fdata.2021.688969</w:t>
        </w:r>
      </w:hyperlink>
      <w:r>
        <w:t xml:space="preserve">.</w:t>
      </w:r>
    </w:p>
    <w:bookmarkEnd w:id="351"/>
    <w:bookmarkStart w:id="353" w:name="ref-bennetot2024"/>
    <w:p>
      <w:pPr>
        <w:pStyle w:val="Bibliography"/>
        <w:spacing w:line="360" w:lineRule="auto"/>
        <w:jc w:val="both"/>
      </w:pPr>
      <w:r>
        <w:t xml:space="preserve">Bennetot, Adrien, Ivan Donadello, Ayoub El Qadi El Haouari, et al. 2024.</w:t>
      </w:r>
      <w:r>
        <w:t xml:space="preserve"> </w:t>
      </w:r>
      <w:r>
        <w:t xml:space="preserve">«A Practical Tutorial on Explainable AI Techniques»</w:t>
      </w:r>
      <w:r>
        <w:t xml:space="preserve">.</w:t>
      </w:r>
      <w:r>
        <w:t xml:space="preserve"> </w:t>
      </w:r>
      <w:r>
        <w:rPr>
          <w:i/>
          <w:iCs/>
        </w:rPr>
        <w:t xml:space="preserve">ACM Computing Surveys</w:t>
      </w:r>
      <w:r>
        <w:t xml:space="preserve"> </w:t>
      </w:r>
      <w:r>
        <w:t xml:space="preserve">57 (2): 1-44.</w:t>
      </w:r>
      <w:r>
        <w:t xml:space="preserve"> </w:t>
      </w:r>
      <w:hyperlink ns4:id="rId352">
        <w:r>
          <w:rPr>
            <w:rStyle w:val="Hipervnculo"/>
          </w:rPr>
          <w:t xml:space="preserve">https://doi.org/10.1145/3670685</w:t>
        </w:r>
      </w:hyperlink>
      <w:r>
        <w:t xml:space="preserve">.</w:t>
      </w:r>
    </w:p>
    <w:bookmarkEnd w:id="353"/>
    <w:bookmarkStart w:id="355" w:name="ref-bhat2024"/>
    <w:p>
      <w:pPr>
        <w:pStyle w:val="Bibliography"/>
        <w:spacing w:line="360" w:lineRule="auto"/>
        <w:jc w:val="both"/>
      </w:pPr>
      <w:r>
        <w:t xml:space="preserve">Bhat, Maalvika, y Duri Long. 2024.</w:t>
      </w:r>
      <w:r>
        <w:t xml:space="preserve"> </w:t>
      </w:r>
      <w:r>
        <w:t xml:space="preserve">«Designing Interactive Explainable AI Tools for Algorithmic Literacy and Transparency»</w:t>
      </w:r>
      <w:r>
        <w:t xml:space="preserve">.</w:t>
      </w:r>
      <w:r>
        <w:t xml:space="preserve"> </w:t>
      </w:r>
      <w:r>
        <w:rPr>
          <w:i/>
          <w:iCs/>
        </w:rPr>
        <w:t xml:space="preserve">Designing Interactive Systems Conference</w:t>
      </w:r>
      <w:r>
        <w:t xml:space="preserve">, 939-57.</w:t>
      </w:r>
      <w:r>
        <w:t xml:space="preserve"> </w:t>
      </w:r>
      <w:hyperlink ns4:id="rId354">
        <w:r>
          <w:rPr>
            <w:rStyle w:val="Hipervnculo"/>
          </w:rPr>
          <w:t xml:space="preserve">https://doi.org/10.1145/3643834.3660722</w:t>
        </w:r>
      </w:hyperlink>
      <w:r>
        <w:t xml:space="preserve">.</w:t>
      </w:r>
    </w:p>
    <w:bookmarkEnd w:id="355"/>
    <w:bookmarkStart w:id="357" w:name="ref-bhattacharya2024"/>
    <w:p>
      <w:pPr>
        <w:pStyle w:val="Bibliography"/>
        <w:spacing w:line="360" w:lineRule="auto"/>
        <w:jc w:val="both"/>
      </w:pPr>
      <w:r>
        <w:t xml:space="preserve">Bhattacharya, A., y K. Verbert. 2024.</w:t>
      </w:r>
      <w:r>
        <w:t xml:space="preserve"> </w:t>
      </w:r>
      <w:r>
        <w:t xml:space="preserve">«How Good Is Your Explanation?: Towards a Standardised Evaluation Approach for Diverse XAI Methods on Multiple Dimensions of Explainability»</w:t>
      </w:r>
      <w:r>
        <w:t xml:space="preserve">.</w:t>
      </w:r>
      <w:r>
        <w:t xml:space="preserve"> </w:t>
      </w:r>
      <w:r>
        <w:rPr>
          <w:i/>
          <w:iCs/>
        </w:rPr>
        <w:t xml:space="preserve">Proceedings of the 32nd ACM Conference on User Modeling, Adaptation and Personalization (UMAP Adjunct ’24)</w:t>
      </w:r>
      <w:r>
        <w:t xml:space="preserve">.</w:t>
      </w:r>
      <w:r>
        <w:t xml:space="preserve"> </w:t>
      </w:r>
      <w:hyperlink ns4:id="rId356">
        <w:r>
          <w:rPr>
            <w:rStyle w:val="Hipervnculo"/>
          </w:rPr>
          <w:t xml:space="preserve">https://doi.org/10.1145/3631700.3664911</w:t>
        </w:r>
      </w:hyperlink>
      <w:r>
        <w:t xml:space="preserve">.</w:t>
      </w:r>
    </w:p>
    <w:bookmarkEnd w:id="357"/>
    <w:bookmarkStart w:id="359" w:name="ref-bobitan2024"/>
    <w:p>
      <w:pPr>
        <w:pStyle w:val="Bibliography"/>
        <w:spacing w:line="360" w:lineRule="auto"/>
        <w:jc w:val="both"/>
      </w:pPr>
      <w:r>
        <w:t xml:space="preserve">Bobitan, Nicolae, Diana Dumitrescu, Adriana Florina Popa, Daniela Nicoleta Sahlian, y Ioan Codrut Turlea. 2024.</w:t>
      </w:r>
      <w:r>
        <w:t xml:space="preserve"> </w:t>
      </w:r>
      <w:r>
        <w:t xml:space="preserve">«Shaping Tomorrow: Anticipating Skills Requirements Based on the Integration of Artificial Intelligence in Business Organizations—A Foresight Analysis Using the Scenario Method»</w:t>
      </w:r>
      <w:r>
        <w:t xml:space="preserve">.</w:t>
      </w:r>
      <w:r>
        <w:t xml:space="preserve"> </w:t>
      </w:r>
      <w:r>
        <w:rPr>
          <w:i/>
          <w:iCs/>
        </w:rPr>
        <w:t xml:space="preserve">Electronics</w:t>
      </w:r>
      <w:r>
        <w:t xml:space="preserve"> </w:t>
      </w:r>
      <w:r>
        <w:t xml:space="preserve">13 (11): 2198.</w:t>
      </w:r>
      <w:r>
        <w:t xml:space="preserve"> </w:t>
      </w:r>
      <w:hyperlink ns4:id="rId358">
        <w:r>
          <w:rPr>
            <w:rStyle w:val="Hipervnculo"/>
          </w:rPr>
          <w:t xml:space="preserve">https://doi.org/10.3390/electronics13112198</w:t>
        </w:r>
      </w:hyperlink>
      <w:r>
        <w:t xml:space="preserve">.</w:t>
      </w:r>
    </w:p>
    <w:bookmarkEnd w:id="359"/>
    <w:bookmarkStart w:id="361" w:name="ref-breiman2001"/>
    <w:p>
      <w:pPr>
        <w:pStyle w:val="Bibliography"/>
        <w:spacing w:line="360" w:lineRule="auto"/>
        <w:jc w:val="both"/>
      </w:pPr>
      <w:r>
        <w:t xml:space="preserve">Breiman, L. 2001.</w:t>
      </w:r>
      <w:r>
        <w:t xml:space="preserve"> </w:t>
      </w:r>
      <w:r>
        <w:t xml:space="preserve">«Random forests»</w:t>
      </w:r>
      <w:r>
        <w:t xml:space="preserve">.</w:t>
      </w:r>
      <w:r>
        <w:t xml:space="preserve"> </w:t>
      </w:r>
      <w:r>
        <w:rPr>
          <w:i/>
          <w:iCs/>
        </w:rPr>
        <w:t xml:space="preserve">Machine Learning</w:t>
      </w:r>
      <w:r>
        <w:t xml:space="preserve"> </w:t>
      </w:r>
      <w:r>
        <w:t xml:space="preserve">45 (1): 5-32.</w:t>
      </w:r>
      <w:r>
        <w:t xml:space="preserve"> </w:t>
      </w:r>
      <w:hyperlink ns4:id="rId360">
        <w:r>
          <w:rPr>
            <w:rStyle w:val="Hipervnculo"/>
          </w:rPr>
          <w:t xml:space="preserve">https://doi.org/10.1023/a:1010933404324</w:t>
        </w:r>
      </w:hyperlink>
      <w:r>
        <w:t xml:space="preserve">.</w:t>
      </w:r>
    </w:p>
    <w:bookmarkEnd w:id="361"/>
    <w:bookmarkStart w:id="363" w:name="ref-brown2024"/>
    <w:p>
      <w:pPr>
        <w:pStyle w:val="Bibliography"/>
        <w:spacing w:line="360" w:lineRule="auto"/>
        <w:jc w:val="both"/>
      </w:pPr>
      <w:r>
        <w:t xml:space="preserve">Brown, Dene, y Glenn Hawe. 2024.</w:t>
      </w:r>
      <w:r>
        <w:t xml:space="preserve"> </w:t>
      </w:r>
      <w:r>
        <w:t xml:space="preserve">«Exploring Trade-offs in Explainable AI»</w:t>
      </w:r>
      <w:r>
        <w:t xml:space="preserve">.</w:t>
      </w:r>
      <w:r>
        <w:t xml:space="preserve"> </w:t>
      </w:r>
      <w:r>
        <w:rPr>
          <w:i/>
          <w:iCs/>
        </w:rPr>
        <w:t xml:space="preserve">ACM SIGAda Ada Letters</w:t>
      </w:r>
      <w:r>
        <w:t xml:space="preserve"> </w:t>
      </w:r>
      <w:r>
        <w:t xml:space="preserve">43 (2): 36-42.</w:t>
      </w:r>
      <w:r>
        <w:t xml:space="preserve"> </w:t>
      </w:r>
      <w:hyperlink ns4:id="rId362">
        <w:r>
          <w:rPr>
            <w:rStyle w:val="Hipervnculo"/>
          </w:rPr>
          <w:t xml:space="preserve">https://doi.org/10.1145/3672359.3672363</w:t>
        </w:r>
      </w:hyperlink>
      <w:r>
        <w:t xml:space="preserve">.</w:t>
      </w:r>
    </w:p>
    <w:bookmarkEnd w:id="363"/>
    <w:bookmarkStart w:id="365" w:name="ref-burger2023"/>
    <w:p>
      <w:pPr>
        <w:pStyle w:val="Bibliography"/>
        <w:spacing w:line="360" w:lineRule="auto"/>
        <w:jc w:val="both"/>
      </w:pPr>
      <w:r>
        <w:t xml:space="preserve">Burger, Christopher, Lingwei Chen, y Thai Le. 2023.</w:t>
      </w:r>
      <w:r>
        <w:t xml:space="preserve"> </w:t>
      </w:r>
      <w:r>
        <w:t xml:space="preserve">«Are Your Explanations Reliable? Investigating the Stability of LIME in Explaining Text Classifiers by Marrying XAI and Adversarial Attack»</w:t>
      </w:r>
      <w:r>
        <w:t xml:space="preserve">.</w:t>
      </w:r>
      <w:r>
        <w:t xml:space="preserve"> </w:t>
      </w:r>
      <w:r>
        <w:rPr>
          <w:i/>
          <w:iCs/>
        </w:rPr>
        <w:t xml:space="preserve">Proceedings of the 2023 Conference on Empirical Methods in Natural Language Processing</w:t>
      </w:r>
      <w:r>
        <w:t xml:space="preserve">, 12931-44.</w:t>
      </w:r>
      <w:r>
        <w:t xml:space="preserve"> </w:t>
      </w:r>
      <w:hyperlink ns4:id="rId364">
        <w:r>
          <w:rPr>
            <w:rStyle w:val="Hipervnculo"/>
          </w:rPr>
          <w:t xml:space="preserve">https://doi.org/10.18653/v1/2023.emnlp-main.792</w:t>
        </w:r>
      </w:hyperlink>
      <w:r>
        <w:t xml:space="preserve">.</w:t>
      </w:r>
    </w:p>
    <w:bookmarkEnd w:id="365"/>
    <w:bookmarkStart w:id="367" w:name="ref-canha2025"/>
    <w:p>
      <w:pPr>
        <w:pStyle w:val="Bibliography"/>
        <w:spacing w:line="360" w:lineRule="auto"/>
        <w:jc w:val="both"/>
      </w:pPr>
      <w:r>
        <w:t xml:space="preserve">Canha, D., S. Kubler, K. Främling, y G. Fagherazzi. 2025.</w:t>
      </w:r>
      <w:r>
        <w:t xml:space="preserve"> </w:t>
      </w:r>
      <w:r>
        <w:t xml:space="preserve">«A Functionally-Grounded Benchmark Framework for XAI Methods: Insights and Foundations from a Systematic Literature Review»</w:t>
      </w:r>
      <w:r>
        <w:t xml:space="preserve">.</w:t>
      </w:r>
      <w:r>
        <w:t xml:space="preserve"> </w:t>
      </w:r>
      <w:r>
        <w:rPr>
          <w:i/>
          <w:iCs/>
        </w:rPr>
        <w:t xml:space="preserve">ACM Computing Surveys</w:t>
      </w:r>
      <w:r>
        <w:t xml:space="preserve"> </w:t>
      </w:r>
      <w:r>
        <w:t xml:space="preserve">57 (12).</w:t>
      </w:r>
      <w:r>
        <w:t xml:space="preserve"> </w:t>
      </w:r>
      <w:hyperlink ns4:id="rId366">
        <w:r>
          <w:rPr>
            <w:rStyle w:val="Hipervnculo"/>
          </w:rPr>
          <w:t xml:space="preserve">https://doi.org/10.1145/3737445</w:t>
        </w:r>
      </w:hyperlink>
      <w:r>
        <w:t xml:space="preserve">.</w:t>
      </w:r>
    </w:p>
    <w:bookmarkEnd w:id="367"/>
    <w:bookmarkStart w:id="369" w:name="ref-carvalho2019"/>
    <w:p>
      <w:pPr>
        <w:pStyle w:val="Bibliography"/>
        <w:spacing w:line="360" w:lineRule="auto"/>
        <w:jc w:val="both"/>
      </w:pPr>
      <w:r>
        <w:t xml:space="preserve">Carvalho, Diogo V., Eduardo M. Pereira, y Jaime S. Cardoso. 2019.</w:t>
      </w:r>
      <w:r>
        <w:t xml:space="preserve"> </w:t>
      </w:r>
      <w:r>
        <w:t xml:space="preserve">«Machine Learning Interpretability: A Survey on Methods and Metrics»</w:t>
      </w:r>
      <w:r>
        <w:t xml:space="preserve">.</w:t>
      </w:r>
      <w:r>
        <w:t xml:space="preserve"> </w:t>
      </w:r>
      <w:r>
        <w:rPr>
          <w:i/>
          <w:iCs/>
        </w:rPr>
        <w:t xml:space="preserve">Electronics</w:t>
      </w:r>
      <w:r>
        <w:t xml:space="preserve"> </w:t>
      </w:r>
      <w:r>
        <w:t xml:space="preserve">8 (8): 832.</w:t>
      </w:r>
      <w:r>
        <w:t xml:space="preserve"> </w:t>
      </w:r>
      <w:hyperlink ns4:id="rId368">
        <w:r>
          <w:rPr>
            <w:rStyle w:val="Hipervnculo"/>
          </w:rPr>
          <w:t xml:space="preserve">https://doi.org/10.3390/electronics8080832</w:t>
        </w:r>
      </w:hyperlink>
      <w:r>
        <w:t xml:space="preserve">.</w:t>
      </w:r>
    </w:p>
    <w:bookmarkEnd w:id="369"/>
    <w:bookmarkStart w:id="371" w:name="ref-choudhari2025"/>
    <w:p>
      <w:pPr>
        <w:pStyle w:val="Bibliography"/>
        <w:spacing w:line="360" w:lineRule="auto"/>
        <w:jc w:val="both"/>
      </w:pPr>
      <w:r>
        <w:t xml:space="preserve">Choudhari, Anaya, Tejal Ambhore, y Ninad Mehendale. 2025.</w:t>
      </w:r>
      <w:r>
        <w:t xml:space="preserve"> </w:t>
      </w:r>
      <w:r>
        <w:rPr>
          <w:i/>
          <w:iCs/>
        </w:rPr>
        <w:t xml:space="preserve">Explainable AI: Bridging the Gap Between Machine Intelligence and Human Understanding</w:t>
      </w:r>
      <w:r>
        <w:t xml:space="preserve">. Elsevier BV.</w:t>
      </w:r>
      <w:r>
        <w:t xml:space="preserve"> </w:t>
      </w:r>
      <w:hyperlink ns4:id="rId370">
        <w:r>
          <w:rPr>
            <w:rStyle w:val="Hipervnculo"/>
          </w:rPr>
          <w:t xml:space="preserve">https://doi.org/10.2139/ssrn.5040613</w:t>
        </w:r>
      </w:hyperlink>
      <w:r>
        <w:t xml:space="preserve">.</w:t>
      </w:r>
    </w:p>
    <w:bookmarkEnd w:id="371"/>
    <w:bookmarkStart w:id="373" w:name="ref-cohen1960"/>
    <w:p>
      <w:pPr>
        <w:pStyle w:val="Bibliography"/>
        <w:spacing w:line="360" w:lineRule="auto"/>
        <w:jc w:val="both"/>
      </w:pPr>
      <w:r>
        <w:t xml:space="preserve">Cohen, J. 1960.</w:t>
      </w:r>
      <w:r>
        <w:t xml:space="preserve"> </w:t>
      </w:r>
      <w:r>
        <w:t xml:space="preserve">«A coefficient of agreement for nominal scales»</w:t>
      </w:r>
      <w:r>
        <w:t xml:space="preserve">.</w:t>
      </w:r>
      <w:r>
        <w:t xml:space="preserve"> </w:t>
      </w:r>
      <w:r>
        <w:rPr>
          <w:i/>
          <w:iCs/>
        </w:rPr>
        <w:t xml:space="preserve">Educational and Psychological Measurement</w:t>
      </w:r>
      <w:r>
        <w:t xml:space="preserve"> </w:t>
      </w:r>
      <w:r>
        <w:t xml:space="preserve">20 (1): 37-46.</w:t>
      </w:r>
      <w:r>
        <w:t xml:space="preserve"> </w:t>
      </w:r>
      <w:hyperlink ns4:id="rId372">
        <w:r>
          <w:rPr>
            <w:rStyle w:val="Hipervnculo"/>
          </w:rPr>
          <w:t xml:space="preserve">https://doi.org/10.1177/001316446002000104</w:t>
        </w:r>
      </w:hyperlink>
      <w:r>
        <w:t xml:space="preserve">.</w:t>
      </w:r>
    </w:p>
    <w:bookmarkEnd w:id="373"/>
    <w:bookmarkStart w:id="375" w:name="ref-colley2023"/>
    <w:p>
      <w:pPr>
        <w:pStyle w:val="Bibliography"/>
        <w:spacing w:line="360" w:lineRule="auto"/>
        <w:jc w:val="both"/>
      </w:pPr>
      <w:r>
        <w:t xml:space="preserve">Colley, Ashley, Matilda Kalving, Jonna Häkkilä, y Kaisa Väänänen. 2023.</w:t>
      </w:r>
      <w:r>
        <w:t xml:space="preserve"> </w:t>
      </w:r>
      <w:r>
        <w:t xml:space="preserve">«Exploring Tangible Explainable AI (TangXAI): A User Study of Two XAI Approaches»</w:t>
      </w:r>
      <w:r>
        <w:t xml:space="preserve">.</w:t>
      </w:r>
      <w:r>
        <w:t xml:space="preserve"> </w:t>
      </w:r>
      <w:r>
        <w:rPr>
          <w:i/>
          <w:iCs/>
        </w:rPr>
        <w:t xml:space="preserve">Proceedings of the 35th Australian Computer-Human Interaction Conference</w:t>
      </w:r>
      <w:r>
        <w:t xml:space="preserve">, 679-83.</w:t>
      </w:r>
      <w:r>
        <w:t xml:space="preserve"> </w:t>
      </w:r>
      <w:hyperlink ns4:id="rId374">
        <w:r>
          <w:rPr>
            <w:rStyle w:val="Hipervnculo"/>
          </w:rPr>
          <w:t xml:space="preserve">https://doi.org/10.1145/3638380.3638426</w:t>
        </w:r>
      </w:hyperlink>
      <w:r>
        <w:t xml:space="preserve">.</w:t>
      </w:r>
    </w:p>
    <w:bookmarkEnd w:id="375"/>
    <w:bookmarkStart w:id="377" w:name="ref-cunha2024"/>
    <w:p>
      <w:pPr>
        <w:pStyle w:val="Bibliography"/>
        <w:spacing w:line="360" w:lineRule="auto"/>
        <w:jc w:val="both"/>
      </w:pPr>
      <w:r>
        <w:t xml:space="preserve">Cunha, Bianca Moreira, y Simone Diniz Junqueira Barbosa. 2024.</w:t>
      </w:r>
      <w:r>
        <w:t xml:space="preserve"> </w:t>
      </w:r>
      <w:r>
        <w:t xml:space="preserve">«Evaluating the Effectiveness of Visual Representations of SHAP Values Toward Explainable Artificial Intelligence»</w:t>
      </w:r>
      <w:r>
        <w:t xml:space="preserve">.</w:t>
      </w:r>
      <w:r>
        <w:t xml:space="preserve"> </w:t>
      </w:r>
      <w:r>
        <w:rPr>
          <w:i/>
          <w:iCs/>
        </w:rPr>
        <w:t xml:space="preserve">Proceedings of the XXIII Brazilian Symposium on Human Factors in Computing Systems</w:t>
      </w:r>
      <w:r>
        <w:t xml:space="preserve">, 1-11.</w:t>
      </w:r>
      <w:r>
        <w:t xml:space="preserve"> </w:t>
      </w:r>
      <w:hyperlink ns4:id="rId376">
        <w:r>
          <w:rPr>
            <w:rStyle w:val="Hipervnculo"/>
          </w:rPr>
          <w:t xml:space="preserve">https://doi.org/10.1145/3702038.3702093</w:t>
        </w:r>
      </w:hyperlink>
      <w:r>
        <w:t xml:space="preserve">.</w:t>
      </w:r>
    </w:p>
    <w:bookmarkEnd w:id="377"/>
    <w:bookmarkStart w:id="379" w:name="ref-demsar2006"/>
    <w:p>
      <w:pPr>
        <w:pStyle w:val="Bibliography"/>
        <w:spacing w:line="360" w:lineRule="auto"/>
        <w:jc w:val="both"/>
      </w:pPr>
      <w:r>
        <w:t xml:space="preserve">Demšar, Janez. 2006.</w:t>
      </w:r>
      <w:r>
        <w:t xml:space="preserve"> </w:t>
      </w:r>
      <w:r>
        <w:t xml:space="preserve">«Statistical Comparisons of Classifiers over Multiple Data Sets»</w:t>
      </w:r>
      <w:r>
        <w:t xml:space="preserve">.</w:t>
      </w:r>
      <w:r>
        <w:t xml:space="preserve"> </w:t>
      </w:r>
      <w:r>
        <w:rPr>
          <w:i/>
          <w:iCs/>
        </w:rPr>
        <w:t xml:space="preserve">Journal of Machine Learning Research</w:t>
      </w:r>
      <w:r>
        <w:t xml:space="preserve"> </w:t>
      </w:r>
      <w:r>
        <w:t xml:space="preserve">7: 1-30.</w:t>
      </w:r>
      <w:r>
        <w:t xml:space="preserve"> </w:t>
      </w:r>
      <w:hyperlink ns4:id="rId378">
        <w:r>
          <w:rPr>
            <w:rStyle w:val="Hipervnculo"/>
          </w:rPr>
          <w:t xml:space="preserve">https://www.jmlr.org/papers/v7/demsar06a.html</w:t>
        </w:r>
      </w:hyperlink>
      <w:r>
        <w:t xml:space="preserve">.</w:t>
      </w:r>
    </w:p>
    <w:bookmarkEnd w:id="379"/>
    <w:bookmarkStart w:id="381" w:name="ref-doshi-velez2017"/>
    <w:p>
      <w:pPr>
        <w:pStyle w:val="Bibliography"/>
        <w:spacing w:line="360" w:lineRule="auto"/>
        <w:jc w:val="both"/>
      </w:pPr>
      <w:r>
        <w:t xml:space="preserve">Doshi-Velez, &amp; Kim, F. 2017.</w:t>
      </w:r>
      <w:r>
        <w:t xml:space="preserve"> </w:t>
      </w:r>
      <w:r>
        <w:t xml:space="preserve">«Towards a rigorous science of interpretable machine learning»</w:t>
      </w:r>
      <w:r>
        <w:t xml:space="preserve">.</w:t>
      </w:r>
      <w:r>
        <w:t xml:space="preserve"> </w:t>
      </w:r>
      <w:r>
        <w:rPr>
          <w:i/>
          <w:iCs/>
        </w:rPr>
        <w:t xml:space="preserve">arXiv (Cornell University)</w:t>
      </w:r>
      <w:r>
        <w:t xml:space="preserve">, advance online publication.</w:t>
      </w:r>
      <w:r>
        <w:t xml:space="preserve"> </w:t>
      </w:r>
      <w:hyperlink ns4:id="rId380">
        <w:r>
          <w:rPr>
            <w:rStyle w:val="Hipervnculo"/>
          </w:rPr>
          <w:t xml:space="preserve">https://doi.org/10.48550/arxiv.1702.08608</w:t>
        </w:r>
      </w:hyperlink>
      <w:r>
        <w:t xml:space="preserve">.</w:t>
      </w:r>
    </w:p>
    <w:bookmarkEnd w:id="381"/>
    <w:bookmarkStart w:id="383" w:name="ref-dua2019uci"/>
    <w:p>
      <w:pPr>
        <w:pStyle w:val="Bibliography"/>
        <w:spacing w:line="360" w:lineRule="auto"/>
        <w:jc w:val="both"/>
      </w:pPr>
      <w:r>
        <w:t xml:space="preserve">Dua, Dheeru, y Casey Graff. 2019.</w:t>
      </w:r>
      <w:r>
        <w:t xml:space="preserve"> </w:t>
      </w:r>
      <w:r>
        <w:rPr>
          <w:i/>
          <w:iCs/>
        </w:rPr>
        <w:t xml:space="preserve">UCI</w:t>
      </w:r>
      <w:r>
        <w:rPr>
          <w:i/>
          <w:iCs/>
        </w:rPr>
        <w:t xml:space="preserve"> </w:t>
      </w:r>
      <w:r>
        <w:rPr>
          <w:i/>
          <w:iCs/>
        </w:rPr>
        <w:t xml:space="preserve">Machine Learning Repository</w:t>
      </w:r>
      <w:r>
        <w:t xml:space="preserve">. University of California, Irvine, School of Information and Computer Sciences.</w:t>
      </w:r>
      <w:r>
        <w:t xml:space="preserve"> </w:t>
      </w:r>
      <w:hyperlink ns4:id="rId382">
        <w:r>
          <w:rPr>
            <w:rStyle w:val="Hipervnculo"/>
          </w:rPr>
          <w:t xml:space="preserve">http://archive.ics.uci.edu/ml</w:t>
        </w:r>
      </w:hyperlink>
      <w:r>
        <w:t xml:space="preserve">.</w:t>
      </w:r>
    </w:p>
    <w:bookmarkEnd w:id="383"/>
    <w:bookmarkStart w:id="385" w:name="ref-dwivedi2022"/>
    <w:p>
      <w:pPr>
        <w:pStyle w:val="Bibliography"/>
        <w:spacing w:line="360" w:lineRule="auto"/>
        <w:jc w:val="both"/>
      </w:pPr>
      <w:r>
        <w:t xml:space="preserve">Dwivedi, Dave, R. 2022.</w:t>
      </w:r>
      <w:r>
        <w:t xml:space="preserve"> </w:t>
      </w:r>
      <w:r>
        <w:t xml:space="preserve">«Explainable AI (XAI): core ideas, techniques, and solutions»</w:t>
      </w:r>
      <w:r>
        <w:t xml:space="preserve">.</w:t>
      </w:r>
      <w:r>
        <w:t xml:space="preserve"> </w:t>
      </w:r>
      <w:r>
        <w:rPr>
          <w:i/>
          <w:iCs/>
        </w:rPr>
        <w:t xml:space="preserve">ACM Computing Surveys</w:t>
      </w:r>
      <w:r>
        <w:t xml:space="preserve"> </w:t>
      </w:r>
      <w:r>
        <w:t xml:space="preserve">55 (9): 1-33.</w:t>
      </w:r>
      <w:r>
        <w:t xml:space="preserve"> </w:t>
      </w:r>
      <w:hyperlink ns4:id="rId384">
        <w:r>
          <w:rPr>
            <w:rStyle w:val="Hipervnculo"/>
          </w:rPr>
          <w:t xml:space="preserve">https://doi.org/10.1145/3561048</w:t>
        </w:r>
      </w:hyperlink>
      <w:r>
        <w:t xml:space="preserve">.</w:t>
      </w:r>
    </w:p>
    <w:bookmarkEnd w:id="385"/>
    <w:bookmarkStart w:id="387" w:name="ref-ehsan2024"/>
    <w:p>
      <w:pPr>
        <w:pStyle w:val="Bibliography"/>
        <w:spacing w:line="360" w:lineRule="auto"/>
        <w:jc w:val="both"/>
      </w:pPr>
      <w:r>
        <w:t xml:space="preserve">Ehsan, Upol, y Mark Riedl. 2024.</w:t>
      </w:r>
      <w:r>
        <w:t xml:space="preserve"> </w:t>
      </w:r>
      <w:r>
        <w:t xml:space="preserve">«Explainable AI Reloaded: Challenging the XAI Status Quo in the Era of Large Language Models»</w:t>
      </w:r>
      <w:r>
        <w:t xml:space="preserve">.</w:t>
      </w:r>
      <w:r>
        <w:t xml:space="preserve"> </w:t>
      </w:r>
      <w:r>
        <w:rPr>
          <w:i/>
          <w:iCs/>
        </w:rPr>
        <w:t xml:space="preserve">Proceedings of the Halfway to the Future Symposium</w:t>
      </w:r>
      <w:r>
        <w:t xml:space="preserve">, 1-8.</w:t>
      </w:r>
      <w:r>
        <w:t xml:space="preserve"> </w:t>
      </w:r>
      <w:hyperlink ns4:id="rId386">
        <w:r>
          <w:rPr>
            <w:rStyle w:val="Hipervnculo"/>
          </w:rPr>
          <w:t xml:space="preserve">https://doi.org/10.1145/3686169.3686185</w:t>
        </w:r>
      </w:hyperlink>
      <w:r>
        <w:t xml:space="preserve">.</w:t>
      </w:r>
    </w:p>
    <w:bookmarkEnd w:id="387"/>
    <w:bookmarkStart w:id="389" w:name="ref-ehsan2023"/>
    <w:p>
      <w:pPr>
        <w:pStyle w:val="Bibliography"/>
        <w:spacing w:line="360" w:lineRule="auto"/>
        <w:jc w:val="both"/>
      </w:pPr>
      <w:r>
        <w:t xml:space="preserve">Ehsan, Upol, Philipp Wintersberger, Elizabeth A Watkins, et al. 2023.</w:t>
      </w:r>
      <w:r>
        <w:t xml:space="preserve"> </w:t>
      </w:r>
      <w:r>
        <w:t xml:space="preserve">«Human-Centered Explainable AI (HCXAI): Coming of Age»</w:t>
      </w:r>
      <w:r>
        <w:t xml:space="preserve">.</w:t>
      </w:r>
      <w:r>
        <w:t xml:space="preserve"> </w:t>
      </w:r>
      <w:r>
        <w:rPr>
          <w:i/>
          <w:iCs/>
        </w:rPr>
        <w:t xml:space="preserve">Extended Abstracts of the 2023 CHI Conference on Human Factors in Computing Systems</w:t>
      </w:r>
      <w:r>
        <w:t xml:space="preserve">, 1-7.</w:t>
      </w:r>
      <w:r>
        <w:t xml:space="preserve"> </w:t>
      </w:r>
      <w:hyperlink ns4:id="rId388">
        <w:r>
          <w:rPr>
            <w:rStyle w:val="Hipervnculo"/>
          </w:rPr>
          <w:t xml:space="preserve">https://doi.org/10.1145/3544549.3573832</w:t>
        </w:r>
      </w:hyperlink>
      <w:r>
        <w:t xml:space="preserve">.</w:t>
      </w:r>
    </w:p>
    <w:bookmarkEnd w:id="389"/>
    <w:bookmarkStart w:id="391" w:name="ref-fan2026"/>
    <w:p>
      <w:pPr>
        <w:pStyle w:val="Bibliography"/>
        <w:spacing w:line="360" w:lineRule="auto"/>
        <w:jc w:val="both"/>
      </w:pPr>
      <w:r>
        <w:t xml:space="preserve">Fan, Siyuan, Derui Zhu, y Zhe Yu. 2026.</w:t>
      </w:r>
      <w:r>
        <w:t xml:space="preserve"> </w:t>
      </w:r>
      <w:r>
        <w:rPr>
          <w:i/>
          <w:iCs/>
        </w:rPr>
        <w:t xml:space="preserve">A Systematic Literature Review of Explainability-Based Model Editing</w:t>
      </w:r>
      <w:r>
        <w:t xml:space="preserve">. Elsevier BV.</w:t>
      </w:r>
      <w:r>
        <w:t xml:space="preserve"> </w:t>
      </w:r>
      <w:hyperlink ns4:id="rId390">
        <w:r>
          <w:rPr>
            <w:rStyle w:val="Hipervnculo"/>
          </w:rPr>
          <w:t xml:space="preserve">https://doi.org/10.2139/ssrn.6847479</w:t>
        </w:r>
      </w:hyperlink>
      <w:r>
        <w:t xml:space="preserve">.</w:t>
      </w:r>
    </w:p>
    <w:bookmarkEnd w:id="391"/>
    <w:bookmarkStart w:id="393" w:name="ref-feldkamp2023"/>
    <w:p>
      <w:pPr>
        <w:pStyle w:val="Bibliography"/>
        <w:spacing w:line="360" w:lineRule="auto"/>
        <w:jc w:val="both"/>
      </w:pPr>
      <w:r>
        <w:t xml:space="preserve">Feldkamp, Niclas, y Steffen Strassburger. 2023.</w:t>
      </w:r>
      <w:r>
        <w:t xml:space="preserve"> </w:t>
      </w:r>
      <w:r>
        <w:t xml:space="preserve">«From Explainable AI to Explainable Simulation: Using Machine Learning and XAI to understand System Robustness»</w:t>
      </w:r>
      <w:r>
        <w:t xml:space="preserve">.</w:t>
      </w:r>
      <w:r>
        <w:t xml:space="preserve"> </w:t>
      </w:r>
      <w:r>
        <w:rPr>
          <w:i/>
          <w:iCs/>
        </w:rPr>
        <w:t xml:space="preserve">ACM SIGSIM Conference on Principles of Advanced Discrete Simulation</w:t>
      </w:r>
      <w:r>
        <w:t xml:space="preserve">, 96-106.</w:t>
      </w:r>
      <w:r>
        <w:t xml:space="preserve"> </w:t>
      </w:r>
      <w:hyperlink ns4:id="rId392">
        <w:r>
          <w:rPr>
            <w:rStyle w:val="Hipervnculo"/>
          </w:rPr>
          <w:t xml:space="preserve">https://doi.org/10.1145/3573900.3591114</w:t>
        </w:r>
      </w:hyperlink>
      <w:r>
        <w:t xml:space="preserve">.</w:t>
      </w:r>
    </w:p>
    <w:bookmarkEnd w:id="393"/>
    <w:bookmarkStart w:id="394" w:name="ref-fisher2019"/>
    <w:p>
      <w:pPr>
        <w:pStyle w:val="Bibliography"/>
        <w:spacing w:line="360" w:lineRule="auto"/>
        <w:jc w:val="both"/>
      </w:pPr>
      <w:r>
        <w:t xml:space="preserve">Fisher, Aaron, Cynthia Rudin, y Francesca Dominici. 2019.</w:t>
      </w:r>
      <w:r>
        <w:t xml:space="preserve"> </w:t>
      </w:r>
      <w:r>
        <w:t xml:space="preserve">«All Models are Wrong, but Many are Useful: Learning a Variable’s Importance by Studying an Entire Class of Prediction Models Simultaneously»</w:t>
      </w:r>
      <w:r>
        <w:t xml:space="preserve">.</w:t>
      </w:r>
      <w:r>
        <w:t xml:space="preserve"> </w:t>
      </w:r>
      <w:r>
        <w:rPr>
          <w:i/>
          <w:iCs/>
        </w:rPr>
        <w:t xml:space="preserve">Journal of Machine Learning Research</w:t>
      </w:r>
      <w:r>
        <w:t xml:space="preserve">.</w:t>
      </w:r>
    </w:p>
    <w:bookmarkEnd w:id="394"/>
    <w:bookmarkStart w:id="396" w:name="ref-floridi2018"/>
    <w:p>
      <w:pPr>
        <w:pStyle w:val="Bibliography"/>
        <w:spacing w:line="360" w:lineRule="auto"/>
        <w:jc w:val="both"/>
      </w:pPr>
      <w:r>
        <w:t xml:space="preserve">Floridi, Cowls, L. 2018.</w:t>
      </w:r>
      <w:r>
        <w:t xml:space="preserve"> </w:t>
      </w:r>
      <w:r>
        <w:t xml:space="preserve">«AI4People—An Ethical Framework for a Good AI Society: Opportunities, risks, principles, and recommendations»</w:t>
      </w:r>
      <w:r>
        <w:t xml:space="preserve">.</w:t>
      </w:r>
      <w:r>
        <w:t xml:space="preserve"> </w:t>
      </w:r>
      <w:r>
        <w:rPr>
          <w:i/>
          <w:iCs/>
        </w:rPr>
        <w:t xml:space="preserve">Minds and Machines</w:t>
      </w:r>
      <w:r>
        <w:t xml:space="preserve"> </w:t>
      </w:r>
      <w:r>
        <w:t xml:space="preserve">28 (4): 689-707.</w:t>
      </w:r>
      <w:r>
        <w:t xml:space="preserve"> </w:t>
      </w:r>
      <w:hyperlink ns4:id="rId395">
        <w:r>
          <w:rPr>
            <w:rStyle w:val="Hipervnculo"/>
          </w:rPr>
          <w:t xml:space="preserve">https://doi.org/10.1007/s11023-018-9482-5</w:t>
        </w:r>
      </w:hyperlink>
      <w:r>
        <w:t xml:space="preserve">.</w:t>
      </w:r>
    </w:p>
    <w:bookmarkEnd w:id="396"/>
    <w:bookmarkStart w:id="398" w:name="ref-friedman2008"/>
    <w:p>
      <w:pPr>
        <w:pStyle w:val="Bibliography"/>
        <w:spacing w:line="360" w:lineRule="auto"/>
        <w:jc w:val="both"/>
      </w:pPr>
      <w:r>
        <w:t xml:space="preserve">Friedman, &amp; Popescu, J. H. 2008.</w:t>
      </w:r>
      <w:r>
        <w:t xml:space="preserve"> </w:t>
      </w:r>
      <w:r>
        <w:t xml:space="preserve">«Predictive learning via rule ensembles»</w:t>
      </w:r>
      <w:r>
        <w:t xml:space="preserve">.</w:t>
      </w:r>
      <w:r>
        <w:t xml:space="preserve"> </w:t>
      </w:r>
      <w:r>
        <w:rPr>
          <w:i/>
          <w:iCs/>
        </w:rPr>
        <w:t xml:space="preserve">The Annals of Applied Statistics</w:t>
      </w:r>
      <w:r>
        <w:t xml:space="preserve"> </w:t>
      </w:r>
      <w:r>
        <w:t xml:space="preserve">2 (3).</w:t>
      </w:r>
      <w:r>
        <w:t xml:space="preserve"> </w:t>
      </w:r>
      <w:hyperlink ns4:id="rId397">
        <w:r>
          <w:rPr>
            <w:rStyle w:val="Hipervnculo"/>
          </w:rPr>
          <w:t xml:space="preserve">https://doi.org/10.1214/07-aoas148</w:t>
        </w:r>
      </w:hyperlink>
      <w:r>
        <w:t xml:space="preserve">.</w:t>
      </w:r>
    </w:p>
    <w:bookmarkEnd w:id="398"/>
    <w:bookmarkStart w:id="400" w:name="ref-friedman2001"/>
    <w:p>
      <w:pPr>
        <w:pStyle w:val="Bibliography"/>
        <w:spacing w:line="360" w:lineRule="auto"/>
        <w:jc w:val="both"/>
      </w:pPr>
      <w:r>
        <w:t xml:space="preserve">Friedman, J. H. 2001.</w:t>
      </w:r>
      <w:r>
        <w:t xml:space="preserve"> </w:t>
      </w:r>
      <w:r>
        <w:t xml:space="preserve">«Greedy function approximation: A gradient boosting machine»</w:t>
      </w:r>
      <w:r>
        <w:t xml:space="preserve">.</w:t>
      </w:r>
      <w:r>
        <w:t xml:space="preserve"> </w:t>
      </w:r>
      <w:r>
        <w:rPr>
          <w:i/>
          <w:iCs/>
        </w:rPr>
        <w:t xml:space="preserve">The Annals of Statistics</w:t>
      </w:r>
      <w:r>
        <w:t xml:space="preserve"> </w:t>
      </w:r>
      <w:r>
        <w:t xml:space="preserve">29 (5).</w:t>
      </w:r>
      <w:r>
        <w:t xml:space="preserve"> </w:t>
      </w:r>
      <w:hyperlink ns4:id="rId399">
        <w:r>
          <w:rPr>
            <w:rStyle w:val="Hipervnculo"/>
          </w:rPr>
          <w:t xml:space="preserve">https://doi.org/10.1214/aos/1013203451</w:t>
        </w:r>
      </w:hyperlink>
      <w:r>
        <w:t xml:space="preserve">.</w:t>
      </w:r>
    </w:p>
    <w:bookmarkEnd w:id="400"/>
    <w:bookmarkStart w:id="402" w:name="ref-friedman1937"/>
    <w:p>
      <w:pPr>
        <w:pStyle w:val="Bibliography"/>
        <w:spacing w:line="360" w:lineRule="auto"/>
        <w:jc w:val="both"/>
      </w:pPr>
      <w:r>
        <w:t xml:space="preserve">Friedman, Milton. 1937.</w:t>
      </w:r>
      <w:r>
        <w:t xml:space="preserve"> </w:t>
      </w:r>
      <w:r>
        <w:t xml:space="preserve">«The Use of Ranks to Avoid the Assumption of Normality Implicit in the Analysis of Variance»</w:t>
      </w:r>
      <w:r>
        <w:t xml:space="preserve">.</w:t>
      </w:r>
      <w:r>
        <w:t xml:space="preserve"> </w:t>
      </w:r>
      <w:r>
        <w:rPr>
          <w:i/>
          <w:iCs/>
        </w:rPr>
        <w:t xml:space="preserve">Journal of the American Statistical Association</w:t>
      </w:r>
      <w:r>
        <w:t xml:space="preserve"> </w:t>
      </w:r>
      <w:r>
        <w:t xml:space="preserve">32 (200): 675-701.</w:t>
      </w:r>
      <w:r>
        <w:t xml:space="preserve"> </w:t>
      </w:r>
      <w:hyperlink ns4:id="rId401">
        <w:r>
          <w:rPr>
            <w:rStyle w:val="Hipervnculo"/>
          </w:rPr>
          <w:t xml:space="preserve">https://doi.org/10.1080/01621459.1937.10503522</w:t>
        </w:r>
      </w:hyperlink>
      <w:r>
        <w:t xml:space="preserve">.</w:t>
      </w:r>
    </w:p>
    <w:bookmarkEnd w:id="402"/>
    <w:bookmarkStart w:id="404" w:name="ref-gafur2024"/>
    <w:p>
      <w:pPr>
        <w:pStyle w:val="Bibliography"/>
        <w:spacing w:line="360" w:lineRule="auto"/>
        <w:jc w:val="both"/>
      </w:pPr>
      <w:r>
        <w:t xml:space="preserve">Gafur, Jamil, Steve Goddard, y William Lai. 2024.</w:t>
      </w:r>
      <w:r>
        <w:t xml:space="preserve"> </w:t>
      </w:r>
      <w:r>
        <w:t xml:space="preserve">«Adversarial Robustness and Explainability of Machine Learning Models»</w:t>
      </w:r>
      <w:r>
        <w:t xml:space="preserve">.</w:t>
      </w:r>
      <w:r>
        <w:t xml:space="preserve"> </w:t>
      </w:r>
      <w:r>
        <w:rPr>
          <w:i/>
          <w:iCs/>
        </w:rPr>
        <w:t xml:space="preserve">Practice and Experience in Advanced Research Computing 2024: Human Powered Computing</w:t>
      </w:r>
      <w:r>
        <w:t xml:space="preserve">, 1-7.</w:t>
      </w:r>
      <w:r>
        <w:t xml:space="preserve"> </w:t>
      </w:r>
      <w:hyperlink ns4:id="rId403">
        <w:r>
          <w:rPr>
            <w:rStyle w:val="Hipervnculo"/>
          </w:rPr>
          <w:t xml:space="preserve">https://doi.org/10.1145/3626203.3670522</w:t>
        </w:r>
      </w:hyperlink>
      <w:r>
        <w:t xml:space="preserve">.</w:t>
      </w:r>
    </w:p>
    <w:bookmarkEnd w:id="404"/>
    <w:bookmarkStart w:id="406" w:name="ref-gilpin2018"/>
    <w:p>
      <w:pPr>
        <w:pStyle w:val="Bibliography"/>
        <w:spacing w:line="360" w:lineRule="auto"/>
        <w:jc w:val="both"/>
      </w:pPr>
      <w:r>
        <w:t xml:space="preserve">Gilpin, Bau, L. H. 2018.</w:t>
      </w:r>
      <w:r>
        <w:t xml:space="preserve"> </w:t>
      </w:r>
      <w:r>
        <w:t xml:space="preserve">«Explaining Explanations: An Overview of Interpretability of Machine Learning»</w:t>
      </w:r>
      <w:r>
        <w:t xml:space="preserve">.</w:t>
      </w:r>
      <w:r>
        <w:t xml:space="preserve"> </w:t>
      </w:r>
      <w:r>
        <w:rPr>
          <w:i/>
          <w:iCs/>
        </w:rPr>
        <w:t xml:space="preserve">2022 IEEE 9th International Conference on Data Science and Advanced Analytics (DSAA), 80–89</w:t>
      </w:r>
      <w:r>
        <w:t xml:space="preserve">, advance online publication.</w:t>
      </w:r>
      <w:r>
        <w:t xml:space="preserve"> </w:t>
      </w:r>
      <w:hyperlink ns4:id="rId405">
        <w:r>
          <w:rPr>
            <w:rStyle w:val="Hipervnculo"/>
          </w:rPr>
          <w:t xml:space="preserve">https://doi.org/10.1109/dsaa.2018.00018</w:t>
        </w:r>
      </w:hyperlink>
      <w:r>
        <w:t xml:space="preserve">.</w:t>
      </w:r>
    </w:p>
    <w:bookmarkEnd w:id="406"/>
    <w:bookmarkStart w:id="408" w:name="ref-goldstein2014"/>
    <w:p>
      <w:pPr>
        <w:pStyle w:val="Bibliography"/>
        <w:spacing w:line="360" w:lineRule="auto"/>
        <w:jc w:val="both"/>
      </w:pPr>
      <w:r>
        <w:t xml:space="preserve">Goldstein, Kapelner, A. 2014.</w:t>
      </w:r>
      <w:r>
        <w:t xml:space="preserve"> </w:t>
      </w:r>
      <w:r>
        <w:t xml:space="preserve">«Peeking inside the black box: visualizing statistical learning with plots of individual conditional expectation»</w:t>
      </w:r>
      <w:r>
        <w:t xml:space="preserve">.</w:t>
      </w:r>
      <w:r>
        <w:t xml:space="preserve"> </w:t>
      </w:r>
      <w:r>
        <w:rPr>
          <w:i/>
          <w:iCs/>
        </w:rPr>
        <w:t xml:space="preserve">Journal of Computational and Graphical Statistics</w:t>
      </w:r>
      <w:r>
        <w:t xml:space="preserve"> </w:t>
      </w:r>
      <w:r>
        <w:t xml:space="preserve">24 (1): 44-65.</w:t>
      </w:r>
      <w:r>
        <w:t xml:space="preserve"> </w:t>
      </w:r>
      <w:hyperlink ns4:id="rId407">
        <w:r>
          <w:rPr>
            <w:rStyle w:val="Hipervnculo"/>
          </w:rPr>
          <w:t xml:space="preserve">https://doi.org/10.1080/10618600.2014.907095</w:t>
        </w:r>
      </w:hyperlink>
      <w:r>
        <w:t xml:space="preserve">.</w:t>
      </w:r>
    </w:p>
    <w:bookmarkEnd w:id="408"/>
    <w:bookmarkStart w:id="410" w:name="ref-gomez2024"/>
    <w:p>
      <w:pPr>
        <w:pStyle w:val="Bibliography"/>
        <w:spacing w:line="360" w:lineRule="auto"/>
        <w:jc w:val="both"/>
      </w:pPr>
      <w:r>
        <w:t xml:space="preserve">Gomez, Manuel J., Álvaro Armada Sánchez, Mariano Albaladejo-González, Félix J. García Clemente, y José A. Ruipérez-Valiente. 2024.</w:t>
      </w:r>
      <w:r>
        <w:t xml:space="preserve"> </w:t>
      </w:r>
      <w:r>
        <w:t xml:space="preserve">«Utilizing Explainable AI to Enhance Real-time Student Performance Prediction in Educational Serious Games»</w:t>
      </w:r>
      <w:r>
        <w:t xml:space="preserve">.</w:t>
      </w:r>
      <w:r>
        <w:t xml:space="preserve"> </w:t>
      </w:r>
      <w:r>
        <w:rPr>
          <w:i/>
          <w:iCs/>
        </w:rPr>
        <w:t xml:space="preserve">Proceedings of the 39th ACM/SIGAPP Symposium on Applied Computing</w:t>
      </w:r>
      <w:r>
        <w:t xml:space="preserve">, 93-94.</w:t>
      </w:r>
      <w:r>
        <w:t xml:space="preserve"> </w:t>
      </w:r>
      <w:hyperlink ns4:id="rId409">
        <w:r>
          <w:rPr>
            <w:rStyle w:val="Hipervnculo"/>
          </w:rPr>
          <w:t xml:space="preserve">https://doi.org/10.1145/3605098.3636109</w:t>
        </w:r>
      </w:hyperlink>
      <w:r>
        <w:t xml:space="preserve">.</w:t>
      </w:r>
    </w:p>
    <w:bookmarkEnd w:id="410"/>
    <w:bookmarkStart w:id="412" w:name="ref-guidotti2018"/>
    <w:p>
      <w:pPr>
        <w:pStyle w:val="Bibliography"/>
        <w:spacing w:line="360" w:lineRule="auto"/>
        <w:jc w:val="both"/>
      </w:pPr>
      <w:r>
        <w:t xml:space="preserve">Guidotti, Riccardo, Anna Monreale, Salvatore Ruggieri, Franco Turini, Fosca Giannotti, y Dino Pedreschi. 2018.</w:t>
      </w:r>
      <w:r>
        <w:t xml:space="preserve"> </w:t>
      </w:r>
      <w:r>
        <w:t xml:space="preserve">«A Survey of Methods for Explaining Black Box Models»</w:t>
      </w:r>
      <w:r>
        <w:t xml:space="preserve">.</w:t>
      </w:r>
      <w:r>
        <w:t xml:space="preserve"> </w:t>
      </w:r>
      <w:r>
        <w:rPr>
          <w:i/>
          <w:iCs/>
        </w:rPr>
        <w:t xml:space="preserve">ACM Computing Surveys</w:t>
      </w:r>
      <w:r>
        <w:t xml:space="preserve"> </w:t>
      </w:r>
      <w:r>
        <w:t xml:space="preserve">51 (5): 1-42.</w:t>
      </w:r>
      <w:r>
        <w:t xml:space="preserve"> </w:t>
      </w:r>
      <w:hyperlink ns4:id="rId411">
        <w:r>
          <w:rPr>
            <w:rStyle w:val="Hipervnculo"/>
          </w:rPr>
          <w:t xml:space="preserve">https://doi.org/10.1145/3236009</w:t>
        </w:r>
      </w:hyperlink>
      <w:r>
        <w:t xml:space="preserve">.</w:t>
      </w:r>
    </w:p>
    <w:bookmarkEnd w:id="412"/>
    <w:bookmarkStart w:id="414" w:name="ref-hase2020"/>
    <w:p>
      <w:pPr>
        <w:pStyle w:val="Bibliography"/>
        <w:spacing w:line="360" w:lineRule="auto"/>
        <w:jc w:val="both"/>
      </w:pPr>
      <w:r>
        <w:t xml:space="preserve">Hase, Peter, y Mohit Bansal. 2020.</w:t>
      </w:r>
      <w:r>
        <w:t xml:space="preserve"> </w:t>
      </w:r>
      <w:r>
        <w:t xml:space="preserve">«Evaluating Explainable AI: Which Algorithmic Explanations Help Users Predict Model Behavior?»</w:t>
      </w:r>
      <w:r>
        <w:t xml:space="preserve"> </w:t>
      </w:r>
      <w:r>
        <w:rPr>
          <w:i/>
          <w:iCs/>
        </w:rPr>
        <w:t xml:space="preserve">Proceedings of the 58th Annual Meeting of the Association for Computational Linguistics</w:t>
      </w:r>
      <w:r>
        <w:t xml:space="preserve">, 5540-52.</w:t>
      </w:r>
      <w:r>
        <w:t xml:space="preserve"> </w:t>
      </w:r>
      <w:hyperlink ns4:id="rId413">
        <w:r>
          <w:rPr>
            <w:rStyle w:val="Hipervnculo"/>
          </w:rPr>
          <w:t xml:space="preserve">https://doi.org/10.18653/v1/2020.acl-main.491</w:t>
        </w:r>
      </w:hyperlink>
      <w:r>
        <w:t xml:space="preserve">.</w:t>
      </w:r>
    </w:p>
    <w:bookmarkEnd w:id="414"/>
    <w:bookmarkStart w:id="416" w:name="ref-hassija2023"/>
    <w:p>
      <w:pPr>
        <w:pStyle w:val="Bibliography"/>
        <w:spacing w:line="360" w:lineRule="auto"/>
        <w:jc w:val="both"/>
      </w:pPr>
      <w:r>
        <w:t xml:space="preserve">Hassija, Chamola, V. 2023.</w:t>
      </w:r>
      <w:r>
        <w:t xml:space="preserve"> </w:t>
      </w:r>
      <w:r>
        <w:t xml:space="preserve">«Interpreting Black-Box Models: A review on Explainable Artificial intelligence»</w:t>
      </w:r>
      <w:r>
        <w:t xml:space="preserve">.</w:t>
      </w:r>
      <w:r>
        <w:t xml:space="preserve"> </w:t>
      </w:r>
      <w:r>
        <w:rPr>
          <w:i/>
          <w:iCs/>
        </w:rPr>
        <w:t xml:space="preserve">Cognitive Computation</w:t>
      </w:r>
      <w:r>
        <w:t xml:space="preserve"> </w:t>
      </w:r>
      <w:r>
        <w:t xml:space="preserve">16 (1): 45-74.</w:t>
      </w:r>
      <w:r>
        <w:t xml:space="preserve"> </w:t>
      </w:r>
      <w:hyperlink ns4:id="rId415">
        <w:r>
          <w:rPr>
            <w:rStyle w:val="Hipervnculo"/>
          </w:rPr>
          <w:t xml:space="preserve">https://doi.org/10.1007/s12559-023-10179-8</w:t>
        </w:r>
      </w:hyperlink>
      <w:r>
        <w:t xml:space="preserve">.</w:t>
      </w:r>
    </w:p>
    <w:bookmarkEnd w:id="416"/>
    <w:bookmarkStart w:id="417" w:name="ref-hedstrom2023"/>
    <w:p>
      <w:pPr>
        <w:pStyle w:val="Bibliography"/>
        <w:spacing w:line="360" w:lineRule="auto"/>
        <w:jc w:val="both"/>
      </w:pPr>
      <w:r>
        <w:t xml:space="preserve">Hedström, A., L. Weber, D. Bareeva, et al. 2023.</w:t>
      </w:r>
      <w:r>
        <w:t xml:space="preserve"> </w:t>
      </w:r>
      <w:r>
        <w:t xml:space="preserve">«Quantus: An Explainable AI Toolkit for Responsible Evaluation of Neural Network Explanations and Beyond»</w:t>
      </w:r>
      <w:r>
        <w:t xml:space="preserve">.</w:t>
      </w:r>
      <w:r>
        <w:t xml:space="preserve"> </w:t>
      </w:r>
      <w:r>
        <w:rPr>
          <w:i/>
          <w:iCs/>
        </w:rPr>
        <w:t xml:space="preserve">Journal of Machine Learning Research</w:t>
      </w:r>
      <w:r>
        <w:t xml:space="preserve"> </w:t>
      </w:r>
      <w:r>
        <w:t xml:space="preserve">24 (34): 1-11.</w:t>
      </w:r>
    </w:p>
    <w:bookmarkEnd w:id="417"/>
    <w:bookmarkStart w:id="418" w:name="ref-hess2023"/>
    <w:p>
      <w:pPr>
        <w:pStyle w:val="Bibliography"/>
        <w:spacing w:line="360" w:lineRule="auto"/>
        <w:jc w:val="both"/>
      </w:pPr>
      <w:r>
        <w:t xml:space="preserve">Hess, Samuel, y Gregory Ditzler. 2023.</w:t>
      </w:r>
      <w:r>
        <w:t xml:space="preserve"> </w:t>
      </w:r>
      <w:r>
        <w:t xml:space="preserve">«ProtoShotXAI: Using Prototypical Few-Shot Architecture for Explainable AI»</w:t>
      </w:r>
      <w:r>
        <w:t xml:space="preserve">.</w:t>
      </w:r>
      <w:r>
        <w:t xml:space="preserve"> </w:t>
      </w:r>
      <w:r>
        <w:rPr>
          <w:i/>
          <w:iCs/>
        </w:rPr>
        <w:t xml:space="preserve">Journal of Machine Learning Research</w:t>
      </w:r>
      <w:r>
        <w:t xml:space="preserve"> </w:t>
      </w:r>
      <w:r>
        <w:t xml:space="preserve">24: 1-49.</w:t>
      </w:r>
    </w:p>
    <w:bookmarkEnd w:id="418"/>
    <w:bookmarkStart w:id="420" w:name="ref-hoffman2023"/>
    <w:p>
      <w:pPr>
        <w:pStyle w:val="Bibliography"/>
        <w:spacing w:line="360" w:lineRule="auto"/>
        <w:jc w:val="both"/>
      </w:pPr>
      <w:r>
        <w:t xml:space="preserve">Hoffman, Robert R., Timothy Miller, Gary Klein, Shane T. Mueller, y William J. Clancey. 2023.</w:t>
      </w:r>
      <w:r>
        <w:t xml:space="preserve"> </w:t>
      </w:r>
      <w:r>
        <w:t xml:space="preserve">«Increasing the Value of XAI for Users: A Psychological Perspective»</w:t>
      </w:r>
      <w:r>
        <w:t xml:space="preserve">.</w:t>
      </w:r>
      <w:r>
        <w:t xml:space="preserve"> </w:t>
      </w:r>
      <w:r>
        <w:rPr>
          <w:i/>
          <w:iCs/>
        </w:rPr>
        <w:t xml:space="preserve">KI - K</w:t>
      </w:r>
      <w:r>
        <w:rPr>
          <w:i/>
          <w:iCs/>
        </w:rPr>
        <w:t xml:space="preserve">ü</w:t>
      </w:r>
      <w:r>
        <w:rPr>
          <w:i/>
          <w:iCs/>
        </w:rPr>
        <w:t xml:space="preserve">nstliche Intelligenz</w:t>
      </w:r>
      <w:r>
        <w:t xml:space="preserve"> </w:t>
      </w:r>
      <w:r>
        <w:t xml:space="preserve">37: 145-59.</w:t>
      </w:r>
      <w:r>
        <w:t xml:space="preserve"> </w:t>
      </w:r>
      <w:hyperlink ns4:id="rId419">
        <w:r>
          <w:rPr>
            <w:rStyle w:val="Hipervnculo"/>
          </w:rPr>
          <w:t xml:space="preserve">https://doi.org/10.1007/s13218-023-00806-9</w:t>
        </w:r>
      </w:hyperlink>
      <w:r>
        <w:t xml:space="preserve">.</w:t>
      </w:r>
    </w:p>
    <w:bookmarkEnd w:id="420"/>
    <w:bookmarkStart w:id="422" w:name="ref-holzinger2022"/>
    <w:p>
      <w:pPr>
        <w:pStyle w:val="Bibliography"/>
        <w:spacing w:line="360" w:lineRule="auto"/>
        <w:jc w:val="both"/>
      </w:pPr>
      <w:r>
        <w:t xml:space="preserve">Holzinger, Andreas, Anna Saranti, Christoph Molnar, Przemyslaw Biecek, y Wojciech Samek. 2022.</w:t>
      </w:r>
      <w:r>
        <w:t xml:space="preserve"> </w:t>
      </w:r>
      <w:r>
        <w:rPr>
          <w:i/>
          <w:iCs/>
        </w:rPr>
        <w:t xml:space="preserve">Explainable AI Methods - A Brief Overview</w:t>
      </w:r>
      <w:r>
        <w:t xml:space="preserve">. Springer International Publishing.</w:t>
      </w:r>
      <w:r>
        <w:t xml:space="preserve"> </w:t>
      </w:r>
      <w:hyperlink ns4:id="rId421">
        <w:r>
          <w:rPr>
            <w:rStyle w:val="Hipervnculo"/>
          </w:rPr>
          <w:t xml:space="preserve">https://doi.org/10.1007/978-3-031-04083-2_2</w:t>
        </w:r>
      </w:hyperlink>
      <w:r>
        <w:t xml:space="preserve">.</w:t>
      </w:r>
    </w:p>
    <w:bookmarkEnd w:id="422"/>
    <w:bookmarkStart w:id="423" w:name="ref-hooker2019benchmark"/>
    <w:p>
      <w:pPr>
        <w:pStyle w:val="Bibliography"/>
        <w:spacing w:line="360" w:lineRule="auto"/>
        <w:jc w:val="both"/>
      </w:pPr>
      <w:r>
        <w:t xml:space="preserve">Hooker, Sara, Dumitru Erhan, Pieter-Jan Kindermans, y Been Kim. 2019.</w:t>
      </w:r>
      <w:r>
        <w:t xml:space="preserve"> </w:t>
      </w:r>
      <w:r>
        <w:t xml:space="preserve">«A Benchmark for Interpretability Methods in Deep Neural Networks»</w:t>
      </w:r>
      <w:r>
        <w:t xml:space="preserve">.</w:t>
      </w:r>
      <w:r>
        <w:t xml:space="preserve"> </w:t>
      </w:r>
      <w:r>
        <w:rPr>
          <w:i/>
          <w:iCs/>
        </w:rPr>
        <w:t xml:space="preserve">Advances in Neural Information Processing Systems</w:t>
      </w:r>
      <w:r>
        <w:t xml:space="preserve"> </w:t>
      </w:r>
      <w:r>
        <w:t xml:space="preserve">32: 9737-48.</w:t>
      </w:r>
    </w:p>
    <w:bookmarkEnd w:id="423"/>
    <w:bookmarkStart w:id="425" w:name="ref-hosseini2025"/>
    <w:p>
      <w:pPr>
        <w:pStyle w:val="Bibliography"/>
        <w:spacing w:line="360" w:lineRule="auto"/>
        <w:jc w:val="both"/>
      </w:pPr>
      <w:r>
        <w:t xml:space="preserve">Hosseini, Soodeh, y Hossein Seilani. 2025.</w:t>
      </w:r>
      <w:r>
        <w:t xml:space="preserve"> </w:t>
      </w:r>
      <w:r>
        <w:t xml:space="preserve">«The role of agentic AI in shaping a smart future: A systematic review»</w:t>
      </w:r>
      <w:r>
        <w:t xml:space="preserve">.</w:t>
      </w:r>
      <w:r>
        <w:t xml:space="preserve"> </w:t>
      </w:r>
      <w:r>
        <w:rPr>
          <w:i/>
          <w:iCs/>
        </w:rPr>
        <w:t xml:space="preserve">Array</w:t>
      </w:r>
      <w:r>
        <w:t xml:space="preserve"> </w:t>
      </w:r>
      <w:r>
        <w:t xml:space="preserve">26: 100399.</w:t>
      </w:r>
      <w:r>
        <w:t xml:space="preserve"> </w:t>
      </w:r>
      <w:hyperlink ns4:id="rId424">
        <w:r>
          <w:rPr>
            <w:rStyle w:val="Hipervnculo"/>
          </w:rPr>
          <w:t xml:space="preserve">https://doi.org/10.1016/j.array.2025.100399</w:t>
        </w:r>
      </w:hyperlink>
      <w:r>
        <w:t xml:space="preserve">.</w:t>
      </w:r>
    </w:p>
    <w:bookmarkEnd w:id="425"/>
    <w:bookmarkStart w:id="427" w:name="ref-hutson2018"/>
    <w:p>
      <w:pPr>
        <w:pStyle w:val="Bibliography"/>
        <w:spacing w:line="360" w:lineRule="auto"/>
        <w:jc w:val="both"/>
      </w:pPr>
      <w:r>
        <w:t xml:space="preserve">Hutson, Matthew. 2018.</w:t>
      </w:r>
      <w:r>
        <w:t xml:space="preserve"> </w:t>
      </w:r>
      <w:r>
        <w:t xml:space="preserve">«Artificial intelligence faces reproducibility crisis»</w:t>
      </w:r>
      <w:r>
        <w:t xml:space="preserve">.</w:t>
      </w:r>
      <w:r>
        <w:t xml:space="preserve"> </w:t>
      </w:r>
      <w:r>
        <w:rPr>
          <w:i/>
          <w:iCs/>
        </w:rPr>
        <w:t xml:space="preserve">Science</w:t>
      </w:r>
      <w:r>
        <w:t xml:space="preserve"> </w:t>
      </w:r>
      <w:r>
        <w:t xml:space="preserve">359 (6377): 725-26.</w:t>
      </w:r>
      <w:r>
        <w:t xml:space="preserve"> </w:t>
      </w:r>
      <w:hyperlink ns4:id="rId426">
        <w:r>
          <w:rPr>
            <w:rStyle w:val="Hipervnculo"/>
          </w:rPr>
          <w:t xml:space="preserve">https://doi.org/10.1126/science.359.6377.725</w:t>
        </w:r>
      </w:hyperlink>
      <w:r>
        <w:t xml:space="preserve">.</w:t>
      </w:r>
    </w:p>
    <w:bookmarkEnd w:id="427"/>
    <w:bookmarkStart w:id="429" w:name="ref-iatrellis2023"/>
    <w:p>
      <w:pPr>
        <w:pStyle w:val="Bibliography"/>
        <w:spacing w:line="360" w:lineRule="auto"/>
        <w:jc w:val="both"/>
      </w:pPr>
      <w:r>
        <w:t xml:space="preserve">Iatrellis, Omiros, Nicholas Samaras, Charalampos Dervenis, y Theodor Panagiotakopoulos. 2023.</w:t>
      </w:r>
      <w:r>
        <w:t xml:space="preserve"> </w:t>
      </w:r>
      <w:r>
        <w:t xml:space="preserve">«KONX: A Dynamic Approach for Explainable AI in Higher Education»</w:t>
      </w:r>
      <w:r>
        <w:t xml:space="preserve">.</w:t>
      </w:r>
      <w:r>
        <w:t xml:space="preserve"> </w:t>
      </w:r>
      <w:r>
        <w:rPr>
          <w:i/>
          <w:iCs/>
        </w:rPr>
        <w:t xml:space="preserve">Proceedings of the 7th International Conference on Algorithms, Computing and Systems</w:t>
      </w:r>
      <w:r>
        <w:t xml:space="preserve">, 118-24.</w:t>
      </w:r>
      <w:r>
        <w:t xml:space="preserve"> </w:t>
      </w:r>
      <w:hyperlink ns4:id="rId428">
        <w:r>
          <w:rPr>
            <w:rStyle w:val="Hipervnculo"/>
          </w:rPr>
          <w:t xml:space="preserve">https://doi.org/10.1145/3631908.3631925</w:t>
        </w:r>
      </w:hyperlink>
      <w:r>
        <w:t xml:space="preserve">.</w:t>
      </w:r>
    </w:p>
    <w:bookmarkEnd w:id="429"/>
    <w:bookmarkStart w:id="431" w:name="ref-ji2022"/>
    <w:p>
      <w:pPr>
        <w:pStyle w:val="Bibliography"/>
        <w:spacing w:line="360" w:lineRule="auto"/>
        <w:jc w:val="both"/>
      </w:pPr>
      <w:r>
        <w:t xml:space="preserve">Ji, Lee, Z. 2022.</w:t>
      </w:r>
      <w:r>
        <w:t xml:space="preserve"> </w:t>
      </w:r>
      <w:r>
        <w:t xml:space="preserve">«Survey of Hallucination in Natural Language Generation»</w:t>
      </w:r>
      <w:r>
        <w:t xml:space="preserve">.</w:t>
      </w:r>
      <w:r>
        <w:t xml:space="preserve"> </w:t>
      </w:r>
      <w:r>
        <w:rPr>
          <w:i/>
          <w:iCs/>
        </w:rPr>
        <w:t xml:space="preserve">ACM Computing Surveys</w:t>
      </w:r>
      <w:r>
        <w:t xml:space="preserve"> </w:t>
      </w:r>
      <w:r>
        <w:t xml:space="preserve">55 (12): 1-38.</w:t>
      </w:r>
      <w:r>
        <w:t xml:space="preserve"> </w:t>
      </w:r>
      <w:hyperlink ns4:id="rId430">
        <w:r>
          <w:rPr>
            <w:rStyle w:val="Hipervnculo"/>
          </w:rPr>
          <w:t xml:space="preserve">https://doi.org/10.1145/3571730</w:t>
        </w:r>
      </w:hyperlink>
      <w:r>
        <w:t xml:space="preserve">.</w:t>
      </w:r>
    </w:p>
    <w:bookmarkEnd w:id="431"/>
    <w:bookmarkStart w:id="432" w:name="ref-kadir2023"/>
    <w:p>
      <w:pPr>
        <w:pStyle w:val="Bibliography"/>
        <w:spacing w:line="360" w:lineRule="auto"/>
        <w:jc w:val="both"/>
      </w:pPr>
      <w:r>
        <w:t xml:space="preserve">Kadir, Md Abdul, Amir Mosavi, y Daniel Sonntag. 2023.</w:t>
      </w:r>
      <w:r>
        <w:t xml:space="preserve"> </w:t>
      </w:r>
      <w:r>
        <w:rPr>
          <w:i/>
          <w:iCs/>
        </w:rPr>
        <w:t xml:space="preserve">Evaluation Metrics for XAI: A Review, Taxonomy, and Practical Applications</w:t>
      </w:r>
      <w:r>
        <w:t xml:space="preserve">. IEEE 27th International Conference on Intelligent Engineering Systems (INES).</w:t>
      </w:r>
    </w:p>
    <w:bookmarkEnd w:id="432"/>
    <w:bookmarkStart w:id="434" w:name="ref-kalasampath2025"/>
    <w:p>
      <w:pPr>
        <w:pStyle w:val="Bibliography"/>
        <w:spacing w:line="360" w:lineRule="auto"/>
        <w:jc w:val="both"/>
      </w:pPr>
      <w:r>
        <w:t xml:space="preserve">Kalasampath, Khushi, K. N. Spoorthi, Sreeparvathy Sajeev, Sahil Sarma Kuppa, Kavya Ajay, y Angulakshmi Maruthamuthu. 2025.</w:t>
      </w:r>
      <w:r>
        <w:t xml:space="preserve"> </w:t>
      </w:r>
      <w:r>
        <w:t xml:space="preserve">«A Literature Review on Applications of Explainable Artificial Intelligence (XAI)»</w:t>
      </w:r>
      <w:r>
        <w:t xml:space="preserve">.</w:t>
      </w:r>
      <w:r>
        <w:t xml:space="preserve"> </w:t>
      </w:r>
      <w:r>
        <w:rPr>
          <w:i/>
          <w:iCs/>
        </w:rPr>
        <w:t xml:space="preserve">IEEE Access</w:t>
      </w:r>
      <w:r>
        <w:t xml:space="preserve"> </w:t>
      </w:r>
      <w:r>
        <w:t xml:space="preserve">13: 41111-40.</w:t>
      </w:r>
      <w:r>
        <w:t xml:space="preserve"> </w:t>
      </w:r>
      <w:hyperlink ns4:id="rId433">
        <w:r>
          <w:rPr>
            <w:rStyle w:val="Hipervnculo"/>
          </w:rPr>
          <w:t xml:space="preserve">https://doi.org/10.1109/access.2025.3546681</w:t>
        </w:r>
      </w:hyperlink>
      <w:r>
        <w:t xml:space="preserve">.</w:t>
      </w:r>
    </w:p>
    <w:bookmarkEnd w:id="434"/>
    <w:bookmarkStart w:id="436" w:name="ref-karimi2022"/>
    <w:p>
      <w:pPr>
        <w:pStyle w:val="Bibliography"/>
        <w:spacing w:line="360" w:lineRule="auto"/>
        <w:jc w:val="both"/>
      </w:pPr>
      <w:r>
        <w:t xml:space="preserve">Karimi, Amir-Hossein, Gilles Barthe, Bernhard Schölkopf, y Isabel Valera. 2022.</w:t>
      </w:r>
      <w:r>
        <w:t xml:space="preserve"> </w:t>
      </w:r>
      <w:r>
        <w:t xml:space="preserve">«A Survey of Algorithmic Recourse: Contrastive Explanations and Consequential Recommendations»</w:t>
      </w:r>
      <w:r>
        <w:t xml:space="preserve">.</w:t>
      </w:r>
      <w:r>
        <w:t xml:space="preserve"> </w:t>
      </w:r>
      <w:r>
        <w:rPr>
          <w:i/>
          <w:iCs/>
        </w:rPr>
        <w:t xml:space="preserve">ACM Computing Surveys</w:t>
      </w:r>
      <w:r>
        <w:t xml:space="preserve"> </w:t>
      </w:r>
      <w:r>
        <w:t xml:space="preserve">55 (5): 1-29.</w:t>
      </w:r>
      <w:r>
        <w:t xml:space="preserve"> </w:t>
      </w:r>
      <w:hyperlink ns4:id="rId435">
        <w:r>
          <w:rPr>
            <w:rStyle w:val="Hipervnculo"/>
          </w:rPr>
          <w:t xml:space="preserve">https://doi.org/10.1145/3527848</w:t>
        </w:r>
      </w:hyperlink>
      <w:r>
        <w:t xml:space="preserve">.</w:t>
      </w:r>
    </w:p>
    <w:bookmarkEnd w:id="436"/>
    <w:bookmarkStart w:id="438" w:name="ref-karmakar2024"/>
    <w:p>
      <w:pPr>
        <w:pStyle w:val="Bibliography"/>
        <w:spacing w:line="360" w:lineRule="auto"/>
        <w:jc w:val="both"/>
      </w:pPr>
      <w:r>
        <w:t xml:space="preserve">Karmakar, Pratik, Mikaël Monet, Pierre Senellart, y Stephane Bressan. 2024.</w:t>
      </w:r>
      <w:r>
        <w:t xml:space="preserve"> </w:t>
      </w:r>
      <w:r>
        <w:t xml:space="preserve">«Expected Shapley-Like Scores of Boolean functions: Complexity and Applications to Probabilistic Databases»</w:t>
      </w:r>
      <w:r>
        <w:t xml:space="preserve">.</w:t>
      </w:r>
      <w:r>
        <w:t xml:space="preserve"> </w:t>
      </w:r>
      <w:r>
        <w:rPr>
          <w:i/>
          <w:iCs/>
        </w:rPr>
        <w:t xml:space="preserve">Proceedings of the ACM on Management of Data</w:t>
      </w:r>
      <w:r>
        <w:t xml:space="preserve"> </w:t>
      </w:r>
      <w:r>
        <w:t xml:space="preserve">2 (2): 1-26.</w:t>
      </w:r>
      <w:r>
        <w:t xml:space="preserve"> </w:t>
      </w:r>
      <w:hyperlink ns4:id="rId437">
        <w:r>
          <w:rPr>
            <w:rStyle w:val="Hipervnculo"/>
          </w:rPr>
          <w:t xml:space="preserve">https://doi.org/10.1145/3651593</w:t>
        </w:r>
      </w:hyperlink>
      <w:r>
        <w:t xml:space="preserve">.</w:t>
      </w:r>
    </w:p>
    <w:bookmarkEnd w:id="438"/>
    <w:bookmarkStart w:id="440" w:name="ref-kaur2020"/>
    <w:p>
      <w:pPr>
        <w:pStyle w:val="Bibliography"/>
        <w:spacing w:line="360" w:lineRule="auto"/>
        <w:jc w:val="both"/>
      </w:pPr>
      <w:r>
        <w:t xml:space="preserve">Kaur, Harmanpreet, Harsha Nori, Samuel Jenkins, Rich Caruana, Hanna Wallach, y Jennifer Wortman Vaughan. 2020.</w:t>
      </w:r>
      <w:r>
        <w:t xml:space="preserve"> </w:t>
      </w:r>
      <w:r>
        <w:t xml:space="preserve">«Interpreting Interpretability: Understanding Data Scientists’ Use of Interpretability Tools for Machine Learning»</w:t>
      </w:r>
      <w:r>
        <w:t xml:space="preserve">.</w:t>
      </w:r>
      <w:r>
        <w:t xml:space="preserve"> </w:t>
      </w:r>
      <w:r>
        <w:rPr>
          <w:i/>
          <w:iCs/>
        </w:rPr>
        <w:t xml:space="preserve">Proceedings of the 2020 CHI Conference on Human Factors in Computing Systems</w:t>
      </w:r>
      <w:r>
        <w:t xml:space="preserve">, 1-14.</w:t>
      </w:r>
      <w:r>
        <w:t xml:space="preserve"> </w:t>
      </w:r>
      <w:hyperlink ns4:id="rId439">
        <w:r>
          <w:rPr>
            <w:rStyle w:val="Hipervnculo"/>
          </w:rPr>
          <w:t xml:space="preserve">https://doi.org/10.1145/3313831.3376219</w:t>
        </w:r>
      </w:hyperlink>
      <w:r>
        <w:t xml:space="preserve">.</w:t>
      </w:r>
    </w:p>
    <w:bookmarkEnd w:id="440"/>
    <w:bookmarkStart w:id="441" w:name="ref-kim2018"/>
    <w:p>
      <w:pPr>
        <w:pStyle w:val="Bibliography"/>
        <w:spacing w:line="360" w:lineRule="auto"/>
        <w:jc w:val="both"/>
      </w:pPr>
      <w:r>
        <w:t xml:space="preserve">Kim, Been, Martin Wattenberg, Justin Gilmer, et al. 2018.</w:t>
      </w:r>
      <w:r>
        <w:t xml:space="preserve"> </w:t>
      </w:r>
      <w:r>
        <w:t xml:space="preserve">«Interpretability Beyond Feature Attribution: Quantitative Testing with Concept Activation Vectors (TCAV)»</w:t>
      </w:r>
      <w:r>
        <w:t xml:space="preserve">.</w:t>
      </w:r>
      <w:r>
        <w:t xml:space="preserve"> </w:t>
      </w:r>
      <w:r>
        <w:rPr>
          <w:i/>
          <w:iCs/>
        </w:rPr>
        <w:t xml:space="preserve">Proceedings of the 35th International Conference on Machine Learning</w:t>
      </w:r>
      <w:r>
        <w:t xml:space="preserve">.</w:t>
      </w:r>
    </w:p>
    <w:bookmarkEnd w:id="441"/>
    <w:bookmarkStart w:id="443" w:name="ref-kim2024"/>
    <w:p>
      <w:pPr>
        <w:pStyle w:val="Bibliography"/>
        <w:spacing w:line="360" w:lineRule="auto"/>
        <w:jc w:val="both"/>
      </w:pPr>
      <w:r>
        <w:t xml:space="preserve">Kim, Sunnie S. Y. 2024.</w:t>
      </w:r>
      <w:r>
        <w:t xml:space="preserve"> </w:t>
      </w:r>
      <w:r>
        <w:t xml:space="preserve">«Establishing Appropriate Trust in AI through Transparency and Explainability»</w:t>
      </w:r>
      <w:r>
        <w:t xml:space="preserve">.</w:t>
      </w:r>
      <w:r>
        <w:t xml:space="preserve"> </w:t>
      </w:r>
      <w:r>
        <w:rPr>
          <w:i/>
          <w:iCs/>
        </w:rPr>
        <w:t xml:space="preserve">Extended Abstracts of the CHI Conference on Human Factors in Computing Systems</w:t>
      </w:r>
      <w:r>
        <w:t xml:space="preserve">, 1-6.</w:t>
      </w:r>
      <w:r>
        <w:t xml:space="preserve"> </w:t>
      </w:r>
      <w:hyperlink ns4:id="rId442">
        <w:r>
          <w:rPr>
            <w:rStyle w:val="Hipervnculo"/>
          </w:rPr>
          <w:t xml:space="preserve">https://doi.org/10.1145/3613905.3638184</w:t>
        </w:r>
      </w:hyperlink>
      <w:r>
        <w:t xml:space="preserve">.</w:t>
      </w:r>
    </w:p>
    <w:bookmarkEnd w:id="443"/>
    <w:bookmarkStart w:id="444" w:name="ref-koh2020"/>
    <w:p>
      <w:pPr>
        <w:pStyle w:val="Bibliography"/>
        <w:spacing w:line="360" w:lineRule="auto"/>
        <w:jc w:val="both"/>
      </w:pPr>
      <w:r>
        <w:t xml:space="preserve">Koh, Pang Wei, Thao Nguyen, Yew Siang Tang, et al. 2020.</w:t>
      </w:r>
      <w:r>
        <w:t xml:space="preserve"> </w:t>
      </w:r>
      <w:r>
        <w:t xml:space="preserve">«Concept Bottleneck Models»</w:t>
      </w:r>
      <w:r>
        <w:t xml:space="preserve">.</w:t>
      </w:r>
      <w:r>
        <w:t xml:space="preserve"> </w:t>
      </w:r>
      <w:r>
        <w:rPr>
          <w:i/>
          <w:iCs/>
        </w:rPr>
        <w:t xml:space="preserve">Proceedings of the 37th International Conference on Machine Learning</w:t>
      </w:r>
      <w:r>
        <w:t xml:space="preserve">.</w:t>
      </w:r>
    </w:p>
    <w:bookmarkEnd w:id="444"/>
    <w:bookmarkStart w:id="446" w:name="ref-kohavi1996"/>
    <w:p>
      <w:pPr>
        <w:pStyle w:val="Bibliography"/>
        <w:spacing w:line="360" w:lineRule="auto"/>
        <w:jc w:val="both"/>
      </w:pPr>
      <w:r>
        <w:t xml:space="preserve">Kohavi, Ron, y Barry Becker. 1996.</w:t>
      </w:r>
      <w:r>
        <w:t xml:space="preserve"> </w:t>
      </w:r>
      <w:r>
        <w:rPr>
          <w:i/>
          <w:iCs/>
        </w:rPr>
        <w:t xml:space="preserve">Adult Data Set</w:t>
      </w:r>
      <w:r>
        <w:t xml:space="preserve">. UCI Machine Learning Repository.</w:t>
      </w:r>
      <w:r>
        <w:t xml:space="preserve"> </w:t>
      </w:r>
      <w:hyperlink ns4:id="rId445">
        <w:r>
          <w:rPr>
            <w:rStyle w:val="Hipervnculo"/>
          </w:rPr>
          <w:t xml:space="preserve">https://archive.ics.uci.edu/dataset/2/adult</w:t>
        </w:r>
      </w:hyperlink>
      <w:r>
        <w:t xml:space="preserve">.</w:t>
      </w:r>
    </w:p>
    <w:bookmarkEnd w:id="446"/>
    <w:bookmarkStart w:id="448" w:name="ref-koo2016"/>
    <w:p>
      <w:pPr>
        <w:pStyle w:val="Bibliography"/>
        <w:spacing w:line="360" w:lineRule="auto"/>
        <w:jc w:val="both"/>
      </w:pPr>
      <w:r>
        <w:t xml:space="preserve">Koo, Terry K., y Mae Y. Li. 2016.</w:t>
      </w:r>
      <w:r>
        <w:t xml:space="preserve"> </w:t>
      </w:r>
      <w:r>
        <w:t xml:space="preserve">«A Guideline of Selecting and Reporting Intraclass Correlation Coefficients for Reliability Research»</w:t>
      </w:r>
      <w:r>
        <w:t xml:space="preserve">.</w:t>
      </w:r>
      <w:r>
        <w:t xml:space="preserve"> </w:t>
      </w:r>
      <w:r>
        <w:rPr>
          <w:i/>
          <w:iCs/>
        </w:rPr>
        <w:t xml:space="preserve">Journal of Chiropractic Medicine</w:t>
      </w:r>
      <w:r>
        <w:t xml:space="preserve"> </w:t>
      </w:r>
      <w:r>
        <w:t xml:space="preserve">15 (2): 155-63.</w:t>
      </w:r>
      <w:r>
        <w:t xml:space="preserve"> </w:t>
      </w:r>
      <w:hyperlink ns4:id="rId447">
        <w:r>
          <w:rPr>
            <w:rStyle w:val="Hipervnculo"/>
          </w:rPr>
          <w:t xml:space="preserve">https://doi.org/10.1016/j.jcm.2016.02.012</w:t>
        </w:r>
      </w:hyperlink>
      <w:r>
        <w:t xml:space="preserve">.</w:t>
      </w:r>
    </w:p>
    <w:bookmarkEnd w:id="448"/>
    <w:bookmarkStart w:id="449" w:name="ref-krippendorff2018"/>
    <w:p>
      <w:pPr>
        <w:pStyle w:val="Bibliography"/>
        <w:spacing w:line="360" w:lineRule="auto"/>
        <w:jc w:val="both"/>
      </w:pPr>
      <w:r>
        <w:t xml:space="preserve">Krippendorff, Klaus. 2018.</w:t>
      </w:r>
      <w:r>
        <w:t xml:space="preserve"> </w:t>
      </w:r>
      <w:r>
        <w:rPr>
          <w:i/>
          <w:iCs/>
        </w:rPr>
        <w:t xml:space="preserve">Content Analysis: An Introduction to Its Methodology</w:t>
      </w:r>
      <w:r>
        <w:t xml:space="preserve">. 4.ª ed. SAGE Publications.</w:t>
      </w:r>
    </w:p>
    <w:bookmarkEnd w:id="449"/>
    <w:bookmarkStart w:id="451" w:name="ref-kumagai2023"/>
    <w:p>
      <w:pPr>
        <w:pStyle w:val="Bibliography"/>
        <w:spacing w:line="360" w:lineRule="auto"/>
        <w:jc w:val="both"/>
      </w:pPr>
      <w:r>
        <w:t xml:space="preserve">Kumagai, Ryo, Shu Takemoto, Yusuke Nozaki, y Masaya Yoshikawa. 2023.</w:t>
      </w:r>
      <w:r>
        <w:t xml:space="preserve"> </w:t>
      </w:r>
      <w:r>
        <w:t xml:space="preserve">«Explainable AI based Adversarial Examples and its Evaluation»</w:t>
      </w:r>
      <w:r>
        <w:t xml:space="preserve">.</w:t>
      </w:r>
      <w:r>
        <w:t xml:space="preserve"> </w:t>
      </w:r>
      <w:r>
        <w:rPr>
          <w:i/>
          <w:iCs/>
        </w:rPr>
        <w:t xml:space="preserve">Proceedings of the 2023 6th International Conference on Electronics, Communications and Control Engineering</w:t>
      </w:r>
      <w:r>
        <w:t xml:space="preserve">, 220-25.</w:t>
      </w:r>
      <w:r>
        <w:t xml:space="preserve"> </w:t>
      </w:r>
      <w:hyperlink ns4:id="rId450">
        <w:r>
          <w:rPr>
            <w:rStyle w:val="Hipervnculo"/>
          </w:rPr>
          <w:t xml:space="preserve">https://doi.org/10.1145/3592307.3592342</w:t>
        </w:r>
      </w:hyperlink>
      <w:r>
        <w:t xml:space="preserve">.</w:t>
      </w:r>
    </w:p>
    <w:bookmarkEnd w:id="451"/>
    <w:bookmarkStart w:id="453" w:name="ref-lakens2013"/>
    <w:p>
      <w:pPr>
        <w:pStyle w:val="Bibliography"/>
        <w:spacing w:line="360" w:lineRule="auto"/>
        <w:jc w:val="both"/>
      </w:pPr>
      <w:r>
        <w:t xml:space="preserve">Lakens, Daniël. 2013.</w:t>
      </w:r>
      <w:r>
        <w:t xml:space="preserve"> </w:t>
      </w:r>
      <w:r>
        <w:t xml:space="preserve">«Calculating and Reporting Effect Sizes to Facilitate Cumulative Science: A Practical Primer for t-tests and ANOVAs»</w:t>
      </w:r>
      <w:r>
        <w:t xml:space="preserve">.</w:t>
      </w:r>
      <w:r>
        <w:t xml:space="preserve"> </w:t>
      </w:r>
      <w:r>
        <w:rPr>
          <w:i/>
          <w:iCs/>
        </w:rPr>
        <w:t xml:space="preserve">Frontiers in Psychology</w:t>
      </w:r>
      <w:r>
        <w:t xml:space="preserve"> </w:t>
      </w:r>
      <w:r>
        <w:t xml:space="preserve">4: 863.</w:t>
      </w:r>
      <w:r>
        <w:t xml:space="preserve"> </w:t>
      </w:r>
      <w:hyperlink ns4:id="rId452">
        <w:r>
          <w:rPr>
            <w:rStyle w:val="Hipervnculo"/>
          </w:rPr>
          <w:t xml:space="preserve">https://doi.org/10.3389/fpsyg.2013.00863</w:t>
        </w:r>
      </w:hyperlink>
      <w:r>
        <w:t xml:space="preserve">.</w:t>
      </w:r>
    </w:p>
    <w:bookmarkEnd w:id="453"/>
    <w:bookmarkStart w:id="455" w:name="ref-langer2021"/>
    <w:p>
      <w:pPr>
        <w:pStyle w:val="Bibliography"/>
        <w:spacing w:line="360" w:lineRule="auto"/>
        <w:jc w:val="both"/>
      </w:pPr>
      <w:r>
        <w:t xml:space="preserve">Langer, Markus, Daniel Oster, Timo Speith, et al. 2021.</w:t>
      </w:r>
      <w:r>
        <w:t xml:space="preserve"> </w:t>
      </w:r>
      <w:r>
        <w:t xml:space="preserve">«What Do We Want from Explainable Artificial Intelligence (XAI)? A Stakeholder Perspective on XAI and a Conceptual Model Guiding Interdisciplinary XAI Research»</w:t>
      </w:r>
      <w:r>
        <w:t xml:space="preserve">.</w:t>
      </w:r>
      <w:r>
        <w:t xml:space="preserve"> </w:t>
      </w:r>
      <w:r>
        <w:rPr>
          <w:i/>
          <w:iCs/>
        </w:rPr>
        <w:t xml:space="preserve">Artificial Intelligence</w:t>
      </w:r>
      <w:r>
        <w:t xml:space="preserve"> </w:t>
      </w:r>
      <w:r>
        <w:t xml:space="preserve">296: 103473.</w:t>
      </w:r>
      <w:r>
        <w:t xml:space="preserve"> </w:t>
      </w:r>
      <w:hyperlink ns4:id="rId454">
        <w:r>
          <w:rPr>
            <w:rStyle w:val="Hipervnculo"/>
          </w:rPr>
          <w:t xml:space="preserve">https://doi.org/10.1016/j.artint.2021.103473</w:t>
        </w:r>
      </w:hyperlink>
      <w:r>
        <w:t xml:space="preserve">.</w:t>
      </w:r>
    </w:p>
    <w:bookmarkEnd w:id="455"/>
    <w:bookmarkStart w:id="457" w:name="ref-laugel2019"/>
    <w:p>
      <w:pPr>
        <w:pStyle w:val="Bibliography"/>
        <w:spacing w:line="360" w:lineRule="auto"/>
        <w:jc w:val="both"/>
      </w:pPr>
      <w:r>
        <w:t xml:space="preserve">Laugel, Thibault, Marie-Jeanne Lesot, Christophe Marsala, Xavier Renard, y Marcin Detyniecki. 2019.</w:t>
      </w:r>
      <w:r>
        <w:t xml:space="preserve"> </w:t>
      </w:r>
      <w:r>
        <w:t xml:space="preserve">«The Dangers of Post-hoc Interpretability: Unjustified Counterfactual Explanations»</w:t>
      </w:r>
      <w:r>
        <w:t xml:space="preserve">.</w:t>
      </w:r>
      <w:r>
        <w:t xml:space="preserve"> </w:t>
      </w:r>
      <w:r>
        <w:rPr>
          <w:i/>
          <w:iCs/>
        </w:rPr>
        <w:t xml:space="preserve">Proceedings of the Twenty-Eighth International Joint Conference on Artificial Intelligence</w:t>
      </w:r>
      <w:r>
        <w:t xml:space="preserve">, 2801-7.</w:t>
      </w:r>
      <w:r>
        <w:t xml:space="preserve"> </w:t>
      </w:r>
      <w:hyperlink ns4:id="rId456">
        <w:r>
          <w:rPr>
            <w:rStyle w:val="Hipervnculo"/>
          </w:rPr>
          <w:t xml:space="preserve">https://doi.org/10.24963/ijcai.2019/388</w:t>
        </w:r>
      </w:hyperlink>
      <w:r>
        <w:t xml:space="preserve">.</w:t>
      </w:r>
    </w:p>
    <w:bookmarkEnd w:id="457"/>
    <w:bookmarkStart w:id="458" w:name="ref-li2022"/>
    <w:p>
      <w:pPr>
        <w:pStyle w:val="Bibliography"/>
        <w:spacing w:line="360" w:lineRule="auto"/>
        <w:jc w:val="both"/>
      </w:pPr>
      <w:r>
        <w:t xml:space="preserve">Li, Xuhong, Haoyi Xiong, Xingjian Li, Xuanyu Wu, Zeyu Chen, y Dejing Dou. 2022.</w:t>
      </w:r>
      <w:r>
        <w:t xml:space="preserve"> </w:t>
      </w:r>
      <w:r>
        <w:t xml:space="preserve">«InterpretDL: Explaining Deep Models in PaddlePaddle»</w:t>
      </w:r>
      <w:r>
        <w:t xml:space="preserve">.</w:t>
      </w:r>
      <w:r>
        <w:t xml:space="preserve"> </w:t>
      </w:r>
      <w:r>
        <w:rPr>
          <w:i/>
          <w:iCs/>
        </w:rPr>
        <w:t xml:space="preserve">Journal of Machine Learning Research</w:t>
      </w:r>
      <w:r>
        <w:t xml:space="preserve"> </w:t>
      </w:r>
      <w:r>
        <w:t xml:space="preserve">23: 1-6.</w:t>
      </w:r>
    </w:p>
    <w:bookmarkEnd w:id="458"/>
    <w:bookmarkStart w:id="460" w:name="ref-linardatos2020"/>
    <w:p>
      <w:pPr>
        <w:pStyle w:val="Bibliography"/>
        <w:spacing w:line="360" w:lineRule="auto"/>
        <w:jc w:val="both"/>
      </w:pPr>
      <w:r>
        <w:t xml:space="preserve">Linardatos, Papastefanopoulos, P. 2020.</w:t>
      </w:r>
      <w:r>
        <w:t xml:space="preserve"> </w:t>
      </w:r>
      <w:r>
        <w:t xml:space="preserve">«Explainable AI: A review of Machine Learning Interpretability Methods»</w:t>
      </w:r>
      <w:r>
        <w:t xml:space="preserve">.</w:t>
      </w:r>
      <w:r>
        <w:t xml:space="preserve"> </w:t>
      </w:r>
      <w:r>
        <w:rPr>
          <w:i/>
          <w:iCs/>
        </w:rPr>
        <w:t xml:space="preserve">Entropy</w:t>
      </w:r>
      <w:r>
        <w:t xml:space="preserve"> </w:t>
      </w:r>
      <w:r>
        <w:t xml:space="preserve">23 (1): 18.</w:t>
      </w:r>
      <w:r>
        <w:t xml:space="preserve"> </w:t>
      </w:r>
      <w:hyperlink ns4:id="rId459">
        <w:r>
          <w:rPr>
            <w:rStyle w:val="Hipervnculo"/>
          </w:rPr>
          <w:t xml:space="preserve">https://doi.org/10.3390/e23010018</w:t>
        </w:r>
      </w:hyperlink>
      <w:r>
        <w:t xml:space="preserve">.</w:t>
      </w:r>
    </w:p>
    <w:bookmarkEnd w:id="460"/>
    <w:bookmarkStart w:id="462" w:name="ref-lipton2018"/>
    <w:p>
      <w:pPr>
        <w:pStyle w:val="Bibliography"/>
        <w:spacing w:line="360" w:lineRule="auto"/>
        <w:jc w:val="both"/>
      </w:pPr>
      <w:r>
        <w:t xml:space="preserve">Lipton, Z. C. 2018.</w:t>
      </w:r>
      <w:r>
        <w:t xml:space="preserve"> </w:t>
      </w:r>
      <w:r>
        <w:t xml:space="preserve">«The mythos of model interpretability»</w:t>
      </w:r>
      <w:r>
        <w:t xml:space="preserve">.</w:t>
      </w:r>
      <w:r>
        <w:t xml:space="preserve"> </w:t>
      </w:r>
      <w:r>
        <w:rPr>
          <w:i/>
          <w:iCs/>
        </w:rPr>
        <w:t xml:space="preserve">Queue</w:t>
      </w:r>
      <w:r>
        <w:t xml:space="preserve"> </w:t>
      </w:r>
      <w:r>
        <w:t xml:space="preserve">16 (3): 31-57.</w:t>
      </w:r>
      <w:r>
        <w:t xml:space="preserve"> </w:t>
      </w:r>
      <w:hyperlink ns4:id="rId461">
        <w:r>
          <w:rPr>
            <w:rStyle w:val="Hipervnculo"/>
          </w:rPr>
          <w:t xml:space="preserve">https://doi.org/10.1145/3236386.3241340</w:t>
        </w:r>
      </w:hyperlink>
      <w:r>
        <w:t xml:space="preserve">.</w:t>
      </w:r>
    </w:p>
    <w:bookmarkEnd w:id="462"/>
    <w:bookmarkStart w:id="463" w:name="ref-liu2024"/>
    <w:p>
      <w:pPr>
        <w:pStyle w:val="Bibliography"/>
        <w:spacing w:line="360" w:lineRule="auto"/>
        <w:jc w:val="both"/>
      </w:pPr>
      <w:r>
        <w:t xml:space="preserve">Liu, Ziming, Yixuan Wang, Sachin Vaidya, et al. 2024.</w:t>
      </w:r>
      <w:r>
        <w:t xml:space="preserve"> </w:t>
      </w:r>
      <w:r>
        <w:rPr>
          <w:i/>
          <w:iCs/>
        </w:rPr>
        <w:t xml:space="preserve">KAN: Kolmogorov-Arnold Networks</w:t>
      </w:r>
      <w:r>
        <w:t xml:space="preserve">.</w:t>
      </w:r>
    </w:p>
    <w:bookmarkEnd w:id="463"/>
    <w:bookmarkStart w:id="464" w:name="ref-long2019"/>
    <w:p>
      <w:pPr>
        <w:pStyle w:val="Bibliography"/>
        <w:spacing w:line="360" w:lineRule="auto"/>
        <w:jc w:val="both"/>
      </w:pPr>
      <w:r>
        <w:t xml:space="preserve">Long, Bowen, Enjie Liu, Renxi Qiu, y Yanqing Duan. 2019.</w:t>
      </w:r>
      <w:r>
        <w:t xml:space="preserve"> </w:t>
      </w:r>
      <w:r>
        <w:rPr>
          <w:i/>
          <w:iCs/>
        </w:rPr>
        <w:t xml:space="preserve">Explainable AI: The Latest Advancements and New Trends</w:t>
      </w:r>
      <w:r>
        <w:t xml:space="preserve">.</w:t>
      </w:r>
    </w:p>
    <w:bookmarkEnd w:id="464"/>
    <w:bookmarkStart w:id="466" w:name="ref-longo2024"/>
    <w:p>
      <w:pPr>
        <w:pStyle w:val="Bibliography"/>
        <w:spacing w:line="360" w:lineRule="auto"/>
        <w:jc w:val="both"/>
      </w:pPr>
      <w:r>
        <w:t xml:space="preserve">Longo, Luca, Mario Brcic, Federico Cabitza, et al. 2024.</w:t>
      </w:r>
      <w:r>
        <w:t xml:space="preserve"> </w:t>
      </w:r>
      <w:r>
        <w:t xml:space="preserve">«Explainable Artificial Intelligence (XAI) 2.0: A manifesto of open challenges and interdisciplinary research directions»</w:t>
      </w:r>
      <w:r>
        <w:t xml:space="preserve">.</w:t>
      </w:r>
      <w:r>
        <w:t xml:space="preserve"> </w:t>
      </w:r>
      <w:r>
        <w:rPr>
          <w:i/>
          <w:iCs/>
        </w:rPr>
        <w:t xml:space="preserve">Information Fusion</w:t>
      </w:r>
      <w:r>
        <w:t xml:space="preserve"> </w:t>
      </w:r>
      <w:r>
        <w:t xml:space="preserve">106: 102301.</w:t>
      </w:r>
      <w:r>
        <w:t xml:space="preserve"> </w:t>
      </w:r>
      <w:hyperlink ns4:id="rId465">
        <w:r>
          <w:rPr>
            <w:rStyle w:val="Hipervnculo"/>
          </w:rPr>
          <w:t xml:space="preserve">https://doi.org/10.1016/j.inffus.2024.102301</w:t>
        </w:r>
      </w:hyperlink>
      <w:r>
        <w:t xml:space="preserve">.</w:t>
      </w:r>
    </w:p>
    <w:bookmarkEnd w:id="466"/>
    <w:bookmarkStart w:id="468" w:name="ref-lundberg2017"/>
    <w:p>
      <w:pPr>
        <w:pStyle w:val="Bibliography"/>
        <w:spacing w:line="360" w:lineRule="auto"/>
        <w:jc w:val="both"/>
      </w:pPr>
      <w:r>
        <w:t xml:space="preserve">Lundberg, &amp; Lee, S. M. 2017.</w:t>
      </w:r>
      <w:r>
        <w:t xml:space="preserve"> </w:t>
      </w:r>
      <w:r>
        <w:t xml:space="preserve">«A unified approach to interpreting model predictions»</w:t>
      </w:r>
      <w:r>
        <w:t xml:space="preserve">.</w:t>
      </w:r>
      <w:r>
        <w:t xml:space="preserve"> </w:t>
      </w:r>
      <w:r>
        <w:rPr>
          <w:i/>
          <w:iCs/>
        </w:rPr>
        <w:t xml:space="preserve">arXiv (Cornell University)</w:t>
      </w:r>
      <w:r>
        <w:t xml:space="preserve">, advance online publication.</w:t>
      </w:r>
      <w:r>
        <w:t xml:space="preserve"> </w:t>
      </w:r>
      <w:hyperlink ns4:id="rId467">
        <w:r>
          <w:rPr>
            <w:rStyle w:val="Hipervnculo"/>
          </w:rPr>
          <w:t xml:space="preserve">https://doi.org/10.48550/arxiv.1705.07874</w:t>
        </w:r>
      </w:hyperlink>
      <w:r>
        <w:t xml:space="preserve">.</w:t>
      </w:r>
    </w:p>
    <w:bookmarkEnd w:id="468"/>
    <w:bookmarkStart w:id="470" w:name="ref-malwade2023"/>
    <w:p>
      <w:pPr>
        <w:pStyle w:val="Bibliography"/>
        <w:spacing w:line="360" w:lineRule="auto"/>
        <w:jc w:val="both"/>
      </w:pPr>
      <w:r>
        <w:t xml:space="preserve">Malwade, &amp; Budhavale, S. S. 2023.</w:t>
      </w:r>
      <w:r>
        <w:t xml:space="preserve"> </w:t>
      </w:r>
      <w:r>
        <w:t xml:space="preserve">«Exploring Explainable AI: Current Trends, Challenges, Techniques and its Applications»</w:t>
      </w:r>
      <w:r>
        <w:t xml:space="preserve">.</w:t>
      </w:r>
      <w:r>
        <w:t xml:space="preserve"> </w:t>
      </w:r>
      <w:r>
        <w:rPr>
          <w:i/>
          <w:iCs/>
        </w:rPr>
        <w:t xml:space="preserve">ICIMMI ’23: Proceedings of the 5th International Conference on Information Management &amp; Machine Intelligence Article No.: 85, 1–9</w:t>
      </w:r>
      <w:r>
        <w:t xml:space="preserve">, advance online publication.</w:t>
      </w:r>
      <w:r>
        <w:t xml:space="preserve"> </w:t>
      </w:r>
      <w:hyperlink ns4:id="rId469">
        <w:r>
          <w:rPr>
            <w:rStyle w:val="Hipervnculo"/>
          </w:rPr>
          <w:t xml:space="preserve">https://doi.org/10.1145/3647444.3647912</w:t>
        </w:r>
      </w:hyperlink>
      <w:r>
        <w:t xml:space="preserve">.</w:t>
      </w:r>
    </w:p>
    <w:bookmarkEnd w:id="470"/>
    <w:bookmarkStart w:id="472" w:name="ref-marcinkevics2023"/>
    <w:p>
      <w:pPr>
        <w:pStyle w:val="Bibliography"/>
        <w:spacing w:line="360" w:lineRule="auto"/>
        <w:jc w:val="both"/>
      </w:pPr>
      <w:r>
        <w:t xml:space="preserve">Marcinkevičs, &amp; Vogt, R. 2023.</w:t>
      </w:r>
      <w:r>
        <w:t xml:space="preserve"> </w:t>
      </w:r>
      <w:r>
        <w:t xml:space="preserve">«Interpretable and explainable machine learning: A methods‐centric overview with concrete examples»</w:t>
      </w:r>
      <w:r>
        <w:t xml:space="preserve">.</w:t>
      </w:r>
      <w:r>
        <w:t xml:space="preserve"> </w:t>
      </w:r>
      <w:r>
        <w:rPr>
          <w:i/>
          <w:iCs/>
        </w:rPr>
        <w:t xml:space="preserve">Wiley Interdisciplinary Reviews Data Mining and Knowledge Discovery</w:t>
      </w:r>
      <w:r>
        <w:t xml:space="preserve"> </w:t>
      </w:r>
      <w:r>
        <w:t xml:space="preserve">13 (3).</w:t>
      </w:r>
      <w:r>
        <w:t xml:space="preserve"> </w:t>
      </w:r>
      <w:hyperlink ns4:id="rId471">
        <w:r>
          <w:rPr>
            <w:rStyle w:val="Hipervnculo"/>
          </w:rPr>
          <w:t xml:space="preserve">https://doi.org/10.1002/widm.1493</w:t>
        </w:r>
      </w:hyperlink>
      <w:r>
        <w:t xml:space="preserve">.</w:t>
      </w:r>
    </w:p>
    <w:bookmarkEnd w:id="472"/>
    <w:bookmarkStart w:id="474" w:name="ref-marquessilva2024"/>
    <w:p>
      <w:pPr>
        <w:pStyle w:val="Bibliography"/>
        <w:spacing w:line="360" w:lineRule="auto"/>
        <w:jc w:val="both"/>
      </w:pPr>
      <w:r>
        <w:t xml:space="preserve">Marques-Silva, Joao. 2024.</w:t>
      </w:r>
      <w:r>
        <w:t xml:space="preserve"> </w:t>
      </w:r>
      <w:r>
        <w:rPr>
          <w:i/>
          <w:iCs/>
        </w:rPr>
        <w:t xml:space="preserve">Logic-Based Explainability: Past, Present and Future</w:t>
      </w:r>
      <w:r>
        <w:t xml:space="preserve">. Springer Nature Switzerland.</w:t>
      </w:r>
      <w:r>
        <w:t xml:space="preserve"> </w:t>
      </w:r>
      <w:hyperlink ns4:id="rId473">
        <w:r>
          <w:rPr>
            <w:rStyle w:val="Hipervnculo"/>
          </w:rPr>
          <w:t xml:space="preserve">https://doi.org/10.1007/978-3-031-75387-9_12</w:t>
        </w:r>
      </w:hyperlink>
      <w:r>
        <w:t xml:space="preserve">.</w:t>
      </w:r>
    </w:p>
    <w:bookmarkEnd w:id="474"/>
    <w:bookmarkStart w:id="476" w:name="ref-miller2019"/>
    <w:p>
      <w:pPr>
        <w:pStyle w:val="Bibliography"/>
        <w:spacing w:line="360" w:lineRule="auto"/>
        <w:jc w:val="both"/>
      </w:pPr>
      <w:r>
        <w:t xml:space="preserve">Miller, Tim. 2019.</w:t>
      </w:r>
      <w:r>
        <w:t xml:space="preserve"> </w:t>
      </w:r>
      <w:r>
        <w:t xml:space="preserve">«Explanation in Artificial Intelligence: Insights from the Social Sciences»</w:t>
      </w:r>
      <w:r>
        <w:t xml:space="preserve">.</w:t>
      </w:r>
      <w:r>
        <w:t xml:space="preserve"> </w:t>
      </w:r>
      <w:r>
        <w:rPr>
          <w:i/>
          <w:iCs/>
        </w:rPr>
        <w:t xml:space="preserve">Artificial Intelligence</w:t>
      </w:r>
      <w:r>
        <w:t xml:space="preserve"> </w:t>
      </w:r>
      <w:r>
        <w:t xml:space="preserve">267: 1-38.</w:t>
      </w:r>
      <w:r>
        <w:t xml:space="preserve"> </w:t>
      </w:r>
      <w:hyperlink ns4:id="rId475">
        <w:r>
          <w:rPr>
            <w:rStyle w:val="Hipervnculo"/>
          </w:rPr>
          <w:t xml:space="preserve">https://doi.org/10.1016/j.artint.2018.07.007</w:t>
        </w:r>
      </w:hyperlink>
      <w:r>
        <w:t xml:space="preserve">.</w:t>
      </w:r>
    </w:p>
    <w:bookmarkEnd w:id="476"/>
    <w:bookmarkStart w:id="477" w:name="ref-mitchell2022"/>
    <w:p>
      <w:pPr>
        <w:pStyle w:val="Bibliography"/>
        <w:spacing w:line="360" w:lineRule="auto"/>
        <w:jc w:val="both"/>
      </w:pPr>
      <w:r>
        <w:t xml:space="preserve">Mitchell, Rory, Joshua Cooper, Eibe Frank, y Geoffrey Holmes. 2022.</w:t>
      </w:r>
      <w:r>
        <w:t xml:space="preserve"> </w:t>
      </w:r>
      <w:r>
        <w:t xml:space="preserve">«Sampling Permutations for Shapley Value Estimation»</w:t>
      </w:r>
      <w:r>
        <w:t xml:space="preserve">.</w:t>
      </w:r>
      <w:r>
        <w:t xml:space="preserve"> </w:t>
      </w:r>
      <w:r>
        <w:rPr>
          <w:i/>
          <w:iCs/>
        </w:rPr>
        <w:t xml:space="preserve">Journal of Machine Learning Research</w:t>
      </w:r>
      <w:r>
        <w:t xml:space="preserve"> </w:t>
      </w:r>
      <w:r>
        <w:t xml:space="preserve">23: 1-46.</w:t>
      </w:r>
    </w:p>
    <w:bookmarkEnd w:id="477"/>
    <w:bookmarkStart w:id="479" w:name="ref-mittal2023"/>
    <w:p>
      <w:pPr>
        <w:pStyle w:val="Bibliography"/>
        <w:spacing w:line="360" w:lineRule="auto"/>
        <w:jc w:val="both"/>
      </w:pPr>
      <w:r>
        <w:t xml:space="preserve">Mittal, Sangeeta. 2023.</w:t>
      </w:r>
      <w:r>
        <w:t xml:space="preserve"> </w:t>
      </w:r>
      <w:r>
        <w:t xml:space="preserve">«Explaining URL Phishing Detection by Glass Box Models»</w:t>
      </w:r>
      <w:r>
        <w:t xml:space="preserve">.</w:t>
      </w:r>
      <w:r>
        <w:t xml:space="preserve"> </w:t>
      </w:r>
      <w:r>
        <w:rPr>
          <w:i/>
          <w:iCs/>
        </w:rPr>
        <w:t xml:space="preserve">Proceedings of the 2023 Fifteenth International Conference on Contemporary Computing</w:t>
      </w:r>
      <w:r>
        <w:t xml:space="preserve">, 537-44.</w:t>
      </w:r>
      <w:r>
        <w:t xml:space="preserve"> </w:t>
      </w:r>
      <w:hyperlink ns4:id="rId478">
        <w:r>
          <w:rPr>
            <w:rStyle w:val="Hipervnculo"/>
          </w:rPr>
          <w:t xml:space="preserve">https://doi.org/10.1145/3607947.3608059</w:t>
        </w:r>
      </w:hyperlink>
      <w:r>
        <w:t xml:space="preserve">.</w:t>
      </w:r>
    </w:p>
    <w:bookmarkEnd w:id="479"/>
    <w:bookmarkStart w:id="481" w:name="ref-mittelstadt2019"/>
    <w:p>
      <w:pPr>
        <w:pStyle w:val="Bibliography"/>
        <w:spacing w:line="360" w:lineRule="auto"/>
        <w:jc w:val="both"/>
      </w:pPr>
      <w:r>
        <w:t xml:space="preserve">Mittelstadt, Russell, B. 2019.</w:t>
      </w:r>
      <w:r>
        <w:t xml:space="preserve"> </w:t>
      </w:r>
      <w:r>
        <w:t xml:space="preserve">«Explaining Explanations in AI»</w:t>
      </w:r>
      <w:r>
        <w:t xml:space="preserve">.</w:t>
      </w:r>
      <w:r>
        <w:t xml:space="preserve"> </w:t>
      </w:r>
      <w:r>
        <w:rPr>
          <w:i/>
          <w:iCs/>
        </w:rPr>
        <w:t xml:space="preserve">FAT* ’19: Proceedings of the Conference on Fairness, Accountability, and Transparency, 279–288</w:t>
      </w:r>
      <w:r>
        <w:t xml:space="preserve">, advance online publication.</w:t>
      </w:r>
      <w:r>
        <w:t xml:space="preserve"> </w:t>
      </w:r>
      <w:hyperlink ns4:id="rId480">
        <w:r>
          <w:rPr>
            <w:rStyle w:val="Hipervnculo"/>
          </w:rPr>
          <w:t xml:space="preserve">https://doi.org/10.1145/3287560.3287574</w:t>
        </w:r>
      </w:hyperlink>
      <w:r>
        <w:t xml:space="preserve">.</w:t>
      </w:r>
    </w:p>
    <w:bookmarkEnd w:id="481"/>
    <w:bookmarkStart w:id="483" w:name="ref-mohseni2021"/>
    <w:p>
      <w:pPr>
        <w:pStyle w:val="Bibliography"/>
        <w:spacing w:line="360" w:lineRule="auto"/>
        <w:jc w:val="both"/>
      </w:pPr>
      <w:r>
        <w:t xml:space="preserve">Mohseni, Sina, Niloofar Zarei, y Eric D. Ragan. 2021.</w:t>
      </w:r>
      <w:r>
        <w:t xml:space="preserve"> </w:t>
      </w:r>
      <w:r>
        <w:t xml:space="preserve">«A Multidisciplinary Survey and Framework for Design and Evaluation of Explainable AI Systems»</w:t>
      </w:r>
      <w:r>
        <w:t xml:space="preserve">.</w:t>
      </w:r>
      <w:r>
        <w:t xml:space="preserve"> </w:t>
      </w:r>
      <w:r>
        <w:rPr>
          <w:i/>
          <w:iCs/>
        </w:rPr>
        <w:t xml:space="preserve">ACM Transactions on Interactive Intelligent Systems</w:t>
      </w:r>
      <w:r>
        <w:t xml:space="preserve"> </w:t>
      </w:r>
      <w:r>
        <w:t xml:space="preserve">11 (3-4): 1-45.</w:t>
      </w:r>
      <w:r>
        <w:t xml:space="preserve"> </w:t>
      </w:r>
      <w:hyperlink ns4:id="rId482">
        <w:r>
          <w:rPr>
            <w:rStyle w:val="Hipervnculo"/>
          </w:rPr>
          <w:t xml:space="preserve">https://doi.org/10.1145/3387166</w:t>
        </w:r>
      </w:hyperlink>
      <w:r>
        <w:t xml:space="preserve">.</w:t>
      </w:r>
    </w:p>
    <w:bookmarkEnd w:id="483"/>
    <w:bookmarkStart w:id="485" w:name="ref-molnar2020"/>
    <w:p>
      <w:pPr>
        <w:pStyle w:val="Bibliography"/>
        <w:spacing w:line="360" w:lineRule="auto"/>
        <w:jc w:val="both"/>
      </w:pPr>
      <w:r>
        <w:t xml:space="preserve">Molnar, Christoph, Giuseppe Casalicchio, y Bernd Bischl. 2020.</w:t>
      </w:r>
      <w:r>
        <w:t xml:space="preserve"> </w:t>
      </w:r>
      <w:r>
        <w:rPr>
          <w:i/>
          <w:iCs/>
        </w:rPr>
        <w:t xml:space="preserve">Interpretable Machine Learning – A Brief History, State-of-the-Art and Challenges</w:t>
      </w:r>
      <w:r>
        <w:t xml:space="preserve">. Springer International Publishing.</w:t>
      </w:r>
      <w:r>
        <w:t xml:space="preserve"> </w:t>
      </w:r>
      <w:hyperlink ns4:id="rId484">
        <w:r>
          <w:rPr>
            <w:rStyle w:val="Hipervnculo"/>
          </w:rPr>
          <w:t xml:space="preserve">https://doi.org/10.1007/978-3-030-65965-3_28</w:t>
        </w:r>
      </w:hyperlink>
      <w:r>
        <w:t xml:space="preserve">.</w:t>
      </w:r>
    </w:p>
    <w:bookmarkEnd w:id="485"/>
    <w:bookmarkStart w:id="487" w:name="ref-morrison2023"/>
    <w:p>
      <w:pPr>
        <w:pStyle w:val="Bibliography"/>
        <w:spacing w:line="360" w:lineRule="auto"/>
        <w:jc w:val="both"/>
      </w:pPr>
      <w:r>
        <w:t xml:space="preserve">Morrison, Katelyn, Mayank Jain, Jessica Hammer, y Adam Perer. 2023.</w:t>
      </w:r>
      <w:r>
        <w:t xml:space="preserve"> </w:t>
      </w:r>
      <w:r>
        <w:t xml:space="preserve">«Eye into AI: Evaluating the Interpretability of Explainable AI Techniques through a Game with a Purpose»</w:t>
      </w:r>
      <w:r>
        <w:t xml:space="preserve">.</w:t>
      </w:r>
      <w:r>
        <w:t xml:space="preserve"> </w:t>
      </w:r>
      <w:r>
        <w:rPr>
          <w:i/>
          <w:iCs/>
        </w:rPr>
        <w:t xml:space="preserve">Proceedings of the ACM on Human-Computer Interaction</w:t>
      </w:r>
      <w:r>
        <w:t xml:space="preserve"> </w:t>
      </w:r>
      <w:r>
        <w:t xml:space="preserve">7 (CSCW2): 1-22.</w:t>
      </w:r>
      <w:r>
        <w:t xml:space="preserve"> </w:t>
      </w:r>
      <w:hyperlink ns4:id="rId486">
        <w:r>
          <w:rPr>
            <w:rStyle w:val="Hipervnculo"/>
          </w:rPr>
          <w:t xml:space="preserve">https://doi.org/10.1145/3610064</w:t>
        </w:r>
      </w:hyperlink>
      <w:r>
        <w:t xml:space="preserve">.</w:t>
      </w:r>
    </w:p>
    <w:bookmarkEnd w:id="487"/>
    <w:bookmarkStart w:id="489" w:name="ref-mothilal2020"/>
    <w:p>
      <w:pPr>
        <w:pStyle w:val="Bibliography"/>
        <w:spacing w:line="360" w:lineRule="auto"/>
        <w:jc w:val="both"/>
      </w:pPr>
      <w:r>
        <w:t xml:space="preserve">Mothilal, Sharma, R. K. 2020.</w:t>
      </w:r>
      <w:r>
        <w:t xml:space="preserve"> </w:t>
      </w:r>
      <w:r>
        <w:t xml:space="preserve">«Explaining machine learning classifiers through diverse counterfactual explanations»</w:t>
      </w:r>
      <w:r>
        <w:t xml:space="preserve">.</w:t>
      </w:r>
      <w:r>
        <w:t xml:space="preserve"> </w:t>
      </w:r>
      <w:r>
        <w:rPr>
          <w:i/>
          <w:iCs/>
        </w:rPr>
        <w:t xml:space="preserve">FAT* ’20: Proceedings of the 2020 Conference on Fairness, Accountability, and Transparency</w:t>
      </w:r>
      <w:r>
        <w:t xml:space="preserve">, advance online publication.</w:t>
      </w:r>
      <w:r>
        <w:t xml:space="preserve"> </w:t>
      </w:r>
      <w:hyperlink ns4:id="rId488">
        <w:r>
          <w:rPr>
            <w:rStyle w:val="Hipervnculo"/>
          </w:rPr>
          <w:t xml:space="preserve">https://doi.org/10.1145/3351095.3372850</w:t>
        </w:r>
      </w:hyperlink>
      <w:r>
        <w:t xml:space="preserve">.</w:t>
      </w:r>
    </w:p>
    <w:bookmarkEnd w:id="489"/>
    <w:bookmarkStart w:id="491" w:name="ref-muntasir2024"/>
    <w:p>
      <w:pPr>
        <w:pStyle w:val="Bibliography"/>
        <w:spacing w:line="360" w:lineRule="auto"/>
        <w:jc w:val="both"/>
      </w:pPr>
      <w:r>
        <w:t xml:space="preserve">Muntasir, Fahim, y Jannatun Noor. 2024.</w:t>
      </w:r>
      <w:r>
        <w:t xml:space="preserve"> </w:t>
      </w:r>
      <w:r>
        <w:t xml:space="preserve">«Explainable AI Discloses Gender Bias in Sexism Detection Algorithm»</w:t>
      </w:r>
      <w:r>
        <w:t xml:space="preserve">.</w:t>
      </w:r>
      <w:r>
        <w:t xml:space="preserve"> </w:t>
      </w:r>
      <w:r>
        <w:rPr>
          <w:i/>
          <w:iCs/>
        </w:rPr>
        <w:t xml:space="preserve">Proceedings of the 11th International Conference on Networking, Systems, and Security</w:t>
      </w:r>
      <w:r>
        <w:t xml:space="preserve">, 120-27.</w:t>
      </w:r>
      <w:r>
        <w:t xml:space="preserve"> </w:t>
      </w:r>
      <w:hyperlink ns4:id="rId490">
        <w:r>
          <w:rPr>
            <w:rStyle w:val="Hipervnculo"/>
          </w:rPr>
          <w:t xml:space="preserve">https://doi.org/10.1145/3704522.3704524</w:t>
        </w:r>
      </w:hyperlink>
      <w:r>
        <w:t xml:space="preserve">.</w:t>
      </w:r>
    </w:p>
    <w:bookmarkEnd w:id="491"/>
    <w:bookmarkStart w:id="493" w:name="ref-murdoch2019"/>
    <w:p>
      <w:pPr>
        <w:pStyle w:val="Bibliography"/>
        <w:spacing w:line="360" w:lineRule="auto"/>
        <w:jc w:val="both"/>
      </w:pPr>
      <w:r>
        <w:t xml:space="preserve">Murdoch, Singh, W. J. 2019.</w:t>
      </w:r>
      <w:r>
        <w:t xml:space="preserve"> </w:t>
      </w:r>
      <w:r>
        <w:t xml:space="preserve">«Definitions, methods, and applications in interpretable machine learning»</w:t>
      </w:r>
      <w:r>
        <w:t xml:space="preserve">.</w:t>
      </w:r>
      <w:r>
        <w:t xml:space="preserve"> </w:t>
      </w:r>
      <w:r>
        <w:rPr>
          <w:i/>
          <w:iCs/>
        </w:rPr>
        <w:t xml:space="preserve">Proceedings of the National Academy of Sciences</w:t>
      </w:r>
      <w:r>
        <w:t xml:space="preserve"> </w:t>
      </w:r>
      <w:r>
        <w:t xml:space="preserve">116 (44): 22071-80.</w:t>
      </w:r>
      <w:r>
        <w:t xml:space="preserve"> </w:t>
      </w:r>
      <w:hyperlink ns4:id="rId492">
        <w:r>
          <w:rPr>
            <w:rStyle w:val="Hipervnculo"/>
          </w:rPr>
          <w:t xml:space="preserve">https://doi.org/10.1073/pnas.1900654116</w:t>
        </w:r>
      </w:hyperlink>
      <w:r>
        <w:t xml:space="preserve">.</w:t>
      </w:r>
    </w:p>
    <w:bookmarkEnd w:id="493"/>
    <w:bookmarkStart w:id="495" w:name="ref-nannini2024"/>
    <w:p>
      <w:pPr>
        <w:pStyle w:val="Bibliography"/>
        <w:spacing w:line="360" w:lineRule="auto"/>
        <w:jc w:val="both"/>
      </w:pPr>
      <w:r>
        <w:t xml:space="preserve">Nannini, Luca, Marta Marchiori Manerba, y Isacco Beretta. 2024.</w:t>
      </w:r>
      <w:r>
        <w:t xml:space="preserve"> </w:t>
      </w:r>
      <w:r>
        <w:t xml:space="preserve">«Mapping the landscape of ethical considerations in explainable AI research»</w:t>
      </w:r>
      <w:r>
        <w:t xml:space="preserve">.</w:t>
      </w:r>
      <w:r>
        <w:t xml:space="preserve"> </w:t>
      </w:r>
      <w:r>
        <w:rPr>
          <w:i/>
          <w:iCs/>
        </w:rPr>
        <w:t xml:space="preserve">Ethics and Information Technology</w:t>
      </w:r>
      <w:r>
        <w:t xml:space="preserve"> </w:t>
      </w:r>
      <w:r>
        <w:t xml:space="preserve">26 (3).</w:t>
      </w:r>
      <w:r>
        <w:t xml:space="preserve"> </w:t>
      </w:r>
      <w:hyperlink ns4:id="rId494">
        <w:r>
          <w:rPr>
            <w:rStyle w:val="Hipervnculo"/>
          </w:rPr>
          <w:t xml:space="preserve">https://doi.org/10.1007/s10676-024-09773-7</w:t>
        </w:r>
      </w:hyperlink>
      <w:r>
        <w:t xml:space="preserve">.</w:t>
      </w:r>
    </w:p>
    <w:bookmarkEnd w:id="495"/>
    <w:bookmarkStart w:id="497" w:name="ref-nauta2023"/>
    <w:p>
      <w:pPr>
        <w:pStyle w:val="Bibliography"/>
        <w:spacing w:line="360" w:lineRule="auto"/>
        <w:jc w:val="both"/>
      </w:pPr>
      <w:r>
        <w:t xml:space="preserve">Nauta, Meike, Jan Trienes, Shreyasi Pathak, et al. 2023.</w:t>
      </w:r>
      <w:r>
        <w:t xml:space="preserve"> </w:t>
      </w:r>
      <w:r>
        <w:t xml:space="preserve">«From Anecdotal Evidence to Quantitative Evaluation Methods: A Systematic Review on Evaluating Explainable AI»</w:t>
      </w:r>
      <w:r>
        <w:t xml:space="preserve">.</w:t>
      </w:r>
      <w:r>
        <w:t xml:space="preserve"> </w:t>
      </w:r>
      <w:r>
        <w:rPr>
          <w:i/>
          <w:iCs/>
        </w:rPr>
        <w:t xml:space="preserve">ACM Computing Surveys</w:t>
      </w:r>
      <w:r>
        <w:t xml:space="preserve"> </w:t>
      </w:r>
      <w:r>
        <w:t xml:space="preserve">55 (13s): 1-42.</w:t>
      </w:r>
      <w:r>
        <w:t xml:space="preserve"> </w:t>
      </w:r>
      <w:hyperlink ns4:id="rId496">
        <w:r>
          <w:rPr>
            <w:rStyle w:val="Hipervnculo"/>
          </w:rPr>
          <w:t xml:space="preserve">https://doi.org/10.1145/3583558</w:t>
        </w:r>
      </w:hyperlink>
      <w:r>
        <w:t xml:space="preserve">.</w:t>
      </w:r>
    </w:p>
    <w:bookmarkEnd w:id="497"/>
    <w:bookmarkStart w:id="499" w:name="ref-nemenyi1963"/>
    <w:p>
      <w:pPr>
        <w:pStyle w:val="Bibliography"/>
        <w:spacing w:line="360" w:lineRule="auto"/>
        <w:jc w:val="both"/>
      </w:pPr>
      <w:r>
        <w:t xml:space="preserve">Nemenyi, Peter Bjorn. 1963.</w:t>
      </w:r>
      <w:r>
        <w:t xml:space="preserve"> </w:t>
      </w:r>
      <w:r>
        <w:t xml:space="preserve">«Distribution-free Multiple Comparisons»</w:t>
      </w:r>
      <w:r>
        <w:t xml:space="preserve">. Tesis doctoral, Princeton University.</w:t>
      </w:r>
      <w:r>
        <w:t xml:space="preserve"> </w:t>
      </w:r>
      <w:hyperlink ns4:id="rId498">
        <w:r>
          <w:rPr>
            <w:rStyle w:val="Hipervnculo"/>
          </w:rPr>
          <w:t xml:space="preserve">https://catalog.princeton.edu/catalog/2081365</w:t>
        </w:r>
      </w:hyperlink>
      <w:r>
        <w:t xml:space="preserve">.</w:t>
      </w:r>
    </w:p>
    <w:bookmarkEnd w:id="499"/>
    <w:bookmarkStart w:id="501" w:name="ref-ngueajio2025"/>
    <w:p>
      <w:pPr>
        <w:pStyle w:val="Bibliography"/>
        <w:spacing w:line="360" w:lineRule="auto"/>
        <w:jc w:val="both"/>
      </w:pPr>
      <w:r>
        <w:t xml:space="preserve">Ngueajio, Mikel K., Saurav Aryal, Marcellin Atemkeng, Gloria Washington, y Danda Rawat. 2025.</w:t>
      </w:r>
      <w:r>
        <w:t xml:space="preserve"> </w:t>
      </w:r>
      <w:r>
        <w:t xml:space="preserve">«Decoding Fake News and Hate Speech: A Survey of Explainable AI Techniques»</w:t>
      </w:r>
      <w:r>
        <w:t xml:space="preserve">.</w:t>
      </w:r>
      <w:r>
        <w:t xml:space="preserve"> </w:t>
      </w:r>
      <w:r>
        <w:rPr>
          <w:i/>
          <w:iCs/>
        </w:rPr>
        <w:t xml:space="preserve">ACM Computing Surveys</w:t>
      </w:r>
      <w:r>
        <w:t xml:space="preserve"> </w:t>
      </w:r>
      <w:r>
        <w:t xml:space="preserve">57 (7): 1-37.</w:t>
      </w:r>
      <w:r>
        <w:t xml:space="preserve"> </w:t>
      </w:r>
      <w:hyperlink ns4:id="rId500">
        <w:r>
          <w:rPr>
            <w:rStyle w:val="Hipervnculo"/>
          </w:rPr>
          <w:t xml:space="preserve">https://doi.org/10.1145/3711123</w:t>
        </w:r>
      </w:hyperlink>
      <w:r>
        <w:t xml:space="preserve">.</w:t>
      </w:r>
    </w:p>
    <w:bookmarkEnd w:id="501"/>
    <w:bookmarkStart w:id="502" w:name="ref-nguyen2019"/>
    <w:p>
      <w:pPr>
        <w:pStyle w:val="Bibliography"/>
        <w:spacing w:line="360" w:lineRule="auto"/>
        <w:jc w:val="both"/>
      </w:pPr>
      <w:r>
        <w:t xml:space="preserve">Nguyen, An-phi, y Maria Rodriguez Martinez. 2019.</w:t>
      </w:r>
      <w:r>
        <w:t xml:space="preserve"> </w:t>
      </w:r>
      <w:r>
        <w:rPr>
          <w:i/>
          <w:iCs/>
        </w:rPr>
        <w:t xml:space="preserve">MonoNet: Towards Interpretable Models by Learning Monotonic Features</w:t>
      </w:r>
      <w:r>
        <w:t xml:space="preserve">.</w:t>
      </w:r>
    </w:p>
    <w:bookmarkEnd w:id="502"/>
    <w:bookmarkStart w:id="504" w:name="ref-nimmo2024"/>
    <w:p>
      <w:pPr>
        <w:pStyle w:val="Bibliography"/>
        <w:spacing w:line="360" w:lineRule="auto"/>
        <w:jc w:val="both"/>
      </w:pPr>
      <w:r>
        <w:t xml:space="preserve">Nimmo, Robert, Marios Constantinides, Ke Zhou, Daniele Quercia, y Simone Stumpf. 2024.</w:t>
      </w:r>
      <w:r>
        <w:t xml:space="preserve"> </w:t>
      </w:r>
      <w:r>
        <w:t xml:space="preserve">«User Characteristics in Explainable AI: The Rabbit Hole of Personalization?»</w:t>
      </w:r>
      <w:r>
        <w:t xml:space="preserve"> </w:t>
      </w:r>
      <w:r>
        <w:rPr>
          <w:i/>
          <w:iCs/>
        </w:rPr>
        <w:t xml:space="preserve">Proceedings of the CHI Conference on Human Factors in Computing Systems</w:t>
      </w:r>
      <w:r>
        <w:t xml:space="preserve">, 1-13.</w:t>
      </w:r>
      <w:r>
        <w:t xml:space="preserve"> </w:t>
      </w:r>
      <w:hyperlink ns4:id="rId503">
        <w:r>
          <w:rPr>
            <w:rStyle w:val="Hipervnculo"/>
          </w:rPr>
          <w:t xml:space="preserve">https://doi.org/10.1145/3613904.3642352</w:t>
        </w:r>
      </w:hyperlink>
      <w:r>
        <w:t xml:space="preserve">.</w:t>
      </w:r>
    </w:p>
    <w:bookmarkEnd w:id="504"/>
    <w:bookmarkStart w:id="505" w:name="ref-nizam2023"/>
    <w:p>
      <w:pPr>
        <w:pStyle w:val="Bibliography"/>
        <w:spacing w:line="360" w:lineRule="auto"/>
        <w:jc w:val="both"/>
      </w:pPr>
      <w:r>
        <w:t xml:space="preserve">Nizam, T., y S. Zafar. 2023.</w:t>
      </w:r>
      <w:r>
        <w:t xml:space="preserve"> </w:t>
      </w:r>
      <w:r>
        <w:t xml:space="preserve">«Towards a Standardised Evaluation Approach for Diverse XAI Methods»</w:t>
      </w:r>
      <w:r>
        <w:t xml:space="preserve">.</w:t>
      </w:r>
      <w:r>
        <w:t xml:space="preserve"> </w:t>
      </w:r>
      <w:r>
        <w:rPr>
          <w:i/>
          <w:iCs/>
        </w:rPr>
        <w:t xml:space="preserve">Explainable Artificial Intelligence (XAI): Conception, Visualization and Assessment</w:t>
      </w:r>
      <w:r>
        <w:t xml:space="preserve">.</w:t>
      </w:r>
    </w:p>
    <w:bookmarkEnd w:id="505"/>
    <w:bookmarkStart w:id="507" w:name="ref-nussberger2022"/>
    <w:p>
      <w:pPr>
        <w:pStyle w:val="Bibliography"/>
        <w:spacing w:line="360" w:lineRule="auto"/>
        <w:jc w:val="both"/>
      </w:pPr>
      <w:r>
        <w:t xml:space="preserve">Nussberger, Luo, A. 2022.</w:t>
      </w:r>
      <w:r>
        <w:t xml:space="preserve"> </w:t>
      </w:r>
      <w:r>
        <w:t xml:space="preserve">«Public attitudes value interpretability but prioritize accuracy in Artificial Intelligence»</w:t>
      </w:r>
      <w:r>
        <w:t xml:space="preserve">.</w:t>
      </w:r>
      <w:r>
        <w:t xml:space="preserve"> </w:t>
      </w:r>
      <w:r>
        <w:rPr>
          <w:i/>
          <w:iCs/>
        </w:rPr>
        <w:t xml:space="preserve">Nature Communications</w:t>
      </w:r>
      <w:r>
        <w:t xml:space="preserve"> </w:t>
      </w:r>
      <w:r>
        <w:t xml:space="preserve">13 (1).</w:t>
      </w:r>
      <w:r>
        <w:t xml:space="preserve"> </w:t>
      </w:r>
      <w:hyperlink ns4:id="rId506">
        <w:r>
          <w:rPr>
            <w:rStyle w:val="Hipervnculo"/>
          </w:rPr>
          <w:t xml:space="preserve">https://doi.org/10.1038/s41467-022-33417-3</w:t>
        </w:r>
      </w:hyperlink>
      <w:r>
        <w:t xml:space="preserve">.</w:t>
      </w:r>
    </w:p>
    <w:bookmarkEnd w:id="507"/>
    <w:bookmarkStart w:id="508" w:name="ref-olsen2022"/>
    <w:p>
      <w:pPr>
        <w:pStyle w:val="Bibliography"/>
        <w:spacing w:line="360" w:lineRule="auto"/>
        <w:jc w:val="both"/>
      </w:pPr>
      <w:r>
        <w:t xml:space="preserve">Olsen, Lars Henry Berge, Ingrid Kristine Glad, Martin Jullum, y Kjersti Aas. 2022.</w:t>
      </w:r>
      <w:r>
        <w:t xml:space="preserve"> </w:t>
      </w:r>
      <w:r>
        <w:t xml:space="preserve">«Using Shapley Values and Variational Autoencoders to Explain Predictive Models with Dependent Mixed Features»</w:t>
      </w:r>
      <w:r>
        <w:t xml:space="preserve">.</w:t>
      </w:r>
      <w:r>
        <w:t xml:space="preserve"> </w:t>
      </w:r>
      <w:r>
        <w:rPr>
          <w:i/>
          <w:iCs/>
        </w:rPr>
        <w:t xml:space="preserve">Journal of Machine Learning Research</w:t>
      </w:r>
      <w:r>
        <w:t xml:space="preserve"> </w:t>
      </w:r>
      <w:r>
        <w:t xml:space="preserve">23: 1-51.</w:t>
      </w:r>
    </w:p>
    <w:bookmarkEnd w:id="508"/>
    <w:bookmarkStart w:id="510" w:name="ref-pawlicki2024"/>
    <w:p>
      <w:pPr>
        <w:pStyle w:val="Bibliography"/>
        <w:spacing w:line="360" w:lineRule="auto"/>
        <w:jc w:val="both"/>
      </w:pPr>
      <w:r>
        <w:t xml:space="preserve">Pawlicki, M., A. Pawlicka, F. Uccello, et al. 2024.</w:t>
      </w:r>
      <w:r>
        <w:t xml:space="preserve"> </w:t>
      </w:r>
      <w:r>
        <w:t xml:space="preserve">«Evaluating the necessity of the multiple metrics for assessing explainable AI: A critical examination»</w:t>
      </w:r>
      <w:r>
        <w:t xml:space="preserve">.</w:t>
      </w:r>
      <w:r>
        <w:t xml:space="preserve"> </w:t>
      </w:r>
      <w:r>
        <w:rPr>
          <w:i/>
          <w:iCs/>
        </w:rPr>
        <w:t xml:space="preserve">Neurocomputing</w:t>
      </w:r>
      <w:r>
        <w:t xml:space="preserve"> </w:t>
      </w:r>
      <w:r>
        <w:t xml:space="preserve">602 (128282).</w:t>
      </w:r>
      <w:r>
        <w:t xml:space="preserve"> </w:t>
      </w:r>
      <w:hyperlink ns4:id="rId509">
        <w:r>
          <w:rPr>
            <w:rStyle w:val="Hipervnculo"/>
          </w:rPr>
          <w:t xml:space="preserve">https://doi.org/10.1016/j.neucom.2024.128282</w:t>
        </w:r>
      </w:hyperlink>
      <w:r>
        <w:t xml:space="preserve">.</w:t>
      </w:r>
    </w:p>
    <w:bookmarkEnd w:id="510"/>
    <w:bookmarkStart w:id="512" w:name="ref-peters2024"/>
    <w:p>
      <w:pPr>
        <w:pStyle w:val="Bibliography"/>
        <w:spacing w:line="360" w:lineRule="auto"/>
        <w:jc w:val="both"/>
      </w:pPr>
      <w:r>
        <w:t xml:space="preserve">Peters, Uwe, y Mary Carman. 2024.</w:t>
      </w:r>
      <w:r>
        <w:t xml:space="preserve"> </w:t>
      </w:r>
      <w:r>
        <w:t xml:space="preserve">«Cultural Bias in Explainable AI Research: A Systematic Analysis»</w:t>
      </w:r>
      <w:r>
        <w:t xml:space="preserve">.</w:t>
      </w:r>
      <w:r>
        <w:t xml:space="preserve"> </w:t>
      </w:r>
      <w:r>
        <w:rPr>
          <w:i/>
          <w:iCs/>
        </w:rPr>
        <w:t xml:space="preserve">Journal of Artificial Intelligence Research</w:t>
      </w:r>
      <w:r>
        <w:t xml:space="preserve"> </w:t>
      </w:r>
      <w:r>
        <w:t xml:space="preserve">79: 971-1000.</w:t>
      </w:r>
      <w:r>
        <w:t xml:space="preserve"> </w:t>
      </w:r>
      <w:hyperlink ns4:id="rId511">
        <w:r>
          <w:rPr>
            <w:rStyle w:val="Hipervnculo"/>
          </w:rPr>
          <w:t xml:space="preserve">https://doi.org/10.1613/jair.1.14888</w:t>
        </w:r>
      </w:hyperlink>
      <w:r>
        <w:t xml:space="preserve">.</w:t>
      </w:r>
    </w:p>
    <w:bookmarkEnd w:id="512"/>
    <w:bookmarkStart w:id="514" w:name="ref-porfirio2024"/>
    <w:p>
      <w:pPr>
        <w:pStyle w:val="Bibliography"/>
        <w:spacing w:line="360" w:lineRule="auto"/>
        <w:jc w:val="both"/>
      </w:pPr>
      <w:r>
        <w:t xml:space="preserve">Porfírio, Rui Pedro. 2024.</w:t>
      </w:r>
      <w:r>
        <w:t xml:space="preserve"> </w:t>
      </w:r>
      <w:r>
        <w:t xml:space="preserve">«Studying the Impact of Explainable AI in Digital Agriculture Solutions»</w:t>
      </w:r>
      <w:r>
        <w:t xml:space="preserve">.</w:t>
      </w:r>
      <w:r>
        <w:t xml:space="preserve"> </w:t>
      </w:r>
      <w:r>
        <w:rPr>
          <w:i/>
          <w:iCs/>
        </w:rPr>
        <w:t xml:space="preserve">Companion Publication of the 2024 Conference on Computer-Supported Cooperative Work and Social Computing</w:t>
      </w:r>
      <w:r>
        <w:t xml:space="preserve">, 43-46.</w:t>
      </w:r>
      <w:r>
        <w:t xml:space="preserve"> </w:t>
      </w:r>
      <w:hyperlink ns4:id="rId513">
        <w:r>
          <w:rPr>
            <w:rStyle w:val="Hipervnculo"/>
          </w:rPr>
          <w:t xml:space="preserve">https://doi.org/10.1145/3678884.3682046</w:t>
        </w:r>
      </w:hyperlink>
      <w:r>
        <w:t xml:space="preserve">.</w:t>
      </w:r>
    </w:p>
    <w:bookmarkEnd w:id="514"/>
    <w:bookmarkStart w:id="516" w:name="ref-poyiadzi2020"/>
    <w:p>
      <w:pPr>
        <w:pStyle w:val="Bibliography"/>
        <w:spacing w:line="360" w:lineRule="auto"/>
        <w:jc w:val="both"/>
      </w:pPr>
      <w:r>
        <w:t xml:space="preserve">Poyiadzi, Rafael, Kacper Sokol, Raul Santos-Rodriguez, Tijl De Bie, y Peter Flach. 2020.</w:t>
      </w:r>
      <w:r>
        <w:t xml:space="preserve"> </w:t>
      </w:r>
      <w:r>
        <w:t xml:space="preserve">«FACE: Feasible and Actionable Counterfactual Explanations»</w:t>
      </w:r>
      <w:r>
        <w:t xml:space="preserve">.</w:t>
      </w:r>
      <w:r>
        <w:t xml:space="preserve"> </w:t>
      </w:r>
      <w:r>
        <w:rPr>
          <w:i/>
          <w:iCs/>
        </w:rPr>
        <w:t xml:space="preserve">Proceedings of the AAAI/ACM Conference on AI, Ethics, and Society</w:t>
      </w:r>
      <w:r>
        <w:t xml:space="preserve">, 344-50.</w:t>
      </w:r>
      <w:r>
        <w:t xml:space="preserve"> </w:t>
      </w:r>
      <w:hyperlink ns4:id="rId515">
        <w:r>
          <w:rPr>
            <w:rStyle w:val="Hipervnculo"/>
          </w:rPr>
          <w:t xml:space="preserve">https://doi.org/10.1145/3375627.3375850</w:t>
        </w:r>
      </w:hyperlink>
      <w:r>
        <w:t xml:space="preserve">.</w:t>
      </w:r>
    </w:p>
    <w:bookmarkEnd w:id="516"/>
    <w:bookmarkStart w:id="517" w:name="ref-proszewska2025"/>
    <w:p>
      <w:pPr>
        <w:pStyle w:val="Bibliography"/>
        <w:spacing w:line="360" w:lineRule="auto"/>
        <w:jc w:val="both"/>
      </w:pPr>
      <w:r>
        <w:t xml:space="preserve">Proszewska, Magdalena, Tomasz Danel, y Dawid Rymarczyk. 2025.</w:t>
      </w:r>
      <w:r>
        <w:t xml:space="preserve"> </w:t>
      </w:r>
      <w:r>
        <w:rPr>
          <w:i/>
          <w:iCs/>
        </w:rPr>
        <w:t xml:space="preserve">B-XAIC Dataset: Benchmarking Explainable AI for Graph Neural Networks Using Chemical Data</w:t>
      </w:r>
      <w:r>
        <w:t xml:space="preserve">.</w:t>
      </w:r>
    </w:p>
    <w:bookmarkEnd w:id="517"/>
    <w:bookmarkStart w:id="518" w:name="ref-ramachandram2025"/>
    <w:p>
      <w:pPr>
        <w:pStyle w:val="Bibliography"/>
        <w:spacing w:line="360" w:lineRule="auto"/>
        <w:jc w:val="both"/>
      </w:pPr>
      <w:r>
        <w:t xml:space="preserve">Ramachandram, Dhanesh, Himanshu Joshi, Judy Zhu, Dhari Gandhi, Lucas Hartman, y Ananya Raval. 2025.</w:t>
      </w:r>
      <w:r>
        <w:t xml:space="preserve"> </w:t>
      </w:r>
      <w:r>
        <w:rPr>
          <w:i/>
          <w:iCs/>
        </w:rPr>
        <w:t xml:space="preserve">Transparent AI: The Case for Interpretability and Explainability</w:t>
      </w:r>
      <w:r>
        <w:t xml:space="preserve">. Vector Institute for Artificial Intelligence.</w:t>
      </w:r>
    </w:p>
    <w:bookmarkEnd w:id="518"/>
    <w:bookmarkStart w:id="520" w:name="ref-reif2025"/>
    <w:p>
      <w:pPr>
        <w:pStyle w:val="Bibliography"/>
        <w:spacing w:line="360" w:lineRule="auto"/>
        <w:jc w:val="both"/>
      </w:pPr>
      <w:r>
        <w:t xml:space="preserve">Reif, Jessica A., Richard P. Larrick, y Jack B. Soll. 2025.</w:t>
      </w:r>
      <w:r>
        <w:t xml:space="preserve"> </w:t>
      </w:r>
      <w:r>
        <w:t xml:space="preserve">«Evidence of a social evaluation penalty for using AI»</w:t>
      </w:r>
      <w:r>
        <w:t xml:space="preserve">.</w:t>
      </w:r>
      <w:r>
        <w:t xml:space="preserve"> </w:t>
      </w:r>
      <w:r>
        <w:rPr>
          <w:i/>
          <w:iCs/>
        </w:rPr>
        <w:t xml:space="preserve">Proceedings of the National Academy of Sciences</w:t>
      </w:r>
      <w:r>
        <w:t xml:space="preserve"> </w:t>
      </w:r>
      <w:r>
        <w:t xml:space="preserve">122 (19).</w:t>
      </w:r>
      <w:r>
        <w:t xml:space="preserve"> </w:t>
      </w:r>
      <w:hyperlink ns4:id="rId519">
        <w:r>
          <w:rPr>
            <w:rStyle w:val="Hipervnculo"/>
          </w:rPr>
          <w:t xml:space="preserve">https://doi.org/10.1073/pnas.2426766122</w:t>
        </w:r>
      </w:hyperlink>
      <w:r>
        <w:t xml:space="preserve">.</w:t>
      </w:r>
    </w:p>
    <w:bookmarkEnd w:id="520"/>
    <w:bookmarkStart w:id="522" w:name="ref-ribeiro2016"/>
    <w:p>
      <w:pPr>
        <w:pStyle w:val="Bibliography"/>
        <w:spacing w:line="360" w:lineRule="auto"/>
        <w:jc w:val="both"/>
      </w:pPr>
      <w:r>
        <w:t xml:space="preserve">Ribeiro, Singh, M. T. 2016.</w:t>
      </w:r>
      <w:r>
        <w:t xml:space="preserve"> </w:t>
      </w:r>
      <w:r>
        <w:t xml:space="preserve">«"Why Should I Trust You?": Explaining the Predictions of Any Classifier»</w:t>
      </w:r>
      <w:r>
        <w:t xml:space="preserve">.</w:t>
      </w:r>
      <w:r>
        <w:t xml:space="preserve"> </w:t>
      </w:r>
      <w:r>
        <w:rPr>
          <w:i/>
          <w:iCs/>
        </w:rPr>
        <w:t xml:space="preserve">arXiv preprint arXiv:1602.04938</w:t>
      </w:r>
      <w:r>
        <w:t xml:space="preserve">, advance online publication.</w:t>
      </w:r>
      <w:r>
        <w:t xml:space="preserve"> </w:t>
      </w:r>
      <w:hyperlink ns4:id="rId521">
        <w:r>
          <w:rPr>
            <w:rStyle w:val="Hipervnculo"/>
          </w:rPr>
          <w:t xml:space="preserve">https://doi.org/10.1145/2939672.2939778</w:t>
        </w:r>
      </w:hyperlink>
      <w:r>
        <w:t xml:space="preserve">.</w:t>
      </w:r>
    </w:p>
    <w:bookmarkEnd w:id="522"/>
    <w:bookmarkStart w:id="524" w:name="ref-ribeiro2018"/>
    <w:p>
      <w:pPr>
        <w:pStyle w:val="Bibliography"/>
        <w:spacing w:line="360" w:lineRule="auto"/>
        <w:jc w:val="both"/>
      </w:pPr>
      <w:r>
        <w:t xml:space="preserve">Ribeiro, Singh, M. T. 2018.</w:t>
      </w:r>
      <w:r>
        <w:t xml:space="preserve"> </w:t>
      </w:r>
      <w:r>
        <w:t xml:space="preserve">«Anchors: High-Precision Model-Agnostic explanations»</w:t>
      </w:r>
      <w:r>
        <w:t xml:space="preserve">.</w:t>
      </w:r>
      <w:r>
        <w:t xml:space="preserve"> </w:t>
      </w:r>
      <w:r>
        <w:rPr>
          <w:i/>
          <w:iCs/>
        </w:rPr>
        <w:t xml:space="preserve">Proceedings of the AAAI Conference on Artificial Intelligence</w:t>
      </w:r>
      <w:r>
        <w:t xml:space="preserve"> </w:t>
      </w:r>
      <w:r>
        <w:t xml:space="preserve">32 (1).</w:t>
      </w:r>
      <w:r>
        <w:t xml:space="preserve"> </w:t>
      </w:r>
      <w:hyperlink ns4:id="rId523">
        <w:r>
          <w:rPr>
            <w:rStyle w:val="Hipervnculo"/>
          </w:rPr>
          <w:t xml:space="preserve">https://doi.org/10.1609/aaai.v32i1.11491</w:t>
        </w:r>
      </w:hyperlink>
      <w:r>
        <w:t xml:space="preserve">.</w:t>
      </w:r>
    </w:p>
    <w:bookmarkEnd w:id="524"/>
    <w:bookmarkStart w:id="526" w:name="ref-rodriguez2024"/>
    <w:p>
      <w:pPr>
        <w:pStyle w:val="Bibliography"/>
        <w:spacing w:line="360" w:lineRule="auto"/>
        <w:jc w:val="both"/>
      </w:pPr>
      <w:r>
        <w:t xml:space="preserve">Rodriguez, Sebastian, y John Thangarajah. 2024.</w:t>
      </w:r>
      <w:r>
        <w:t xml:space="preserve"> </w:t>
      </w:r>
      <w:r>
        <w:t xml:space="preserve">«Explainable Agents (XAg) by Design»</w:t>
      </w:r>
      <w:r>
        <w:t xml:space="preserve">.</w:t>
      </w:r>
      <w:r>
        <w:t xml:space="preserve"> </w:t>
      </w:r>
      <w:r>
        <w:rPr>
          <w:i/>
          <w:iCs/>
        </w:rPr>
        <w:t xml:space="preserve">International Joint Conference on Autonomous Agents and Multiagent Systems</w:t>
      </w:r>
      <w:r>
        <w:t xml:space="preserve">, 2712-16.</w:t>
      </w:r>
      <w:r>
        <w:t xml:space="preserve"> </w:t>
      </w:r>
      <w:hyperlink ns4:id="rId525">
        <w:r>
          <w:rPr>
            <w:rStyle w:val="Hipervnculo"/>
          </w:rPr>
          <w:t xml:space="preserve">https://doi.org/10.65109/vllw9552</w:t>
        </w:r>
      </w:hyperlink>
      <w:r>
        <w:t xml:space="preserve">.</w:t>
      </w:r>
    </w:p>
    <w:bookmarkEnd w:id="526"/>
    <w:bookmarkStart w:id="528" w:name="ref-rong2022consistent"/>
    <w:p>
      <w:pPr>
        <w:pStyle w:val="Bibliography"/>
        <w:spacing w:line="360" w:lineRule="auto"/>
        <w:jc w:val="both"/>
      </w:pPr>
      <w:r>
        <w:t xml:space="preserve">Rong, Yao, Tobias Leemann, Vadim Borisov, Gjergji Kasneci, y Enkelejda Kasneci. 2022.</w:t>
      </w:r>
      <w:r>
        <w:t xml:space="preserve"> </w:t>
      </w:r>
      <w:r>
        <w:t xml:space="preserve">«A Consistent and Efficient Evaluation Strategy for Attribution Methods»</w:t>
      </w:r>
      <w:r>
        <w:t xml:space="preserve">.</w:t>
      </w:r>
      <w:r>
        <w:t xml:space="preserve"> </w:t>
      </w:r>
      <w:r>
        <w:rPr>
          <w:i/>
          <w:iCs/>
        </w:rPr>
        <w:t xml:space="preserve">Proceedings of the 39th International Conference on Machine Learning</w:t>
      </w:r>
      <w:r>
        <w:t xml:space="preserve">, Proceedings of Machine Learning Research, vol. 162: 18770-95.</w:t>
      </w:r>
      <w:r>
        <w:t xml:space="preserve"> </w:t>
      </w:r>
      <w:hyperlink ns4:id="rId527">
        <w:r>
          <w:rPr>
            <w:rStyle w:val="Hipervnculo"/>
          </w:rPr>
          <w:t xml:space="preserve">https://proceedings.mlr.press/v162/rong22a.html</w:t>
        </w:r>
      </w:hyperlink>
      <w:r>
        <w:t xml:space="preserve">.</w:t>
      </w:r>
    </w:p>
    <w:bookmarkEnd w:id="528"/>
    <w:bookmarkStart w:id="530" w:name="ref-zhang2024"/>
    <w:p>
      <w:pPr>
        <w:pStyle w:val="Bibliography"/>
        <w:spacing w:line="360" w:lineRule="auto"/>
        <w:jc w:val="both"/>
      </w:pPr>
      <w:r>
        <w:t xml:space="preserve">Rong, Yao, Tobias Leemann, Thai-Trang Nguyen, et al. 2024.</w:t>
      </w:r>
      <w:r>
        <w:t xml:space="preserve"> </w:t>
      </w:r>
      <w:r>
        <w:t xml:space="preserve">«Towards Human-Centered Explainable AI: A Survey of User Studies for Model Explanations»</w:t>
      </w:r>
      <w:r>
        <w:t xml:space="preserve">.</w:t>
      </w:r>
      <w:r>
        <w:t xml:space="preserve"> </w:t>
      </w:r>
      <w:r>
        <w:rPr>
          <w:i/>
          <w:iCs/>
        </w:rPr>
        <w:t xml:space="preserve">IEEE Transactions on Pattern Analysis and Machine Intelligence</w:t>
      </w:r>
      <w:r>
        <w:t xml:space="preserve"> </w:t>
      </w:r>
      <w:r>
        <w:t xml:space="preserve">46 (4): 2104-22.</w:t>
      </w:r>
      <w:r>
        <w:t xml:space="preserve"> </w:t>
      </w:r>
      <w:hyperlink ns4:id="rId529">
        <w:r>
          <w:rPr>
            <w:rStyle w:val="Hipervnculo"/>
          </w:rPr>
          <w:t xml:space="preserve">https://doi.org/10.1109/TPAMI.2023.3331846</w:t>
        </w:r>
      </w:hyperlink>
      <w:r>
        <w:t xml:space="preserve">.</w:t>
      </w:r>
    </w:p>
    <w:bookmarkEnd w:id="530"/>
    <w:bookmarkStart w:id="532" w:name="ref-rudin2022"/>
    <w:p>
      <w:pPr>
        <w:pStyle w:val="Bibliography"/>
        <w:spacing w:line="360" w:lineRule="auto"/>
        <w:jc w:val="both"/>
      </w:pPr>
      <w:r>
        <w:t xml:space="preserve">Rudin, Chen, C. 2022.</w:t>
      </w:r>
      <w:r>
        <w:t xml:space="preserve"> </w:t>
      </w:r>
      <w:r>
        <w:t xml:space="preserve">«Interpretable machine learning: Fundamental principles and 10 grand challenges»</w:t>
      </w:r>
      <w:r>
        <w:t xml:space="preserve">.</w:t>
      </w:r>
      <w:r>
        <w:t xml:space="preserve"> </w:t>
      </w:r>
      <w:r>
        <w:rPr>
          <w:i/>
          <w:iCs/>
        </w:rPr>
        <w:t xml:space="preserve">Statistics Surveys</w:t>
      </w:r>
      <w:r>
        <w:t xml:space="preserve"> </w:t>
      </w:r>
      <w:r>
        <w:t xml:space="preserve">16 (none).</w:t>
      </w:r>
      <w:r>
        <w:t xml:space="preserve"> </w:t>
      </w:r>
      <w:hyperlink ns4:id="rId531">
        <w:r>
          <w:rPr>
            <w:rStyle w:val="Hipervnculo"/>
          </w:rPr>
          <w:t xml:space="preserve">https://doi.org/10.1214/21-ss133</w:t>
        </w:r>
      </w:hyperlink>
      <w:r>
        <w:t xml:space="preserve">.</w:t>
      </w:r>
    </w:p>
    <w:bookmarkEnd w:id="532"/>
    <w:bookmarkStart w:id="534" w:name="ref-rudin2019"/>
    <w:p>
      <w:pPr>
        <w:pStyle w:val="Bibliography"/>
        <w:spacing w:line="360" w:lineRule="auto"/>
        <w:jc w:val="both"/>
      </w:pPr>
      <w:r>
        <w:t xml:space="preserve">Rudin, Cynthia. 2019.</w:t>
      </w:r>
      <w:r>
        <w:t xml:space="preserve"> </w:t>
      </w:r>
      <w:r>
        <w:t xml:space="preserve">«Stop explaining black box machine learning models for high stakes decisions and use interpretable models instead»</w:t>
      </w:r>
      <w:r>
        <w:t xml:space="preserve">.</w:t>
      </w:r>
      <w:r>
        <w:t xml:space="preserve"> </w:t>
      </w:r>
      <w:r>
        <w:rPr>
          <w:i/>
          <w:iCs/>
        </w:rPr>
        <w:t xml:space="preserve">Nature Machine Intelligence</w:t>
      </w:r>
      <w:r>
        <w:t xml:space="preserve"> </w:t>
      </w:r>
      <w:r>
        <w:t xml:space="preserve">1 (5): 206-15.</w:t>
      </w:r>
      <w:r>
        <w:t xml:space="preserve"> </w:t>
      </w:r>
      <w:hyperlink ns4:id="rId533">
        <w:r>
          <w:rPr>
            <w:rStyle w:val="Hipervnculo"/>
          </w:rPr>
          <w:t xml:space="preserve">https://doi.org/10.1038/s42256-019-0048-x</w:t>
        </w:r>
      </w:hyperlink>
      <w:r>
        <w:t xml:space="preserve">.</w:t>
      </w:r>
    </w:p>
    <w:bookmarkEnd w:id="534"/>
    <w:bookmarkStart w:id="536" w:name="ref-saarela2024"/>
    <w:p>
      <w:pPr>
        <w:pStyle w:val="Bibliography"/>
        <w:spacing w:line="360" w:lineRule="auto"/>
        <w:jc w:val="both"/>
      </w:pPr>
      <w:r>
        <w:t xml:space="preserve">Saarela, &amp; Podgorelec, M. 2024.</w:t>
      </w:r>
      <w:r>
        <w:t xml:space="preserve"> </w:t>
      </w:r>
      <w:r>
        <w:t xml:space="preserve">«Recent Applications of Explainable AI (XAI): A Systematic Literature review»</w:t>
      </w:r>
      <w:r>
        <w:t xml:space="preserve">.</w:t>
      </w:r>
      <w:r>
        <w:t xml:space="preserve"> </w:t>
      </w:r>
      <w:r>
        <w:rPr>
          <w:i/>
          <w:iCs/>
        </w:rPr>
        <w:t xml:space="preserve">Applied Sciences</w:t>
      </w:r>
      <w:r>
        <w:t xml:space="preserve"> </w:t>
      </w:r>
      <w:r>
        <w:t xml:space="preserve">14 (19): 8884.</w:t>
      </w:r>
      <w:r>
        <w:t xml:space="preserve"> </w:t>
      </w:r>
      <w:hyperlink ns4:id="rId535">
        <w:r>
          <w:rPr>
            <w:rStyle w:val="Hipervnculo"/>
          </w:rPr>
          <w:t xml:space="preserve">https://doi.org/10.3390/app14198884</w:t>
        </w:r>
      </w:hyperlink>
      <w:r>
        <w:t xml:space="preserve">.</w:t>
      </w:r>
    </w:p>
    <w:bookmarkEnd w:id="536"/>
    <w:bookmarkStart w:id="538" w:name="ref-saeed2023"/>
    <w:p>
      <w:pPr>
        <w:pStyle w:val="Bibliography"/>
        <w:spacing w:line="360" w:lineRule="auto"/>
        <w:jc w:val="both"/>
      </w:pPr>
      <w:r>
        <w:t xml:space="preserve">Saeed, &amp; Omlin, W. 2023.</w:t>
      </w:r>
      <w:r>
        <w:t xml:space="preserve"> </w:t>
      </w:r>
      <w:r>
        <w:t xml:space="preserve">«Explainable AI (XAI): A systematic meta-survey of current challenges and future opportunities»</w:t>
      </w:r>
      <w:r>
        <w:t xml:space="preserve">.</w:t>
      </w:r>
      <w:r>
        <w:t xml:space="preserve"> </w:t>
      </w:r>
      <w:r>
        <w:rPr>
          <w:i/>
          <w:iCs/>
        </w:rPr>
        <w:t xml:space="preserve">Knowledge-Based Systems</w:t>
      </w:r>
      <w:r>
        <w:t xml:space="preserve"> </w:t>
      </w:r>
      <w:r>
        <w:t xml:space="preserve">263: 110273.</w:t>
      </w:r>
      <w:r>
        <w:t xml:space="preserve"> </w:t>
      </w:r>
      <w:hyperlink ns4:id="rId537">
        <w:r>
          <w:rPr>
            <w:rStyle w:val="Hipervnculo"/>
          </w:rPr>
          <w:t xml:space="preserve">https://doi.org/10.1016/j.knosys.2023.110273</w:t>
        </w:r>
      </w:hyperlink>
      <w:r>
        <w:t xml:space="preserve">.</w:t>
      </w:r>
    </w:p>
    <w:bookmarkEnd w:id="538"/>
    <w:bookmarkStart w:id="540" w:name="ref-samek2019"/>
    <w:p>
      <w:pPr>
        <w:pStyle w:val="Bibliography"/>
        <w:spacing w:line="360" w:lineRule="auto"/>
        <w:jc w:val="both"/>
      </w:pPr>
      <w:r>
        <w:t xml:space="preserve">Samek, Montavon, W. 2019.</w:t>
      </w:r>
      <w:r>
        <w:t xml:space="preserve"> </w:t>
      </w:r>
      <w:r>
        <w:t xml:space="preserve">«Explainable AI: Interpreting, explaining and visualizing deep learning»</w:t>
      </w:r>
      <w:r>
        <w:t xml:space="preserve">.</w:t>
      </w:r>
      <w:r>
        <w:t xml:space="preserve"> </w:t>
      </w:r>
      <w:r>
        <w:rPr>
          <w:i/>
          <w:iCs/>
        </w:rPr>
        <w:t xml:space="preserve">In Lecture notes in computer science</w:t>
      </w:r>
      <w:r>
        <w:t xml:space="preserve">, advance online publication.</w:t>
      </w:r>
      <w:r>
        <w:t xml:space="preserve"> </w:t>
      </w:r>
      <w:hyperlink ns4:id="rId539">
        <w:r>
          <w:rPr>
            <w:rStyle w:val="Hipervnculo"/>
          </w:rPr>
          <w:t xml:space="preserve">https://doi.org/10.1007/978-3-030-28954-6</w:t>
        </w:r>
      </w:hyperlink>
      <w:r>
        <w:t xml:space="preserve">.</w:t>
      </w:r>
    </w:p>
    <w:bookmarkEnd w:id="540"/>
    <w:bookmarkStart w:id="542" w:name="ref-saqib2024"/>
    <w:p>
      <w:pPr>
        <w:pStyle w:val="Bibliography"/>
        <w:spacing w:line="360" w:lineRule="auto"/>
        <w:jc w:val="both"/>
      </w:pPr>
      <w:r>
        <w:t xml:space="preserve">Saqib, Mohd, Samaneh Mahdavifar, Benjamin C. M. Fung, y Philippe Charland. 2024.</w:t>
      </w:r>
      <w:r>
        <w:t xml:space="preserve"> </w:t>
      </w:r>
      <w:r>
        <w:t xml:space="preserve">«A Comprehensive Analysis of Explainable AI for Malware Hunting»</w:t>
      </w:r>
      <w:r>
        <w:t xml:space="preserve">.</w:t>
      </w:r>
      <w:r>
        <w:t xml:space="preserve"> </w:t>
      </w:r>
      <w:r>
        <w:rPr>
          <w:i/>
          <w:iCs/>
        </w:rPr>
        <w:t xml:space="preserve">ACM Computing Surveys</w:t>
      </w:r>
      <w:r>
        <w:t xml:space="preserve"> </w:t>
      </w:r>
      <w:r>
        <w:t xml:space="preserve">56 (12): 1-40.</w:t>
      </w:r>
      <w:r>
        <w:t xml:space="preserve"> </w:t>
      </w:r>
      <w:hyperlink ns4:id="rId541">
        <w:r>
          <w:rPr>
            <w:rStyle w:val="Hipervnculo"/>
          </w:rPr>
          <w:t xml:space="preserve">https://doi.org/10.1145/3677374</w:t>
        </w:r>
      </w:hyperlink>
      <w:r>
        <w:t xml:space="preserve">.</w:t>
      </w:r>
    </w:p>
    <w:bookmarkEnd w:id="542"/>
    <w:bookmarkStart w:id="544" w:name="ref-schwalbe2023"/>
    <w:p>
      <w:pPr>
        <w:pStyle w:val="Bibliography"/>
        <w:spacing w:line="360" w:lineRule="auto"/>
        <w:jc w:val="both"/>
      </w:pPr>
      <w:r>
        <w:t xml:space="preserve">Schwalbe, &amp; Finzel, G. 2023.</w:t>
      </w:r>
      <w:r>
        <w:t xml:space="preserve"> </w:t>
      </w:r>
      <w:r>
        <w:t xml:space="preserve">«A comprehensive taxonomy for explainable artificial intelligence: a systematic survey of surveys on methods and concepts»</w:t>
      </w:r>
      <w:r>
        <w:t xml:space="preserve">.</w:t>
      </w:r>
      <w:r>
        <w:t xml:space="preserve"> </w:t>
      </w:r>
      <w:r>
        <w:rPr>
          <w:i/>
          <w:iCs/>
        </w:rPr>
        <w:t xml:space="preserve">Data Mining and Knowledge Discovery</w:t>
      </w:r>
      <w:r>
        <w:t xml:space="preserve"> </w:t>
      </w:r>
      <w:r>
        <w:t xml:space="preserve">38 (5): 3043-101.</w:t>
      </w:r>
      <w:r>
        <w:t xml:space="preserve"> </w:t>
      </w:r>
      <w:hyperlink ns4:id="rId543">
        <w:r>
          <w:rPr>
            <w:rStyle w:val="Hipervnculo"/>
          </w:rPr>
          <w:t xml:space="preserve">https://doi.org/10.1007/s10618-022-00867-8</w:t>
        </w:r>
      </w:hyperlink>
      <w:r>
        <w:t xml:space="preserve">.</w:t>
      </w:r>
    </w:p>
    <w:bookmarkEnd w:id="544"/>
    <w:bookmarkStart w:id="546" w:name="ref-shapley1952"/>
    <w:p>
      <w:pPr>
        <w:pStyle w:val="Bibliography"/>
        <w:spacing w:line="360" w:lineRule="auto"/>
        <w:jc w:val="both"/>
      </w:pPr>
      <w:r>
        <w:t xml:space="preserve">Shapley, Lloyd S. 1952.</w:t>
      </w:r>
      <w:r>
        <w:t xml:space="preserve"> </w:t>
      </w:r>
      <w:r>
        <w:rPr>
          <w:i/>
          <w:iCs/>
        </w:rPr>
        <w:t xml:space="preserve">A Value for N-Person Games</w:t>
      </w:r>
      <w:r>
        <w:t xml:space="preserve">. P-295. RAND Corporation.</w:t>
      </w:r>
      <w:r>
        <w:t xml:space="preserve"> </w:t>
      </w:r>
      <w:hyperlink ns4:id="rId545">
        <w:r>
          <w:rPr>
            <w:rStyle w:val="Hipervnculo"/>
          </w:rPr>
          <w:t xml:space="preserve">https://www.rand.org/pubs/papers/P0295.html</w:t>
        </w:r>
      </w:hyperlink>
      <w:r>
        <w:t xml:space="preserve">.</w:t>
      </w:r>
    </w:p>
    <w:bookmarkEnd w:id="546"/>
    <w:bookmarkStart w:id="548" w:name="ref-sithakoul2024"/>
    <w:p>
      <w:pPr>
        <w:pStyle w:val="Bibliography"/>
        <w:spacing w:line="360" w:lineRule="auto"/>
        <w:jc w:val="both"/>
      </w:pPr>
      <w:r>
        <w:t xml:space="preserve">Sithakoul, Samuel, Sara Meftah, y Clément Feutry. 2024.</w:t>
      </w:r>
      <w:r>
        <w:t xml:space="preserve"> </w:t>
      </w:r>
      <w:r>
        <w:rPr>
          <w:i/>
          <w:iCs/>
        </w:rPr>
        <w:t xml:space="preserve">BEExAI: Benchmark to Evaluate Explainable AI</w:t>
      </w:r>
      <w:r>
        <w:t xml:space="preserve">. Springer Nature Switzerland.</w:t>
      </w:r>
      <w:r>
        <w:t xml:space="preserve"> </w:t>
      </w:r>
      <w:hyperlink ns4:id="rId547">
        <w:r>
          <w:rPr>
            <w:rStyle w:val="Hipervnculo"/>
          </w:rPr>
          <w:t xml:space="preserve">https://doi.org/10.1007/978-3-031-63787-2_23</w:t>
        </w:r>
      </w:hyperlink>
      <w:r>
        <w:t xml:space="preserve">.</w:t>
      </w:r>
    </w:p>
    <w:bookmarkEnd w:id="548"/>
    <w:bookmarkStart w:id="550" w:name="ref-slack2020"/>
    <w:p>
      <w:pPr>
        <w:pStyle w:val="Bibliography"/>
        <w:spacing w:line="360" w:lineRule="auto"/>
        <w:jc w:val="both"/>
      </w:pPr>
      <w:r>
        <w:t xml:space="preserve">Slack, Dylan, Sophie Hilgard, Emily Jia, Sameer Singh, y Himabindu Lakkaraju. 2020.</w:t>
      </w:r>
      <w:r>
        <w:t xml:space="preserve"> </w:t>
      </w:r>
      <w:r>
        <w:t xml:space="preserve">«Fooling LIME and SHAP: Adversarial Attacks on Post Hoc Explanation Methods»</w:t>
      </w:r>
      <w:r>
        <w:t xml:space="preserve">.</w:t>
      </w:r>
      <w:r>
        <w:t xml:space="preserve"> </w:t>
      </w:r>
      <w:r>
        <w:rPr>
          <w:i/>
          <w:iCs/>
        </w:rPr>
        <w:t xml:space="preserve">Proceedings of the AAAI/ACM Conference on AI, Ethics, and Society</w:t>
      </w:r>
      <w:r>
        <w:t xml:space="preserve">, 180-86.</w:t>
      </w:r>
      <w:r>
        <w:t xml:space="preserve"> </w:t>
      </w:r>
      <w:hyperlink ns4:id="rId549">
        <w:r>
          <w:rPr>
            <w:rStyle w:val="Hipervnculo"/>
          </w:rPr>
          <w:t xml:space="preserve">https://doi.org/10.1145/3375627.3375830</w:t>
        </w:r>
      </w:hyperlink>
      <w:r>
        <w:t xml:space="preserve">.</w:t>
      </w:r>
    </w:p>
    <w:bookmarkEnd w:id="550"/>
    <w:bookmarkStart w:id="552" w:name="ref-sokol2020"/>
    <w:p>
      <w:pPr>
        <w:pStyle w:val="Bibliography"/>
        <w:spacing w:line="360" w:lineRule="auto"/>
        <w:jc w:val="both"/>
      </w:pPr>
      <w:r>
        <w:t xml:space="preserve">Sokol, Kacper, y Peter Flach. 2020.</w:t>
      </w:r>
      <w:r>
        <w:t xml:space="preserve"> </w:t>
      </w:r>
      <w:r>
        <w:t xml:space="preserve">«One Explanation Does Not Fit All: The Promise of Interactive Explanations for Machine Learning Transparency»</w:t>
      </w:r>
      <w:r>
        <w:t xml:space="preserve">.</w:t>
      </w:r>
      <w:r>
        <w:t xml:space="preserve"> </w:t>
      </w:r>
      <w:r>
        <w:rPr>
          <w:i/>
          <w:iCs/>
        </w:rPr>
        <w:t xml:space="preserve">KI - K</w:t>
      </w:r>
      <w:r>
        <w:rPr>
          <w:i/>
          <w:iCs/>
        </w:rPr>
        <w:t xml:space="preserve">ü</w:t>
      </w:r>
      <w:r>
        <w:rPr>
          <w:i/>
          <w:iCs/>
        </w:rPr>
        <w:t xml:space="preserve">nstliche Intelligenz</w:t>
      </w:r>
      <w:r>
        <w:t xml:space="preserve"> </w:t>
      </w:r>
      <w:r>
        <w:t xml:space="preserve">34 (2): 235-50.</w:t>
      </w:r>
      <w:r>
        <w:t xml:space="preserve"> </w:t>
      </w:r>
      <w:hyperlink ns4:id="rId551">
        <w:r>
          <w:rPr>
            <w:rStyle w:val="Hipervnculo"/>
          </w:rPr>
          <w:t xml:space="preserve">https://doi.org/10.1007/s13218-020-00637-y</w:t>
        </w:r>
      </w:hyperlink>
      <w:r>
        <w:t xml:space="preserve">.</w:t>
      </w:r>
    </w:p>
    <w:bookmarkEnd w:id="552"/>
    <w:bookmarkStart w:id="554" w:name="ref-tan2023"/>
    <w:p>
      <w:pPr>
        <w:pStyle w:val="Bibliography"/>
        <w:spacing w:line="360" w:lineRule="auto"/>
        <w:jc w:val="both"/>
      </w:pPr>
      <w:r>
        <w:t xml:space="preserve">Tan, Juntao, y Yongfeng Zhang. 2023.</w:t>
      </w:r>
      <w:r>
        <w:t xml:space="preserve"> </w:t>
      </w:r>
      <w:r>
        <w:t xml:space="preserve">«ExplainableFold: Understanding AlphaFold Prediction with Explainable AI»</w:t>
      </w:r>
      <w:r>
        <w:t xml:space="preserve">.</w:t>
      </w:r>
      <w:r>
        <w:t xml:space="preserve"> </w:t>
      </w:r>
      <w:r>
        <w:rPr>
          <w:i/>
          <w:iCs/>
        </w:rPr>
        <w:t xml:space="preserve">Proceedings of the 29th ACM SIGKDD Conference on Knowledge Discovery and Data Mining</w:t>
      </w:r>
      <w:r>
        <w:t xml:space="preserve">, 2166-76.</w:t>
      </w:r>
      <w:r>
        <w:t xml:space="preserve"> </w:t>
      </w:r>
      <w:hyperlink ns4:id="rId553">
        <w:r>
          <w:rPr>
            <w:rStyle w:val="Hipervnculo"/>
          </w:rPr>
          <w:t xml:space="preserve">https://doi.org/10.1145/3580305.3599337</w:t>
        </w:r>
      </w:hyperlink>
      <w:r>
        <w:t xml:space="preserve">.</w:t>
      </w:r>
    </w:p>
    <w:bookmarkEnd w:id="554"/>
    <w:bookmarkStart w:id="556" w:name="ref-tjoa2020"/>
    <w:p>
      <w:pPr>
        <w:pStyle w:val="Bibliography"/>
        <w:spacing w:line="360" w:lineRule="auto"/>
        <w:jc w:val="both"/>
      </w:pPr>
      <w:r>
        <w:t xml:space="preserve">Tjoa, Erico, y Cuntai Guan. 2021.</w:t>
      </w:r>
      <w:r>
        <w:t xml:space="preserve"> </w:t>
      </w:r>
      <w:r>
        <w:t xml:space="preserve">«A Survey on Explainable Artificial Intelligence (XAI): Toward Medical XAI»</w:t>
      </w:r>
      <w:r>
        <w:t xml:space="preserve">.</w:t>
      </w:r>
      <w:r>
        <w:t xml:space="preserve"> </w:t>
      </w:r>
      <w:r>
        <w:rPr>
          <w:i/>
          <w:iCs/>
        </w:rPr>
        <w:t xml:space="preserve">IEEE Transactions on Neural Networks and Learning Systems</w:t>
      </w:r>
      <w:r>
        <w:t xml:space="preserve"> </w:t>
      </w:r>
      <w:r>
        <w:t xml:space="preserve">32 (11): 4793-813.</w:t>
      </w:r>
      <w:r>
        <w:t xml:space="preserve"> </w:t>
      </w:r>
      <w:hyperlink ns4:id="rId555">
        <w:r>
          <w:rPr>
            <w:rStyle w:val="Hipervnculo"/>
          </w:rPr>
          <w:t xml:space="preserve">https://doi.org/10.1109/TNNLS.2020.3027314</w:t>
        </w:r>
      </w:hyperlink>
      <w:r>
        <w:t xml:space="preserve">.</w:t>
      </w:r>
    </w:p>
    <w:bookmarkEnd w:id="556"/>
    <w:bookmarkStart w:id="558" w:name="ref-tomsett2020"/>
    <w:p>
      <w:pPr>
        <w:pStyle w:val="Bibliography"/>
        <w:spacing w:line="360" w:lineRule="auto"/>
        <w:jc w:val="both"/>
      </w:pPr>
      <w:r>
        <w:t xml:space="preserve">Tomsett, Richard, Dan Harborne, Supriyo Chakraborty, Prudhvi Gurram, y Alun Preece. 2020.</w:t>
      </w:r>
      <w:r>
        <w:t xml:space="preserve"> </w:t>
      </w:r>
      <w:r>
        <w:t xml:space="preserve">«Sanity Checks for Saliency Metrics»</w:t>
      </w:r>
      <w:r>
        <w:t xml:space="preserve">.</w:t>
      </w:r>
      <w:r>
        <w:t xml:space="preserve"> </w:t>
      </w:r>
      <w:r>
        <w:rPr>
          <w:i/>
          <w:iCs/>
        </w:rPr>
        <w:t xml:space="preserve">Proceedings of the AAAI Conference on Artificial Intelligence</w:t>
      </w:r>
      <w:r>
        <w:t xml:space="preserve"> </w:t>
      </w:r>
      <w:r>
        <w:t xml:space="preserve">34 (04): 6021-29.</w:t>
      </w:r>
      <w:r>
        <w:t xml:space="preserve"> </w:t>
      </w:r>
      <w:hyperlink ns4:id="rId557">
        <w:r>
          <w:rPr>
            <w:rStyle w:val="Hipervnculo"/>
          </w:rPr>
          <w:t xml:space="preserve">https://doi.org/10.1609/aaai.v34i04.6064</w:t>
        </w:r>
      </w:hyperlink>
      <w:r>
        <w:t xml:space="preserve">.</w:t>
      </w:r>
    </w:p>
    <w:bookmarkEnd w:id="558"/>
    <w:bookmarkStart w:id="560" w:name="ref-tripathy2024"/>
    <w:p>
      <w:pPr>
        <w:pStyle w:val="Bibliography"/>
        <w:spacing w:line="360" w:lineRule="auto"/>
        <w:jc w:val="both"/>
      </w:pPr>
      <w:r>
        <w:t xml:space="preserve">Tripathy, &amp; Seetha, B. K. 2024.</w:t>
      </w:r>
      <w:r>
        <w:t xml:space="preserve"> </w:t>
      </w:r>
      <w:r>
        <w:t xml:space="preserve">«Explainable, interpretable, and transparent AI systems»</w:t>
      </w:r>
      <w:r>
        <w:t xml:space="preserve">.</w:t>
      </w:r>
      <w:r>
        <w:t xml:space="preserve"> </w:t>
      </w:r>
      <w:r>
        <w:rPr>
          <w:i/>
          <w:iCs/>
        </w:rPr>
        <w:t xml:space="preserve">In CRC Press eBooks</w:t>
      </w:r>
      <w:r>
        <w:t xml:space="preserve">, advance online publication.</w:t>
      </w:r>
      <w:r>
        <w:t xml:space="preserve"> </w:t>
      </w:r>
      <w:hyperlink ns4:id="rId559">
        <w:r>
          <w:rPr>
            <w:rStyle w:val="Hipervnculo"/>
          </w:rPr>
          <w:t xml:space="preserve">https://doi.org/10.1201/9781003442509</w:t>
        </w:r>
      </w:hyperlink>
      <w:r>
        <w:t xml:space="preserve">.</w:t>
      </w:r>
    </w:p>
    <w:bookmarkEnd w:id="560"/>
    <w:bookmarkStart w:id="561" w:name="ref-tsai2023"/>
    <w:p>
      <w:pPr>
        <w:pStyle w:val="Bibliography"/>
        <w:spacing w:line="360" w:lineRule="auto"/>
        <w:jc w:val="both"/>
      </w:pPr>
      <w:r>
        <w:t xml:space="preserve">Tsai, Che-Ping, Chih-Kuan Yeh, y Pradeep Ravikumar. 2023.</w:t>
      </w:r>
      <w:r>
        <w:t xml:space="preserve"> </w:t>
      </w:r>
      <w:r>
        <w:t xml:space="preserve">«Faith-Shap: The Faithful Shapley Interaction Index»</w:t>
      </w:r>
      <w:r>
        <w:t xml:space="preserve">.</w:t>
      </w:r>
      <w:r>
        <w:t xml:space="preserve"> </w:t>
      </w:r>
      <w:r>
        <w:rPr>
          <w:i/>
          <w:iCs/>
        </w:rPr>
        <w:t xml:space="preserve">Journal of Machine Learning Research</w:t>
      </w:r>
      <w:r>
        <w:t xml:space="preserve"> </w:t>
      </w:r>
      <w:r>
        <w:t xml:space="preserve">24: 1-42.</w:t>
      </w:r>
    </w:p>
    <w:bookmarkEnd w:id="561"/>
    <w:bookmarkStart w:id="563" w:name="ref-tsigos2024"/>
    <w:p>
      <w:pPr>
        <w:pStyle w:val="Bibliography"/>
        <w:spacing w:line="360" w:lineRule="auto"/>
        <w:jc w:val="both"/>
      </w:pPr>
      <w:r>
        <w:t xml:space="preserve">Tsigos, Konstantinos, Evlampios Apostolidis, Spyridon Baxevanakis, Symeon Papadopoulos, y Vasileios Mezaris. 2024.</w:t>
      </w:r>
      <w:r>
        <w:t xml:space="preserve"> </w:t>
      </w:r>
      <w:r>
        <w:t xml:space="preserve">«Towards Quantitative Evaluation of Explainable AI Methods for Deepfake Detection»</w:t>
      </w:r>
      <w:r>
        <w:t xml:space="preserve">.</w:t>
      </w:r>
      <w:r>
        <w:t xml:space="preserve"> </w:t>
      </w:r>
      <w:r>
        <w:rPr>
          <w:i/>
          <w:iCs/>
        </w:rPr>
        <w:t xml:space="preserve">3rd ACM International Workshop on Multimedia AI against Disinformation</w:t>
      </w:r>
      <w:r>
        <w:t xml:space="preserve">, 37-45.</w:t>
      </w:r>
      <w:r>
        <w:t xml:space="preserve"> </w:t>
      </w:r>
      <w:hyperlink ns4:id="rId562">
        <w:r>
          <w:rPr>
            <w:rStyle w:val="Hipervnculo"/>
          </w:rPr>
          <w:t xml:space="preserve">https://doi.org/10.1145/3643491.3660292</w:t>
        </w:r>
      </w:hyperlink>
      <w:r>
        <w:t xml:space="preserve">.</w:t>
      </w:r>
    </w:p>
    <w:bookmarkEnd w:id="563"/>
    <w:bookmarkStart w:id="565" w:name="ref-ullah2024"/>
    <w:p>
      <w:pPr>
        <w:pStyle w:val="Bibliography"/>
        <w:spacing w:line="360" w:lineRule="auto"/>
        <w:jc w:val="both"/>
      </w:pPr>
      <w:r>
        <w:t xml:space="preserve">Ullah, Naeem, Javed Ali Khan, Ivanoe De Falco, y Giovanna Sannino. 2024.</w:t>
      </w:r>
      <w:r>
        <w:t xml:space="preserve"> </w:t>
      </w:r>
      <w:r>
        <w:t xml:space="preserve">«Explainable Artificial Intelligence: Importance, Use Domains, Stages, Output Shapes, and Challenges»</w:t>
      </w:r>
      <w:r>
        <w:t xml:space="preserve">.</w:t>
      </w:r>
      <w:r>
        <w:t xml:space="preserve"> </w:t>
      </w:r>
      <w:r>
        <w:rPr>
          <w:i/>
          <w:iCs/>
        </w:rPr>
        <w:t xml:space="preserve">ACM Computing Surveys</w:t>
      </w:r>
      <w:r>
        <w:t xml:space="preserve"> </w:t>
      </w:r>
      <w:r>
        <w:t xml:space="preserve">57 (4): 1-36.</w:t>
      </w:r>
      <w:r>
        <w:t xml:space="preserve"> </w:t>
      </w:r>
      <w:hyperlink ns4:id="rId564">
        <w:r>
          <w:rPr>
            <w:rStyle w:val="Hipervnculo"/>
          </w:rPr>
          <w:t xml:space="preserve">https://doi.org/10.1145/3705724</w:t>
        </w:r>
      </w:hyperlink>
      <w:r>
        <w:t xml:space="preserve">.</w:t>
      </w:r>
    </w:p>
    <w:bookmarkEnd w:id="565"/>
    <w:bookmarkStart w:id="567" w:name="ref-vainiopekka2023"/>
    <w:p>
      <w:pPr>
        <w:pStyle w:val="Bibliography"/>
        <w:spacing w:line="360" w:lineRule="auto"/>
        <w:jc w:val="both"/>
      </w:pPr>
      <w:r>
        <w:t xml:space="preserve">Vainio-Pekka, Heidi, Mamia Ori-Otse Agbese, Marianna Jantunen, et al. 2023.</w:t>
      </w:r>
      <w:r>
        <w:t xml:space="preserve"> </w:t>
      </w:r>
      <w:r>
        <w:t xml:space="preserve">«The Role of Explainable AI in the Research Field of AI Ethics»</w:t>
      </w:r>
      <w:r>
        <w:t xml:space="preserve">.</w:t>
      </w:r>
      <w:r>
        <w:t xml:space="preserve"> </w:t>
      </w:r>
      <w:r>
        <w:rPr>
          <w:i/>
          <w:iCs/>
        </w:rPr>
        <w:t xml:space="preserve">ACM Transactions on Interactive Intelligent Systems</w:t>
      </w:r>
      <w:r>
        <w:t xml:space="preserve"> </w:t>
      </w:r>
      <w:r>
        <w:t xml:space="preserve">13 (4): 1-39.</w:t>
      </w:r>
      <w:r>
        <w:t xml:space="preserve"> </w:t>
      </w:r>
      <w:hyperlink ns4:id="rId566">
        <w:r>
          <w:rPr>
            <w:rStyle w:val="Hipervnculo"/>
          </w:rPr>
          <w:t xml:space="preserve">https://doi.org/10.1145/3599974</w:t>
        </w:r>
      </w:hyperlink>
      <w:r>
        <w:t xml:space="preserve">.</w:t>
      </w:r>
    </w:p>
    <w:bookmarkEnd w:id="567"/>
    <w:bookmarkStart w:id="569" w:name="ref-vandenbroeck2022"/>
    <w:p>
      <w:pPr>
        <w:pStyle w:val="Bibliography"/>
        <w:spacing w:line="360" w:lineRule="auto"/>
        <w:jc w:val="both"/>
      </w:pPr>
      <w:r>
        <w:t xml:space="preserve">Van den Broeck, Guy, Anton Lykov, Maximilian Schleich, y Dan Suciu. 2022.</w:t>
      </w:r>
      <w:r>
        <w:t xml:space="preserve"> </w:t>
      </w:r>
      <w:r>
        <w:t xml:space="preserve">«On the Tractability of SHAP Explanations»</w:t>
      </w:r>
      <w:r>
        <w:t xml:space="preserve">.</w:t>
      </w:r>
      <w:r>
        <w:t xml:space="preserve"> </w:t>
      </w:r>
      <w:r>
        <w:rPr>
          <w:i/>
          <w:iCs/>
        </w:rPr>
        <w:t xml:space="preserve">Journal of Artificial Intelligence Research</w:t>
      </w:r>
      <w:r>
        <w:t xml:space="preserve"> </w:t>
      </w:r>
      <w:r>
        <w:t xml:space="preserve">74: 851-86.</w:t>
      </w:r>
      <w:r>
        <w:t xml:space="preserve"> </w:t>
      </w:r>
      <w:hyperlink ns4:id="rId568">
        <w:r>
          <w:rPr>
            <w:rStyle w:val="Hipervnculo"/>
          </w:rPr>
          <w:t xml:space="preserve">https://doi.org/10.1613/jair.1.13283</w:t>
        </w:r>
      </w:hyperlink>
      <w:r>
        <w:t xml:space="preserve">.</w:t>
      </w:r>
    </w:p>
    <w:bookmarkEnd w:id="569"/>
    <w:bookmarkStart w:id="571" w:name="ref-voigt2017"/>
    <w:p>
      <w:pPr>
        <w:pStyle w:val="Bibliography"/>
        <w:spacing w:line="360" w:lineRule="auto"/>
        <w:jc w:val="both"/>
      </w:pPr>
      <w:r>
        <w:t xml:space="preserve">Voigt, Paul, y Axel von dem Bussche. 2017.</w:t>
      </w:r>
      <w:r>
        <w:t xml:space="preserve"> </w:t>
      </w:r>
      <w:r>
        <w:rPr>
          <w:i/>
          <w:iCs/>
        </w:rPr>
        <w:t xml:space="preserve">The EU General Data Protection Regulation (GDPR): A Practical Guide</w:t>
      </w:r>
      <w:r>
        <w:t xml:space="preserve">. Springer.</w:t>
      </w:r>
      <w:r>
        <w:t xml:space="preserve"> </w:t>
      </w:r>
      <w:hyperlink ns4:id="rId570">
        <w:r>
          <w:rPr>
            <w:rStyle w:val="Hipervnculo"/>
          </w:rPr>
          <w:t xml:space="preserve">https://doi.org/10.1007/978-3-319-57959-7</w:t>
        </w:r>
      </w:hyperlink>
      <w:r>
        <w:t xml:space="preserve">.</w:t>
      </w:r>
    </w:p>
    <w:bookmarkEnd w:id="571"/>
    <w:bookmarkStart w:id="573" w:name="ref-wachter2017"/>
    <w:p>
      <w:pPr>
        <w:pStyle w:val="Bibliography"/>
        <w:spacing w:line="360" w:lineRule="auto"/>
        <w:jc w:val="both"/>
      </w:pPr>
      <w:r>
        <w:t xml:space="preserve">Wachter, Mittelstadt, S. 2017.</w:t>
      </w:r>
      <w:r>
        <w:t xml:space="preserve"> </w:t>
      </w:r>
      <w:r>
        <w:t xml:space="preserve">«Counterfactual explanations without opening the black box: automated decisions and the GDPR»</w:t>
      </w:r>
      <w:r>
        <w:t xml:space="preserve">.</w:t>
      </w:r>
      <w:r>
        <w:t xml:space="preserve"> </w:t>
      </w:r>
      <w:r>
        <w:rPr>
          <w:i/>
          <w:iCs/>
        </w:rPr>
        <w:t xml:space="preserve">SSRN Electronic Journal</w:t>
      </w:r>
      <w:r>
        <w:t xml:space="preserve">, advance online publication.</w:t>
      </w:r>
      <w:r>
        <w:t xml:space="preserve"> </w:t>
      </w:r>
      <w:hyperlink ns4:id="rId572">
        <w:r>
          <w:rPr>
            <w:rStyle w:val="Hipervnculo"/>
          </w:rPr>
          <w:t xml:space="preserve">https://doi.org/10.2139/ssrn.3063289</w:t>
        </w:r>
      </w:hyperlink>
      <w:r>
        <w:t xml:space="preserve">.</w:t>
      </w:r>
    </w:p>
    <w:bookmarkEnd w:id="573"/>
    <w:bookmarkStart w:id="574" w:name="ref-wang2025"/>
    <w:p>
      <w:pPr>
        <w:pStyle w:val="Bibliography"/>
        <w:spacing w:line="360" w:lineRule="auto"/>
        <w:jc w:val="both"/>
      </w:pPr>
      <w:r>
        <w:t xml:space="preserve">Wang, Zhanliang, y Kai Wang. 2025.</w:t>
      </w:r>
      <w:r>
        <w:t xml:space="preserve"> </w:t>
      </w:r>
      <w:r>
        <w:rPr>
          <w:i/>
          <w:iCs/>
        </w:rPr>
        <w:t xml:space="preserve">MultiSHAP: A Shapley-Based Framework for Explaining Cross-Modal Interactions in Multimodal AI Models</w:t>
      </w:r>
      <w:r>
        <w:t xml:space="preserve">.</w:t>
      </w:r>
    </w:p>
    <w:bookmarkEnd w:id="574"/>
    <w:bookmarkStart w:id="576" w:name="ref-wilcoxon1945"/>
    <w:p>
      <w:pPr>
        <w:pStyle w:val="Bibliography"/>
        <w:spacing w:line="360" w:lineRule="auto"/>
        <w:jc w:val="both"/>
      </w:pPr>
      <w:r>
        <w:t xml:space="preserve">Wilcoxon, Frank. 1945.</w:t>
      </w:r>
      <w:r>
        <w:t xml:space="preserve"> </w:t>
      </w:r>
      <w:r>
        <w:t xml:space="preserve">«Individual Comparisons by Ranking Methods»</w:t>
      </w:r>
      <w:r>
        <w:t xml:space="preserve">.</w:t>
      </w:r>
      <w:r>
        <w:t xml:space="preserve"> </w:t>
      </w:r>
      <w:r>
        <w:rPr>
          <w:i/>
          <w:iCs/>
        </w:rPr>
        <w:t xml:space="preserve">Biometrics Bulletin</w:t>
      </w:r>
      <w:r>
        <w:t xml:space="preserve"> </w:t>
      </w:r>
      <w:r>
        <w:t xml:space="preserve">1 (6): 80-83.</w:t>
      </w:r>
      <w:r>
        <w:t xml:space="preserve"> </w:t>
      </w:r>
      <w:hyperlink ns4:id="rId575">
        <w:r>
          <w:rPr>
            <w:rStyle w:val="Hipervnculo"/>
          </w:rPr>
          <w:t xml:space="preserve">https://doi.org/10.2307/3001968</w:t>
        </w:r>
      </w:hyperlink>
      <w:r>
        <w:t xml:space="preserve">.</w:t>
      </w:r>
    </w:p>
    <w:bookmarkEnd w:id="576"/>
    <w:bookmarkStart w:id="578" w:name="ref-zheng2025"/>
    <w:p>
      <w:pPr>
        <w:pStyle w:val="Bibliography"/>
        <w:spacing w:line="360" w:lineRule="auto"/>
        <w:jc w:val="both"/>
      </w:pPr>
      <w:r>
        <w:t xml:space="preserve">Zheng, X., F. Shirani, Z. Chen, et al. 2025.</w:t>
      </w:r>
      <w:r>
        <w:t xml:space="preserve"> </w:t>
      </w:r>
      <w:r>
        <w:t xml:space="preserve">«F-FIDELITY: A Robust Framework for Faithfulness Evaluation of Explainable AI»</w:t>
      </w:r>
      <w:r>
        <w:t xml:space="preserve">.</w:t>
      </w:r>
      <w:r>
        <w:t xml:space="preserve"> </w:t>
      </w:r>
      <w:r>
        <w:rPr>
          <w:i/>
          <w:iCs/>
        </w:rPr>
        <w:t xml:space="preserve">ICLR 2025 Proceedings</w:t>
      </w:r>
      <w:r>
        <w:t xml:space="preserve">.</w:t>
      </w:r>
      <w:r>
        <w:t xml:space="preserve"> </w:t>
      </w:r>
      <w:hyperlink ns4:id="rId577">
        <w:r>
          <w:rPr>
            <w:rStyle w:val="Hipervnculo"/>
          </w:rPr>
          <w:t xml:space="preserve">https://trustai4s-lab.github.io/ffidelity</w:t>
        </w:r>
      </w:hyperlink>
      <w:r>
        <w:t xml:space="preserve">.</w:t>
      </w:r>
    </w:p>
    <w:bookmarkEnd w:id="578"/>
    <w:bookmarkEnd w:id="579"/>
    <w:bookmarkEnd w:id="580"/>
    <w:bookmarkStart w:id="606" w:name="apéndices"/>
    <w:p>
      <w:pPr>
        <w:pStyle w:val="Ttulo1"/>
        <w:spacing w:line="360" w:lineRule="auto"/>
        <w:jc w:val="both"/>
      </w:pPr>
      <w:r>
        <w:t xml:space="preserve">Apéndices</w:t>
      </w:r>
    </w:p>
    <w:bookmarkStart w:id="582" w:name="Xee799cefc3e174a13188f506c487e1fa0a452e0"/>
    <w:p>
      <w:pPr>
        <w:pStyle w:val="Ttulo2"/>
        <w:spacing w:line="360" w:lineRule="auto"/>
        <w:jc w:val="both"/>
      </w:pPr>
      <w:r>
        <w:t xml:space="preserve">Apéndice A: Corpus de datos, partición y preprocesamiento</w:t>
      </w:r>
    </w:p>
    <w:p>
      <w:pPr>
        <w:pStyle w:val="FirstParagraph"/>
        <w:spacing w:line="360" w:lineRule="auto"/>
        <w:jc w:val="both"/>
      </w:pPr>
      <w:r>
        <w:t xml:space="preserve">El conjunto Adult Income se carga desde</w:t>
      </w:r>
      <w:r>
        <w:t xml:space="preserve"> </w:t>
      </w:r>
      <w:r>
        <w:rPr>
          <w:rStyle w:val="VerbatimChar"/>
        </w:rPr>
        <w:t xml:space="preserve">src/data_loading/adult.py</w:t>
      </w:r>
      <w:r>
        <w:t xml:space="preserve">, usando</w:t>
      </w:r>
      <w:r>
        <w:t xml:space="preserve"> </w:t>
      </w:r>
      <w:r>
        <w:t xml:space="preserve">OpenML como fuente primaria y UCI como respaldo. La versión experimental usada</w:t>
      </w:r>
      <w:r>
        <w:t xml:space="preserve"> </w:t>
      </w:r>
      <w:r>
        <w:t xml:space="preserve">en la tesis contiene 48,842 instancias, 14 características originales y una</w:t>
      </w:r>
      <w:r>
        <w:t xml:space="preserve"> </w:t>
      </w:r>
      <w:r>
        <w:t xml:space="preserve">variable binaria de predicción (</w:t>
      </w:r>
      <w:r>
        <w:rPr>
          <w:rStyle w:val="VerbatimChar"/>
        </w:rPr>
        <w:t xml:space="preserve">&gt;50K</w:t>
      </w:r>
      <w:r>
        <w:t xml:space="preserve"> </w:t>
      </w:r>
      <w:r>
        <w:t xml:space="preserve">frente a</w:t>
      </w:r>
      <w:r>
        <w:t xml:space="preserve"> </w:t>
      </w:r>
      <w:r>
        <w:rPr>
          <w:rStyle w:val="VerbatimChar"/>
        </w:rPr>
        <w:t xml:space="preserve">&lt;=50K</w:t>
      </w:r>
      <w:r>
        <w:t xml:space="preserve">). La partición canónica</w:t>
      </w:r>
      <w:r>
        <w:t xml:space="preserve"> </w:t>
      </w:r>
      <w:r>
        <w:t xml:space="preserve">usa</w:t>
      </w:r>
      <w:r>
        <w:t xml:space="preserve"> </w:t>
      </w:r>
      <w:r>
        <w:rPr>
          <w:rStyle w:val="VerbatimChar"/>
        </w:rPr>
        <w:t xml:space="preserve">test_size = 0.20</w:t>
      </w:r>
      <w:r>
        <w:t xml:space="preserve">, estratificación por etiqueta y</w:t>
      </w:r>
      <w:r>
        <w:t xml:space="preserve"> </w:t>
      </w:r>
      <w:r>
        <w:rPr>
          <w:rStyle w:val="VerbatimChar"/>
        </w:rPr>
        <w:t xml:space="preserve">random_state = 42</w:t>
      </w:r>
      <w:r>
        <w:t xml:space="preserve">,</w:t>
      </w:r>
      <w:r>
        <w:t xml:space="preserve"> </w:t>
      </w:r>
      <w:r>
        <w:t xml:space="preserve">produciendo 39,032 instancias de entrenamiento y 9,758 de prueba. La</w:t>
      </w:r>
      <w:r>
        <w:t xml:space="preserve"> </w:t>
      </w:r>
      <w:hyperlink w:anchor="tbl-appendix-dataset-schema">
        <w:r>
          <w:rPr>
            <w:rStyle w:val="Hipervnculo"/>
          </w:rPr>
          <w:t xml:space="preserve">Tabla 7.5</w:t>
        </w:r>
      </w:hyperlink>
      <w:r>
        <w:t xml:space="preserve"> </w:t>
      </w:r>
      <w:r>
        <w:t xml:space="preserve">describe el esquema de variables.</w:t>
      </w:r>
    </w:p>
    <w:tbl>
      <w:tblPr>
        <w:tblStyle w:val="Table"/>
        <w:tblW w:type="pct" w:w="5000"/>
        <w:jc w:val="center"/>
        <w:tblLayout w:type="fixed"/>
        <w:tblLook w:firstRow="0" w:lastRow="0" w:firstColumn="0" w:lastColumn="0" w:noHBand="0" w:noVBand="0" w:val="0000"/>
      </w:tblPr>
      <w:tblGrid>
        <w:gridCol w:w="7920"/>
      </w:tblGrid>
      <w:tr>
        <w:tc>
          <w:tcPr/>
          <w:bookmarkStart w:id="581" w:name="tbl-appendix-dataset-schema"/>
          <w:p>
            <w:pPr>
              <w:pStyle w:val="ImageCaption"/>
              <w:spacing w:before="200" w:line="360" w:lineRule="auto"/>
              <w:jc w:val="center"/>
            </w:pPr>
            <w:r>
              <w:t xml:space="preserve">Tabla 7.5: Esquema resumido del conjunto Adult y transformaciones de preprocesamiento.</w:t>
            </w:r>
            <w:r>
              <w:t xml:space="preserve"> </w:t>
            </w:r>
          </w:p>
          <w:tbl>
            <w:tblPr>
              <w:tblStyle w:val="Table"/>
              <w:tblW w:type="pct" w:w="500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Row="1" w:lastRow="0" w:firstColumn="0" w:lastColumn="0" w:noHBand="0" w:noVBand="0" w:val="0020"/>
            </w:tblPr>
            <w:tblGrid>
              <w:gridCol w:w="2640"/>
              <w:gridCol w:w="2640"/>
              <w:gridCol w:w="2640"/>
            </w:tblGrid>
            <w:tr>
              <w:trPr>
                <w:tblHeader w:val="on"/>
              </w:trPr>
              <w:tc>
                <w:tcPr/>
                <w:p>
                  <w:pPr>
                    <w:pStyle w:val="Compact"/>
                    <w:jc w:val="both"/>
                    <w:jc w:val="center"/>
                    <w:spacing w:line="360" w:lineRule="auto"/>
                  </w:pPr>
                  <w:r>
                    <w:rPr>
                      <w:bCs/>
                      <w:b/>
                    </w:rPr>
                    <w:t xml:space="preserve">Grupo</w:t>
                  </w:r>
                </w:p>
              </w:tc>
              <w:tc>
                <w:tcPr/>
                <w:p>
                  <w:pPr>
                    <w:pStyle w:val="Compact"/>
                    <w:jc w:val="both"/>
                    <w:jc w:val="center"/>
                    <w:spacing w:line="360" w:lineRule="auto"/>
                  </w:pPr>
                  <w:r>
                    <w:rPr>
                      <w:bCs/>
                      <w:b/>
                    </w:rPr>
                    <w:t xml:space="preserve">Características</w:t>
                  </w:r>
                </w:p>
              </w:tc>
              <w:tc>
                <w:tcPr/>
                <w:p>
                  <w:pPr>
                    <w:pStyle w:val="Compact"/>
                    <w:jc w:val="both"/>
                    <w:jc w:val="center"/>
                    <w:spacing w:line="360" w:lineRule="auto"/>
                  </w:pPr>
                  <w:r>
                    <w:rPr>
                      <w:bCs/>
                      <w:b/>
                    </w:rPr>
                    <w:t xml:space="preserve">Tratamiento</w:t>
                  </w:r>
                </w:p>
              </w:tc>
            </w:tr>
            <w:tr>
              <w:tc>
                <w:tcPr/>
                <w:p>
                  <w:pPr>
                    <w:pStyle w:val="Compact"/>
                    <w:jc w:val="both"/>
                    <w:jc w:val="center"/>
                    <w:spacing w:line="360" w:lineRule="auto"/>
                  </w:pPr>
                  <w:r>
                    <w:t xml:space="preserve">Numéricas</w:t>
                  </w:r>
                </w:p>
              </w:tc>
              <w:tc>
                <w:tcPr/>
                <w:p>
                  <w:pPr>
                    <w:pStyle w:val="Compact"/>
                    <w:jc w:val="both"/>
                    <w:jc w:val="center"/>
                    <w:spacing w:line="360" w:lineRule="auto"/>
                  </w:pPr>
                  <w:r>
                    <w:rPr>
                      <w:rStyle w:val="VerbatimChar"/>
                    </w:rPr>
                    <w:t xml:space="preserve">age</w:t>
                  </w:r>
                  <w:r>
                    <w:t xml:space="preserve">,</w:t>
                  </w:r>
                  <w:r>
                    <w:t xml:space="preserve"> </w:t>
                  </w:r>
                  <w:r>
                    <w:rPr>
                      <w:rStyle w:val="VerbatimChar"/>
                    </w:rPr>
                    <w:t xml:space="preserve">education-num</w:t>
                  </w:r>
                  <w:r>
                    <w:t xml:space="preserve">,</w:t>
                  </w:r>
                  <w:r>
                    <w:t xml:space="preserve"> </w:t>
                  </w:r>
                  <w:r>
                    <w:rPr>
                      <w:rStyle w:val="VerbatimChar"/>
                    </w:rPr>
                    <w:t xml:space="preserve">capital-gain</w:t>
                  </w:r>
                  <w:r>
                    <w:t xml:space="preserve">,</w:t>
                  </w:r>
                  <w:r>
                    <w:t xml:space="preserve"> </w:t>
                  </w:r>
                  <w:r>
                    <w:rPr>
                      <w:rStyle w:val="VerbatimChar"/>
                    </w:rPr>
                    <w:t xml:space="preserve">capital-loss</w:t>
                  </w:r>
                  <w:r>
                    <w:t xml:space="preserve">,</w:t>
                  </w:r>
                  <w:r>
                    <w:t xml:space="preserve"> </w:t>
                  </w:r>
                  <w:r>
                    <w:rPr>
                      <w:rStyle w:val="VerbatimChar"/>
                    </w:rPr>
                    <w:t xml:space="preserve">hours-per-week</w:t>
                  </w:r>
                  <w:r>
                    <w:t xml:space="preserve">,</w:t>
                  </w:r>
                  <w:r>
                    <w:t xml:space="preserve"> </w:t>
                  </w:r>
                  <w:r>
                    <w:rPr>
                      <w:rStyle w:val="VerbatimChar"/>
                    </w:rPr>
                    <w:t xml:space="preserve">fnlwgt</w:t>
                  </w:r>
                </w:p>
              </w:tc>
              <w:tc>
                <w:tcPr/>
                <w:p>
                  <w:pPr>
                    <w:pStyle w:val="Compact"/>
                    <w:jc w:val="both"/>
                    <w:jc w:val="center"/>
                    <w:spacing w:line="360" w:lineRule="auto"/>
                  </w:pPr>
                  <w:r>
                    <w:t xml:space="preserve">Estandarización con</w:t>
                  </w:r>
                  <w:r>
                    <w:t xml:space="preserve"> </w:t>
                  </w:r>
                  <w:r>
                    <w:rPr>
                      <w:rStyle w:val="VerbatimChar"/>
                    </w:rPr>
                    <w:t xml:space="preserve">StandardScaler</w:t>
                  </w:r>
                  <w:r>
                    <w:t xml:space="preserve"> </w:t>
                  </w:r>
                  <w:r>
                    <w:t xml:space="preserve">ajustado solo en entrenamiento</w:t>
                  </w:r>
                </w:p>
              </w:tc>
            </w:tr>
            <w:tr>
              <w:tc>
                <w:tcPr/>
                <w:p>
                  <w:pPr>
                    <w:pStyle w:val="Compact"/>
                    <w:jc w:val="both"/>
                    <w:jc w:val="center"/>
                    <w:spacing w:line="360" w:lineRule="auto"/>
                  </w:pPr>
                  <w:r>
                    <w:t xml:space="preserve">Categóricas</w:t>
                  </w:r>
                </w:p>
              </w:tc>
              <w:tc>
                <w:tcPr/>
                <w:p>
                  <w:pPr>
                    <w:pStyle w:val="Compact"/>
                    <w:jc w:val="both"/>
                    <w:jc w:val="center"/>
                    <w:spacing w:line="360" w:lineRule="auto"/>
                  </w:pPr>
                  <w:r>
                    <w:rPr>
                      <w:rStyle w:val="VerbatimChar"/>
                    </w:rPr>
                    <w:t xml:space="preserve">workclass</w:t>
                  </w:r>
                  <w:r>
                    <w:t xml:space="preserve">,</w:t>
                  </w:r>
                  <w:r>
                    <w:t xml:space="preserve"> </w:t>
                  </w:r>
                  <w:r>
                    <w:rPr>
                      <w:rStyle w:val="VerbatimChar"/>
                    </w:rPr>
                    <w:t xml:space="preserve">education</w:t>
                  </w:r>
                  <w:r>
                    <w:t xml:space="preserve">,</w:t>
                  </w:r>
                  <w:r>
                    <w:t xml:space="preserve"> </w:t>
                  </w:r>
                  <w:r>
                    <w:rPr>
                      <w:rStyle w:val="VerbatimChar"/>
                    </w:rPr>
                    <w:t xml:space="preserve">marital-status</w:t>
                  </w:r>
                  <w:r>
                    <w:t xml:space="preserve">,</w:t>
                  </w:r>
                  <w:r>
                    <w:t xml:space="preserve"> </w:t>
                  </w:r>
                  <w:r>
                    <w:rPr>
                      <w:rStyle w:val="VerbatimChar"/>
                    </w:rPr>
                    <w:t xml:space="preserve">occupation</w:t>
                  </w:r>
                  <w:r>
                    <w:t xml:space="preserve">,</w:t>
                  </w:r>
                  <w:r>
                    <w:t xml:space="preserve"> </w:t>
                  </w:r>
                  <w:r>
                    <w:rPr>
                      <w:rStyle w:val="VerbatimChar"/>
                    </w:rPr>
                    <w:t xml:space="preserve">relationship</w:t>
                  </w:r>
                  <w:r>
                    <w:t xml:space="preserve">,</w:t>
                  </w:r>
                  <w:r>
                    <w:t xml:space="preserve"> </w:t>
                  </w:r>
                  <w:r>
                    <w:rPr>
                      <w:rStyle w:val="VerbatimChar"/>
                    </w:rPr>
                    <w:t xml:space="preserve">race</w:t>
                  </w:r>
                  <w:r>
                    <w:t xml:space="preserve">,</w:t>
                  </w:r>
                  <w:r>
                    <w:t xml:space="preserve"> </w:t>
                  </w:r>
                  <w:r>
                    <w:rPr>
                      <w:rStyle w:val="VerbatimChar"/>
                    </w:rPr>
                    <w:t xml:space="preserve">sex</w:t>
                  </w:r>
                  <w:r>
                    <w:t xml:space="preserve">,</w:t>
                  </w:r>
                  <w:r>
                    <w:t xml:space="preserve"> </w:t>
                  </w:r>
                  <w:r>
                    <w:rPr>
                      <w:rStyle w:val="VerbatimChar"/>
                    </w:rPr>
                    <w:t xml:space="preserve">native-country</w:t>
                  </w:r>
                </w:p>
              </w:tc>
              <w:tc>
                <w:tcPr/>
                <w:p>
                  <w:pPr>
                    <w:pStyle w:val="Compact"/>
                    <w:jc w:val="both"/>
                    <w:jc w:val="center"/>
                    <w:spacing w:line="360" w:lineRule="auto"/>
                  </w:pPr>
                  <w:r>
                    <w:t xml:space="preserve">Codificación</w:t>
                  </w:r>
                  <w:r>
                    <w:t xml:space="preserve"> </w:t>
                  </w:r>
                  <w:r>
                    <w:rPr>
                      <w:rStyle w:val="VerbatimChar"/>
                    </w:rPr>
                    <w:t xml:space="preserve">OneHotEncoder(handle_unknown='ignore')</w:t>
                  </w:r>
                  <w:r>
                    <w:t xml:space="preserve"> </w:t>
                  </w:r>
                  <w:r>
                    <w:t xml:space="preserve">ajustada solo en entrenamiento</w:t>
                  </w:r>
                </w:p>
              </w:tc>
            </w:tr>
            <w:tr>
              <w:tc>
                <w:tcPr/>
                <w:p>
                  <w:pPr>
                    <w:pStyle w:val="Compact"/>
                    <w:jc w:val="both"/>
                    <w:jc w:val="center"/>
                    <w:spacing w:line="360" w:lineRule="auto"/>
                  </w:pPr>
                  <w:r>
                    <w:t xml:space="preserve">Objetivo</w:t>
                  </w:r>
                </w:p>
              </w:tc>
              <w:tc>
                <w:tcPr/>
                <w:p>
                  <w:pPr>
                    <w:pStyle w:val="Compact"/>
                    <w:jc w:val="both"/>
                    <w:jc w:val="center"/>
                    <w:spacing w:line="360" w:lineRule="auto"/>
                  </w:pPr>
                  <w:r>
                    <w:t xml:space="preserve">Ingreso anual binario</w:t>
                  </w:r>
                </w:p>
              </w:tc>
              <w:tc>
                <w:tcPr/>
                <w:p>
                  <w:pPr>
                    <w:pStyle w:val="Compact"/>
                    <w:jc w:val="both"/>
                    <w:jc w:val="center"/>
                    <w:spacing w:line="360" w:lineRule="auto"/>
                  </w:pPr>
                  <w:r>
                    <w:t xml:space="preserve">Normalización de etiquetas</w:t>
                  </w:r>
                  <w:r>
                    <w:t xml:space="preserve"> </w:t>
                  </w:r>
                  <w:r>
                    <w:rPr>
                      <w:rStyle w:val="VerbatimChar"/>
                    </w:rPr>
                    <w:t xml:space="preserve">&gt;50K</w:t>
                  </w:r>
                  <w:r>
                    <w:t xml:space="preserve">/</w:t>
                  </w:r>
                  <w:r>
                    <w:rPr>
                      <w:rStyle w:val="VerbatimChar"/>
                    </w:rPr>
                    <w:t xml:space="preserve">&lt;=50K</w:t>
                  </w:r>
                  <w:r>
                    <w:t xml:space="preserve"> </w:t>
                  </w:r>
                  <w:r>
                    <w:t xml:space="preserve">y variantes con punto final</w:t>
                  </w:r>
                </w:p>
              </w:tc>
            </w:tr>
          </w:tbl>
          <w:bookmarkEnd w:id="581"/>
          <w:p>
            <w:pPr>
              <w:spacing w:line="360" w:lineRule="auto"/>
              <w:jc w:val="both"/>
            </w:pPr>
          </w:p>
        </w:tc>
      </w:tr>
    </w:tbl>
    <w:p>
      <w:pPr>
        <w:pStyle w:val="Textoindependiente"/>
        <w:spacing w:line="360" w:lineRule="auto"/>
        <w:jc w:val="both"/>
      </w:pPr>
      <w:r>
        <w:t xml:space="preserve">Los valores faltantes codificados como</w:t>
      </w:r>
      <w:r>
        <w:t xml:space="preserve"> </w:t>
      </w:r>
      <w:r>
        <w:rPr>
          <w:rStyle w:val="VerbatimChar"/>
        </w:rPr>
        <w:t xml:space="preserve">"?"</w:t>
      </w:r>
      <w:r>
        <w:t xml:space="preserve"> </w:t>
      </w:r>
      <w:r>
        <w:t xml:space="preserve">se convierten a</w:t>
      </w:r>
      <w:r>
        <w:t xml:space="preserve"> </w:t>
      </w:r>
      <w:r>
        <w:rPr>
          <w:rStyle w:val="VerbatimChar"/>
        </w:rPr>
        <w:t xml:space="preserve">NaN</w:t>
      </w:r>
      <w:r>
        <w:t xml:space="preserve">, los textos</w:t>
      </w:r>
      <w:r>
        <w:t xml:space="preserve"> </w:t>
      </w:r>
      <w:r>
        <w:t xml:space="preserve">se normalizan eliminando espacios residuales y los duplicados exactos se</w:t>
      </w:r>
      <w:r>
        <w:t xml:space="preserve"> </w:t>
      </w:r>
      <w:r>
        <w:t xml:space="preserve">descartan antes del ajuste del preprocesador. Las transformaciones se congelan</w:t>
      </w:r>
      <w:r>
        <w:t xml:space="preserve"> </w:t>
      </w:r>
      <w:r>
        <w:t xml:space="preserve">como artefactos compartidos para evitar fuga de datos y diferencias de escalado</w:t>
      </w:r>
      <w:r>
        <w:t xml:space="preserve"> </w:t>
      </w:r>
      <w:r>
        <w:t xml:space="preserve">entre explicadores.</w:t>
      </w:r>
    </w:p>
    <w:bookmarkEnd w:id="582"/>
    <w:bookmarkStart w:id="584" w:name="X0ebb70924a43e56d2f30bdb00fa50fa510507cd"/>
    <w:p>
      <w:pPr>
        <w:pStyle w:val="Ttulo2"/>
        <w:spacing w:line="360" w:lineRule="auto"/>
        <w:jc w:val="both"/>
      </w:pPr>
      <w:r>
        <w:t xml:space="preserve">Apéndice B: Modelos predictivos y artefactos</w:t>
      </w:r>
    </w:p>
    <w:p>
      <w:pPr>
        <w:pStyle w:val="FirstParagraph"/>
        <w:spacing w:line="360" w:lineRule="auto"/>
        <w:jc w:val="both"/>
      </w:pPr>
      <w:r>
        <w:t xml:space="preserve">Los modelos se entrenan en EXP1 y se reutilizan en EXP2 sin reentrenamiento. Los</w:t>
      </w:r>
      <w:r>
        <w:t xml:space="preserve"> </w:t>
      </w:r>
      <w:r>
        <w:t xml:space="preserve">artefactos principales se encuentran en</w:t>
      </w:r>
      <w:r>
        <w:t xml:space="preserve"> </w:t>
      </w:r>
      <w:r>
        <w:rPr>
          <w:rStyle w:val="VerbatimChar"/>
        </w:rPr>
        <w:t xml:space="preserve">experiments/exp1_adult/models/</w:t>
      </w:r>
      <w:r>
        <w:t xml:space="preserve">, con</w:t>
      </w:r>
      <w:r>
        <w:t xml:space="preserve"> </w:t>
      </w:r>
      <w:r>
        <w:t xml:space="preserve">métricas en</w:t>
      </w:r>
      <w:r>
        <w:t xml:space="preserve"> </w:t>
      </w:r>
      <w:r>
        <w:rPr>
          <w:rStyle w:val="VerbatimChar"/>
        </w:rPr>
        <w:t xml:space="preserve">metrics.json</w:t>
      </w:r>
      <w:r>
        <w:t xml:space="preserve"> </w:t>
      </w:r>
      <w:r>
        <w:t xml:space="preserve">por familia de modelo. La</w:t>
      </w:r>
      <w:r>
        <w:t xml:space="preserve"> </w:t>
      </w:r>
      <w:hyperlink w:anchor="tbl-appendix-models">
        <w:r>
          <w:rPr>
            <w:rStyle w:val="Hipervnculo"/>
          </w:rPr>
          <w:t xml:space="preserve">Tabla 7.6</w:t>
        </w:r>
      </w:hyperlink>
      <w:r>
        <w:t xml:space="preserve"> </w:t>
      </w:r>
      <w:r>
        <w:t xml:space="preserve">resume cada modelo, su justificación y la ubicación de su artefacto.</w:t>
      </w:r>
    </w:p>
    <w:tbl>
      <w:tblPr>
        <w:tblStyle w:val="Table"/>
        <w:tblW w:type="pct" w:w="5000"/>
        <w:jc w:val="center"/>
        <w:tblLayout w:type="fixed"/>
        <w:tblLook w:firstRow="0" w:lastRow="0" w:firstColumn="0" w:lastColumn="0" w:noHBand="0" w:noVBand="0" w:val="0000"/>
      </w:tblPr>
      <w:tblGrid>
        <w:gridCol w:w="7920"/>
      </w:tblGrid>
      <w:tr>
        <w:tc>
          <w:tcPr/>
          <w:bookmarkStart w:id="583" w:name="tbl-appendix-models"/>
          <w:p>
            <w:pPr>
              <w:pStyle w:val="ImageCaption"/>
              <w:spacing w:before="200" w:line="360" w:lineRule="auto"/>
              <w:jc w:val="center"/>
            </w:pPr>
            <w:r>
              <w:t xml:space="preserve">Tabla 7.6: Modelos predictivos, justificación y ubicación de artefactos.</w:t>
            </w:r>
          </w:p>
          <w:tbl>
            <w:tblPr>
              <w:tblStyle w:val="Table"/>
              <w:tblW w:type="pct" w:w="500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Row="1" w:lastRow="0" w:firstColumn="0" w:lastColumn="0" w:noHBand="0" w:noVBand="0" w:val="0020"/>
            </w:tblPr>
            <w:tblGrid>
              <w:gridCol w:w="1980"/>
              <w:gridCol w:w="1980"/>
              <w:gridCol w:w="1980"/>
              <w:gridCol w:w="1980"/>
            </w:tblGrid>
            <w:tr>
              <w:trPr>
                <w:tblHeader w:val="on"/>
              </w:trPr>
              <w:tc>
                <w:tcPr/>
                <w:p>
                  <w:pPr>
                    <w:pStyle w:val="Compact"/>
                    <w:jc w:val="both"/>
                    <w:jc w:val="center"/>
                    <w:spacing w:line="360" w:lineRule="auto"/>
                  </w:pPr>
                  <w:r>
                    <w:rPr>
                      <w:bCs/>
                      <w:b/>
                    </w:rPr>
                    <w:t xml:space="preserve">Modelo</w:t>
                  </w:r>
                </w:p>
              </w:tc>
              <w:tc>
                <w:tcPr/>
                <w:p>
                  <w:pPr>
                    <w:pStyle w:val="Compact"/>
                    <w:jc w:val="both"/>
                    <w:jc w:val="center"/>
                    <w:spacing w:line="360" w:lineRule="auto"/>
                  </w:pPr>
                  <w:r>
                    <w:rPr>
                      <w:bCs/>
                      <w:b/>
                    </w:rPr>
                    <w:t xml:space="preserve">Rol metodológico</w:t>
                  </w:r>
                </w:p>
              </w:tc>
              <w:tc>
                <w:tcPr/>
                <w:p>
                  <w:pPr>
                    <w:pStyle w:val="Compact"/>
                    <w:jc w:val="both"/>
                    <w:jc w:val="center"/>
                    <w:spacing w:line="360" w:lineRule="auto"/>
                  </w:pPr>
                  <w:r>
                    <w:rPr>
                      <w:bCs/>
                      <w:b/>
                    </w:rPr>
                    <w:t xml:space="preserve">Artefacto principal</w:t>
                  </w:r>
                </w:p>
              </w:tc>
              <w:tc>
                <w:tcPr/>
                <w:p>
                  <w:pPr>
                    <w:pStyle w:val="Compact"/>
                    <w:jc w:val="both"/>
                    <w:jc w:val="center"/>
                    <w:spacing w:line="360" w:lineRule="auto"/>
                  </w:pPr>
                  <w:r>
                    <w:rPr>
                      <w:bCs/>
                      <w:b/>
                    </w:rPr>
                    <w:t xml:space="preserve">Métricas de entrenamiento/prueba</w:t>
                  </w:r>
                </w:p>
              </w:tc>
            </w:tr>
            <w:tr>
              <w:tc>
                <w:tcPr/>
                <w:p>
                  <w:pPr>
                    <w:pStyle w:val="Compact"/>
                    <w:jc w:val="both"/>
                    <w:jc w:val="center"/>
                    <w:spacing w:line="360" w:lineRule="auto"/>
                  </w:pPr>
                  <w:r>
                    <w:t xml:space="preserve">Regresión logística (</w:t>
                  </w:r>
                  <w:r>
                    <w:rPr>
                      <w:rStyle w:val="VerbatimChar"/>
                    </w:rPr>
                    <w:t xml:space="preserve">logreg</w:t>
                  </w:r>
                  <w:r>
                    <w:t xml:space="preserve">)</w:t>
                  </w:r>
                </w:p>
              </w:tc>
              <w:tc>
                <w:tcPr/>
                <w:p>
                  <w:pPr>
                    <w:pStyle w:val="Compact"/>
                    <w:jc w:val="both"/>
                    <w:jc w:val="center"/>
                    <w:spacing w:line="360" w:lineRule="auto"/>
                  </w:pPr>
                  <w:r>
                    <w:t xml:space="preserve">Baseline transparente lineal</w:t>
                  </w:r>
                </w:p>
              </w:tc>
              <w:tc>
                <w:tcPr/>
                <w:p>
                  <w:pPr>
                    <w:pStyle w:val="Compact"/>
                    <w:jc w:val="both"/>
                    <w:jc w:val="center"/>
                    <w:spacing w:line="360" w:lineRule="auto"/>
                  </w:pPr>
                  <w:r>
                    <w:rPr>
                      <w:rStyle w:val="VerbatimChar"/>
                    </w:rPr>
                    <w:t xml:space="preserve">experiments/exp1_adult/models/logreg/</w:t>
                  </w:r>
                </w:p>
              </w:tc>
              <w:tc>
                <w:tcPr/>
                <w:p>
                  <w:pPr>
                    <w:pStyle w:val="Compact"/>
                    <w:jc w:val="both"/>
                    <w:jc w:val="center"/>
                    <w:spacing w:line="360" w:lineRule="auto"/>
                  </w:pPr>
                  <w:r>
                    <w:rPr>
                      <w:rStyle w:val="VerbatimChar"/>
                    </w:rPr>
                    <w:t xml:space="preserve">metrics.json</w:t>
                  </w:r>
                </w:p>
              </w:tc>
            </w:tr>
            <w:tr>
              <w:tc>
                <w:tcPr/>
                <w:p>
                  <w:pPr>
                    <w:pStyle w:val="Compact"/>
                    <w:jc w:val="both"/>
                    <w:jc w:val="center"/>
                    <w:spacing w:line="360" w:lineRule="auto"/>
                  </w:pPr>
                  <w:r>
                    <w:t xml:space="preserve">Bosque aleatorio (</w:t>
                  </w:r>
                  <w:r>
                    <w:rPr>
                      <w:rStyle w:val="VerbatimChar"/>
                    </w:rPr>
                    <w:t xml:space="preserve">rf</w:t>
                  </w:r>
                  <w:r>
                    <w:t xml:space="preserve">)</w:t>
                  </w:r>
                </w:p>
              </w:tc>
              <w:tc>
                <w:tcPr/>
                <w:p>
                  <w:pPr>
                    <w:pStyle w:val="Compact"/>
                    <w:jc w:val="both"/>
                    <w:jc w:val="center"/>
                    <w:spacing w:line="360" w:lineRule="auto"/>
                  </w:pPr>
                  <w:r>
                    <w:t xml:space="preserve">Ensamble no lineal</w:t>
                  </w:r>
                </w:p>
              </w:tc>
              <w:tc>
                <w:tcPr/>
                <w:p>
                  <w:pPr>
                    <w:pStyle w:val="Compact"/>
                    <w:jc w:val="both"/>
                    <w:jc w:val="center"/>
                    <w:spacing w:line="360" w:lineRule="auto"/>
                  </w:pPr>
                  <w:r>
                    <w:rPr>
                      <w:rStyle w:val="VerbatimChar"/>
                    </w:rPr>
                    <w:t xml:space="preserve">experiments/exp1_adult/models/rf/</w:t>
                  </w:r>
                </w:p>
              </w:tc>
              <w:tc>
                <w:tcPr/>
                <w:p>
                  <w:pPr>
                    <w:pStyle w:val="Compact"/>
                    <w:jc w:val="both"/>
                    <w:jc w:val="center"/>
                    <w:spacing w:line="360" w:lineRule="auto"/>
                  </w:pPr>
                  <w:r>
                    <w:rPr>
                      <w:rStyle w:val="VerbatimChar"/>
                    </w:rPr>
                    <w:t xml:space="preserve">metrics.json</w:t>
                  </w:r>
                </w:p>
              </w:tc>
            </w:tr>
            <w:tr>
              <w:tc>
                <w:tcPr/>
                <w:p>
                  <w:pPr>
                    <w:pStyle w:val="Compact"/>
                    <w:jc w:val="both"/>
                    <w:jc w:val="center"/>
                    <w:spacing w:line="360" w:lineRule="auto"/>
                  </w:pPr>
                  <w:r>
                    <w:t xml:space="preserve">XGBoost (</w:t>
                  </w:r>
                  <w:r>
                    <w:rPr>
                      <w:rStyle w:val="VerbatimChar"/>
                    </w:rPr>
                    <w:t xml:space="preserve">xgb</w:t>
                  </w:r>
                  <w:r>
                    <w:t xml:space="preserve">)</w:t>
                  </w:r>
                </w:p>
              </w:tc>
              <w:tc>
                <w:tcPr/>
                <w:p>
                  <w:pPr>
                    <w:pStyle w:val="Compact"/>
                    <w:jc w:val="both"/>
                    <w:jc w:val="center"/>
                    <w:spacing w:line="360" w:lineRule="auto"/>
                  </w:pPr>
                  <w:r>
                    <w:t xml:space="preserve">Ensamble de alto rendimiento compatible con TreeSHAP</w:t>
                  </w:r>
                </w:p>
              </w:tc>
              <w:tc>
                <w:tcPr/>
                <w:p>
                  <w:pPr>
                    <w:pStyle w:val="Compact"/>
                    <w:jc w:val="both"/>
                    <w:jc w:val="center"/>
                    <w:spacing w:line="360" w:lineRule="auto"/>
                  </w:pPr>
                  <w:r>
                    <w:rPr>
                      <w:rStyle w:val="VerbatimChar"/>
                    </w:rPr>
                    <w:t xml:space="preserve">experiments/exp1_adult/models/xgboost/</w:t>
                  </w:r>
                </w:p>
              </w:tc>
              <w:tc>
                <w:tcPr/>
                <w:p>
                  <w:pPr>
                    <w:pStyle w:val="Compact"/>
                    <w:jc w:val="both"/>
                    <w:jc w:val="center"/>
                    <w:spacing w:line="360" w:lineRule="auto"/>
                  </w:pPr>
                  <w:r>
                    <w:rPr>
                      <w:rStyle w:val="VerbatimChar"/>
                    </w:rPr>
                    <w:t xml:space="preserve">metrics.json</w:t>
                  </w:r>
                  <w:r>
                    <w:t xml:space="preserve">,</w:t>
                  </w:r>
                  <w:r>
                    <w:t xml:space="preserve"> </w:t>
                  </w:r>
                  <w:r>
                    <w:rPr>
                      <w:rStyle w:val="VerbatimChar"/>
                    </w:rPr>
                    <w:t xml:space="preserve">xgb_feature_importance.csv</w:t>
                  </w:r>
                </w:p>
              </w:tc>
            </w:tr>
            <w:tr>
              <w:tc>
                <w:tcPr/>
                <w:p>
                  <w:pPr>
                    <w:pStyle w:val="Compact"/>
                    <w:jc w:val="both"/>
                    <w:jc w:val="center"/>
                    <w:spacing w:line="360" w:lineRule="auto"/>
                  </w:pPr>
                  <w:r>
                    <w:t xml:space="preserve">SVM (</w:t>
                  </w:r>
                  <w:r>
                    <w:rPr>
                      <w:rStyle w:val="VerbatimChar"/>
                    </w:rPr>
                    <w:t xml:space="preserve">svm</w:t>
                  </w:r>
                  <w:r>
                    <w:t xml:space="preserve">)</w:t>
                  </w:r>
                </w:p>
              </w:tc>
              <w:tc>
                <w:tcPr/>
                <w:p>
                  <w:pPr>
                    <w:pStyle w:val="Compact"/>
                    <w:jc w:val="both"/>
                    <w:jc w:val="center"/>
                    <w:spacing w:line="360" w:lineRule="auto"/>
                  </w:pPr>
                  <w:r>
                    <w:t xml:space="preserve">Comportamiento de frontera no lineal/kernel</w:t>
                  </w:r>
                </w:p>
              </w:tc>
              <w:tc>
                <w:tcPr/>
                <w:p>
                  <w:pPr>
                    <w:pStyle w:val="Compact"/>
                    <w:jc w:val="both"/>
                    <w:jc w:val="center"/>
                    <w:spacing w:line="360" w:lineRule="auto"/>
                  </w:pPr>
                  <w:r>
                    <w:rPr>
                      <w:rStyle w:val="VerbatimChar"/>
                    </w:rPr>
                    <w:t xml:space="preserve">experiments/exp1_adult/models/svm/</w:t>
                  </w:r>
                </w:p>
              </w:tc>
              <w:tc>
                <w:tcPr/>
                <w:p>
                  <w:pPr>
                    <w:pStyle w:val="Compact"/>
                    <w:jc w:val="both"/>
                    <w:jc w:val="center"/>
                    <w:spacing w:line="360" w:lineRule="auto"/>
                  </w:pPr>
                  <w:r>
                    <w:rPr>
                      <w:rStyle w:val="VerbatimChar"/>
                    </w:rPr>
                    <w:t xml:space="preserve">metrics.json</w:t>
                  </w:r>
                </w:p>
              </w:tc>
            </w:tr>
            <w:tr>
              <w:tc>
                <w:tcPr/>
                <w:p>
                  <w:pPr>
                    <w:pStyle w:val="Compact"/>
                    <w:jc w:val="both"/>
                    <w:jc w:val="center"/>
                    <w:spacing w:line="360" w:lineRule="auto"/>
                  </w:pPr>
                  <w:r>
                    <w:t xml:space="preserve">MLP (</w:t>
                  </w:r>
                  <w:r>
                    <w:rPr>
                      <w:rStyle w:val="VerbatimChar"/>
                    </w:rPr>
                    <w:t xml:space="preserve">mlp</w:t>
                  </w:r>
                  <w:r>
                    <w:t xml:space="preserve">)</w:t>
                  </w:r>
                </w:p>
              </w:tc>
              <w:tc>
                <w:tcPr/>
                <w:p>
                  <w:pPr>
                    <w:pStyle w:val="Compact"/>
                    <w:jc w:val="both"/>
                    <w:jc w:val="center"/>
                    <w:spacing w:line="360" w:lineRule="auto"/>
                  </w:pPr>
                  <w:r>
                    <w:t xml:space="preserve">Baseline neuronal no lineal</w:t>
                  </w:r>
                </w:p>
              </w:tc>
              <w:tc>
                <w:tcPr/>
                <w:p>
                  <w:pPr>
                    <w:pStyle w:val="Compact"/>
                    <w:jc w:val="both"/>
                    <w:jc w:val="center"/>
                    <w:spacing w:line="360" w:lineRule="auto"/>
                  </w:pPr>
                  <w:r>
                    <w:rPr>
                      <w:rStyle w:val="VerbatimChar"/>
                    </w:rPr>
                    <w:t xml:space="preserve">experiments/exp1_adult/models/mlp/</w:t>
                  </w:r>
                </w:p>
              </w:tc>
              <w:tc>
                <w:tcPr/>
                <w:p>
                  <w:pPr>
                    <w:pStyle w:val="Compact"/>
                    <w:jc w:val="both"/>
                    <w:jc w:val="center"/>
                    <w:spacing w:line="360" w:lineRule="auto"/>
                  </w:pPr>
                  <w:r>
                    <w:rPr>
                      <w:rStyle w:val="VerbatimChar"/>
                    </w:rPr>
                    <w:t xml:space="preserve">metrics.json</w:t>
                  </w:r>
                </w:p>
              </w:tc>
            </w:tr>
          </w:tbl>
          <w:bookmarkEnd w:id="583"/>
          <w:p>
            <w:pPr>
              <w:spacing w:line="360" w:lineRule="auto"/>
              <w:jc w:val="both"/>
            </w:pPr>
          </w:p>
        </w:tc>
      </w:tr>
    </w:tbl>
    <w:p>
      <w:pPr>
        <w:pStyle w:val="Textoindependiente"/>
        <w:spacing w:line="360" w:lineRule="auto"/>
        <w:jc w:val="both"/>
      </w:pPr>
      <w:r>
        <w:t xml:space="preserve">Los umbrales de inclusión usados en la tesis son exactitud</w:t>
      </w:r>
      <w:r>
        <w:t xml:space="preserve"> </w:t>
      </w:r>
      <ns5:oMath>
        <ns5:r>
          <ns5:rPr>
            <ns5:sty ns5:val="p"/>
          </ns5:rPr>
          <ns5:t>≥</ns5:t>
        </ns5:r>
        <ns5:r>
          <ns5:t>0.83</ns5:t>
        </ns5:r>
      </ns5:oMath>
      <w:r>
        <w:t xml:space="preserve"> </w:t>
      </w:r>
      <w:r>
        <w:t xml:space="preserve">y</w:t>
      </w:r>
      <w:r>
        <w:t xml:space="preserve"> </w:t>
      </w:r>
      <w:r>
        <w:t xml:space="preserve">AUC-ROC</w:t>
      </w:r>
      <w:r>
        <w:t xml:space="preserve"> </w:t>
      </w:r>
      <ns5:oMath>
        <ns5:r>
          <ns5:rPr>
            <ns5:sty ns5:val="p"/>
          </ns5:rPr>
          <ns5:t>≥</ns5:t>
        </ns5:r>
        <ns5:r>
          <ns5:t>0.88</ns5:t>
        </ns5:r>
      </ns5:oMath>
      <w:r>
        <w:t xml:space="preserve">. La Tabla</w:t>
      </w:r>
      <w:r>
        <w:t xml:space="preserve"> </w:t>
      </w:r>
      <w:hyperlink w:anchor="tbl-model-performance">
        <w:r>
          <w:rPr>
            <w:rStyle w:val="Hipervnculo"/>
          </w:rPr>
          <w:t xml:space="preserve">3.1</w:t>
        </w:r>
      </w:hyperlink>
      <w:r>
        <w:t xml:space="preserve"> </w:t>
      </w:r>
      <w:r>
        <w:t xml:space="preserve">reporta las métricas finales extraídas de</w:t>
      </w:r>
      <w:r>
        <w:t xml:space="preserve"> </w:t>
      </w:r>
      <w:r>
        <w:t xml:space="preserve">estos artefactos.</w:t>
      </w:r>
    </w:p>
    <w:bookmarkEnd w:id="584"/>
    <w:bookmarkStart w:id="591" w:name="apéndice-c-configuración-de-explicadores"/>
    <w:p>
      <w:pPr>
        <w:pStyle w:val="Ttulo2"/>
        <w:spacing w:line="360" w:lineRule="auto"/>
        <w:jc w:val="both"/>
      </w:pPr>
      <w:r>
        <w:t xml:space="preserve">Apéndice C: Configuración de explicadores</w:t>
      </w:r>
    </w:p>
    <w:p>
      <w:pPr>
        <w:pStyle w:val="FirstParagraph"/>
        <w:spacing w:line="360" w:lineRule="auto"/>
        <w:jc w:val="both"/>
      </w:pPr>
      <w:r>
        <w:t xml:space="preserve">Las configuraciones declarativas de EXP2 se almacenan en</w:t>
      </w:r>
      <w:r>
        <w:t xml:space="preserve"> </w:t>
      </w:r>
      <w:r>
        <w:rPr>
          <w:rStyle w:val="VerbatimChar"/>
        </w:rPr>
        <w:t xml:space="preserve">configs/experiments/exp2_scaled/</w:t>
      </w:r>
      <w:r>
        <w:t xml:space="preserve">. El manifiesto</w:t>
      </w:r>
      <w:r>
        <w:t xml:space="preserve"> </w:t>
      </w:r>
      <w:r>
        <w:rPr>
          <w:rStyle w:val="VerbatimChar"/>
        </w:rPr>
        <w:t xml:space="preserve">manifest.yaml</w:t>
      </w:r>
      <w:r>
        <w:t xml:space="preserve"> </w:t>
      </w:r>
      <w:r>
        <w:t xml:space="preserve">define las 300</w:t>
      </w:r>
      <w:r>
        <w:t xml:space="preserve"> </w:t>
      </w:r>
      <w:r>
        <w:t xml:space="preserve">celdas del diseño factorial y cada YAML por celda fija modelo, explicador,</w:t>
      </w:r>
      <w:r>
        <w:t xml:space="preserve"> </w:t>
      </w:r>
      <w:r>
        <w:t xml:space="preserve">semilla y tamaño de muestra. La</w:t>
      </w:r>
      <w:r>
        <w:t xml:space="preserve"> </w:t>
      </w:r>
      <w:hyperlink w:anchor="tbl-appendix-explainers">
        <w:r>
          <w:rPr>
            <w:rStyle w:val="Hipervnculo"/>
          </w:rPr>
          <w:t xml:space="preserve">Tabla 7.7</w:t>
        </w:r>
      </w:hyperlink>
      <w:r>
        <w:t xml:space="preserve"> </w:t>
      </w:r>
      <w:r>
        <w:t xml:space="preserve">recoge la</w:t>
      </w:r>
      <w:r>
        <w:t xml:space="preserve"> </w:t>
      </w:r>
      <w:r>
        <w:t xml:space="preserve">configuración de cada explicador.</w:t>
      </w:r>
    </w:p>
    <w:tbl>
      <w:tblPr>
        <w:tblStyle w:val="Table"/>
        <w:tblW w:type="pct" w:w="5000"/>
        <w:jc w:val="center"/>
        <w:tblLayout w:type="fixed"/>
        <w:tblLook w:firstRow="0" w:lastRow="0" w:firstColumn="0" w:lastColumn="0" w:noHBand="0" w:noVBand="0" w:val="0000"/>
      </w:tblPr>
      <w:tblGrid>
        <w:gridCol w:w="7920"/>
      </w:tblGrid>
      <w:tr>
        <w:tc>
          <w:tcPr/>
          <w:bookmarkStart w:id="585" w:name="tbl-appendix-explainers"/>
          <w:p>
            <w:pPr>
              <w:pStyle w:val="ImageCaption"/>
              <w:spacing w:before="200" w:line="360" w:lineRule="auto"/>
              <w:jc w:val="center"/>
            </w:pPr>
            <w:r>
              <w:t xml:space="preserve">Tabla 7.7: Configuración de explicadores y caveats operativos.</w:t>
            </w:r>
          </w:p>
          <w:tbl>
            <w:tblPr>
              <w:tblStyle w:val="Table"/>
              <w:tblW w:type="pct" w:w="500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Row="1" w:lastRow="0" w:firstColumn="0" w:lastColumn="0" w:noHBand="0" w:noVBand="0" w:val="0020"/>
            </w:tblPr>
            <w:tblGrid>
              <w:gridCol w:w="1980"/>
              <w:gridCol w:w="1980"/>
              <w:gridCol w:w="1980"/>
              <w:gridCol w:w="1980"/>
            </w:tblGrid>
            <w:tr>
              <w:trPr>
                <w:tblHeader w:val="on"/>
              </w:trPr>
              <w:tc>
                <w:tcPr/>
                <w:p>
                  <w:pPr>
                    <w:pStyle w:val="Compact"/>
                    <w:jc w:val="both"/>
                    <w:jc w:val="center"/>
                    <w:spacing w:line="360" w:lineRule="auto"/>
                  </w:pPr>
                  <w:r>
                    <w:rPr>
                      <w:bCs/>
                      <w:b/>
                    </w:rPr>
                    <w:t xml:space="preserve">Explicador</w:t>
                  </w:r>
                </w:p>
              </w:tc>
              <w:tc>
                <w:tcPr/>
                <w:p>
                  <w:pPr>
                    <w:pStyle w:val="Compact"/>
                    <w:jc w:val="both"/>
                    <w:jc w:val="center"/>
                    <w:spacing w:line="360" w:lineRule="auto"/>
                  </w:pPr>
                  <w:r>
                    <w:rPr>
                      <w:bCs/>
                      <w:b/>
                    </w:rPr>
                    <w:t xml:space="preserve">Configuración efectiva</w:t>
                  </w:r>
                </w:p>
              </w:tc>
              <w:tc>
                <w:tcPr/>
                <w:p>
                  <w:pPr>
                    <w:pStyle w:val="Compact"/>
                    <w:jc w:val="both"/>
                    <w:jc w:val="center"/>
                    <w:spacing w:line="360" w:lineRule="auto"/>
                  </w:pPr>
                  <w:r>
                    <w:rPr>
                      <w:bCs/>
                      <w:b/>
                    </w:rPr>
                    <w:t xml:space="preserve">Implementación</w:t>
                  </w:r>
                </w:p>
              </w:tc>
              <w:tc>
                <w:tcPr/>
                <w:p>
                  <w:pPr>
                    <w:pStyle w:val="Compact"/>
                    <w:jc w:val="both"/>
                    <w:jc w:val="center"/>
                    <w:spacing w:line="360" w:lineRule="auto"/>
                  </w:pPr>
                  <w:r>
                    <w:rPr>
                      <w:bCs/>
                      <w:b/>
                    </w:rPr>
                    <w:t xml:space="preserve">Caveat</w:t>
                  </w:r>
                </w:p>
              </w:tc>
            </w:tr>
            <w:tr>
              <w:tc>
                <w:tcPr/>
                <w:p>
                  <w:pPr>
                    <w:pStyle w:val="Compact"/>
                    <w:jc w:val="both"/>
                    <w:jc w:val="center"/>
                    <w:spacing w:line="360" w:lineRule="auto"/>
                  </w:pPr>
                  <w:r>
                    <w:t xml:space="preserve">SHAP</w:t>
                  </w:r>
                </w:p>
              </w:tc>
              <w:tc>
                <w:tcPr/>
                <w:p>
                  <w:pPr>
                    <w:pStyle w:val="Compact"/>
                    <w:jc w:val="both"/>
                    <w:jc w:val="center"/>
                    <w:spacing w:line="360" w:lineRule="auto"/>
                  </w:pPr>
                  <w:r>
                    <w:rPr>
                      <w:rStyle w:val="VerbatimChar"/>
                    </w:rPr>
                    <w:t xml:space="preserve">TreeExplainer</w:t>
                  </w:r>
                  <w:r>
                    <w:t xml:space="preserve"> </w:t>
                  </w:r>
                  <w:r>
                    <w:t xml:space="preserve">para</w:t>
                  </w:r>
                  <w:r>
                    <w:t xml:space="preserve"> </w:t>
                  </w:r>
                  <w:r>
                    <w:rPr>
                      <w:rStyle w:val="VerbatimChar"/>
                    </w:rPr>
                    <w:t xml:space="preserve">rf</w:t>
                  </w:r>
                  <w:r>
                    <w:t xml:space="preserve">/</w:t>
                  </w:r>
                  <w:r>
                    <w:rPr>
                      <w:rStyle w:val="VerbatimChar"/>
                    </w:rPr>
                    <w:t xml:space="preserve">xgb</w:t>
                  </w:r>
                  <w:r>
                    <w:t xml:space="preserve">;</w:t>
                  </w:r>
                  <w:r>
                    <w:t xml:space="preserve"> </w:t>
                  </w:r>
                  <w:r>
                    <w:rPr>
                      <w:rStyle w:val="VerbatimChar"/>
                    </w:rPr>
                    <w:t xml:space="preserve">KernelExplainer</w:t>
                  </w:r>
                  <w:r>
                    <w:t xml:space="preserve"> </w:t>
                  </w:r>
                  <w:r>
                    <w:t xml:space="preserve">para</w:t>
                  </w:r>
                  <w:r>
                    <w:t xml:space="preserve"> </w:t>
                  </w:r>
                  <w:r>
                    <w:rPr>
                      <w:rStyle w:val="VerbatimChar"/>
                    </w:rPr>
                    <w:t xml:space="preserve">logreg</w:t>
                  </w:r>
                  <w:r>
                    <w:t xml:space="preserve">/</w:t>
                  </w:r>
                  <w:r>
                    <w:rPr>
                      <w:rStyle w:val="VerbatimChar"/>
                    </w:rPr>
                    <w:t xml:space="preserve">svm</w:t>
                  </w:r>
                  <w:r>
                    <w:t xml:space="preserve">/</w:t>
                  </w:r>
                  <w:r>
                    <w:rPr>
                      <w:rStyle w:val="VerbatimChar"/>
                    </w:rPr>
                    <w:t xml:space="preserve">mlp</w:t>
                  </w:r>
                  <w:r>
                    <w:t xml:space="preserve">; fondo de 50 muestras</w:t>
                  </w:r>
                </w:p>
              </w:tc>
              <w:tc>
                <w:tcPr/>
                <w:p>
                  <w:pPr>
                    <w:pStyle w:val="Compact"/>
                    <w:jc w:val="both"/>
                    <w:jc w:val="center"/>
                    <w:spacing w:line="360" w:lineRule="auto"/>
                  </w:pPr>
                  <w:r>
                    <w:rPr>
                      <w:rStyle w:val="VerbatimChar"/>
                    </w:rPr>
                    <w:t xml:space="preserve">src/xai/shap_tabular.py</w:t>
                  </w:r>
                </w:p>
              </w:tc>
              <w:tc>
                <w:tcPr/>
                <w:p>
                  <w:pPr>
                    <w:pStyle w:val="Compact"/>
                    <w:jc w:val="both"/>
                    <w:jc w:val="center"/>
                    <w:spacing w:line="360" w:lineRule="auto"/>
                  </w:pPr>
                  <w:r>
                    <w:t xml:space="preserve">KernelSHAP domina el coste en SVM y MLP</w:t>
                  </w:r>
                </w:p>
              </w:tc>
            </w:tr>
            <w:tr>
              <w:tc>
                <w:tcPr/>
                <w:p>
                  <w:pPr>
                    <w:pStyle w:val="Compact"/>
                    <w:jc w:val="both"/>
                    <w:jc w:val="center"/>
                    <w:spacing w:line="360" w:lineRule="auto"/>
                  </w:pPr>
                  <w:r>
                    <w:t xml:space="preserve">LIME</w:t>
                  </w:r>
                </w:p>
              </w:tc>
              <w:tc>
                <w:tcPr/>
                <w:p>
                  <w:pPr>
                    <w:pStyle w:val="Compact"/>
                    <w:jc w:val="both"/>
                    <w:jc w:val="center"/>
                    <w:spacing w:line="360" w:lineRule="auto"/>
                  </w:pPr>
                  <w:r>
                    <w:rPr>
                      <w:rStyle w:val="VerbatimChar"/>
                    </w:rPr>
                    <w:t xml:space="preserve">num_samples = 1000</w:t>
                  </w:r>
                  <w:r>
                    <w:t xml:space="preserve">,</w:t>
                  </w:r>
                  <w:r>
                    <w:t xml:space="preserve"> </w:t>
                  </w:r>
                  <w:r>
                    <w:rPr>
                      <w:rStyle w:val="VerbatimChar"/>
                    </w:rPr>
                    <w:t xml:space="preserve">num_features = 10</w:t>
                  </w:r>
                  <w:r>
                    <w:t xml:space="preserve">,</w:t>
                  </w:r>
                  <w:r>
                    <w:t xml:space="preserve"> </w:t>
                  </w:r>
                  <w:r>
                    <w:rPr>
                      <w:rStyle w:val="VerbatimChar"/>
                    </w:rPr>
                    <w:t xml:space="preserve">kernel_width = 3.0</w:t>
                  </w:r>
                  <w:r>
                    <w:t xml:space="preserve">, sin discretización numérica</w:t>
                  </w:r>
                </w:p>
              </w:tc>
              <w:tc>
                <w:tcPr/>
                <w:p>
                  <w:pPr>
                    <w:pStyle w:val="Compact"/>
                    <w:jc w:val="both"/>
                    <w:jc w:val="center"/>
                    <w:spacing w:line="360" w:lineRule="auto"/>
                  </w:pPr>
                  <w:r>
                    <w:rPr>
                      <w:rStyle w:val="VerbatimChar"/>
                    </w:rPr>
                    <w:t xml:space="preserve">src/xai/lime_tabular.py</w:t>
                  </w:r>
                </w:p>
              </w:tc>
              <w:tc>
                <w:tcPr/>
                <w:p>
                  <w:pPr>
                    <w:pStyle w:val="Compact"/>
                    <w:jc w:val="both"/>
                    <w:jc w:val="center"/>
                    <w:spacing w:line="360" w:lineRule="auto"/>
                  </w:pPr>
                  <w:r>
                    <w:t xml:space="preserve">Sensible al muestreo local</w:t>
                  </w:r>
                </w:p>
              </w:tc>
            </w:tr>
            <w:tr>
              <w:tc>
                <w:tcPr/>
                <w:p>
                  <w:pPr>
                    <w:pStyle w:val="Compact"/>
                    <w:jc w:val="both"/>
                    <w:jc w:val="center"/>
                    <w:spacing w:line="360" w:lineRule="auto"/>
                  </w:pPr>
                  <w:r>
                    <w:t xml:space="preserve">Anchors</w:t>
                  </w:r>
                </w:p>
              </w:tc>
              <w:tc>
                <w:tcPr/>
                <w:p>
                  <w:pPr>
                    <w:pStyle w:val="Compact"/>
                    <w:jc w:val="both"/>
                    <w:jc w:val="center"/>
                    <w:spacing w:line="360" w:lineRule="auto"/>
                  </w:pPr>
                  <w:r>
                    <w:rPr>
                      <w:rStyle w:val="VerbatimChar"/>
                    </w:rPr>
                    <w:t xml:space="preserve">AnchorTabular</w:t>
                  </w:r>
                  <w:r>
                    <w:t xml:space="preserve">, umbral efectivo</w:t>
                  </w:r>
                  <w:r>
                    <w:t xml:space="preserve"> </w:t>
                  </w:r>
                  <ns5:oMath>
                    <ns5:r>
                      <ns5:t>τ</ns5:t>
                    </ns5:r>
                    <ns5:r>
                      <ns5:rPr>
                        <ns5:sty ns5:val="p"/>
                      </ns5:rPr>
                      <ns5:t>=</ns5:t>
                    </ns5:r>
                    <ns5:r>
                      <ns5:t>0.95</ns5:t>
                    </ns5:r>
                  </ns5:oMath>
                </w:p>
              </w:tc>
              <w:tc>
                <w:tcPr/>
                <w:p>
                  <w:pPr>
                    <w:pStyle w:val="Compact"/>
                    <w:jc w:val="both"/>
                    <w:jc w:val="center"/>
                    <w:spacing w:line="360" w:lineRule="auto"/>
                  </w:pPr>
                  <w:r>
                    <w:rPr>
                      <w:rStyle w:val="VerbatimChar"/>
                    </w:rPr>
                    <w:t xml:space="preserve">src/xai/anchors_wrapper.py</w:t>
                  </w:r>
                </w:p>
              </w:tc>
              <w:tc>
                <w:tcPr/>
                <w:p>
                  <w:pPr>
                    <w:pStyle w:val="Compact"/>
                    <w:jc w:val="both"/>
                    <w:jc w:val="center"/>
                    <w:spacing w:line="360" w:lineRule="auto"/>
                  </w:pPr>
                  <w:r>
                    <w:t xml:space="preserve">Algunos parámetros YAML no son consumidos en runtime</w:t>
                  </w:r>
                </w:p>
              </w:tc>
            </w:tr>
            <w:tr>
              <w:tc>
                <w:tcPr/>
                <w:p>
                  <w:pPr>
                    <w:pStyle w:val="Compact"/>
                    <w:jc w:val="both"/>
                    <w:jc w:val="center"/>
                    <w:spacing w:line="360" w:lineRule="auto"/>
                  </w:pPr>
                  <w:r>
                    <w:t xml:space="preserve">DiCE</w:t>
                  </w:r>
                </w:p>
              </w:tc>
              <w:tc>
                <w:tcPr/>
                <w:p>
                  <w:pPr>
                    <w:pStyle w:val="Compact"/>
                    <w:jc w:val="both"/>
                    <w:jc w:val="center"/>
                    <w:spacing w:line="360" w:lineRule="auto"/>
                  </w:pPr>
                  <w:r>
                    <w:t xml:space="preserve">Backend aleatorio, clase opuesta,</w:t>
                  </w:r>
                  <w:r>
                    <w:t xml:space="preserve"> </w:t>
                  </w:r>
                  <w:r>
                    <w:rPr>
                      <w:rStyle w:val="VerbatimChar"/>
                    </w:rPr>
                    <w:t xml:space="preserve">total_CFs = 1</w:t>
                  </w:r>
                  <w:r>
                    <w:t xml:space="preserve"> </w:t>
                  </w:r>
                  <w:r>
                    <w:t xml:space="preserve">efectivo</w:t>
                  </w:r>
                </w:p>
              </w:tc>
              <w:tc>
                <w:tcPr/>
                <w:p>
                  <w:pPr>
                    <w:pStyle w:val="Compact"/>
                    <w:jc w:val="both"/>
                    <w:jc w:val="center"/>
                    <w:spacing w:line="360" w:lineRule="auto"/>
                  </w:pPr>
                  <w:r>
                    <w:rPr>
                      <w:rStyle w:val="VerbatimChar"/>
                    </w:rPr>
                    <w:t xml:space="preserve">src/xai/dice_wrapper.py</w:t>
                  </w:r>
                </w:p>
              </w:tc>
              <w:tc>
                <w:tcPr/>
                <w:p>
                  <w:pPr>
                    <w:pStyle w:val="Compact"/>
                    <w:jc w:val="both"/>
                    <w:jc w:val="center"/>
                    <w:spacing w:line="360" w:lineRule="auto"/>
                  </w:pPr>
                  <w:r>
                    <w:t xml:space="preserve">La importancia se deriva de</w:t>
                  </w:r>
                  <w:r>
                    <w:t xml:space="preserve"> </w:t>
                  </w:r>
                  <ns5:oMath>
                    <ns5:r>
                      <ns5:rPr>
                        <ns5:sty ns5:val="p"/>
                      </ns5:rPr>
                      <ns5:t>|</ns5:t>
                    </ns5:r>
                    <ns5:sSub>
                      <ns5:e>
                        <ns5:r>
                          <ns5:t>x</ns5:t>
                        </ns5:r>
                      </ns5:e>
                      <ns5:sub>
                        <ns5:r>
                          <ns5:t>i</ns5:t>
                        </ns5:r>
                      </ns5:sub>
                    </ns5:sSub>
                    <ns5:r>
                      <ns5:rPr>
                        <ns5:sty ns5:val="p"/>
                      </ns5:rPr>
                      <ns5:t>−</ns5:t>
                    </ns5:r>
                    <ns5:sSubSup>
                      <ns5:e>
                        <ns5:r>
                          <ns5:t>x</ns5:t>
                        </ns5:r>
                      </ns5:e>
                      <ns5:sub>
                        <ns5:r>
                          <ns5:t>i</ns5:t>
                        </ns5:r>
                      </ns5:sub>
                      <ns5:sup>
                        <ns5:r>
                          <ns5:rPr>
                            <ns5:sty ns5:val="p"/>
                          </ns5:rPr>
                          <ns5:t>′</ns5:t>
                        </ns5:r>
                      </ns5:sup>
                    </ns5:sSubSup>
                    <ns5:r>
                      <ns5:rPr>
                        <ns5:sty ns5:val="p"/>
                      </ns5:rPr>
                      <ns5:t>|</ns5:t>
                    </ns5:r>
                  </ns5:oMath>
                </w:p>
              </w:tc>
            </w:tr>
          </w:tbl>
          <w:bookmarkEnd w:id="585"/>
          <w:p>
            <w:pPr>
              <w:spacing w:line="360" w:lineRule="auto"/>
              <w:jc w:val="both"/>
            </w:pPr>
          </w:p>
        </w:tc>
      </w:tr>
    </w:tbl>
    <w:p>
      <w:pPr>
        <w:pStyle w:val="Textoindependiente"/>
        <w:spacing w:line="360" w:lineRule="auto"/>
        <w:jc w:val="both"/>
      </w:pPr>
      <w:r>
        <w:t xml:space="preserve">El tiempo de ejecución y las importancias se registran mediante</w:t>
      </w:r>
      <w:r>
        <w:t xml:space="preserve"> </w:t>
      </w:r>
      <w:r>
        <w:rPr>
          <w:rStyle w:val="VerbatimChar"/>
        </w:rPr>
        <w:t xml:space="preserve">ExplainerWrapper.explain_instance</w:t>
      </w:r>
      <w:r>
        <w:t xml:space="preserve">, con restricciones de recursos controladas</w:t>
      </w:r>
      <w:r>
        <w:t xml:space="preserve"> </w:t>
      </w:r>
      <w:r>
        <w:t xml:space="preserve">por</w:t>
      </w:r>
      <w:r>
        <w:t xml:space="preserve"> </w:t>
      </w:r>
      <w:r>
        <w:rPr>
          <w:rStyle w:val="VerbatimChar"/>
        </w:rPr>
        <w:t xml:space="preserve">src/utils/resource_control.py</w:t>
      </w:r>
      <w:r>
        <w:t xml:space="preserve">.</w:t>
      </w:r>
    </w:p>
    <w:bookmarkStart w:id="590" w:name="X19223749bd91808c35bfde79d8d5a77d7c56c01"/>
    <w:p>
      <w:pPr>
        <w:pStyle w:val="Ttulo3"/>
        <w:spacing w:line="360" w:lineRule="auto"/>
        <w:jc w:val="both"/>
      </w:pPr>
      <w:r>
        <w:t xml:space="preserve">C.1 Análisis exploratorio de sensibilidad a hiperparámetros</w:t>
      </w:r>
    </w:p>
    <w:p>
      <w:pPr>
        <w:pStyle w:val="FirstParagraph"/>
        <w:spacing w:line="360" w:lineRule="auto"/>
        <w:jc w:val="both"/>
      </w:pPr>
      <w:r>
        <w:t xml:space="preserve">Este análisis evalúa en qué medida los resultados principales son robustos a</w:t>
      </w:r>
      <w:r>
        <w:t xml:space="preserve"> </w:t>
      </w:r>
      <w:r>
        <w:t xml:space="preserve">variaciones en los hiperparámetros de configuración de cada explicador. No forma</w:t>
      </w:r>
      <w:r>
        <w:t xml:space="preserve"> </w:t>
      </w:r>
      <w:r>
        <w:t xml:space="preserve">parte de las hipótesis confirmativas H1-H3; su función es delimitar el alcance</w:t>
      </w:r>
      <w:r>
        <w:t xml:space="preserve"> </w:t>
      </w:r>
      <w:r>
        <w:t xml:space="preserve">de los resultados y orientar configuraciones futuras. El análisis opera sobre el</w:t>
      </w:r>
      <w:r>
        <w:t xml:space="preserve"> </w:t>
      </w:r>
      <w:r>
        <w:t xml:space="preserve">modelo RF con semilla 42 y</w:t>
      </w:r>
      <w:r>
        <w:t xml:space="preserve"> </w:t>
      </w:r>
      <ns5:oMath>
        <ns5:r>
          <ns5:t>N</ns5:t>
        </ns5:r>
        <ns5:r>
          <ns5:rPr>
            <ns5:sty ns5:val="p"/>
          </ns5:rPr>
          <ns5:t>=</ns5:t>
        </ns5:r>
        <ns5:r>
          <ns5:t>100</ns5:t>
        </ns5:r>
      </ns5:oMath>
      <w:r>
        <w:t xml:space="preserve"> </w:t>
      </w:r>
      <w:r>
        <w:t xml:space="preserve">como condición de referencia.</w:t>
      </w:r>
    </w:p>
    <w:p>
      <w:pPr>
        <w:pStyle w:val="Textoindependiente"/>
        <w:spacing w:line="360" w:lineRule="auto"/>
        <w:jc w:val="both"/>
      </w:pPr>
      <w:r>
        <w:rPr>
          <w:b/>
          <w:bCs/>
        </w:rPr>
        <w:t xml:space="preserve">LIME — sensibilidad a</w:t>
      </w:r>
      <w:r>
        <w:rPr>
          <w:b/>
          <w:bCs/>
        </w:rPr>
        <w:t xml:space="preserve"> </w:t>
      </w:r>
      <w:r>
        <w:rPr>
          <w:rStyle w:val="VerbatimChar"/>
          <w:b/>
          <w:bCs/>
        </w:rPr>
        <w:t xml:space="preserve">num_samples</w:t>
      </w:r>
      <w:r>
        <w:rPr>
          <w:b/>
          <w:bCs/>
        </w:rPr>
        <w:t xml:space="preserve">.</w:t>
      </w:r>
      <w:r>
        <w:t xml:space="preserve"> </w:t>
      </w:r>
      <w:r>
        <w:t xml:space="preserve">Se varía el número de muestras de</w:t>
      </w:r>
      <w:r>
        <w:t xml:space="preserve"> </w:t>
      </w:r>
      <w:r>
        <w:t xml:space="preserve">perturbación local (</w:t>
      </w:r>
      <ns5:oMath>
        <ns5:r>
          <ns5:rPr>
            <ns5:sty ns5:val="p"/>
          </ns5:rPr>
          <ns5:t>{</ns5:t>
        </ns5:r>
        <ns5:r>
          <ns5:t>500</ns5:t>
        </ns5:r>
        <ns5:r>
          <ns5:rPr>
            <ns5:sty ns5:val="p"/>
          </ns5:rPr>
          <ns5:t>,</ns5:t>
        </ns5:r>
        <ns5:r>
          <ns5:t>1000</ns5:t>
        </ns5:r>
        <ns5:r>
          <ns5:rPr>
            <ns5:sty ns5:val="p"/>
          </ns5:rPr>
          <ns5:t>,</ns5:t>
        </ns5:r>
        <ns5:r>
          <ns5:t>2000</ns5:t>
        </ns5:r>
        <ns5:r>
          <ns5:rPr>
            <ns5:sty ns5:val="p"/>
          </ns5:rPr>
          <ns5:t>}</ns5:t>
        </ns5:r>
      </ns5:oMath>
      <w:r>
        <w:t xml:space="preserve">) manteniendo</w:t>
      </w:r>
      <w:r>
        <w:t xml:space="preserve"> </w:t>
      </w:r>
      <w:r>
        <w:rPr>
          <w:rStyle w:val="VerbatimChar"/>
        </w:rPr>
        <w:t xml:space="preserve">kernel_width = 3.0</w:t>
      </w:r>
      <w:r>
        <w:t xml:space="preserve"> </w:t>
      </w:r>
      <w:r>
        <w:t xml:space="preserve">y</w:t>
      </w:r>
      <w:r>
        <w:t xml:space="preserve"> </w:t>
      </w:r>
      <w:r>
        <w:rPr>
          <w:rStyle w:val="VerbatimChar"/>
        </w:rPr>
        <w:t xml:space="preserve">num_features = 10</w:t>
      </w:r>
      <w:r>
        <w:t xml:space="preserve"> </w:t>
      </w:r>
      <w:r>
        <w:t xml:space="preserve">constantes (</w:t>
      </w:r>
      <w:hyperlink w:anchor="tbl-appendix-lime-sensitivity">
        <w:r>
          <w:rPr>
            <w:rStyle w:val="Hipervnculo"/>
          </w:rPr>
          <w:t xml:space="preserve">Tabla 7.8</w:t>
        </w:r>
      </w:hyperlink>
      <w:r>
        <w:t xml:space="preserve">).</w:t>
      </w:r>
    </w:p>
    <w:tbl>
      <w:tblPr>
        <w:tblStyle w:val="Table"/>
        <w:tblW w:type="pct" w:w="5000"/>
        <w:jc w:val="center"/>
        <w:tblLayout w:type="fixed"/>
        <w:tblLook w:firstRow="0" w:lastRow="0" w:firstColumn="0" w:lastColumn="0" w:noHBand="0" w:noVBand="0" w:val="0000"/>
      </w:tblPr>
      <w:tblGrid>
        <w:gridCol w:w="7920"/>
      </w:tblGrid>
      <w:tr>
        <w:tc>
          <w:tcPr/>
          <w:bookmarkStart w:id="586" w:name="tbl-appendix-lime-sensitivity"/>
          <w:p>
            <w:pPr>
              <w:pStyle w:val="ImageCaption"/>
              <w:spacing w:before="200" w:line="360" w:lineRule="auto"/>
              <w:jc w:val="center"/>
            </w:pPr>
            <w:r>
              <w:t xml:space="preserve">Tabla 7.8: Sensibilidad de LIME a</w:t>
            </w:r>
            <w:r>
              <w:t xml:space="preserve"> </w:t>
            </w:r>
            <w:r>
              <w:rPr>
                <w:rStyle w:val="VerbatimChar"/>
              </w:rPr>
              <w:t xml:space="preserve">num_samples</w:t>
            </w:r>
            <w:r>
              <w:t xml:space="preserve"> </w:t>
            </w:r>
            <w:r>
              <w:t xml:space="preserve">(RF, semilla 42,</w:t>
            </w:r>
            <w:r>
              <w:t xml:space="preserve"> </w:t>
            </w:r>
            <ns5:oMath>
              <ns5:r>
                <ns5:t>N</ns5:t>
              </ns5:r>
              <ns5:r>
                <ns5:rPr>
                  <ns5:sty ns5:val="p"/>
                </ns5:rPr>
                <ns5:t>=</ns5:t>
              </ns5:r>
              <ns5:r>
                <ns5:t>100</ns5:t>
              </ns5:r>
            </ns5:oMath>
            <w:r>
              <w:t xml:space="preserve">). Medición</w:t>
            </w:r>
            <w:r>
              <w:t xml:space="preserve"> </w:t>
            </w:r>
            <w:r>
              <w:t xml:space="preserve">exploratoria histórica: sus valores no han podido re-derivarse bajo el entorno</w:t>
            </w:r>
            <w:r>
              <w:t xml:space="preserve"> </w:t>
            </w:r>
            <w:r>
              <w:t xml:space="preserve">actual (véase la nota de procedencia siguiente).</w:t>
            </w:r>
          </w:p>
          <w:tbl>
            <w:tblPr>
              <w:tblStyle w:val="Table"/>
              <w:tblW w:type="pct" w:w="500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both"/>
                    <w:jc w:val="center"/>
                    <w:spacing w:line="360" w:lineRule="auto"/>
                  </w:pPr>
                  <w:r>
                    <w:rPr>
                      <w:bCs/>
                      <w:b/>
                      <w:rStyle w:val="VerbatimChar"/>
                    </w:rPr>
                    <w:t xml:space="preserve">num_samples</w:t>
                  </w:r>
                </w:p>
              </w:tc>
              <w:tc>
                <w:tcPr/>
                <w:p>
                  <w:pPr>
                    <w:pStyle w:val="Compact"/>
                    <w:jc w:val="both"/>
                    <w:jc w:val="center"/>
                    <w:spacing w:line="360" w:lineRule="auto"/>
                  </w:pPr>
                  <w:r>
                    <w:rPr>
                      <w:bCs/>
                      <w:b/>
                    </w:rPr>
                    <w:t xml:space="preserve">Fidelidad (media)</w:t>
                  </w:r>
                </w:p>
              </w:tc>
              <w:tc>
                <w:tcPr/>
                <w:p>
                  <w:pPr>
                    <w:pStyle w:val="Compact"/>
                    <w:jc w:val="both"/>
                    <w:jc w:val="center"/>
                    <w:spacing w:line="360" w:lineRule="auto"/>
                  </w:pPr>
                  <w:r>
                    <w:rPr>
                      <w:bCs/>
                      <w:b/>
                    </w:rPr>
                    <w:t xml:space="preserve">Estabilidad (media)</w:t>
                  </w:r>
                </w:p>
              </w:tc>
              <w:tc>
                <w:tcPr/>
                <w:p>
                  <w:pPr>
                    <w:pStyle w:val="Compact"/>
                    <w:jc w:val="both"/>
                    <w:jc w:val="center"/>
                    <w:spacing w:line="360" w:lineRule="auto"/>
                  </w:pPr>
                  <w:r>
                    <w:rPr>
                      <w:bCs/>
                      <w:b/>
                    </w:rPr>
                    <w:t xml:space="preserve">Coste (ms)</w:t>
                  </w:r>
                </w:p>
              </w:tc>
              <w:tc>
                <w:tcPr/>
                <w:p>
                  <w:pPr>
                    <w:pStyle w:val="Compact"/>
                    <w:jc w:val="both"/>
                    <w:jc w:val="center"/>
                    <w:spacing w:line="360" w:lineRule="auto"/>
                  </w:pPr>
                  <w:r>
                    <w:rPr>
                      <w:bCs/>
                      <w:b/>
                    </w:rPr>
                    <w:t xml:space="preserve">Parsimonia</w:t>
                  </w:r>
                </w:p>
              </w:tc>
            </w:tr>
            <w:tr>
              <w:tc>
                <w:tcPr/>
                <w:p>
                  <w:pPr>
                    <w:pStyle w:val="Compact"/>
                    <w:jc w:val="both"/>
                    <w:jc w:val="center"/>
                    <w:spacing w:line="360" w:lineRule="auto"/>
                  </w:pPr>
                  <w:r>
                    <w:t xml:space="preserve">500</w:t>
                  </w:r>
                </w:p>
              </w:tc>
              <w:tc>
                <w:tcPr/>
                <w:p>
                  <w:pPr>
                    <w:pStyle w:val="Compact"/>
                    <w:jc w:val="both"/>
                    <w:jc w:val="center"/>
                    <w:spacing w:line="360" w:lineRule="auto"/>
                  </w:pPr>
                  <w:r>
                    <w:t xml:space="preserve">0.452</w:t>
                  </w:r>
                </w:p>
              </w:tc>
              <w:tc>
                <w:tcPr/>
                <w:p>
                  <w:pPr>
                    <w:pStyle w:val="Compact"/>
                    <w:jc w:val="both"/>
                    <w:jc w:val="center"/>
                    <w:spacing w:line="360" w:lineRule="auto"/>
                  </w:pPr>
                  <w:r>
                    <w:t xml:space="preserve">0.011</w:t>
                  </w:r>
                </w:p>
              </w:tc>
              <w:tc>
                <w:tcPr/>
                <w:p>
                  <w:pPr>
                    <w:pStyle w:val="Compact"/>
                    <w:jc w:val="both"/>
                    <w:jc w:val="center"/>
                    <w:spacing w:line="360" w:lineRule="auto"/>
                  </w:pPr>
                  <w:r>
                    <w:t xml:space="preserve">114</w:t>
                  </w:r>
                </w:p>
              </w:tc>
              <w:tc>
                <w:tcPr/>
                <w:p>
                  <w:pPr>
                    <w:pStyle w:val="Compact"/>
                    <w:jc w:val="both"/>
                    <w:jc w:val="center"/>
                    <w:spacing w:line="360" w:lineRule="auto"/>
                  </w:pPr>
                  <w:r>
                    <w:t xml:space="preserve">0.085</w:t>
                  </w:r>
                </w:p>
              </w:tc>
            </w:tr>
            <w:tr>
              <w:tc>
                <w:tcPr/>
                <w:p>
                  <w:pPr>
                    <w:pStyle w:val="Compact"/>
                    <w:jc w:val="both"/>
                    <w:jc w:val="center"/>
                    <w:spacing w:line="360" w:lineRule="auto"/>
                  </w:pPr>
                  <w:r>
                    <w:t xml:space="preserve">1000 (referencia)</w:t>
                  </w:r>
                </w:p>
              </w:tc>
              <w:tc>
                <w:tcPr/>
                <w:p>
                  <w:pPr>
                    <w:pStyle w:val="Compact"/>
                    <w:jc w:val="both"/>
                    <w:jc w:val="center"/>
                    <w:spacing w:line="360" w:lineRule="auto"/>
                  </w:pPr>
                  <w:r>
                    <w:t xml:space="preserve">0.461</w:t>
                  </w:r>
                </w:p>
              </w:tc>
              <w:tc>
                <w:tcPr/>
                <w:p>
                  <w:pPr>
                    <w:pStyle w:val="Compact"/>
                    <w:jc w:val="both"/>
                    <w:jc w:val="center"/>
                    <w:spacing w:line="360" w:lineRule="auto"/>
                  </w:pPr>
                  <w:r>
                    <w:t xml:space="preserve">0.014</w:t>
                  </w:r>
                </w:p>
              </w:tc>
              <w:tc>
                <w:tcPr/>
                <w:p>
                  <w:pPr>
                    <w:pStyle w:val="Compact"/>
                    <w:jc w:val="both"/>
                    <w:jc w:val="center"/>
                    <w:spacing w:line="360" w:lineRule="auto"/>
                  </w:pPr>
                  <w:r>
                    <w:t xml:space="preserve">226</w:t>
                  </w:r>
                </w:p>
              </w:tc>
              <w:tc>
                <w:tcPr/>
                <w:p>
                  <w:pPr>
                    <w:pStyle w:val="Compact"/>
                    <w:jc w:val="both"/>
                    <w:jc w:val="center"/>
                    <w:spacing w:line="360" w:lineRule="auto"/>
                  </w:pPr>
                  <w:r>
                    <w:t xml:space="preserve">0.085</w:t>
                  </w:r>
                </w:p>
              </w:tc>
            </w:tr>
            <w:tr>
              <w:tc>
                <w:tcPr/>
                <w:p>
                  <w:pPr>
                    <w:pStyle w:val="Compact"/>
                    <w:jc w:val="both"/>
                    <w:jc w:val="center"/>
                    <w:spacing w:line="360" w:lineRule="auto"/>
                  </w:pPr>
                  <w:r>
                    <w:t xml:space="preserve">2000</w:t>
                  </w:r>
                </w:p>
              </w:tc>
              <w:tc>
                <w:tcPr/>
                <w:p>
                  <w:pPr>
                    <w:pStyle w:val="Compact"/>
                    <w:jc w:val="both"/>
                    <w:jc w:val="center"/>
                    <w:spacing w:line="360" w:lineRule="auto"/>
                  </w:pPr>
                  <w:r>
                    <w:t xml:space="preserve">0.459</w:t>
                  </w:r>
                </w:p>
              </w:tc>
              <w:tc>
                <w:tcPr/>
                <w:p>
                  <w:pPr>
                    <w:pStyle w:val="Compact"/>
                    <w:jc w:val="both"/>
                    <w:jc w:val="center"/>
                    <w:spacing w:line="360" w:lineRule="auto"/>
                  </w:pPr>
                  <w:r>
                    <w:t xml:space="preserve">0.016</w:t>
                  </w:r>
                </w:p>
              </w:tc>
              <w:tc>
                <w:tcPr/>
                <w:p>
                  <w:pPr>
                    <w:pStyle w:val="Compact"/>
                    <w:jc w:val="both"/>
                    <w:jc w:val="center"/>
                    <w:spacing w:line="360" w:lineRule="auto"/>
                  </w:pPr>
                  <w:r>
                    <w:t xml:space="preserve">451</w:t>
                  </w:r>
                </w:p>
              </w:tc>
              <w:tc>
                <w:tcPr/>
                <w:p>
                  <w:pPr>
                    <w:pStyle w:val="Compact"/>
                    <w:jc w:val="both"/>
                    <w:jc w:val="center"/>
                    <w:spacing w:line="360" w:lineRule="auto"/>
                  </w:pPr>
                  <w:r>
                    <w:t xml:space="preserve">0.085</w:t>
                  </w:r>
                </w:p>
              </w:tc>
            </w:tr>
          </w:tbl>
          <w:bookmarkEnd w:id="586"/>
          <w:p>
            <w:pPr>
              <w:spacing w:line="360" w:lineRule="auto"/>
              <w:jc w:val="both"/>
            </w:pPr>
          </w:p>
        </w:tc>
      </w:tr>
    </w:tbl>
    <w:p>
      <w:pPr>
        <w:pStyle w:val="Textoindependiente"/>
        <w:spacing w:line="360" w:lineRule="auto"/>
        <w:jc w:val="both"/>
      </w:pPr>
      <w:r>
        <w:t xml:space="preserve">La fidelidad de LIME es insensible a</w:t>
      </w:r>
      <w:r>
        <w:t xml:space="preserve"> </w:t>
      </w:r>
      <w:r>
        <w:rPr>
          <w:rStyle w:val="VerbatimChar"/>
        </w:rPr>
        <w:t xml:space="preserve">num_samples</w:t>
      </w:r>
      <w:r>
        <w:t xml:space="preserve"> </w:t>
      </w:r>
      <w:r>
        <w:t xml:space="preserve">(variación &lt; 2%);</w:t>
      </w:r>
      <w:r>
        <w:t xml:space="preserve"> </w:t>
      </w:r>
      <w:r>
        <w:t xml:space="preserve">la estabilidad permanece cercana a cero en todos los niveles. El coste escala</w:t>
      </w:r>
      <w:r>
        <w:t xml:space="preserve"> </w:t>
      </w:r>
      <w:r>
        <w:t xml:space="preserve">aproximadamente de forma lineal. Este resultado indica que la inestabilidad</w:t>
      </w:r>
      <w:r>
        <w:t xml:space="preserve"> </w:t>
      </w:r>
      <w:r>
        <w:t xml:space="preserve">de LIME no se resuelve aumentando el número de muestras, sino que</w:t>
      </w:r>
      <w:r>
        <w:t xml:space="preserve"> </w:t>
      </w:r>
      <w:r>
        <w:t xml:space="preserve">es inherente a la variabilidad del proceso de muestreo local.</w:t>
      </w:r>
    </w:p>
    <w:p>
      <w:pPr>
        <w:pStyle w:val="Textoindependiente"/>
        <w:spacing w:line="360" w:lineRule="auto"/>
        <w:jc w:val="both"/>
      </w:pPr>
      <w:r>
        <w:rPr>
          <w:i/>
          <w:iCs/>
        </w:rPr>
        <w:t xml:space="preserve">Nota de procedencia y alcance.</w:t>
      </w:r>
      <w:r>
        <w:t xml:space="preserve"> </w:t>
      </w:r>
      <w:r>
        <w:t xml:space="preserve">Esta sonda es una medición exploratoria</w:t>
      </w:r>
      <w:r>
        <w:t xml:space="preserve"> </w:t>
      </w:r>
      <w:r>
        <w:t xml:space="preserve">anterior cuyo artefacto de salida no se conserva en el repositorio, a diferencia</w:t>
      </w:r>
      <w:r>
        <w:t xml:space="preserve"> </w:t>
      </w:r>
      <w:r>
        <w:t xml:space="preserve">de la sonda de</w:t>
      </w:r>
      <w:r>
        <w:t xml:space="preserve"> </w:t>
      </w:r>
      <w:r>
        <w:rPr>
          <w:rStyle w:val="VerbatimChar"/>
        </w:rPr>
        <w:t xml:space="preserve">kernel_width</w:t>
      </w:r>
      <w:r>
        <w:t xml:space="preserve"> </w:t>
      </w:r>
      <w:r>
        <w:t xml:space="preserve">(</w:t>
      </w:r>
      <w:hyperlink w:anchor="tbl-appendix-lime-kw-sensitivity">
        <w:r>
          <w:rPr>
            <w:rStyle w:val="Hipervnculo"/>
          </w:rPr>
          <w:t xml:space="preserve">Tabla 7.11</w:t>
        </w:r>
      </w:hyperlink>
      <w:r>
        <w:t xml:space="preserve">), que se</w:t>
      </w:r>
      <w:r>
        <w:t xml:space="preserve"> </w:t>
      </w:r>
      <w:r>
        <w:t xml:space="preserve">re-deriva de</w:t>
      </w:r>
      <w:r>
        <w:t xml:space="preserve"> </w:t>
      </w:r>
      <w:r>
        <w:rPr>
          <w:rStyle w:val="VerbatimChar"/>
        </w:rPr>
        <w:t xml:space="preserve">outputs/analysis/lime_kernel_width_sensitivity.csv</w:t>
      </w:r>
      <w:r>
        <w:t xml:space="preserve">. Ambas tablas</w:t>
      </w:r>
      <w:r>
        <w:t xml:space="preserve"> </w:t>
      </w:r>
      <w:r>
        <w:t xml:space="preserve">declaran la misma condición de referencia (RF, semilla 42,</w:t>
      </w:r>
      <w:r>
        <w:t xml:space="preserve"> </w:t>
      </w:r>
      <ns5:oMath>
        <ns5:r>
          <ns5:t>N</ns5:t>
        </ns5:r>
        <ns5:r>
          <ns5:rPr>
            <ns5:sty ns5:val="p"/>
          </ns5:rPr>
          <ns5:t>=</ns5:t>
        </ns5:r>
        <ns5:r>
          <ns5:t>100</ns5:t>
        </ns5:r>
      </ns5:oMath>
      <w:r>
        <w:t xml:space="preserve">,</w:t>
      </w:r>
      <w:r>
        <w:t xml:space="preserve"> </w:t>
      </w:r>
      <w:r>
        <w:rPr>
          <w:rStyle w:val="VerbatimChar"/>
        </w:rPr>
        <w:t xml:space="preserve">num_samples = 1000</w:t>
      </w:r>
      <w:r>
        <w:t xml:space="preserve">,</w:t>
      </w:r>
      <w:r>
        <w:t xml:space="preserve"> </w:t>
      </w:r>
      <w:r>
        <w:rPr>
          <w:rStyle w:val="VerbatimChar"/>
        </w:rPr>
        <w:t xml:space="preserve">kernel_width = 3.0</w:t>
      </w:r>
      <w:r>
        <w:t xml:space="preserve">) pero reportan valores distintos para</w:t>
      </w:r>
      <w:r>
        <w:t xml:space="preserve"> </w:t>
      </w:r>
      <w:r>
        <w:t xml:space="preserve">ella —fidelidad 0.461 frente a 0.518, estabilidad 0.014 frente a 0.000, coste</w:t>
      </w:r>
      <w:r>
        <w:t xml:space="preserve"> </w:t>
      </w:r>
      <w:r>
        <w:t xml:space="preserve">226 ms frente a 30 ms—, lo que indica que fueron ejecutadas con instrumentaciones</w:t>
      </w:r>
      <w:r>
        <w:t xml:space="preserve"> </w:t>
      </w:r>
      <w:r>
        <w:t xml:space="preserve">distintas: el coste de ambas queda además por debajo del rango observado para</w:t>
      </w:r>
      <w:r>
        <w:t xml:space="preserve"> </w:t>
      </w:r>
      <w:r>
        <w:t xml:space="preserve">LIME sobre RF en EXP2 (300–919 ms por ejecución), de modo que ninguna de las dos</w:t>
      </w:r>
      <w:r>
        <w:t xml:space="preserve"> </w:t>
      </w:r>
      <w:r>
        <w:t xml:space="preserve">mide una ejecución completa del protocolo EXP2. Las dos sondas se reportan aquí</w:t>
      </w:r>
      <w:r>
        <w:t xml:space="preserve"> </w:t>
      </w:r>
      <w:r>
        <w:t xml:space="preserve">por su valor cualitativo —la dirección del efecto de</w:t>
      </w:r>
      <w:r>
        <w:t xml:space="preserve"> </w:t>
      </w:r>
      <w:r>
        <w:rPr>
          <w:rStyle w:val="VerbatimChar"/>
        </w:rPr>
        <w:t xml:space="preserve">num_samples</w:t>
      </w:r>
      <w:r>
        <w:t xml:space="preserve"> </w:t>
      </w:r>
      <w:r>
        <w:t xml:space="preserve">y de</w:t>
      </w:r>
      <w:r>
        <w:t xml:space="preserve"> </w:t>
      </w:r>
      <w:r>
        <w:rPr>
          <w:rStyle w:val="VerbatimChar"/>
        </w:rPr>
        <w:t xml:space="preserve">kernel_width</w:t>
      </w:r>
      <w:r>
        <w:t xml:space="preserve">— y no como estimaciones puntuales comparables entre sí ni con las</w:t>
      </w:r>
      <w:r>
        <w:t xml:space="preserve"> </w:t>
      </w:r>
      <w:r>
        <w:t xml:space="preserve">medias de EXP2. La conclusión que ambas sostienen conjuntamente, y que sí es</w:t>
      </w:r>
      <w:r>
        <w:t xml:space="preserve"> </w:t>
      </w:r>
      <w:r>
        <w:t xml:space="preserve">robusta a esta discrepancia, es direccional: aumentar</w:t>
      </w:r>
      <w:r>
        <w:t xml:space="preserve"> </w:t>
      </w:r>
      <w:r>
        <w:rPr>
          <w:rStyle w:val="VerbatimChar"/>
        </w:rPr>
        <w:t xml:space="preserve">num_samples</w:t>
      </w:r>
      <w:r>
        <w:t xml:space="preserve"> </w:t>
      </w:r>
      <w:r>
        <w:t xml:space="preserve">no recupera</w:t>
      </w:r>
      <w:r>
        <w:t xml:space="preserve"> </w:t>
      </w:r>
      <w:r>
        <w:t xml:space="preserve">estabilidad, mientras que ampliar</w:t>
      </w:r>
      <w:r>
        <w:t xml:space="preserve"> </w:t>
      </w:r>
      <w:r>
        <w:rPr>
          <w:rStyle w:val="VerbatimChar"/>
        </w:rPr>
        <w:t xml:space="preserve">kernel_width</w:t>
      </w:r>
      <w:r>
        <w:t xml:space="preserve"> </w:t>
      </w:r>
      <w:r>
        <w:t xml:space="preserve">sí lo hace a costa de fidelidad.</w:t>
      </w:r>
      <w:r>
        <w:t xml:space="preserve"> </w:t>
      </w:r>
      <w:r>
        <w:t xml:space="preserve">Re-ejecutar la sonda de</w:t>
      </w:r>
      <w:r>
        <w:t xml:space="preserve"> </w:t>
      </w:r>
      <w:r>
        <w:rPr>
          <w:rStyle w:val="VerbatimChar"/>
        </w:rPr>
        <w:t xml:space="preserve">num_samples</w:t>
      </w:r>
      <w:r>
        <w:t xml:space="preserve"> </w:t>
      </w:r>
      <w:r>
        <w:t xml:space="preserve">produciría una medición nueva y no una</w:t>
      </w:r>
      <w:r>
        <w:t xml:space="preserve"> </w:t>
      </w:r>
      <w:r>
        <w:t xml:space="preserve">reproducción de esta tabla, dado que el script de sensibilidad conservado</w:t>
      </w:r>
      <w:r>
        <w:t xml:space="preserve"> </w:t>
      </w:r>
      <w:r>
        <w:t xml:space="preserve">(</w:t>
      </w:r>
      <w:r>
        <w:rPr>
          <w:rStyle w:val="VerbatimChar"/>
        </w:rPr>
        <w:t xml:space="preserve">src/scripts/run_sensitivity_analysis.py</w:t>
      </w:r>
      <w:r>
        <w:t xml:space="preserve">) recorre una rejilla distinta</w:t>
      </w:r>
      <w:r>
        <w:t xml:space="preserve"> </w:t>
      </w:r>
      <w:r>
        <w:t xml:space="preserve">(</w:t>
      </w:r>
      <ns5:oMath>
        <ns5:r>
          <ns5:rPr>
            <ns5:sty ns5:val="p"/>
          </ns5:rPr>
          <ns5:t>{</ns5:t>
        </ns5:r>
        <ns5:r>
          <ns5:t>500</ns5:t>
        </ns5:r>
        <ns5:r>
          <ns5:rPr>
            <ns5:sty ns5:val="p"/>
          </ns5:rPr>
          <ns5:t>,</ns5:t>
        </ns5:r>
        <ns5:r>
          <ns5:t>1000</ns5:t>
        </ns5:r>
        <ns5:r>
          <ns5:rPr>
            <ns5:sty ns5:val="p"/>
          </ns5:rPr>
          <ns5:t>,</ns5:t>
        </ns5:r>
        <ns5:r>
          <ns5:t>2000</ns5:t>
        </ns5:r>
        <ns5:r>
          <ns5:rPr>
            <ns5:sty ns5:val="p"/>
          </ns5:rPr>
          <ns5:t>,</ns5:t>
        </ns5:r>
        <ns5:r>
          <ns5:t>5000</ns5:t>
        </ns5:r>
        <ns5:r>
          <ns5:rPr>
            <ns5:sty ns5:val="p"/>
          </ns5:rPr>
          <ns5:t>,</ns5:t>
        </ns5:r>
        <ns5:r>
          <ns5:t>10000</ns5:t>
        </ns5:r>
        <ns5:r>
          <ns5:rPr>
            <ns5:sty ns5:val="p"/>
          </ns5:rPr>
          <ns5:t>}</ns5:t>
        </ns5:r>
      </ns5:oMath>
      <w:r>
        <w:t xml:space="preserve">) sobre la configuración base de EXP1.</w:t>
      </w:r>
    </w:p>
    <w:p>
      <w:pPr>
        <w:pStyle w:val="Textoindependiente"/>
        <w:spacing w:line="360" w:lineRule="auto"/>
        <w:jc w:val="both"/>
      </w:pPr>
      <w:r>
        <w:rPr>
          <w:b/>
          <w:bCs/>
        </w:rPr>
        <w:t xml:space="preserve">SHAP — sensibilidad al tamaño del conjunto de referencia.</w:t>
      </w:r>
      <w:r>
        <w:t xml:space="preserve"> </w:t>
      </w:r>
      <w:r>
        <w:t xml:space="preserve">Se varía el</w:t>
      </w:r>
      <w:r>
        <w:t xml:space="preserve"> </w:t>
      </w:r>
      <w:r>
        <w:t xml:space="preserve">número de instancias de referencia del</w:t>
      </w:r>
      <w:r>
        <w:t xml:space="preserve"> </w:t>
      </w:r>
      <w:r>
        <w:rPr>
          <w:rStyle w:val="VerbatimChar"/>
        </w:rPr>
        <w:t xml:space="preserve">KernelExplainer</w:t>
      </w:r>
      <w:r>
        <w:t xml:space="preserve"> </w:t>
      </w:r>
      <w:r>
        <w:t xml:space="preserve">(</w:t>
      </w:r>
      <ns5:oMath>
        <ns5:r>
          <ns5:rPr>
            <ns5:sty ns5:val="p"/>
          </ns5:rPr>
          <ns5:t>{</ns5:t>
        </ns5:r>
        <ns5:r>
          <ns5:t>25</ns5:t>
        </ns5:r>
        <ns5:r>
          <ns5:rPr>
            <ns5:sty ns5:val="p"/>
          </ns5:rPr>
          <ns5:t>,</ns5:t>
        </ns5:r>
        <ns5:r>
          <ns5:t>50</ns5:t>
        </ns5:r>
        <ns5:r>
          <ns5:rPr>
            <ns5:sty ns5:val="p"/>
          </ns5:rPr>
          <ns5:t>,</ns5:t>
        </ns5:r>
        <ns5:r>
          <ns5:t>100</ns5:t>
        </ns5:r>
        <ns5:r>
          <ns5:rPr>
            <ns5:sty ns5:val="p"/>
          </ns5:rPr>
          <ns5:t>}</ns5:t>
        </ns5:r>
      </ns5:oMath>
      <w:r>
        <w:t xml:space="preserve">)</w:t>
      </w:r>
      <w:r>
        <w:t xml:space="preserve"> </w:t>
      </w:r>
      <w:r>
        <w:t xml:space="preserve">para el modelo SVM (donde KernelSHAP es el método de cálculo).</w:t>
      </w:r>
    </w:p>
    <w:tbl>
      <w:tblPr>
        <w:tblStyle w:val="Table"/>
        <w:tblW w:type="pct" w:w="5000"/>
        <w:jc w:val="center"/>
        <w:tblLayout w:type="fixed"/>
        <w:tblLook w:firstRow="0" w:lastRow="0" w:firstColumn="0" w:lastColumn="0" w:noHBand="0" w:noVBand="0" w:val="0000"/>
      </w:tblPr>
      <w:tblGrid>
        <w:gridCol w:w="7920"/>
      </w:tblGrid>
      <w:tr>
        <w:tc>
          <w:tcPr/>
          <w:bookmarkStart w:id="587" w:name="tbl-appendix-shap-sensitivity"/>
          <w:p>
            <w:pPr>
              <w:pStyle w:val="ImageCaption"/>
              <w:spacing w:before="200" w:line="360" w:lineRule="auto"/>
              <w:jc w:val="center"/>
            </w:pPr>
            <w:r>
              <w:t xml:space="preserve">Tabla 7.9: Sensibilidad de KernelSHAP al tamaño del conjunto de referencia (SVM, semilla 42,</w:t>
            </w:r>
            <w:r>
              <w:t xml:space="preserve"> </w:t>
            </w:r>
            <ns5:oMath>
              <ns5:r>
                <ns5:t>N</ns5:t>
              </ns5:r>
              <ns5:r>
                <ns5:rPr>
                  <ns5:sty ns5:val="p"/>
                </ns5:rPr>
                <ns5:t>=</ns5:t>
              </ns5:r>
              <ns5:r>
                <ns5:t>100</ns5:t>
              </ns5:r>
            </ns5:oMath>
            <w:r>
              <w:t xml:space="preserve">).</w:t>
            </w:r>
          </w:p>
          <w:tbl>
            <w:tblPr>
              <w:tblStyle w:val="Table"/>
              <w:tblW w:type="pct" w:w="500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Row="1" w:lastRow="0" w:firstColumn="0" w:lastColumn="0" w:noHBand="0" w:noVBand="0" w:val="0020"/>
            </w:tblPr>
            <w:tblGrid>
              <w:gridCol w:w="1980"/>
              <w:gridCol w:w="1980"/>
              <w:gridCol w:w="1980"/>
              <w:gridCol w:w="1980"/>
            </w:tblGrid>
            <w:tr>
              <w:trPr>
                <w:tblHeader w:val="on"/>
              </w:trPr>
              <w:tc>
                <w:tcPr/>
                <w:p>
                  <w:pPr>
                    <w:pStyle w:val="Compact"/>
                    <w:jc w:val="both"/>
                    <w:jc w:val="center"/>
                    <w:spacing w:line="360" w:lineRule="auto"/>
                  </w:pPr>
                  <w:r>
                    <w:rPr>
                      <w:bCs/>
                      <w:b/>
                    </w:rPr>
                    <w:t xml:space="preserve">Referencia (</w:t>
                  </w:r>
                  <ns5:oMath>
                    <ns5:r>
                      <ns5:t>k</ns5:t>
                    </ns5:r>
                  </ns5:oMath>
                  <w:r>
                    <w:rPr>
                      <w:bCs/>
                      <w:b/>
                    </w:rPr>
                    <w:t xml:space="preserve">)</w:t>
                  </w:r>
                </w:p>
              </w:tc>
              <w:tc>
                <w:tcPr/>
                <w:p>
                  <w:pPr>
                    <w:pStyle w:val="Compact"/>
                    <w:jc w:val="both"/>
                    <w:jc w:val="center"/>
                    <w:spacing w:line="360" w:lineRule="auto"/>
                  </w:pPr>
                  <w:r>
                    <w:rPr>
                      <w:bCs/>
                      <w:b/>
                    </w:rPr>
                    <w:t xml:space="preserve">Fidelidad (media)</w:t>
                  </w:r>
                </w:p>
              </w:tc>
              <w:tc>
                <w:tcPr/>
                <w:p>
                  <w:pPr>
                    <w:pStyle w:val="Compact"/>
                    <w:jc w:val="both"/>
                    <w:jc w:val="center"/>
                    <w:spacing w:line="360" w:lineRule="auto"/>
                  </w:pPr>
                  <w:r>
                    <w:rPr>
                      <w:bCs/>
                      <w:b/>
                    </w:rPr>
                    <w:t xml:space="preserve">Estabilidad (media)</w:t>
                  </w:r>
                </w:p>
              </w:tc>
              <w:tc>
                <w:tcPr/>
                <w:p>
                  <w:pPr>
                    <w:pStyle w:val="Compact"/>
                    <w:jc w:val="both"/>
                    <w:jc w:val="center"/>
                    <w:spacing w:line="360" w:lineRule="auto"/>
                  </w:pPr>
                  <w:r>
                    <w:rPr>
                      <w:bCs/>
                      <w:b/>
                    </w:rPr>
                    <w:t xml:space="preserve">Coste (ms)</w:t>
                  </w:r>
                </w:p>
              </w:tc>
            </w:tr>
            <w:tr>
              <w:tc>
                <w:tcPr/>
                <w:p>
                  <w:pPr>
                    <w:pStyle w:val="Compact"/>
                    <w:jc w:val="both"/>
                    <w:jc w:val="center"/>
                    <w:spacing w:line="360" w:lineRule="auto"/>
                  </w:pPr>
                  <w:r>
                    <w:t xml:space="preserve">25</w:t>
                  </w:r>
                </w:p>
              </w:tc>
              <w:tc>
                <w:tcPr/>
                <w:p>
                  <w:pPr>
                    <w:pStyle w:val="Compact"/>
                    <w:jc w:val="both"/>
                    <w:jc w:val="center"/>
                    <w:spacing w:line="360" w:lineRule="auto"/>
                  </w:pPr>
                  <w:r>
                    <w:t xml:space="preserve">0.921</w:t>
                  </w:r>
                </w:p>
              </w:tc>
              <w:tc>
                <w:tcPr/>
                <w:p>
                  <w:pPr>
                    <w:pStyle w:val="Compact"/>
                    <w:jc w:val="both"/>
                    <w:jc w:val="center"/>
                    <w:spacing w:line="360" w:lineRule="auto"/>
                  </w:pPr>
                  <w:r>
                    <w:t xml:space="preserve">0.728</w:t>
                  </w:r>
                </w:p>
              </w:tc>
              <w:tc>
                <w:tcPr/>
                <w:p>
                  <w:pPr>
                    <w:pStyle w:val="Compact"/>
                    <w:jc w:val="both"/>
                    <w:jc w:val="center"/>
                    <w:spacing w:line="360" w:lineRule="auto"/>
                  </w:pPr>
                  <w:r>
                    <w:t xml:space="preserve">41,233</w:t>
                  </w:r>
                </w:p>
              </w:tc>
            </w:tr>
            <w:tr>
              <w:tc>
                <w:tcPr/>
                <w:p>
                  <w:pPr>
                    <w:pStyle w:val="Compact"/>
                    <w:jc w:val="both"/>
                    <w:jc w:val="center"/>
                    <w:spacing w:line="360" w:lineRule="auto"/>
                  </w:pPr>
                  <w:r>
                    <w:t xml:space="preserve">50 (referencia)</w:t>
                  </w:r>
                </w:p>
              </w:tc>
              <w:tc>
                <w:tcPr/>
                <w:p>
                  <w:pPr>
                    <w:pStyle w:val="Compact"/>
                    <w:jc w:val="both"/>
                    <w:jc w:val="center"/>
                    <w:spacing w:line="360" w:lineRule="auto"/>
                  </w:pPr>
                  <w:r>
                    <w:t xml:space="preserve">0.928</w:t>
                  </w:r>
                </w:p>
              </w:tc>
              <w:tc>
                <w:tcPr/>
                <w:p>
                  <w:pPr>
                    <w:pStyle w:val="Compact"/>
                    <w:jc w:val="both"/>
                    <w:jc w:val="center"/>
                    <w:spacing w:line="360" w:lineRule="auto"/>
                  </w:pPr>
                  <w:r>
                    <w:t xml:space="preserve">0.731</w:t>
                  </w:r>
                </w:p>
              </w:tc>
              <w:tc>
                <w:tcPr/>
                <w:p>
                  <w:pPr>
                    <w:pStyle w:val="Compact"/>
                    <w:jc w:val="both"/>
                    <w:jc w:val="center"/>
                    <w:spacing w:line="360" w:lineRule="auto"/>
                  </w:pPr>
                  <w:r>
                    <w:t xml:space="preserve">159,059</w:t>
                  </w:r>
                </w:p>
              </w:tc>
            </w:tr>
            <w:tr>
              <w:tc>
                <w:tcPr/>
                <w:p>
                  <w:pPr>
                    <w:pStyle w:val="Compact"/>
                    <w:jc w:val="both"/>
                    <w:jc w:val="center"/>
                    <w:spacing w:line="360" w:lineRule="auto"/>
                  </w:pPr>
                  <w:r>
                    <w:t xml:space="preserve">100</w:t>
                  </w:r>
                </w:p>
              </w:tc>
              <w:tc>
                <w:tcPr/>
                <w:p>
                  <w:pPr>
                    <w:pStyle w:val="Compact"/>
                    <w:jc w:val="both"/>
                    <w:jc w:val="center"/>
                    <w:spacing w:line="360" w:lineRule="auto"/>
                  </w:pPr>
                  <w:r>
                    <w:t xml:space="preserve">0.929</w:t>
                  </w:r>
                </w:p>
              </w:tc>
              <w:tc>
                <w:tcPr/>
                <w:p>
                  <w:pPr>
                    <w:pStyle w:val="Compact"/>
                    <w:jc w:val="both"/>
                    <w:jc w:val="center"/>
                    <w:spacing w:line="360" w:lineRule="auto"/>
                  </w:pPr>
                  <w:r>
                    <w:t xml:space="preserve">0.730</w:t>
                  </w:r>
                </w:p>
              </w:tc>
              <w:tc>
                <w:tcPr/>
                <w:p>
                  <w:pPr>
                    <w:pStyle w:val="Compact"/>
                    <w:jc w:val="both"/>
                    <w:jc w:val="center"/>
                    <w:spacing w:line="360" w:lineRule="auto"/>
                  </w:pPr>
                  <w:r>
                    <w:t xml:space="preserve">614,820</w:t>
                  </w:r>
                </w:p>
              </w:tc>
            </w:tr>
          </w:tbl>
          <w:bookmarkEnd w:id="587"/>
          <w:p>
            <w:pPr>
              <w:spacing w:line="360" w:lineRule="auto"/>
              <w:jc w:val="both"/>
            </w:pPr>
          </w:p>
        </w:tc>
      </w:tr>
    </w:tbl>
    <w:p>
      <w:pPr>
        <w:pStyle w:val="Textoindependiente"/>
        <w:spacing w:line="360" w:lineRule="auto"/>
        <w:jc w:val="both"/>
      </w:pPr>
      <w:r>
        <w:t xml:space="preserve">La fidelidad y estabilidad de SHAP son robustas al tamaño del conjunto de</w:t>
      </w:r>
      <w:r>
        <w:t xml:space="preserve"> </w:t>
      </w:r>
      <w:r>
        <w:t xml:space="preserve">referencia en los niveles evaluados (variación &lt; 1%); el coste crece de forma</w:t>
      </w:r>
      <w:r>
        <w:t xml:space="preserve"> </w:t>
      </w:r>
      <w:r>
        <w:t xml:space="preserve">supralineal con</w:t>
      </w:r>
      <w:r>
        <w:t xml:space="preserve"> </w:t>
      </w:r>
      <ns5:oMath>
        <ns5:r>
          <ns5:t>k</ns5:t>
        </ns5:r>
      </ns5:oMath>
      <w:r>
        <w:t xml:space="preserve">. Este resultado sugiere que el conjunto de referencia de 50</w:t>
      </w:r>
      <w:r>
        <w:t xml:space="preserve"> </w:t>
      </w:r>
      <w:r>
        <w:t xml:space="preserve">instancias usado en la tesis es suficiente para obtener atribuciones estables</w:t>
      </w:r>
      <w:r>
        <w:t xml:space="preserve"> </w:t>
      </w:r>
      <w:r>
        <w:t xml:space="preserve">sin incurrir en el coste computacional de referencias mayores. Los archivos de</w:t>
      </w:r>
      <w:r>
        <w:t xml:space="preserve"> </w:t>
      </w:r>
      <w:r>
        <w:t xml:space="preserve">salida de esta sonda no se conservan en el repositorio: la tabla se reporta como</w:t>
      </w:r>
      <w:r>
        <w:t xml:space="preserve"> </w:t>
      </w:r>
      <w:r>
        <w:t xml:space="preserve">medición exploratoria y sus valores no se vuelven a derivar en la verificación</w:t>
      </w:r>
      <w:r>
        <w:t xml:space="preserve"> </w:t>
      </w:r>
      <w:r>
        <w:t xml:space="preserve">automática de afirmaciones.</w:t>
      </w:r>
    </w:p>
    <w:p>
      <w:pPr>
        <w:pStyle w:val="Textoindependiente"/>
        <w:spacing w:line="360" w:lineRule="auto"/>
        <w:jc w:val="both"/>
      </w:pPr>
      <w:r>
        <w:rPr>
          <w:b/>
          <w:bCs/>
        </w:rPr>
        <w:t xml:space="preserve">Anchors — sensibilidad al umbral de precisión</w:t>
      </w:r>
      <w:r>
        <w:rPr>
          <w:b/>
          <w:bCs/>
        </w:rPr>
        <w:t xml:space="preserve"> </w:t>
      </w:r>
      <ns5:oMath>
        <ns5:r>
          <ns5:t>τ</ns5:t>
        </ns5:r>
      </ns5:oMath>
      <w:r>
        <w:rPr>
          <w:b/>
          <w:bCs/>
        </w:rPr>
        <w:t xml:space="preserve">.</w:t>
      </w:r>
      <w:r>
        <w:t xml:space="preserve"> </w:t>
      </w:r>
      <w:r>
        <w:t xml:space="preserve">Se varía el umbral</w:t>
      </w:r>
      <w:r>
        <w:t xml:space="preserve"> </w:t>
      </w:r>
      <w:r>
        <w:t xml:space="preserve">de precisión mínima para aceptar una regla (</w:t>
      </w:r>
      <ns5:oMath>
        <ns5:r>
          <ns5:rPr>
            <ns5:sty ns5:val="p"/>
          </ns5:rPr>
          <ns5:t>{</ns5:t>
        </ns5:r>
        <ns5:r>
          <ns5:t>0.90</ns5:t>
        </ns5:r>
        <ns5:r>
          <ns5:rPr>
            <ns5:sty ns5:val="p"/>
          </ns5:rPr>
          <ns5:t>,</ns5:t>
        </ns5:r>
        <ns5:r>
          <ns5:t>0.95</ns5:t>
        </ns5:r>
        <ns5:r>
          <ns5:rPr>
            <ns5:sty ns5:val="p"/>
          </ns5:rPr>
          <ns5:t>,</ns5:t>
        </ns5:r>
        <ns5:r>
          <ns5:t>0.99</ns5:t>
        </ns5:r>
        <ns5:r>
          <ns5:rPr>
            <ns5:sty ns5:val="p"/>
          </ns5:rPr>
          <ns5:t>}</ns5:t>
        </ns5:r>
      </ns5:oMath>
      <w:r>
        <w:t xml:space="preserve">) sobre el</w:t>
      </w:r>
      <w:r>
        <w:t xml:space="preserve"> </w:t>
      </w:r>
      <w:r>
        <w:t xml:space="preserve">modelo RF.</w:t>
      </w:r>
    </w:p>
    <w:tbl>
      <w:tblPr>
        <w:tblStyle w:val="Table"/>
        <w:tblW w:type="pct" w:w="5000"/>
        <w:jc w:val="center"/>
        <w:tblLayout w:type="fixed"/>
        <w:tblLook w:firstRow="0" w:lastRow="0" w:firstColumn="0" w:lastColumn="0" w:noHBand="0" w:noVBand="0" w:val="0000"/>
      </w:tblPr>
      <w:tblGrid>
        <w:gridCol w:w="7920"/>
      </w:tblGrid>
      <w:tr>
        <w:tc>
          <w:tcPr/>
          <w:bookmarkStart w:id="588" w:name="tbl-appendix-anchors-sensitivity"/>
          <w:p>
            <w:pPr>
              <w:pStyle w:val="ImageCaption"/>
              <w:spacing w:before="200" w:line="360" w:lineRule="auto"/>
              <w:jc w:val="center"/>
            </w:pPr>
            <w:r>
              <w:t xml:space="preserve">Tabla 7.10: Sensibilidad de Anchors al umbral de precisión</w:t>
            </w:r>
            <w:r>
              <w:t xml:space="preserve"> </w:t>
            </w:r>
            <ns5:oMath>
              <ns5:r>
                <ns5:t>τ</ns5:t>
              </ns5:r>
            </ns5:oMath>
            <w:r>
              <w:t xml:space="preserve">.</w:t>
            </w:r>
            <w:r>
              <w:t xml:space="preserve"> </w:t>
            </w:r>
            <w:r>
              <w:rPr>
                <w:b/>
                <w:bCs/>
              </w:rPr>
              <w:t xml:space="preserve">Las dos columnas</w:t>
            </w:r>
            <w:r>
              <w:rPr>
                <w:b/>
                <w:bCs/>
              </w:rPr>
              <w:t xml:space="preserve"> </w:t>
            </w:r>
            <w:r>
              <w:rPr>
                <w:b/>
                <w:bCs/>
              </w:rPr>
              <w:t xml:space="preserve">tienen alcances distintos</w:t>
            </w:r>
            <w:r>
              <w:t xml:space="preserve">: la cobertura se computa sobre las 75 celdas del</w:t>
            </w:r>
            <w:r>
              <w:t xml:space="preserve"> </w:t>
            </w:r>
            <w:r>
              <w:t xml:space="preserve">diseño completo de Anchors (5 modelos</w:t>
            </w:r>
            <w:r>
              <w:t xml:space="preserve"> </w:t>
            </w:r>
            <ns5:oMath>
              <ns5:r>
                <ns5:rPr>
                  <ns5:sty ns5:val="p"/>
                </ns5:rPr>
                <ns5:t>×</ns5:t>
              </ns5:r>
            </ns5:oMath>
            <w:r>
              <w:t xml:space="preserve"> </w:t>
            </w:r>
            <w:r>
              <w:t xml:space="preserve">5 semillas</w:t>
            </w:r>
            <w:r>
              <w:t xml:space="preserve"> </w:t>
            </w:r>
            <ns5:oMath>
              <ns5:r>
                <ns5:rPr>
                  <ns5:sty ns5:val="p"/>
                </ns5:rPr>
                <ns5:t>×</ns5:t>
              </ns5:r>
            </ns5:oMath>
            <w:r>
              <w:t xml:space="preserve"> </w:t>
            </w:r>
            <w:r>
              <w:t xml:space="preserve">3 tamaños) —de</w:t>
            </w:r>
            <w:r>
              <w:t xml:space="preserve"> </w:t>
            </w:r>
            <w:r>
              <w:t xml:space="preserve">ahí que la fila de referencia coincida exactamente con el 57/75 = 76.0% de</w:t>
            </w:r>
            <w:r>
              <w:t xml:space="preserve"> </w:t>
            </w:r>
            <w:hyperlink w:anchor="tbl-coverage-method">
              <w:r>
                <w:rPr>
                  <w:rStyle w:val="Hipervnculo"/>
                </w:rPr>
                <w:t xml:space="preserve">Tabla 3.5</w:t>
              </w:r>
            </w:hyperlink>
            <w:r>
              <w:t xml:space="preserve">—, mientras que la fidelidad y el coste corresponden a la</w:t>
            </w:r>
            <w:r>
              <w:t xml:space="preserve"> </w:t>
            </w:r>
            <w:r>
              <w:t xml:space="preserve">condición de sondeo RF, semilla 42.</w:t>
            </w:r>
          </w:p>
          <w:tbl>
            <w:tblPr>
              <w:tblStyle w:val="Table"/>
              <w:tblW w:type="pct" w:w="500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Row="1" w:lastRow="0" w:firstColumn="0" w:lastColumn="0" w:noHBand="0" w:noVBand="0" w:val="0020"/>
            </w:tblPr>
            <w:tblGrid>
              <w:gridCol w:w="1980"/>
              <w:gridCol w:w="1980"/>
              <w:gridCol w:w="1980"/>
              <w:gridCol w:w="1980"/>
            </w:tblGrid>
            <w:tr>
              <w:trPr>
                <w:tblHeader w:val="on"/>
              </w:trPr>
              <w:tc>
                <w:tcPr/>
                <w:p>
                  <w:pPr>
                    <w:pStyle w:val="Compact"/>
                    <w:jc w:val="both"/>
                    <w:jc w:val="center"/>
                    <w:spacing w:line="360" w:lineRule="auto"/>
                  </w:pPr>
                  <ns5:oMath>
                    <ns5:r>
                      <ns5:t>τ</ns5:t>
                    </ns5:r>
                  </ns5:oMath>
                  <w:r>
                    <w:rPr>
                      <w:bCs/>
                      <w:b/>
                    </w:rPr>
                    <w:t xml:space="preserve">​</w:t>
                  </w:r>
                </w:p>
              </w:tc>
              <w:tc>
                <w:tcPr/>
                <w:p>
                  <w:pPr>
                    <w:pStyle w:val="Compact"/>
                    <w:jc w:val="both"/>
                    <w:jc w:val="center"/>
                    <w:spacing w:line="360" w:lineRule="auto"/>
                  </w:pPr>
                  <w:r>
                    <w:rPr>
                      <w:bCs/>
                      <w:b/>
                    </w:rPr>
                    <w:t xml:space="preserve">Cobertura del diseño completo (75 celdas)</w:t>
                  </w:r>
                </w:p>
              </w:tc>
              <w:tc>
                <w:tcPr/>
                <w:p>
                  <w:pPr>
                    <w:pStyle w:val="Compact"/>
                    <w:jc w:val="both"/>
                    <w:jc w:val="center"/>
                    <w:spacing w:line="360" w:lineRule="auto"/>
                  </w:pPr>
                  <w:r>
                    <w:rPr>
                      <w:bCs/>
                      <w:b/>
                    </w:rPr>
                    <w:t xml:space="preserve">Fidelidad (media)</w:t>
                  </w:r>
                </w:p>
              </w:tc>
              <w:tc>
                <w:tcPr/>
                <w:p>
                  <w:pPr>
                    <w:pStyle w:val="Compact"/>
                    <w:jc w:val="both"/>
                    <w:jc w:val="center"/>
                    <w:spacing w:line="360" w:lineRule="auto"/>
                  </w:pPr>
                  <w:r>
                    <w:rPr>
                      <w:bCs/>
                      <w:b/>
                    </w:rPr>
                    <w:t xml:space="preserve">Coste (ms)</w:t>
                  </w:r>
                </w:p>
              </w:tc>
            </w:tr>
            <w:tr>
              <w:tc>
                <w:tcPr/>
                <w:p>
                  <w:pPr>
                    <w:pStyle w:val="Compact"/>
                    <w:jc w:val="both"/>
                    <w:jc w:val="center"/>
                    <w:spacing w:line="360" w:lineRule="auto"/>
                  </w:pPr>
                  <w:r>
                    <w:t xml:space="preserve">0.90</w:t>
                  </w:r>
                </w:p>
              </w:tc>
              <w:tc>
                <w:tcPr/>
                <w:p>
                  <w:pPr>
                    <w:pStyle w:val="Compact"/>
                    <w:jc w:val="both"/>
                    <w:jc w:val="center"/>
                    <w:spacing w:line="360" w:lineRule="auto"/>
                  </w:pPr>
                  <w:r>
                    <w:t xml:space="preserve">72/75 (96%)</w:t>
                  </w:r>
                </w:p>
              </w:tc>
              <w:tc>
                <w:tcPr/>
                <w:p>
                  <w:pPr>
                    <w:pStyle w:val="Compact"/>
                    <w:jc w:val="both"/>
                    <w:jc w:val="center"/>
                    <w:spacing w:line="360" w:lineRule="auto"/>
                  </w:pPr>
                  <w:r>
                    <w:t xml:space="preserve">0.421</w:t>
                  </w:r>
                </w:p>
              </w:tc>
              <w:tc>
                <w:tcPr/>
                <w:p>
                  <w:pPr>
                    <w:pStyle w:val="Compact"/>
                    <w:jc w:val="both"/>
                    <w:jc w:val="center"/>
                    <w:spacing w:line="360" w:lineRule="auto"/>
                  </w:pPr>
                  <w:r>
                    <w:t xml:space="preserve">9,843</w:t>
                  </w:r>
                </w:p>
              </w:tc>
            </w:tr>
            <w:tr>
              <w:tc>
                <w:tcPr/>
                <w:p>
                  <w:pPr>
                    <w:pStyle w:val="Compact"/>
                    <w:jc w:val="both"/>
                    <w:jc w:val="center"/>
                    <w:spacing w:line="360" w:lineRule="auto"/>
                  </w:pPr>
                  <w:r>
                    <w:t xml:space="preserve">0.95 (referencia)</w:t>
                  </w:r>
                </w:p>
              </w:tc>
              <w:tc>
                <w:tcPr/>
                <w:p>
                  <w:pPr>
                    <w:pStyle w:val="Compact"/>
                    <w:jc w:val="both"/>
                    <w:jc w:val="center"/>
                    <w:spacing w:line="360" w:lineRule="auto"/>
                  </w:pPr>
                  <w:r>
                    <w:t xml:space="preserve">57/75 (76%)</w:t>
                  </w:r>
                </w:p>
              </w:tc>
              <w:tc>
                <w:tcPr/>
                <w:p>
                  <w:pPr>
                    <w:pStyle w:val="Compact"/>
                    <w:jc w:val="both"/>
                    <w:jc w:val="center"/>
                    <w:spacing w:line="360" w:lineRule="auto"/>
                  </w:pPr>
                  <w:r>
                    <w:t xml:space="preserve">0.386</w:t>
                  </w:r>
                </w:p>
              </w:tc>
              <w:tc>
                <w:tcPr/>
                <w:p>
                  <w:pPr>
                    <w:pStyle w:val="Compact"/>
                    <w:jc w:val="both"/>
                    <w:jc w:val="center"/>
                    <w:spacing w:line="360" w:lineRule="auto"/>
                  </w:pPr>
                  <w:r>
                    <w:t xml:space="preserve">16,000</w:t>
                  </w:r>
                </w:p>
              </w:tc>
            </w:tr>
            <w:tr>
              <w:tc>
                <w:tcPr/>
                <w:p>
                  <w:pPr>
                    <w:pStyle w:val="Compact"/>
                    <w:jc w:val="both"/>
                    <w:jc w:val="center"/>
                    <w:spacing w:line="360" w:lineRule="auto"/>
                  </w:pPr>
                  <w:r>
                    <w:t xml:space="preserve">0.99</w:t>
                  </w:r>
                </w:p>
              </w:tc>
              <w:tc>
                <w:tcPr/>
                <w:p>
                  <w:pPr>
                    <w:pStyle w:val="Compact"/>
                    <w:jc w:val="both"/>
                    <w:jc w:val="center"/>
                    <w:spacing w:line="360" w:lineRule="auto"/>
                  </w:pPr>
                  <w:r>
                    <w:t xml:space="preserve">31/75 (41%)</w:t>
                  </w:r>
                </w:p>
              </w:tc>
              <w:tc>
                <w:tcPr/>
                <w:p>
                  <w:pPr>
                    <w:pStyle w:val="Compact"/>
                    <w:jc w:val="both"/>
                    <w:jc w:val="center"/>
                    <w:spacing w:line="360" w:lineRule="auto"/>
                  </w:pPr>
                  <w:r>
                    <w:t xml:space="preserve">0.411</w:t>
                  </w:r>
                </w:p>
              </w:tc>
              <w:tc>
                <w:tcPr/>
                <w:p>
                  <w:pPr>
                    <w:pStyle w:val="Compact"/>
                    <w:jc w:val="both"/>
                    <w:jc w:val="center"/>
                    <w:spacing w:line="360" w:lineRule="auto"/>
                  </w:pPr>
                  <w:r>
                    <w:t xml:space="preserve">28,721</w:t>
                  </w:r>
                </w:p>
              </w:tc>
            </w:tr>
          </w:tbl>
          <w:bookmarkEnd w:id="588"/>
          <w:p>
            <w:pPr>
              <w:spacing w:line="360" w:lineRule="auto"/>
              <w:jc w:val="both"/>
            </w:pPr>
          </w:p>
        </w:tc>
      </w:tr>
    </w:tbl>
    <w:p>
      <w:pPr>
        <w:pStyle w:val="Textoindependiente"/>
        <w:spacing w:line="360" w:lineRule="auto"/>
        <w:jc w:val="both"/>
      </w:pPr>
      <w:r>
        <w:t xml:space="preserve">La cobertura de Anchors es extremadamente sensible a</w:t>
      </w:r>
      <w:r>
        <w:t xml:space="preserve"> </w:t>
      </w:r>
      <ns5:oMath>
        <ns5:r>
          <ns5:t>τ</ns5:t>
        </ns5:r>
      </ns5:oMath>
      <w:r>
        <w:t xml:space="preserve">: reducir el umbral</w:t>
      </w:r>
      <w:r>
        <w:t xml:space="preserve"> </w:t>
      </w:r>
      <w:r>
        <w:t xml:space="preserve">a 0.90 aumenta la cobertura de 76% a 96%, mientras que elevar a 0.99 la reduce</w:t>
      </w:r>
      <w:r>
        <w:t xml:space="preserve"> </w:t>
      </w:r>
      <w:r>
        <w:t xml:space="preserve">a 41%. Este resultado indica que la elección de</w:t>
      </w:r>
      <w:r>
        <w:t xml:space="preserve"> </w:t>
      </w:r>
      <ns5:oMath>
        <ns5:r>
          <ns5:t>τ</ns5:t>
        </ns5:r>
      </ns5:oMath>
      <w:r>
        <w:t xml:space="preserve"> </w:t>
      </w:r>
      <w:r>
        <w:t xml:space="preserve">es la decisión de</w:t>
      </w:r>
      <w:r>
        <w:t xml:space="preserve"> </w:t>
      </w:r>
      <w:r>
        <w:t xml:space="preserve">configuración de mayor impacto en Anchors y debe documentarse explícitamente en</w:t>
      </w:r>
      <w:r>
        <w:t xml:space="preserve"> </w:t>
      </w:r>
      <w:r>
        <w:t xml:space="preserve">cualquier benchmark que incluya este método. La fidelidad no mejora</w:t>
      </w:r>
      <w:r>
        <w:t xml:space="preserve"> </w:t>
      </w:r>
      <w:r>
        <w:t xml:space="preserve">monotónicamente con</w:t>
      </w:r>
      <w:r>
        <w:t xml:space="preserve"> </w:t>
      </w:r>
      <ns5:oMath>
        <ns5:r>
          <ns5:t>τ</ns5:t>
        </ns5:r>
      </ns5:oMath>
      <w:r>
        <w:t xml:space="preserve">, dado que reglas de mayor precisión no</w:t>
      </w:r>
      <w:r>
        <w:t xml:space="preserve"> </w:t>
      </w:r>
      <w:r>
        <w:t xml:space="preserve">necesariamente son más informativas bajo la métrica de correlación de</w:t>
      </w:r>
      <w:r>
        <w:t xml:space="preserve"> </w:t>
      </w:r>
      <w:r>
        <w:t xml:space="preserve">importancias.</w:t>
      </w:r>
    </w:p>
    <w:p>
      <w:pPr>
        <w:pStyle w:val="Textoindependiente"/>
        <w:spacing w:line="360" w:lineRule="auto"/>
        <w:jc w:val="both"/>
      </w:pPr>
      <w:r>
        <w:rPr>
          <w:b/>
          <w:bCs/>
        </w:rPr>
        <w:t xml:space="preserve">LIME — sensibilidad a</w:t>
      </w:r>
      <w:r>
        <w:rPr>
          <w:b/>
          <w:bCs/>
        </w:rPr>
        <w:t xml:space="preserve"> </w:t>
      </w:r>
      <w:r>
        <w:rPr>
          <w:rStyle w:val="VerbatimChar"/>
          <w:b/>
          <w:bCs/>
        </w:rPr>
        <w:t xml:space="preserve">kernel_width</w:t>
      </w:r>
      <w:r>
        <w:rPr>
          <w:b/>
          <w:bCs/>
        </w:rPr>
        <w:t xml:space="preserve">.</w:t>
      </w:r>
      <w:r>
        <w:t xml:space="preserve"> </w:t>
      </w:r>
      <w:r>
        <w:t xml:space="preserve">Se varía el ancho del kernel exponencial (</w:t>
      </w:r>
      <ns5:oMath>
        <ns5:r>
          <ns5:rPr>
            <ns5:sty ns5:val="p"/>
          </ns5:rPr>
          <ns5:t>{</ns5:t>
        </ns5:r>
        <ns5:r>
          <ns5:t>0.25</ns5:t>
        </ns5:r>
        <ns5:r>
          <ns5:rPr>
            <ns5:sty ns5:val="p"/>
          </ns5:rPr>
          <ns5:t>,</ns5:t>
        </ns5:r>
        <ns5:r>
          <ns5:t>0.75</ns5:t>
        </ns5:r>
        <ns5:r>
          <ns5:rPr>
            <ns5:sty ns5:val="p"/>
          </ns5:rPr>
          <ns5:t>,</ns5:t>
        </ns5:r>
        <ns5:r>
          <ns5:t>3.0</ns5:t>
        </ns5:r>
        <ns5:r>
          <ns5:rPr>
            <ns5:sty ns5:val="p"/>
          </ns5:rPr>
          <ns5:t>,</ns5:t>
        </ns5:r>
        <ns5:r>
          <ns5:t>10.0</ns5:t>
        </ns5:r>
        <ns5:r>
          <ns5:rPr>
            <ns5:sty ns5:val="p"/>
          </ns5:rPr>
          <ns5:t>}</ns5:t>
        </ns5:r>
      </ns5:oMath>
      <w:r>
        <w:t xml:space="preserve">) manteniendo</w:t>
      </w:r>
      <w:r>
        <w:t xml:space="preserve"> </w:t>
      </w:r>
      <w:r>
        <w:rPr>
          <w:rStyle w:val="VerbatimChar"/>
        </w:rPr>
        <w:t xml:space="preserve">num_samples = 1000</w:t>
      </w:r>
      <w:r>
        <w:t xml:space="preserve"> </w:t>
      </w:r>
      <w:r>
        <w:t xml:space="preserve">y</w:t>
      </w:r>
      <w:r>
        <w:t xml:space="preserve"> </w:t>
      </w:r>
      <w:r>
        <w:rPr>
          <w:rStyle w:val="VerbatimChar"/>
        </w:rPr>
        <w:t xml:space="preserve">num_features = 10</w:t>
      </w:r>
      <w:r>
        <w:t xml:space="preserve"> </w:t>
      </w:r>
      <w:r>
        <w:t xml:space="preserve">constantes. La condición de referencia (</w:t>
      </w:r>
      <w:r>
        <w:rPr>
          <w:rStyle w:val="VerbatimChar"/>
        </w:rPr>
        <w:t xml:space="preserve">kernel_width = 3.0</w:t>
      </w:r>
      <w:r>
        <w:t xml:space="preserve">) corresponde a la configuración EXP2. Se reportan instancias válidas (al menos un peso no nulo), fidelidad y estabilidad media, y coste unitario (RF, semilla 42,</w:t>
      </w:r>
      <w:r>
        <w:t xml:space="preserve"> </w:t>
      </w:r>
      <ns5:oMath>
        <ns5:r>
          <ns5:t>N</ns5:t>
        </ns5:r>
        <ns5:r>
          <ns5:rPr>
            <ns5:sty ns5:val="p"/>
          </ns5:rPr>
          <ns5:t>=</ns5:t>
        </ns5:r>
        <ns5:r>
          <ns5:t>100</ns5:t>
        </ns5:r>
      </ns5:oMath>
      <w:r>
        <w:t xml:space="preserve">).</w:t>
      </w:r>
    </w:p>
    <w:tbl>
      <w:tblPr>
        <w:tblStyle w:val="Table"/>
        <w:tblW w:type="pct" w:w="5000"/>
        <w:jc w:val="center"/>
        <w:tblLayout w:type="fixed"/>
        <w:tblLook w:firstRow="0" w:lastRow="0" w:firstColumn="0" w:lastColumn="0" w:noHBand="0" w:noVBand="0" w:val="0000"/>
      </w:tblPr>
      <w:tblGrid>
        <w:gridCol w:w="7920"/>
      </w:tblGrid>
      <w:tr>
        <w:tc>
          <w:tcPr/>
          <w:bookmarkStart w:id="589" w:name="tbl-appendix-lime-kw-sensitivity"/>
          <w:p>
            <w:pPr>
              <w:pStyle w:val="ImageCaption"/>
              <w:spacing w:before="200" w:line="360" w:lineRule="auto"/>
              <w:jc w:val="center"/>
            </w:pPr>
            <w:r>
              <w:t xml:space="preserve">Tabla 7.11: Sensibilidad de LIME a</w:t>
            </w:r>
            <w:r>
              <w:t xml:space="preserve"> </w:t>
            </w:r>
            <w:r>
              <w:rPr>
                <w:rStyle w:val="VerbatimChar"/>
              </w:rPr>
              <w:t xml:space="preserve">kernel_width</w:t>
            </w:r>
            <w:r>
              <w:t xml:space="preserve"> </w:t>
            </w:r>
            <w:r>
              <w:t xml:space="preserve">(RF, semilla 42,</w:t>
            </w:r>
            <w:r>
              <w:t xml:space="preserve"> </w:t>
            </w:r>
            <ns5:oMath>
              <ns5:r>
                <ns5:t>N</ns5:t>
              </ns5:r>
              <ns5:r>
                <ns5:rPr>
                  <ns5:sty ns5:val="p"/>
                </ns5:rPr>
                <ns5:t>=</ns5:t>
              </ns5:r>
              <ns5:r>
                <ns5:t>100</ns5:t>
              </ns5:r>
            </ns5:oMath>
            <w:r>
              <w:t xml:space="preserve">).</w:t>
            </w:r>
          </w:p>
          <w:tbl>
            <w:tblPr>
              <w:tblStyle w:val="Table"/>
              <w:tblW w:type="pct" w:w="500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both"/>
                    <w:jc w:val="center"/>
                    <w:spacing w:line="360" w:lineRule="auto"/>
                  </w:pPr>
                  <w:r>
                    <w:rPr>
                      <w:bCs/>
                      <w:b/>
                      <w:rStyle w:val="VerbatimChar"/>
                    </w:rPr>
                    <w:t xml:space="preserve">kernel_width</w:t>
                  </w:r>
                </w:p>
              </w:tc>
              <w:tc>
                <w:tcPr/>
                <w:p>
                  <w:pPr>
                    <w:pStyle w:val="Compact"/>
                    <w:jc w:val="both"/>
                    <w:jc w:val="center"/>
                    <w:spacing w:line="360" w:lineRule="auto"/>
                  </w:pPr>
                  <w:r>
                    <w:rPr>
                      <w:bCs/>
                      <w:b/>
                    </w:rPr>
                    <w:t xml:space="preserve">Instancias válidas</w:t>
                  </w:r>
                </w:p>
              </w:tc>
              <w:tc>
                <w:tcPr/>
                <w:p>
                  <w:pPr>
                    <w:pStyle w:val="Compact"/>
                    <w:jc w:val="both"/>
                    <w:jc w:val="center"/>
                    <w:spacing w:line="360" w:lineRule="auto"/>
                  </w:pPr>
                  <w:r>
                    <w:rPr>
                      <w:bCs/>
                      <w:b/>
                    </w:rPr>
                    <w:t xml:space="preserve">Fidelidad (media)</w:t>
                  </w:r>
                </w:p>
              </w:tc>
              <w:tc>
                <w:tcPr/>
                <w:p>
                  <w:pPr>
                    <w:pStyle w:val="Compact"/>
                    <w:jc w:val="both"/>
                    <w:jc w:val="center"/>
                    <w:spacing w:line="360" w:lineRule="auto"/>
                  </w:pPr>
                  <w:r>
                    <w:rPr>
                      <w:bCs/>
                      <w:b/>
                    </w:rPr>
                    <w:t xml:space="preserve">Estabilidad (media)</w:t>
                  </w:r>
                </w:p>
              </w:tc>
              <w:tc>
                <w:tcPr/>
                <w:p>
                  <w:pPr>
                    <w:pStyle w:val="Compact"/>
                    <w:jc w:val="both"/>
                    <w:jc w:val="center"/>
                    <w:spacing w:line="360" w:lineRule="auto"/>
                  </w:pPr>
                  <w:r>
                    <w:rPr>
                      <w:bCs/>
                      <w:b/>
                    </w:rPr>
                    <w:t xml:space="preserve">Coste (ms)</w:t>
                  </w:r>
                </w:p>
              </w:tc>
              <w:tc>
                <w:tcPr/>
                <w:p>
                  <w:pPr>
                    <w:pStyle w:val="Compact"/>
                    <w:jc w:val="both"/>
                    <w:jc w:val="center"/>
                    <w:spacing w:line="360" w:lineRule="auto"/>
                  </w:pPr>
                  <w:r>
                    <w:rPr>
                      <w:bCs/>
                      <w:b/>
                    </w:rPr>
                    <w:t xml:space="preserve">Parsimonia</w:t>
                  </w:r>
                </w:p>
              </w:tc>
            </w:tr>
            <w:tr>
              <w:tc>
                <w:tcPr/>
                <w:p>
                  <w:pPr>
                    <w:pStyle w:val="Compact"/>
                    <w:jc w:val="both"/>
                    <w:jc w:val="center"/>
                    <w:spacing w:line="360" w:lineRule="auto"/>
                  </w:pPr>
                  <w:r>
                    <w:t xml:space="preserve">0.25</w:t>
                  </w:r>
                </w:p>
              </w:tc>
              <w:tc>
                <w:tcPr/>
                <w:p>
                  <w:pPr>
                    <w:pStyle w:val="Compact"/>
                    <w:jc w:val="both"/>
                    <w:jc w:val="center"/>
                    <w:spacing w:line="360" w:lineRule="auto"/>
                  </w:pPr>
                  <w:r>
                    <w:t xml:space="preserve">0 / 100 (degenerado)</w:t>
                  </w:r>
                </w:p>
              </w:tc>
              <w:tc>
                <w:tcPr/>
                <w:p>
                  <w:pPr>
                    <w:pStyle w:val="Compact"/>
                    <w:jc w:val="both"/>
                    <w:jc w:val="center"/>
                    <w:spacing w:line="360" w:lineRule="auto"/>
                  </w:pPr>
                  <w:r>
                    <w:t xml:space="preserve">—</w:t>
                  </w:r>
                </w:p>
              </w:tc>
              <w:tc>
                <w:tcPr/>
                <w:p>
                  <w:pPr>
                    <w:pStyle w:val="Compact"/>
                    <w:jc w:val="both"/>
                    <w:jc w:val="center"/>
                    <w:spacing w:line="360" w:lineRule="auto"/>
                  </w:pPr>
                  <w:r>
                    <w:t xml:space="preserve">—</w:t>
                  </w:r>
                </w:p>
              </w:tc>
              <w:tc>
                <w:tcPr/>
                <w:p>
                  <w:pPr>
                    <w:pStyle w:val="Compact"/>
                    <w:jc w:val="both"/>
                    <w:jc w:val="center"/>
                    <w:spacing w:line="360" w:lineRule="auto"/>
                  </w:pPr>
                  <w:r>
                    <w:t xml:space="preserve">30</w:t>
                  </w:r>
                </w:p>
              </w:tc>
              <w:tc>
                <w:tcPr/>
                <w:p>
                  <w:pPr>
                    <w:pStyle w:val="Compact"/>
                    <w:jc w:val="both"/>
                    <w:jc w:val="center"/>
                    <w:spacing w:line="360" w:lineRule="auto"/>
                  </w:pPr>
                  <w:r>
                    <w:t xml:space="preserve">0.000</w:t>
                  </w:r>
                </w:p>
              </w:tc>
            </w:tr>
            <w:tr>
              <w:tc>
                <w:tcPr/>
                <w:p>
                  <w:pPr>
                    <w:pStyle w:val="Compact"/>
                    <w:jc w:val="both"/>
                    <w:jc w:val="center"/>
                    <w:spacing w:line="360" w:lineRule="auto"/>
                  </w:pPr>
                  <w:r>
                    <w:t xml:space="preserve">0.75</w:t>
                  </w:r>
                </w:p>
              </w:tc>
              <w:tc>
                <w:tcPr/>
                <w:p>
                  <w:pPr>
                    <w:pStyle w:val="Compact"/>
                    <w:jc w:val="both"/>
                    <w:jc w:val="center"/>
                    <w:spacing w:line="360" w:lineRule="auto"/>
                  </w:pPr>
                  <w:r>
                    <w:t xml:space="preserve">0 / 100 (degenerado)</w:t>
                  </w:r>
                </w:p>
              </w:tc>
              <w:tc>
                <w:tcPr/>
                <w:p>
                  <w:pPr>
                    <w:pStyle w:val="Compact"/>
                    <w:jc w:val="both"/>
                    <w:jc w:val="center"/>
                    <w:spacing w:line="360" w:lineRule="auto"/>
                  </w:pPr>
                  <w:r>
                    <w:t xml:space="preserve">—</w:t>
                  </w:r>
                </w:p>
              </w:tc>
              <w:tc>
                <w:tcPr/>
                <w:p>
                  <w:pPr>
                    <w:pStyle w:val="Compact"/>
                    <w:jc w:val="both"/>
                    <w:jc w:val="center"/>
                    <w:spacing w:line="360" w:lineRule="auto"/>
                  </w:pPr>
                  <w:r>
                    <w:t xml:space="preserve">—</w:t>
                  </w:r>
                </w:p>
              </w:tc>
              <w:tc>
                <w:tcPr/>
                <w:p>
                  <w:pPr>
                    <w:pStyle w:val="Compact"/>
                    <w:jc w:val="both"/>
                    <w:jc w:val="center"/>
                    <w:spacing w:line="360" w:lineRule="auto"/>
                  </w:pPr>
                  <w:r>
                    <w:t xml:space="preserve">30</w:t>
                  </w:r>
                </w:p>
              </w:tc>
              <w:tc>
                <w:tcPr/>
                <w:p>
                  <w:pPr>
                    <w:pStyle w:val="Compact"/>
                    <w:jc w:val="both"/>
                    <w:jc w:val="center"/>
                    <w:spacing w:line="360" w:lineRule="auto"/>
                  </w:pPr>
                  <w:r>
                    <w:t xml:space="preserve">0.000</w:t>
                  </w:r>
                </w:p>
              </w:tc>
            </w:tr>
            <w:tr>
              <w:tc>
                <w:tcPr/>
                <w:p>
                  <w:pPr>
                    <w:pStyle w:val="Compact"/>
                    <w:jc w:val="both"/>
                    <w:jc w:val="center"/>
                    <w:spacing w:line="360" w:lineRule="auto"/>
                  </w:pPr>
                  <w:r>
                    <w:t xml:space="preserve">3.0 (referencia)</w:t>
                  </w:r>
                </w:p>
              </w:tc>
              <w:tc>
                <w:tcPr/>
                <w:p>
                  <w:pPr>
                    <w:pStyle w:val="Compact"/>
                    <w:jc w:val="both"/>
                    <w:jc w:val="center"/>
                    <w:spacing w:line="360" w:lineRule="auto"/>
                  </w:pPr>
                  <w:r>
                    <w:t xml:space="preserve">96 / 100</w:t>
                  </w:r>
                </w:p>
              </w:tc>
              <w:tc>
                <w:tcPr/>
                <w:p>
                  <w:pPr>
                    <w:pStyle w:val="Compact"/>
                    <w:jc w:val="both"/>
                    <w:jc w:val="center"/>
                    <w:spacing w:line="360" w:lineRule="auto"/>
                  </w:pPr>
                  <w:r>
                    <w:t xml:space="preserve">0.518</w:t>
                  </w:r>
                </w:p>
              </w:tc>
              <w:tc>
                <w:tcPr/>
                <w:p>
                  <w:pPr>
                    <w:pStyle w:val="Compact"/>
                    <w:jc w:val="both"/>
                    <w:jc w:val="center"/>
                    <w:spacing w:line="360" w:lineRule="auto"/>
                  </w:pPr>
                  <w:r>
                    <w:t xml:space="preserve">0.000</w:t>
                  </w:r>
                </w:p>
              </w:tc>
              <w:tc>
                <w:tcPr/>
                <w:p>
                  <w:pPr>
                    <w:pStyle w:val="Compact"/>
                    <w:jc w:val="both"/>
                    <w:jc w:val="center"/>
                    <w:spacing w:line="360" w:lineRule="auto"/>
                  </w:pPr>
                  <w:r>
                    <w:t xml:space="preserve">30</w:t>
                  </w:r>
                </w:p>
              </w:tc>
              <w:tc>
                <w:tcPr/>
                <w:p>
                  <w:pPr>
                    <w:pStyle w:val="Compact"/>
                    <w:jc w:val="both"/>
                    <w:jc w:val="center"/>
                    <w:spacing w:line="360" w:lineRule="auto"/>
                  </w:pPr>
                  <w:r>
                    <w:t xml:space="preserve">0.087</w:t>
                  </w:r>
                </w:p>
              </w:tc>
            </w:tr>
            <w:tr>
              <w:tc>
                <w:tcPr/>
                <w:p>
                  <w:pPr>
                    <w:pStyle w:val="Compact"/>
                    <w:jc w:val="both"/>
                    <w:jc w:val="center"/>
                    <w:spacing w:line="360" w:lineRule="auto"/>
                  </w:pPr>
                  <w:r>
                    <w:t xml:space="preserve">10.0</w:t>
                  </w:r>
                </w:p>
              </w:tc>
              <w:tc>
                <w:tcPr/>
                <w:p>
                  <w:pPr>
                    <w:pStyle w:val="Compact"/>
                    <w:jc w:val="both"/>
                    <w:jc w:val="center"/>
                    <w:spacing w:line="360" w:lineRule="auto"/>
                  </w:pPr>
                  <w:r>
                    <w:t xml:space="preserve">100 / 100</w:t>
                  </w:r>
                </w:p>
              </w:tc>
              <w:tc>
                <w:tcPr/>
                <w:p>
                  <w:pPr>
                    <w:pStyle w:val="Compact"/>
                    <w:jc w:val="both"/>
                    <w:jc w:val="center"/>
                    <w:spacing w:line="360" w:lineRule="auto"/>
                  </w:pPr>
                  <w:r>
                    <w:t xml:space="preserve">0.441</w:t>
                  </w:r>
                </w:p>
              </w:tc>
              <w:tc>
                <w:tcPr/>
                <w:p>
                  <w:pPr>
                    <w:pStyle w:val="Compact"/>
                    <w:jc w:val="both"/>
                    <w:jc w:val="center"/>
                    <w:spacing w:line="360" w:lineRule="auto"/>
                  </w:pPr>
                  <w:r>
                    <w:t xml:space="preserve">0.664</w:t>
                  </w:r>
                </w:p>
              </w:tc>
              <w:tc>
                <w:tcPr/>
                <w:p>
                  <w:pPr>
                    <w:pStyle w:val="Compact"/>
                    <w:jc w:val="both"/>
                    <w:jc w:val="center"/>
                    <w:spacing w:line="360" w:lineRule="auto"/>
                  </w:pPr>
                  <w:r>
                    <w:t xml:space="preserve">32</w:t>
                  </w:r>
                </w:p>
              </w:tc>
              <w:tc>
                <w:tcPr/>
                <w:p>
                  <w:pPr>
                    <w:pStyle w:val="Compact"/>
                    <w:jc w:val="both"/>
                    <w:jc w:val="center"/>
                    <w:spacing w:line="360" w:lineRule="auto"/>
                  </w:pPr>
                  <w:r>
                    <w:t xml:space="preserve">0.093</w:t>
                  </w:r>
                </w:p>
              </w:tc>
            </w:tr>
          </w:tbl>
          <w:bookmarkEnd w:id="589"/>
          <w:p>
            <w:pPr>
              <w:spacing w:line="360" w:lineRule="auto"/>
              <w:jc w:val="both"/>
            </w:pPr>
          </w:p>
        </w:tc>
      </w:tr>
    </w:tbl>
    <w:p>
      <w:pPr>
        <w:pStyle w:val="Textoindependiente"/>
        <w:spacing w:line="360" w:lineRule="auto"/>
        <w:jc w:val="both"/>
      </w:pPr>
      <w:r>
        <w:t xml:space="preserve">Los valores 0.25 y 0.75 son completamente degenerados en el espacio de características preprocesado de 103 dimensiones: el radio del vecindario es inferior a las distancias típicas entre instancias una vez aplicada la codificación one-hot y la estandarización, y LIME no puede ajustar ningún modelo sustituto local con señal apreciable. La referencia (</w:t>
      </w:r>
      <w:r>
        <w:rPr>
          <w:rStyle w:val="VerbatimChar"/>
        </w:rPr>
        <w:t xml:space="preserve">kernel_width = 3.0</w:t>
      </w:r>
      <w:r>
        <w:t xml:space="preserve">) produce pesos no nulos en el 96% de las instancias y una fidelidad de 0.518, pero la estabilidad bajo perturbaciones de</w:t>
      </w:r>
      <w:r>
        <w:t xml:space="preserve"> </w:t>
      </w:r>
      <ns5:oMath>
        <ns5:r>
          <ns5:t>σ</ns5:t>
        </ns5:r>
        <ns5:r>
          <ns5:rPr>
            <ns5:sty ns5:val="p"/>
          </ns5:rPr>
          <ns5:t>=</ns5:t>
        </ns5:r>
        <ns5:r>
          <ns5:t>0.1</ns5:t>
        </ns5:r>
      </ns5:oMath>
      <w:r>
        <w:t xml:space="preserve"> </w:t>
      </w:r>
      <w:r>
        <w:t xml:space="preserve">es prácticamente nula (consistente con los hallazgos de EXP2). El valor</w:t>
      </w:r>
      <w:r>
        <w:t xml:space="preserve"> </w:t>
      </w:r>
      <w:r>
        <w:rPr>
          <w:rStyle w:val="VerbatimChar"/>
        </w:rPr>
        <w:t xml:space="preserve">kernel_width = 10.0</w:t>
      </w:r>
      <w:r>
        <w:t xml:space="preserve"> </w:t>
      </w:r>
      <w:r>
        <w:t xml:space="preserve">produce explicaciones válidas en el 100% de las instancias y una estabilidad de 0.664, pero a costa de menor fidelidad (0.441) porque el vecindario más amplio promedia regiones de decisión heterogéneas. Estos resultados delimitan el alcance del hallazgo de EXP2 en dos direcciones. Por un lado, la inestabilidad observada bajo la configuración de referencia no se debe a una calibración deficiente del kernel: reducir el ancho no la corrige, sino que degenera las explicaciones, y</w:t>
      </w:r>
      <w:r>
        <w:t xml:space="preserve"> </w:t>
      </w:r>
      <w:r>
        <w:rPr>
          <w:rStyle w:val="VerbatimChar"/>
        </w:rPr>
        <w:t xml:space="preserve">kernel_width = 3.0</w:t>
      </w:r>
      <w:r>
        <w:t xml:space="preserve"> </w:t>
      </w:r>
      <w:r>
        <w:t xml:space="preserve">es el valor mínimo viable en este espacio. Por otro, tampoco es independiente de ese parámetro: ampliar el kernel a 10.0 recupera una estabilidad de 0.664 a costa de localidad y de fidelidad. La lectura conjunta es que la estabilidad de LIME en datos tabulares de alta dimensión depende del par (ancho de kernel, espacio de características) y debe medirse para la configuración concreta de despliegue, no presuponerse.</w:t>
      </w:r>
    </w:p>
    <w:p>
      <w:pPr>
        <w:pStyle w:val="Textoindependiente"/>
        <w:spacing w:line="360" w:lineRule="auto"/>
        <w:jc w:val="both"/>
      </w:pPr>
      <w:r>
        <w:t xml:space="preserve">En conjunto, estos análisis muestran que los resultados principales (SHAP</w:t>
      </w:r>
      <w:r>
        <w:t xml:space="preserve"> </w:t>
      </w:r>
      <w:r>
        <w:t xml:space="preserve">superior a LIME en fidelidad y estabilidad; estabilidad de LIME casi nula bajo</w:t>
      </w:r>
      <w:r>
        <w:t xml:space="preserve"> </w:t>
      </w:r>
      <w:r>
        <w:t xml:space="preserve">la configuración de referencia) son robustos a variaciones razonables de los</w:t>
      </w:r>
      <w:r>
        <w:t xml:space="preserve"> </w:t>
      </w:r>
      <w:r>
        <w:t xml:space="preserve">hiperparámetros dentro de los rangos explorados, con la excepción explícita del</w:t>
      </w:r>
      <w:r>
        <w:t xml:space="preserve"> </w:t>
      </w:r>
      <w:r>
        <w:t xml:space="preserve">ancho de kernel, que sí modifica sustancialmente la estabilidad de LIME. La excepción es la cobertura de Anchors, que cambia</w:t>
      </w:r>
      <w:r>
        <w:t xml:space="preserve"> </w:t>
      </w:r>
      <w:r>
        <w:t xml:space="preserve">significativamente con</w:t>
      </w:r>
      <w:r>
        <w:t xml:space="preserve"> </w:t>
      </w:r>
      <ns5:oMath>
        <ns5:r>
          <ns5:t>τ</ns5:t>
        </ns5:r>
      </ns5:oMath>
      <w:r>
        <w:t xml:space="preserve"> </w:t>
      </w:r>
      <w:r>
        <w:t xml:space="preserve">y debe tratarse como un parámetro de diseño</w:t>
      </w:r>
      <w:r>
        <w:t xml:space="preserve"> </w:t>
      </w:r>
      <w:r>
        <w:t xml:space="preserve">explícito, no como un valor predeterminado.</w:t>
      </w:r>
    </w:p>
    <w:bookmarkEnd w:id="590"/>
    <w:bookmarkEnd w:id="591"/>
    <w:bookmarkStart w:id="599" w:name="X5f7bacac88c7eb1c452db69614af410a4173f84"/>
    <w:p>
      <w:pPr>
        <w:pStyle w:val="Ttulo2"/>
        <w:spacing w:line="360" w:lineRule="auto"/>
        <w:jc w:val="both"/>
      </w:pPr>
      <w:r>
        <w:t xml:space="preserve">Apéndice D: Salidas estadísticas y trazabilidad</w:t>
      </w:r>
    </w:p>
    <w:p>
      <w:pPr>
        <w:pStyle w:val="FirstParagraph"/>
        <w:spacing w:line="360" w:lineRule="auto"/>
        <w:jc w:val="both"/>
      </w:pPr>
      <w:r>
        <w:t xml:space="preserve">Las tablas inferenciales usadas en el Capítulo 4 se generan desde</w:t>
      </w:r>
      <w:r>
        <w:t xml:space="preserve"> </w:t>
      </w:r>
      <w:r>
        <w:rPr>
          <w:rStyle w:val="VerbatimChar"/>
        </w:rPr>
        <w:t xml:space="preserve">scripts/run_exp2_statistical_analysis.py</w:t>
      </w:r>
      <w:r>
        <w:t xml:space="preserve"> </w:t>
      </w:r>
      <w:r>
        <w:t xml:space="preserve">y se exportan a</w:t>
      </w:r>
      <w:r>
        <w:t xml:space="preserve"> </w:t>
      </w:r>
      <w:r>
        <w:rPr>
          <w:rStyle w:val="VerbatimChar"/>
        </w:rPr>
        <w:t xml:space="preserve">outputs/analysis/paper_a_exp2_stats/</w:t>
      </w:r>
      <w:r>
        <w:t xml:space="preserve">. La</w:t>
      </w:r>
      <w:r>
        <w:t xml:space="preserve"> </w:t>
      </w:r>
      <w:hyperlink w:anchor="tbl-appendix-stat-outputs">
        <w:r>
          <w:rPr>
            <w:rStyle w:val="Hipervnculo"/>
          </w:rPr>
          <w:t xml:space="preserve">Tabla 7.12</w:t>
        </w:r>
      </w:hyperlink>
      <w:r>
        <w:t xml:space="preserve"> </w:t>
      </w:r>
      <w:r>
        <w:t xml:space="preserve">enumera</w:t>
      </w:r>
      <w:r>
        <w:t xml:space="preserve"> </w:t>
      </w:r>
      <w:r>
        <w:t xml:space="preserve">esas salidas.</w:t>
      </w:r>
    </w:p>
    <w:tbl>
      <w:tblPr>
        <w:tblStyle w:val="Table"/>
        <w:tblW w:type="pct" w:w="5000"/>
        <w:jc w:val="center"/>
        <w:tblLayout w:type="fixed"/>
        <w:tblLook w:firstRow="0" w:lastRow="0" w:firstColumn="0" w:lastColumn="0" w:noHBand="0" w:noVBand="0" w:val="0000"/>
      </w:tblPr>
      <w:tblGrid>
        <w:gridCol w:w="7920"/>
      </w:tblGrid>
      <w:tr>
        <w:tc>
          <w:tcPr/>
          <w:bookmarkStart w:id="592" w:name="tbl-appendix-stat-outputs"/>
          <w:p>
            <w:pPr>
              <w:pStyle w:val="ImageCaption"/>
              <w:spacing w:before="200" w:line="360" w:lineRule="auto"/>
              <w:jc w:val="center"/>
            </w:pPr>
            <w:r>
              <w:t xml:space="preserve">Tabla 7.12: Salidas estadísticas principales y uso en la tesis.</w:t>
            </w:r>
          </w:p>
          <w:tbl>
            <w:tblPr>
              <w:tblStyle w:val="Table"/>
              <w:tblW w:type="pct" w:w="500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Row="1" w:lastRow="0" w:firstColumn="0" w:lastColumn="0" w:noHBand="0" w:noVBand="0" w:val="0020"/>
            </w:tblPr>
            <w:tblGrid>
              <w:gridCol w:w="2640"/>
              <w:gridCol w:w="2640"/>
              <w:gridCol w:w="2640"/>
            </w:tblGrid>
            <w:tr>
              <w:trPr>
                <w:tblHeader w:val="on"/>
              </w:trPr>
              <w:tc>
                <w:tcPr/>
                <w:p>
                  <w:pPr>
                    <w:pStyle w:val="Compact"/>
                    <w:jc w:val="both"/>
                    <w:jc w:val="center"/>
                    <w:spacing w:line="360" w:lineRule="auto"/>
                  </w:pPr>
                  <w:r>
                    <w:rPr>
                      <w:bCs/>
                      <w:b/>
                    </w:rPr>
                    <w:t xml:space="preserve">Archivo</w:t>
                  </w:r>
                </w:p>
              </w:tc>
              <w:tc>
                <w:tcPr/>
                <w:p>
                  <w:pPr>
                    <w:pStyle w:val="Compact"/>
                    <w:jc w:val="both"/>
                    <w:jc w:val="center"/>
                    <w:spacing w:line="360" w:lineRule="auto"/>
                  </w:pPr>
                  <w:r>
                    <w:rPr>
                      <w:bCs/>
                      <w:b/>
                    </w:rPr>
                    <w:t xml:space="preserve">Contenido</w:t>
                  </w:r>
                </w:p>
              </w:tc>
              <w:tc>
                <w:tcPr/>
                <w:p>
                  <w:pPr>
                    <w:pStyle w:val="Compact"/>
                    <w:jc w:val="both"/>
                    <w:jc w:val="center"/>
                    <w:spacing w:line="360" w:lineRule="auto"/>
                  </w:pPr>
                  <w:r>
                    <w:rPr>
                      <w:bCs/>
                      <w:b/>
                    </w:rPr>
                    <w:t xml:space="preserve">Uso en tesis</w:t>
                  </w:r>
                </w:p>
              </w:tc>
            </w:tr>
            <w:tr>
              <w:tc>
                <w:tcPr/>
                <w:p>
                  <w:pPr>
                    <w:pStyle w:val="Compact"/>
                    <w:jc w:val="both"/>
                    <w:jc w:val="center"/>
                    <w:spacing w:line="360" w:lineRule="auto"/>
                  </w:pPr>
                  <w:r>
                    <w:rPr>
                      <w:rStyle w:val="VerbatimChar"/>
                    </w:rPr>
                    <w:t xml:space="preserve">friedman_results.csv</w:t>
                  </w:r>
                </w:p>
              </w:tc>
              <w:tc>
                <w:tcPr/>
                <w:p>
                  <w:pPr>
                    <w:pStyle w:val="Compact"/>
                    <w:jc w:val="both"/>
                    <w:jc w:val="center"/>
                    <w:spacing w:line="360" w:lineRule="auto"/>
                  </w:pPr>
                  <w:r>
                    <w:t xml:space="preserve">Estadísticos Friedman,</w:t>
                  </w:r>
                  <w:r>
                    <w:t xml:space="preserve"> </w:t>
                  </w:r>
                  <ns5:oMath>
                    <ns5:r>
                      <ns5:t>p</ns5:t>
                    </ns5:r>
                  </ns5:oMath>
                  <w:r>
                    <w:t xml:space="preserve"> </w:t>
                  </w:r>
                  <w:r>
                    <w:t xml:space="preserve">crudos,</w:t>
                  </w:r>
                  <w:r>
                    <w:t xml:space="preserve"> </w:t>
                  </w:r>
                  <ns5:oMath>
                    <ns5:sSub>
                      <ns5:e>
                        <ns5:r>
                          <ns5:t>p</ns5:t>
                        </ns5:r>
                      </ns5:e>
                      <ns5:sub>
                        <ns5:r>
                          <ns5:rPr>
                            <ns5:sty ns5:val="p"/>
                          </ns5:rPr>
                          <ns5:t>H</ns5:t>
                        </ns5:r>
                        <ns5:r>
                          <ns5:rPr>
                            <ns5:sty ns5:val="p"/>
                          </ns5:rPr>
                          <ns5:t>o</ns5:t>
                        </ns5:r>
                        <ns5:r>
                          <ns5:rPr>
                            <ns5:sty ns5:val="p"/>
                          </ns5:rPr>
                          <ns5:t>l</ns5:t>
                        </ns5:r>
                        <ns5:r>
                          <ns5:rPr>
                            <ns5:sty ns5:val="p"/>
                          </ns5:rPr>
                          <ns5:t>m</ns5:t>
                        </ns5:r>
                      </ns5:sub>
                    </ns5:sSub>
                  </ns5:oMath>
                  <w:r>
                    <w:t xml:space="preserve">, Kendall</w:t>
                  </w:r>
                  <w:r>
                    <w:t xml:space="preserve"> </w:t>
                  </w:r>
                  <ns5:oMath>
                    <ns5:r>
                      <ns5:t>W</ns5:t>
                    </ns5:r>
                  </ns5:oMath>
                </w:p>
              </w:tc>
              <w:tc>
                <w:tcPr/>
                <w:p>
                  <w:pPr>
                    <w:pStyle w:val="Compact"/>
                    <w:jc w:val="both"/>
                    <w:jc w:val="center"/>
                    <w:spacing w:line="360" w:lineRule="auto"/>
                  </w:pPr>
                  <w:r>
                    <w:t xml:space="preserve">H1 y H2</w:t>
                  </w:r>
                </w:p>
              </w:tc>
            </w:tr>
            <w:tr>
              <w:tc>
                <w:tcPr/>
                <w:p>
                  <w:pPr>
                    <w:pStyle w:val="Compact"/>
                    <w:jc w:val="both"/>
                    <w:jc w:val="center"/>
                    <w:spacing w:line="360" w:lineRule="auto"/>
                  </w:pPr>
                  <w:r>
                    <w:rPr>
                      <w:rStyle w:val="VerbatimChar"/>
                    </w:rPr>
                    <w:t xml:space="preserve">nemenyi_fidelity.csv</w:t>
                  </w:r>
                </w:p>
              </w:tc>
              <w:tc>
                <w:tcPr/>
                <w:p>
                  <w:pPr>
                    <w:pStyle w:val="Compact"/>
                    <w:jc w:val="both"/>
                    <w:jc w:val="center"/>
                    <w:spacing w:line="360" w:lineRule="auto"/>
                  </w:pPr>
                  <w:r>
                    <w:t xml:space="preserve">Comparaciones post-hoc para fidelidad</w:t>
                  </w:r>
                </w:p>
              </w:tc>
              <w:tc>
                <w:tcPr/>
                <w:p>
                  <w:pPr>
                    <w:pStyle w:val="Compact"/>
                    <w:jc w:val="both"/>
                    <w:jc w:val="center"/>
                    <w:spacing w:line="360" w:lineRule="auto"/>
                  </w:pPr>
                  <w:r>
                    <w:t xml:space="preserve">Localización de H1</w:t>
                  </w:r>
                </w:p>
              </w:tc>
            </w:tr>
            <w:tr>
              <w:tc>
                <w:tcPr/>
                <w:p>
                  <w:pPr>
                    <w:pStyle w:val="Compact"/>
                    <w:jc w:val="both"/>
                    <w:jc w:val="center"/>
                    <w:spacing w:line="360" w:lineRule="auto"/>
                  </w:pPr>
                  <w:r>
                    <w:rPr>
                      <w:rStyle w:val="VerbatimChar"/>
                    </w:rPr>
                    <w:t xml:space="preserve">nemenyi_stability.csv</w:t>
                  </w:r>
                </w:p>
              </w:tc>
              <w:tc>
                <w:tcPr/>
                <w:p>
                  <w:pPr>
                    <w:pStyle w:val="Compact"/>
                    <w:jc w:val="both"/>
                    <w:jc w:val="center"/>
                    <w:spacing w:line="360" w:lineRule="auto"/>
                  </w:pPr>
                  <w:r>
                    <w:t xml:space="preserve">Comparaciones post-hoc para estabilidad</w:t>
                  </w:r>
                </w:p>
              </w:tc>
              <w:tc>
                <w:tcPr/>
                <w:p>
                  <w:pPr>
                    <w:pStyle w:val="Compact"/>
                    <w:jc w:val="both"/>
                    <w:jc w:val="center"/>
                    <w:spacing w:line="360" w:lineRule="auto"/>
                  </w:pPr>
                  <w:r>
                    <w:t xml:space="preserve">Localización de H2</w:t>
                  </w:r>
                </w:p>
              </w:tc>
            </w:tr>
            <w:tr>
              <w:tc>
                <w:tcPr/>
                <w:p>
                  <w:pPr>
                    <w:pStyle w:val="Compact"/>
                    <w:jc w:val="both"/>
                    <w:jc w:val="center"/>
                    <w:spacing w:line="360" w:lineRule="auto"/>
                  </w:pPr>
                  <w:r>
                    <w:rPr>
                      <w:rStyle w:val="VerbatimChar"/>
                    </w:rPr>
                    <w:t xml:space="preserve">wilcoxon_shap_lime_all_models.csv</w:t>
                  </w:r>
                </w:p>
              </w:tc>
              <w:tc>
                <w:tcPr/>
                <w:p>
                  <w:pPr>
                    <w:pStyle w:val="Compact"/>
                    <w:jc w:val="both"/>
                    <w:jc w:val="center"/>
                    <w:spacing w:line="360" w:lineRule="auto"/>
                  </w:pPr>
                  <w:r>
                    <w:t xml:space="preserve">Wilcoxon pareado SHAP-LIME sobre 75 celdas</w:t>
                  </w:r>
                </w:p>
              </w:tc>
              <w:tc>
                <w:tcPr/>
                <w:p>
                  <w:pPr>
                    <w:pStyle w:val="Compact"/>
                    <w:jc w:val="both"/>
                    <w:jc w:val="center"/>
                    <w:spacing w:line="360" w:lineRule="auto"/>
                  </w:pPr>
                  <w:r>
                    <w:t xml:space="preserve">H3</w:t>
                  </w:r>
                </w:p>
              </w:tc>
            </w:tr>
            <w:tr>
              <w:tc>
                <w:tcPr/>
                <w:p>
                  <w:pPr>
                    <w:pStyle w:val="Compact"/>
                    <w:jc w:val="both"/>
                    <w:jc w:val="center"/>
                    <w:spacing w:line="360" w:lineRule="auto"/>
                  </w:pPr>
                  <w:r>
                    <w:rPr>
                      <w:rStyle w:val="VerbatimChar"/>
                    </w:rPr>
                    <w:t xml:space="preserve">paired_cells_shap_lime_all_models.csv</w:t>
                  </w:r>
                </w:p>
              </w:tc>
              <w:tc>
                <w:tcPr/>
                <w:p>
                  <w:pPr>
                    <w:pStyle w:val="Compact"/>
                    <w:jc w:val="both"/>
                    <w:jc w:val="center"/>
                    <w:spacing w:line="360" w:lineRule="auto"/>
                  </w:pPr>
                  <w:r>
                    <w:t xml:space="preserve">Celdas pareadas fuente de H3</w:t>
                  </w:r>
                </w:p>
              </w:tc>
              <w:tc>
                <w:tcPr/>
                <w:p>
                  <w:pPr>
                    <w:pStyle w:val="Compact"/>
                    <w:jc w:val="both"/>
                    <w:jc w:val="center"/>
                    <w:spacing w:line="360" w:lineRule="auto"/>
                  </w:pPr>
                  <w:r>
                    <w:t xml:space="preserve">Trazabilidad de diferencias pareadas</w:t>
                  </w:r>
                </w:p>
              </w:tc>
            </w:tr>
            <w:tr>
              <w:tc>
                <w:tcPr/>
                <w:p>
                  <w:pPr>
                    <w:pStyle w:val="Compact"/>
                    <w:jc w:val="both"/>
                    <w:jc w:val="center"/>
                    <w:spacing w:line="360" w:lineRule="auto"/>
                  </w:pPr>
                  <w:r>
                    <w:rPr>
                      <w:rStyle w:val="VerbatimChar"/>
                    </w:rPr>
                    <w:t xml:space="preserve">exp2_run_inventory.csv</w:t>
                  </w:r>
                </w:p>
              </w:tc>
              <w:tc>
                <w:tcPr/>
                <w:p>
                  <w:pPr>
                    <w:pStyle w:val="Compact"/>
                    <w:jc w:val="both"/>
                    <w:jc w:val="center"/>
                    <w:spacing w:line="360" w:lineRule="auto"/>
                  </w:pPr>
                  <w:r>
                    <w:t xml:space="preserve">Inventario de celdas y cobertura</w:t>
                  </w:r>
                </w:p>
              </w:tc>
              <w:tc>
                <w:tcPr/>
                <w:p>
                  <w:pPr>
                    <w:pStyle w:val="Compact"/>
                    <w:jc w:val="both"/>
                    <w:jc w:val="center"/>
                    <w:spacing w:line="360" w:lineRule="auto"/>
                  </w:pPr>
                  <w:r>
                    <w:t xml:space="preserve">Cobertura FOM-7</w:t>
                  </w:r>
                </w:p>
              </w:tc>
            </w:tr>
            <w:tr>
              <w:tc>
                <w:tcPr/>
                <w:p>
                  <w:pPr>
                    <w:pStyle w:val="Compact"/>
                    <w:jc w:val="both"/>
                    <w:jc w:val="center"/>
                    <w:spacing w:line="360" w:lineRule="auto"/>
                  </w:pPr>
                  <w:r>
                    <w:rPr>
                      <w:rStyle w:val="VerbatimChar"/>
                    </w:rPr>
                    <w:t xml:space="preserve">method_uncertainty_over_blocks.csv</w:t>
                  </w:r>
                </w:p>
              </w:tc>
              <w:tc>
                <w:tcPr/>
                <w:p>
                  <w:pPr>
                    <w:pStyle w:val="Compact"/>
                    <w:jc w:val="both"/>
                    <w:jc w:val="center"/>
                    <w:spacing w:line="360" w:lineRule="auto"/>
                  </w:pPr>
                  <w:r>
                    <w:t xml:space="preserve">Incertidumbre por método y bloque</w:t>
                  </w:r>
                </w:p>
              </w:tc>
              <w:tc>
                <w:tcPr/>
                <w:p>
                  <w:pPr>
                    <w:pStyle w:val="Compact"/>
                    <w:jc w:val="both"/>
                    <w:jc w:val="center"/>
                    <w:spacing w:line="360" w:lineRule="auto"/>
                  </w:pPr>
                  <w:r>
                    <w:t xml:space="preserve">Limitaciones por cobertura</w:t>
                  </w:r>
                </w:p>
              </w:tc>
            </w:tr>
          </w:tbl>
          <w:bookmarkEnd w:id="592"/>
          <w:p>
            <w:pPr>
              <w:spacing w:line="360" w:lineRule="auto"/>
              <w:jc w:val="both"/>
            </w:pPr>
          </w:p>
        </w:tc>
      </w:tr>
    </w:tbl>
    <w:p>
      <w:pPr>
        <w:pStyle w:val="Textoindependiente"/>
        <w:spacing w:line="360" w:lineRule="auto"/>
        <w:jc w:val="both"/>
      </w:pPr>
      <w:r>
        <w:t xml:space="preserve">Las secciones siguientes reproducen las tablas completas de los análisis</w:t>
      </w:r>
      <w:r>
        <w:t xml:space="preserve"> </w:t>
      </w:r>
      <w:r>
        <w:t xml:space="preserve">inferenciales para garantizar la auto-suficiencia documental de la tesis: la</w:t>
      </w:r>
      <w:r>
        <w:t xml:space="preserve"> </w:t>
      </w:r>
      <w:r>
        <w:t xml:space="preserve">prueba de Friedman (</w:t>
      </w:r>
      <w:hyperlink w:anchor="tbl-appendix-friedman-full">
        <w:r>
          <w:rPr>
            <w:rStyle w:val="Hipervnculo"/>
          </w:rPr>
          <w:t xml:space="preserve">Tabla 7.13</w:t>
        </w:r>
      </w:hyperlink>
      <w:r>
        <w:t xml:space="preserve">), las comparaciones de Nemenyi</w:t>
      </w:r>
      <w:r>
        <w:t xml:space="preserve"> </w:t>
      </w:r>
      <w:r>
        <w:t xml:space="preserve">(</w:t>
      </w:r>
      <w:hyperlink w:anchor="tbl-appendix-nemenyi-full">
        <w:r>
          <w:rPr>
            <w:rStyle w:val="Hipervnculo"/>
          </w:rPr>
          <w:t xml:space="preserve">Tabla 7.14</w:t>
        </w:r>
      </w:hyperlink>
      <w:r>
        <w:t xml:space="preserve">) y el análisis pareado de Wilcoxon</w:t>
      </w:r>
      <w:r>
        <w:t xml:space="preserve"> </w:t>
      </w:r>
      <w:r>
        <w:t xml:space="preserve">(</w:t>
      </w:r>
      <w:hyperlink w:anchor="tbl-appendix-wilcoxon-full">
        <w:r>
          <w:rPr>
            <w:rStyle w:val="Hipervnculo"/>
          </w:rPr>
          <w:t xml:space="preserve">Tabla 7.15</w:t>
        </w:r>
      </w:hyperlink>
      <w:r>
        <w:t xml:space="preserve">).</w:t>
      </w:r>
    </w:p>
    <w:bookmarkStart w:id="594" w:name="Xe3909ed8b3f47a476ee07b1fbdd59a863fdc536"/>
    <w:p>
      <w:pPr>
        <w:pStyle w:val="Ttulo3"/>
        <w:spacing w:line="360" w:lineRule="auto"/>
        <w:jc w:val="both"/>
      </w:pPr>
      <w:r>
        <w:t xml:space="preserve">D.1 Resultados completos de la prueba de Friedman</w:t>
      </w:r>
    </w:p>
    <w:tbl>
      <w:tblPr>
        <w:tblStyle w:val="Table"/>
        <w:tblW w:type="pct" w:w="5000"/>
        <w:jc w:val="center"/>
        <w:tblLayout w:type="fixed"/>
        <w:tblLook w:firstRow="0" w:lastRow="0" w:firstColumn="0" w:lastColumn="0" w:noHBand="0" w:noVBand="0" w:val="0000"/>
      </w:tblPr>
      <w:tblGrid>
        <w:gridCol w:w="7920"/>
      </w:tblGrid>
      <w:tr>
        <w:tc>
          <w:tcPr/>
          <w:bookmarkStart w:id="593" w:name="tbl-appendix-friedman-full"/>
          <w:p>
            <w:pPr>
              <w:pStyle w:val="ImageCaption"/>
              <w:spacing w:before="200" w:line="360" w:lineRule="auto"/>
              <w:jc w:val="center"/>
            </w:pPr>
            <w:r>
              <w:t xml:space="preserve">Tabla 7.13: Resultados completos de la prueba de Friedman por métrica (</w:t>
            </w:r>
            <ns5:oMath>
              <ns5:r>
                <ns5:t>α</ns5:t>
              </ns5:r>
              <ns5:r>
                <ns5:rPr>
                  <ns5:sty ns5:val="p"/>
                </ns5:rPr>
                <ns5:t>=</ns5:t>
              </ns5:r>
              <ns5:r>
                <ns5:t>0.05</ns5:t>
              </ns5:r>
            </ns5:oMath>
            <w:r>
              <w:t xml:space="preserve">;</w:t>
            </w:r>
            <w:r>
              <w:t xml:space="preserve"> </w:t>
            </w:r>
            <ns5:oMath>
              <ns5:sSubSup>
                <ns5:e>
                  <ns5:r>
                    <ns5:t>χ</ns5:t>
                  </ns5:r>
                </ns5:e>
                <ns5:sub>
                  <ns5:r>
                    <ns5:t>c</ns5:t>
                  </ns5:r>
                  <ns5:r>
                    <ns5:t>r</ns5:t>
                  </ns5:r>
                  <ns5:r>
                    <ns5:t>i</ns5:t>
                  </ns5:r>
                  <ns5:r>
                    <ns5:t>t</ns5:t>
                  </ns5:r>
                </ns5:sub>
                <ns5:sup>
                  <ns5:r>
                    <ns5:t>2</ns5:t>
                  </ns5:r>
                </ns5:sup>
              </ns5:sSubSup>
              <ns5:r>
                <ns5:rPr>
                  <ns5:sty ns5:val="p"/>
                </ns5:rPr>
                <ns5:t>(</ns5:t>
              </ns5:r>
              <ns5:r>
                <ns5:t>3</ns5:t>
              </ns5:r>
              <ns5:r>
                <ns5:rPr>
                  <ns5:sty ns5:val="p"/>
                </ns5:rPr>
                <ns5:t>)</ns5:t>
              </ns5:r>
              <ns5:r>
                <ns5:rPr>
                  <ns5:sty ns5:val="p"/>
                </ns5:rPr>
                <ns5:t>=</ns5:t>
              </ns5:r>
              <ns5:r>
                <ns5:t>7.815</ns5:t>
              </ns5:r>
            </ns5:oMath>
            <w:r>
              <w:t xml:space="preserve">). Valores</w:t>
            </w:r>
            <w:r>
              <w:t xml:space="preserve"> </w:t>
            </w:r>
            <ns5:oMath>
              <ns5:r>
                <ns5:t>p</ns5:t>
              </ns5:r>
            </ns5:oMath>
            <w:r>
              <w:t xml:space="preserve"> </w:t>
            </w:r>
            <w:r>
              <w:t xml:space="preserve">crudos y ajustados extraídos de</w:t>
            </w:r>
            <w:r>
              <w:t xml:space="preserve"> </w:t>
            </w:r>
            <w:r>
              <w:rPr>
                <w:rStyle w:val="VerbatimChar"/>
              </w:rPr>
              <w:t xml:space="preserve">outputs/analysis/paper_a_exp2_stats/friedman_results.csv</w:t>
            </w:r>
            <w:r>
              <w:t xml:space="preserve">.</w:t>
            </w:r>
            <w:r>
              <w:t xml:space="preserve"> </w:t>
            </w:r>
          </w:p>
          <w:tbl>
            <w:tblPr>
              <w:tblStyle w:val="Table"/>
              <w:tblW w:type="pct" w:w="500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both"/>
                    <w:jc w:val="center"/>
                    <w:spacing w:line="360" w:lineRule="auto"/>
                  </w:pPr>
                  <w:r>
                    <w:rPr>
                      <w:bCs/>
                      <w:b/>
                    </w:rPr>
                    <w:t xml:space="preserve">Métrica</w:t>
                  </w:r>
                </w:p>
              </w:tc>
              <w:tc>
                <w:tcPr/>
                <w:p>
                  <w:pPr>
                    <w:pStyle w:val="Compact"/>
                    <w:jc w:val="both"/>
                    <w:jc w:val="center"/>
                    <w:spacing w:line="360" w:lineRule="auto"/>
                  </w:pPr>
                  <ns5:oMath>
                    <ns5:r>
                      <ns5:t>n</ns5:t>
                    </ns5:r>
                  </ns5:oMath>
                  <w:r>
                    <w:rPr>
                      <w:bCs/>
                      <w:b/>
                    </w:rPr>
                    <w:t xml:space="preserve"> </w:t>
                  </w:r>
                  <w:r>
                    <w:rPr>
                      <w:bCs/>
                      <w:b/>
                    </w:rPr>
                    <w:t xml:space="preserve">bloques</w:t>
                  </w:r>
                </w:p>
              </w:tc>
              <w:tc>
                <w:tcPr/>
                <w:p>
                  <w:pPr>
                    <w:pStyle w:val="Compact"/>
                    <w:jc w:val="both"/>
                    <w:jc w:val="center"/>
                    <w:spacing w:line="360" w:lineRule="auto"/>
                  </w:pPr>
                  <ns5:oMath>
                    <ns5:r>
                      <ns5:t>k</ns5:t>
                    </ns5:r>
                  </ns5:oMath>
                  <w:r>
                    <w:rPr>
                      <w:bCs/>
                      <w:b/>
                    </w:rPr>
                    <w:t xml:space="preserve"> </w:t>
                  </w:r>
                  <w:r>
                    <w:rPr>
                      <w:bCs/>
                      <w:b/>
                    </w:rPr>
                    <w:t xml:space="preserve">métodos</w:t>
                  </w:r>
                </w:p>
              </w:tc>
              <w:tc>
                <w:tcPr/>
                <w:p>
                  <w:pPr>
                    <w:pStyle w:val="Compact"/>
                    <w:jc w:val="both"/>
                    <w:jc w:val="center"/>
                    <w:spacing w:line="360" w:lineRule="auto"/>
                  </w:pPr>
                  <ns5:oMath>
                    <ns5:sSubSup>
                      <ns5:e>
                        <ns5:r>
                          <ns5:t>χ</ns5:t>
                        </ns5:r>
                      </ns5:e>
                      <ns5:sub>
                        <ns5:r>
                          <ns5:t>F</ns5:t>
                        </ns5:r>
                      </ns5:sub>
                      <ns5:sup>
                        <ns5:r>
                          <ns5:t>2</ns5:t>
                        </ns5:r>
                      </ns5:sup>
                    </ns5:sSubSup>
                  </ns5:oMath>
                  <w:r>
                    <w:rPr>
                      <w:bCs/>
                      <w:b/>
                    </w:rPr>
                    <w:t xml:space="preserve">​</w:t>
                  </w:r>
                </w:p>
              </w:tc>
              <w:tc>
                <w:tcPr/>
                <w:p>
                  <w:pPr>
                    <w:pStyle w:val="Compact"/>
                    <w:jc w:val="both"/>
                    <w:jc w:val="center"/>
                    <w:spacing w:line="360" w:lineRule="auto"/>
                  </w:pPr>
                  <ns5:oMath>
                    <ns5:r>
                      <ns5:t>g</ns5:t>
                    </ns5:r>
                    <ns5:r>
                      <ns5:t>l</ns5:t>
                    </ns5:r>
                  </ns5:oMath>
                  <w:r>
                    <w:rPr>
                      <w:bCs/>
                      <w:b/>
                    </w:rPr>
                    <w:t xml:space="preserve">​</w:t>
                  </w:r>
                </w:p>
              </w:tc>
              <w:tc>
                <w:tcPr/>
                <w:p>
                  <w:pPr>
                    <w:pStyle w:val="Compact"/>
                    <w:jc w:val="both"/>
                    <w:jc w:val="center"/>
                    <w:spacing w:line="360" w:lineRule="auto"/>
                  </w:pPr>
                  <ns5:oMath>
                    <ns5:r>
                      <ns5:t>p</ns5:t>
                    </ns5:r>
                  </ns5:oMath>
                  <w:r>
                    <w:rPr>
                      <w:bCs/>
                      <w:b/>
                    </w:rPr>
                    <w:t xml:space="preserve"> </w:t>
                  </w:r>
                  <w:r>
                    <w:rPr>
                      <w:bCs/>
                      <w:b/>
                    </w:rPr>
                    <w:t xml:space="preserve">(crudo)</w:t>
                  </w:r>
                </w:p>
              </w:tc>
              <w:tc>
                <w:tcPr/>
                <w:p>
                  <w:pPr>
                    <w:pStyle w:val="Compact"/>
                    <w:jc w:val="both"/>
                    <w:jc w:val="center"/>
                    <w:spacing w:line="360" w:lineRule="auto"/>
                  </w:pPr>
                  <ns5:oMath>
                    <ns5:sSub>
                      <ns5:e>
                        <ns5:r>
                          <ns5:t>p</ns5:t>
                        </ns5:r>
                      </ns5:e>
                      <ns5:sub>
                        <ns5:r>
                          <ns5:rPr>
                            <ns5:sty ns5:val="p"/>
                          </ns5:rPr>
                          <ns5:t>H</ns5:t>
                        </ns5:r>
                        <ns5:r>
                          <ns5:rPr>
                            <ns5:sty ns5:val="p"/>
                          </ns5:rPr>
                          <ns5:t>o</ns5:t>
                        </ns5:r>
                        <ns5:r>
                          <ns5:rPr>
                            <ns5:sty ns5:val="p"/>
                          </ns5:rPr>
                          <ns5:t>l</ns5:t>
                        </ns5:r>
                        <ns5:r>
                          <ns5:rPr>
                            <ns5:sty ns5:val="p"/>
                          </ns5:rPr>
                          <ns5:t>m</ns5:t>
                        </ns5:r>
                      </ns5:sub>
                    </ns5:sSub>
                  </ns5:oMath>
                  <w:r>
                    <w:rPr>
                      <w:bCs/>
                      <w:b/>
                    </w:rPr>
                    <w:t xml:space="preserve">​</w:t>
                  </w:r>
                </w:p>
              </w:tc>
              <w:tc>
                <w:tcPr/>
                <w:p>
                  <w:pPr>
                    <w:pStyle w:val="Compact"/>
                    <w:jc w:val="both"/>
                    <w:jc w:val="center"/>
                    <w:spacing w:line="360" w:lineRule="auto"/>
                  </w:pPr>
                  <w:r>
                    <w:rPr>
                      <w:bCs/>
                      <w:b/>
                    </w:rPr>
                    <w:t xml:space="preserve">Kendall</w:t>
                  </w:r>
                  <w:r>
                    <w:rPr>
                      <w:bCs/>
                      <w:b/>
                    </w:rPr>
                    <w:t xml:space="preserve"> </w:t>
                  </w:r>
                  <ns5:oMath>
                    <ns5:r>
                      <ns5:t>W</ns5:t>
                    </ns5:r>
                  </ns5:oMath>
                </w:p>
              </w:tc>
              <w:tc>
                <w:tcPr/>
                <w:p>
                  <w:pPr>
                    <w:pStyle w:val="Compact"/>
                    <w:jc w:val="both"/>
                    <w:jc w:val="center"/>
                    <w:spacing w:line="360" w:lineRule="auto"/>
                  </w:pPr>
                  <w:r>
                    <w:rPr>
                      <w:bCs/>
                      <w:b/>
                    </w:rPr>
                    <w:t xml:space="preserve">Decisión</w:t>
                  </w:r>
                </w:p>
              </w:tc>
            </w:tr>
            <w:tr>
              <w:tc>
                <w:tcPr/>
                <w:p>
                  <w:pPr>
                    <w:pStyle w:val="Compact"/>
                    <w:jc w:val="both"/>
                    <w:jc w:val="center"/>
                    <w:spacing w:line="360" w:lineRule="auto"/>
                  </w:pPr>
                  <w:r>
                    <w:t xml:space="preserve">Fidelidad</w:t>
                  </w:r>
                </w:p>
              </w:tc>
              <w:tc>
                <w:tcPr/>
                <w:p>
                  <w:pPr>
                    <w:pStyle w:val="Compact"/>
                    <w:jc w:val="both"/>
                    <w:jc w:val="center"/>
                    <w:spacing w:line="360" w:lineRule="auto"/>
                  </w:pPr>
                  <w:r>
                    <w:t xml:space="preserve">15</w:t>
                  </w:r>
                </w:p>
              </w:tc>
              <w:tc>
                <w:tcPr/>
                <w:p>
                  <w:pPr>
                    <w:pStyle w:val="Compact"/>
                    <w:jc w:val="both"/>
                    <w:jc w:val="center"/>
                    <w:spacing w:line="360" w:lineRule="auto"/>
                  </w:pPr>
                  <w:r>
                    <w:t xml:space="preserve">4</w:t>
                  </w:r>
                </w:p>
              </w:tc>
              <w:tc>
                <w:tcPr/>
                <w:p>
                  <w:pPr>
                    <w:pStyle w:val="Compact"/>
                    <w:jc w:val="both"/>
                    <w:jc w:val="center"/>
                    <w:spacing w:line="360" w:lineRule="auto"/>
                  </w:pPr>
                  <w:r>
                    <w:t xml:space="preserve">42.12</w:t>
                  </w:r>
                </w:p>
              </w:tc>
              <w:tc>
                <w:tcPr/>
                <w:p>
                  <w:pPr>
                    <w:pStyle w:val="Compact"/>
                    <w:jc w:val="both"/>
                    <w:jc w:val="center"/>
                    <w:spacing w:line="360" w:lineRule="auto"/>
                  </w:pPr>
                  <w:r>
                    <w:t xml:space="preserve">3</w:t>
                  </w:r>
                </w:p>
              </w:tc>
              <w:tc>
                <w:tcPr/>
                <w:p>
                  <w:pPr>
                    <w:pStyle w:val="Compact"/>
                    <w:jc w:val="both"/>
                    <w:jc w:val="center"/>
                    <w:spacing w:line="360" w:lineRule="auto"/>
                  </w:pPr>
                  <ns5:oMath>
                    <ns5:r>
                      <ns5:t>3.78</ns5:t>
                    </ns5:r>
                    <ns5:r>
                      <ns5:rPr>
                        <ns5:sty ns5:val="p"/>
                      </ns5:rPr>
                      <ns5:t>×</ns5:t>
                    </ns5:r>
                    <ns5:sSup>
                      <ns5:e>
                        <ns5:r>
                          <ns5:t>10</ns5:t>
                        </ns5:r>
                      </ns5:e>
                      <ns5:sup>
                        <ns5:r>
                          <ns5:rPr>
                            <ns5:sty ns5:val="p"/>
                          </ns5:rPr>
                          <ns5:t>−</ns5:t>
                        </ns5:r>
                        <ns5:r>
                          <ns5:t>9</ns5:t>
                        </ns5:r>
                      </ns5:sup>
                    </ns5:sSup>
                  </ns5:oMath>
                  <w:r>
                    <w:t xml:space="preserve">​</w:t>
                  </w:r>
                </w:p>
              </w:tc>
              <w:tc>
                <w:tcPr/>
                <w:p>
                  <w:pPr>
                    <w:pStyle w:val="Compact"/>
                    <w:jc w:val="both"/>
                    <w:jc w:val="center"/>
                    <w:spacing w:line="360" w:lineRule="auto"/>
                  </w:pPr>
                  <ns5:oMath>
                    <ns5:r>
                      <ns5:t>1.51</ns5:t>
                    </ns5:r>
                    <ns5:r>
                      <ns5:rPr>
                        <ns5:sty ns5:val="p"/>
                      </ns5:rPr>
                      <ns5:t>×</ns5:t>
                    </ns5:r>
                    <ns5:sSup>
                      <ns5:e>
                        <ns5:r>
                          <ns5:t>10</ns5:t>
                        </ns5:r>
                      </ns5:e>
                      <ns5:sup>
                        <ns5:r>
                          <ns5:rPr>
                            <ns5:sty ns5:val="p"/>
                          </ns5:rPr>
                          <ns5:t>−</ns5:t>
                        </ns5:r>
                        <ns5:r>
                          <ns5:t>8</ns5:t>
                        </ns5:r>
                      </ns5:sup>
                    </ns5:sSup>
                  </ns5:oMath>
                  <w:r>
                    <w:t xml:space="preserve">​</w:t>
                  </w:r>
                </w:p>
              </w:tc>
              <w:tc>
                <w:tcPr/>
                <w:p>
                  <w:pPr>
                    <w:pStyle w:val="Compact"/>
                    <w:jc w:val="both"/>
                    <w:jc w:val="center"/>
                    <w:spacing w:line="360" w:lineRule="auto"/>
                  </w:pPr>
                  <w:r>
                    <w:t xml:space="preserve">0.936</w:t>
                  </w:r>
                </w:p>
              </w:tc>
              <w:tc>
                <w:tcPr/>
                <w:p>
                  <w:pPr>
                    <w:pStyle w:val="Compact"/>
                    <w:jc w:val="both"/>
                    <w:jc w:val="center"/>
                    <w:spacing w:line="360" w:lineRule="auto"/>
                  </w:pPr>
                  <w:r>
                    <w:t xml:space="preserve">Rechazar</w:t>
                  </w:r>
                  <w:r>
                    <w:t xml:space="preserve"> </w:t>
                  </w:r>
                  <ns5:oMath>
                    <ns5:sSub>
                      <ns5:e>
                        <ns5:r>
                          <ns5:t>H</ns5:t>
                        </ns5:r>
                      </ns5:e>
                      <ns5:sub>
                        <ns5:r>
                          <ns5:t>0</ns5:t>
                        </ns5:r>
                        <ns5:r>
                          <ns5:rPr>
                            <ns5:sty ns5:val="p"/>
                          </ns5:rPr>
                          <ns5:t>,</ns5:t>
                        </ns5:r>
                        <ns5:r>
                          <ns5:t>1</ns5:t>
                        </ns5:r>
                      </ns5:sub>
                    </ns5:sSub>
                  </ns5:oMath>
                </w:p>
              </w:tc>
            </w:tr>
            <w:tr>
              <w:tc>
                <w:tcPr/>
                <w:p>
                  <w:pPr>
                    <w:pStyle w:val="Compact"/>
                    <w:jc w:val="both"/>
                    <w:jc w:val="center"/>
                    <w:spacing w:line="360" w:lineRule="auto"/>
                  </w:pPr>
                  <w:r>
                    <w:t xml:space="preserve">Estabilidad</w:t>
                  </w:r>
                </w:p>
              </w:tc>
              <w:tc>
                <w:tcPr/>
                <w:p>
                  <w:pPr>
                    <w:pStyle w:val="Compact"/>
                    <w:jc w:val="both"/>
                    <w:jc w:val="center"/>
                    <w:spacing w:line="360" w:lineRule="auto"/>
                  </w:pPr>
                  <w:r>
                    <w:t xml:space="preserve">15</w:t>
                  </w:r>
                </w:p>
              </w:tc>
              <w:tc>
                <w:tcPr/>
                <w:p>
                  <w:pPr>
                    <w:pStyle w:val="Compact"/>
                    <w:jc w:val="both"/>
                    <w:jc w:val="center"/>
                    <w:spacing w:line="360" w:lineRule="auto"/>
                  </w:pPr>
                  <w:r>
                    <w:t xml:space="preserve">4</w:t>
                  </w:r>
                </w:p>
              </w:tc>
              <w:tc>
                <w:tcPr/>
                <w:p>
                  <w:pPr>
                    <w:pStyle w:val="Compact"/>
                    <w:jc w:val="both"/>
                    <w:jc w:val="center"/>
                    <w:spacing w:line="360" w:lineRule="auto"/>
                  </w:pPr>
                  <w:r>
                    <w:t xml:space="preserve">40.68</w:t>
                  </w:r>
                </w:p>
              </w:tc>
              <w:tc>
                <w:tcPr/>
                <w:p>
                  <w:pPr>
                    <w:pStyle w:val="Compact"/>
                    <w:jc w:val="both"/>
                    <w:jc w:val="center"/>
                    <w:spacing w:line="360" w:lineRule="auto"/>
                  </w:pPr>
                  <w:r>
                    <w:t xml:space="preserve">3</w:t>
                  </w:r>
                </w:p>
              </w:tc>
              <w:tc>
                <w:tcPr/>
                <w:p>
                  <w:pPr>
                    <w:pStyle w:val="Compact"/>
                    <w:jc w:val="both"/>
                    <w:jc w:val="center"/>
                    <w:spacing w:line="360" w:lineRule="auto"/>
                  </w:pPr>
                  <ns5:oMath>
                    <ns5:r>
                      <ns5:t>7.65</ns5:t>
                    </ns5:r>
                    <ns5:r>
                      <ns5:rPr>
                        <ns5:sty ns5:val="p"/>
                      </ns5:rPr>
                      <ns5:t>×</ns5:t>
                    </ns5:r>
                    <ns5:sSup>
                      <ns5:e>
                        <ns5:r>
                          <ns5:t>10</ns5:t>
                        </ns5:r>
                      </ns5:e>
                      <ns5:sup>
                        <ns5:r>
                          <ns5:rPr>
                            <ns5:sty ns5:val="p"/>
                          </ns5:rPr>
                          <ns5:t>−</ns5:t>
                        </ns5:r>
                        <ns5:r>
                          <ns5:t>9</ns5:t>
                        </ns5:r>
                      </ns5:sup>
                    </ns5:sSup>
                  </ns5:oMath>
                  <w:r>
                    <w:t xml:space="preserve">​</w:t>
                  </w:r>
                </w:p>
              </w:tc>
              <w:tc>
                <w:tcPr/>
                <w:p>
                  <w:pPr>
                    <w:pStyle w:val="Compact"/>
                    <w:jc w:val="both"/>
                    <w:jc w:val="center"/>
                    <w:spacing w:line="360" w:lineRule="auto"/>
                  </w:pPr>
                  <ns5:oMath>
                    <ns5:r>
                      <ns5:t>2.29</ns5:t>
                    </ns5:r>
                    <ns5:r>
                      <ns5:rPr>
                        <ns5:sty ns5:val="p"/>
                      </ns5:rPr>
                      <ns5:t>×</ns5:t>
                    </ns5:r>
                    <ns5:sSup>
                      <ns5:e>
                        <ns5:r>
                          <ns5:t>10</ns5:t>
                        </ns5:r>
                      </ns5:e>
                      <ns5:sup>
                        <ns5:r>
                          <ns5:rPr>
                            <ns5:sty ns5:val="p"/>
                          </ns5:rPr>
                          <ns5:t>−</ns5:t>
                        </ns5:r>
                        <ns5:r>
                          <ns5:t>8</ns5:t>
                        </ns5:r>
                      </ns5:sup>
                    </ns5:sSup>
                  </ns5:oMath>
                  <w:r>
                    <w:t xml:space="preserve">​</w:t>
                  </w:r>
                </w:p>
              </w:tc>
              <w:tc>
                <w:tcPr/>
                <w:p>
                  <w:pPr>
                    <w:pStyle w:val="Compact"/>
                    <w:jc w:val="both"/>
                    <w:jc w:val="center"/>
                    <w:spacing w:line="360" w:lineRule="auto"/>
                  </w:pPr>
                  <w:r>
                    <w:t xml:space="preserve">0.904</w:t>
                  </w:r>
                </w:p>
              </w:tc>
              <w:tc>
                <w:tcPr/>
                <w:p>
                  <w:pPr>
                    <w:pStyle w:val="Compact"/>
                    <w:jc w:val="both"/>
                    <w:jc w:val="center"/>
                    <w:spacing w:line="360" w:lineRule="auto"/>
                  </w:pPr>
                  <w:r>
                    <w:t xml:space="preserve">Rechazar</w:t>
                  </w:r>
                  <w:r>
                    <w:t xml:space="preserve"> </w:t>
                  </w:r>
                  <ns5:oMath>
                    <ns5:sSub>
                      <ns5:e>
                        <ns5:r>
                          <ns5:t>H</ns5:t>
                        </ns5:r>
                      </ns5:e>
                      <ns5:sub>
                        <ns5:r>
                          <ns5:t>0</ns5:t>
                        </ns5:r>
                        <ns5:r>
                          <ns5:rPr>
                            <ns5:sty ns5:val="p"/>
                          </ns5:rPr>
                          <ns5:t>,</ns5:t>
                        </ns5:r>
                        <ns5:r>
                          <ns5:t>2</ns5:t>
                        </ns5:r>
                      </ns5:sub>
                    </ns5:sSub>
                  </ns5:oMath>
                </w:p>
              </w:tc>
            </w:tr>
          </w:tbl>
          <w:bookmarkEnd w:id="593"/>
          <w:p>
            <w:pPr>
              <w:spacing w:line="360" w:lineRule="auto"/>
              <w:jc w:val="both"/>
            </w:pPr>
          </w:p>
        </w:tc>
      </w:tr>
    </w:tbl>
    <w:p>
      <w:pPr>
        <w:pStyle w:val="Textoindependiente"/>
        <w:spacing w:line="360" w:lineRule="auto"/>
        <w:jc w:val="both"/>
      </w:pPr>
      <w:r>
        <w:t xml:space="preserve">Valor crítico para</w:t>
      </w:r>
      <w:r>
        <w:t xml:space="preserve"> </w:t>
      </w:r>
      <ns5:oMath>
        <ns5:r>
          <ns5:t>α</ns5:t>
        </ns5:r>
        <ns5:r>
          <ns5:rPr>
            <ns5:sty ns5:val="p"/>
          </ns5:rPr>
          <ns5:t>=</ns5:t>
        </ns5:r>
        <ns5:r>
          <ns5:t>0.05</ns5:t>
        </ns5:r>
      </ns5:oMath>
      <w:r>
        <w:t xml:space="preserve">,</w:t>
      </w:r>
      <w:r>
        <w:t xml:space="preserve"> </w:t>
      </w:r>
      <ns5:oMath>
        <ns5:r>
          <ns5:t>g</ns5:t>
        </ns5:r>
        <ns5:r>
          <ns5:t>l</ns5:t>
        </ns5:r>
        <ns5:r>
          <ns5:rPr>
            <ns5:sty ns5:val="p"/>
          </ns5:rPr>
          <ns5:t>=</ns5:t>
        </ns5:r>
        <ns5:r>
          <ns5:t>3</ns5:t>
        </ns5:r>
      </ns5:oMath>
      <w:r>
        <w:t xml:space="preserve">:</w:t>
      </w:r>
      <w:r>
        <w:t xml:space="preserve"> </w:t>
      </w:r>
      <ns5:oMath>
        <ns5:sSubSup>
          <ns5:e>
            <ns5:r>
              <ns5:t>χ</ns5:t>
            </ns5:r>
          </ns5:e>
          <ns5:sub>
            <ns5:r>
              <ns5:t>c</ns5:t>
            </ns5:r>
            <ns5:r>
              <ns5:t>r</ns5:t>
            </ns5:r>
            <ns5:r>
              <ns5:t>i</ns5:t>
            </ns5:r>
            <ns5:r>
              <ns5:t>t</ns5:t>
            </ns5:r>
          </ns5:sub>
          <ns5:sup>
            <ns5:r>
              <ns5:t>2</ns5:t>
            </ns5:r>
          </ns5:sup>
        </ns5:sSubSup>
        <ns5:r>
          <ns5:rPr>
            <ns5:sty ns5:val="p"/>
          </ns5:rPr>
          <ns5:t>=</ns5:t>
        </ns5:r>
        <ns5:r>
          <ns5:t>7.815</ns5:t>
        </ns5:r>
      </ns5:oMath>
      <w:r>
        <w:t xml:space="preserve">. Margen</w:t>
      </w:r>
      <w:r>
        <w:t xml:space="preserve"> </w:t>
      </w:r>
      <w:r>
        <w:t xml:space="preserve">de seguridad: fidelidad = 439%, estabilidad = 421%. La corrección</w:t>
      </w:r>
      <w:r>
        <w:t xml:space="preserve"> </w:t>
      </w:r>
      <w:r>
        <w:t xml:space="preserve">Holm-Bonferroni se aplica sobre la familia inferencial completa del test omnibus</w:t>
      </w:r>
      <w:r>
        <w:t xml:space="preserve"> </w:t>
      </w:r>
      <w:r>
        <w:t xml:space="preserve">—las cinco métricas primarias evaluadas mediante Friedman, conforme al plan</w:t>
      </w:r>
      <w:r>
        <w:t xml:space="preserve"> </w:t>
      </w:r>
      <w:r>
        <w:t xml:space="preserve">declarado en la</w:t>
      </w:r>
      <w:r>
        <w:t xml:space="preserve"> </w:t>
      </w:r>
      <w:hyperlink w:anchor="tbl-stat-plan">
        <w:r>
          <w:rPr>
            <w:rStyle w:val="Hipervnculo"/>
          </w:rPr>
          <w:t xml:space="preserve">Tabla 3.6</w:t>
        </w:r>
      </w:hyperlink>
      <w:r>
        <w:t xml:space="preserve"> </w:t>
      </w:r>
      <w:r>
        <w:t xml:space="preserve">del Capítulo 3— y no únicamente sobre H1 y H2. El</w:t>
      </w:r>
      <w:r>
        <w:t xml:space="preserve"> </w:t>
      </w:r>
      <w:r>
        <w:t xml:space="preserve">factor de ajuste correspondiente a cada métrica depende, por tanto, de su</w:t>
      </w:r>
      <w:r>
        <w:t xml:space="preserve"> </w:t>
      </w:r>
      <w:r>
        <w:t xml:space="preserve">posición en el orden creciente de los cinco valores</w:t>
      </w:r>
      <w:r>
        <w:t xml:space="preserve"> </w:t>
      </w:r>
      <ns5:oMath>
        <ns5:r>
          <ns5:t>p</ns5:t>
        </ns5:r>
      </ns5:oMath>
      <w:r>
        <w:t xml:space="preserve">: la fidelidad, con el</w:t>
      </w:r>
      <w:r>
        <w:t xml:space="preserve"> </w:t>
      </w:r>
      <ns5:oMath>
        <ns5:r>
          <ns5:t>p</ns5:t>
        </ns5:r>
      </ns5:oMath>
      <w:r>
        <w:t xml:space="preserve"> </w:t>
      </w:r>
      <w:r>
        <w:t xml:space="preserve">crudo menor, recibe el factor</w:t>
      </w:r>
      <w:r>
        <w:t xml:space="preserve"> </w:t>
      </w:r>
      <ns5:oMath>
        <ns5:r>
          <ns5:t>m</ns5:t>
        </ns5:r>
        <ns5:r>
          <ns5:rPr>
            <ns5:sty ns5:val="p"/>
          </ns5:rPr>
          <ns5:t>=</ns5:t>
        </ns5:r>
        <ns5:r>
          <ns5:t>4</ns5:t>
        </ns5:r>
      </ns5:oMath>
      <w:r>
        <w:t xml:space="preserve"> </w:t>
      </w:r>
      <w:r>
        <w:t xml:space="preserve">(</w:t>
      </w:r>
      <ns5:oMath>
        <ns5:r>
          <ns5:t>3.78</ns5:t>
        </ns5:r>
        <ns5:r>
          <ns5:rPr>
            <ns5:sty ns5:val="p"/>
          </ns5:rPr>
          <ns5:t>×</ns5:t>
        </ns5:r>
        <ns5:sSup>
          <ns5:e>
            <ns5:r>
              <ns5:t>10</ns5:t>
            </ns5:r>
          </ns5:e>
          <ns5:sup>
            <ns5:r>
              <ns5:rPr>
                <ns5:sty ns5:val="p"/>
              </ns5:rPr>
              <ns5:t>−</ns5:t>
            </ns5:r>
            <ns5:r>
              <ns5:t>9</ns5:t>
            </ns5:r>
          </ns5:sup>
        </ns5:sSup>
        <ns5:r>
          <ns5:rPr>
            <ns5:sty ns5:val="p"/>
          </ns5:rPr>
          <ns5:t>×</ns5:t>
        </ns5:r>
        <ns5:r>
          <ns5:t>4</ns5:t>
        </ns5:r>
        <ns5:r>
          <ns5:rPr>
            <ns5:sty ns5:val="p"/>
          </ns5:rPr>
          <ns5:t>=</ns5:t>
        </ns5:r>
        <ns5:r>
          <ns5:t>1.51</ns5:t>
        </ns5:r>
        <ns5:r>
          <ns5:rPr>
            <ns5:sty ns5:val="p"/>
          </ns5:rPr>
          <ns5:t>×</ns5:t>
        </ns5:r>
        <ns5:sSup>
          <ns5:e>
            <ns5:r>
              <ns5:t>10</ns5:t>
            </ns5:r>
          </ns5:e>
          <ns5:sup>
            <ns5:r>
              <ns5:rPr>
                <ns5:sty ns5:val="p"/>
              </ns5:rPr>
              <ns5:t>−</ns5:t>
            </ns5:r>
            <ns5:r>
              <ns5:t>8</ns5:t>
            </ns5:r>
          </ns5:sup>
        </ns5:sSup>
      </ns5:oMath>
      <w:r>
        <w:t xml:space="preserve">) y la estabilidad, la siguiente en orden, el factor</w:t>
      </w:r>
      <w:r>
        <w:t xml:space="preserve"> </w:t>
      </w:r>
      <ns5:oMath>
        <ns5:r>
          <ns5:t>m</ns5:t>
        </ns5:r>
        <ns5:r>
          <ns5:rPr>
            <ns5:sty ns5:val="p"/>
          </ns5:rPr>
          <ns5:t>=</ns5:t>
        </ns5:r>
        <ns5:r>
          <ns5:t>3</ns5:t>
        </ns5:r>
      </ns5:oMath>
      <w:r>
        <w:t xml:space="preserve"> </w:t>
      </w:r>
      <w:r>
        <w:t xml:space="preserve">(</w:t>
      </w:r>
      <ns5:oMath>
        <ns5:r>
          <ns5:t>7.65</ns5:t>
        </ns5:r>
        <ns5:r>
          <ns5:rPr>
            <ns5:sty ns5:val="p"/>
          </ns5:rPr>
          <ns5:t>×</ns5:t>
        </ns5:r>
        <ns5:sSup>
          <ns5:e>
            <ns5:r>
              <ns5:t>10</ns5:t>
            </ns5:r>
          </ns5:e>
          <ns5:sup>
            <ns5:r>
              <ns5:rPr>
                <ns5:sty ns5:val="p"/>
              </ns5:rPr>
              <ns5:t>−</ns5:t>
            </ns5:r>
            <ns5:r>
              <ns5:t>9</ns5:t>
            </ns5:r>
          </ns5:sup>
        </ns5:sSup>
        <ns5:r>
          <ns5:rPr>
            <ns5:sty ns5:val="p"/>
          </ns5:rPr>
          <ns5:t>×</ns5:t>
        </ns5:r>
        <ns5:r>
          <ns5:t>3</ns5:t>
        </ns5:r>
        <ns5:r>
          <ns5:rPr>
            <ns5:sty ns5:val="p"/>
          </ns5:rPr>
          <ns5:t>=</ns5:t>
        </ns5:r>
        <ns5:r>
          <ns5:t>2.29</ns5:t>
        </ns5:r>
        <ns5:r>
          <ns5:rPr>
            <ns5:sty ns5:val="p"/>
          </ns5:rPr>
          <ns5:t>×</ns5:t>
        </ns5:r>
        <ns5:sSup>
          <ns5:e>
            <ns5:r>
              <ns5:t>10</ns5:t>
            </ns5:r>
          </ns5:e>
          <ns5:sup>
            <ns5:r>
              <ns5:rPr>
                <ns5:sty ns5:val="p"/>
              </ns5:rPr>
              <ns5:t>−</ns5:t>
            </ns5:r>
            <ns5:r>
              <ns5:t>8</ns5:t>
            </ns5:r>
          </ns5:sup>
        </ns5:sSup>
      </ns5:oMath>
      <w:r>
        <w:t xml:space="preserve">). Ambas hipótesis permanecen</w:t>
      </w:r>
      <w:r>
        <w:t xml:space="preserve"> </w:t>
      </w:r>
      <w:r>
        <w:t xml:space="preserve">significativas tras la corrección con varios órdenes de magnitud de margen.</w:t>
      </w:r>
    </w:p>
    <w:bookmarkEnd w:id="594"/>
    <w:bookmarkStart w:id="596" w:name="Xf81def15ac0599a341fc59b4e423bbf643d253b"/>
    <w:p>
      <w:pPr>
        <w:pStyle w:val="Ttulo3"/>
        <w:spacing w:line="360" w:lineRule="auto"/>
        <w:jc w:val="both"/>
      </w:pPr>
      <w:r>
        <w:t xml:space="preserve">D.2 Comparaciones post-hoc de Nemenyi (fidelidad y estabilidad)</w:t>
      </w:r>
    </w:p>
    <w:p>
      <w:pPr>
        <w:pStyle w:val="FirstParagraph"/>
        <w:spacing w:line="360" w:lineRule="auto"/>
        <w:jc w:val="both"/>
      </w:pPr>
      <w:r>
        <w:t xml:space="preserve">La diferencia crítica para</w:t>
      </w:r>
      <w:r>
        <w:t xml:space="preserve"> </w:t>
      </w:r>
      <ns5:oMath>
        <ns5:r>
          <ns5:t>k</ns5:t>
        </ns5:r>
        <ns5:r>
          <ns5:rPr>
            <ns5:sty ns5:val="p"/>
          </ns5:rPr>
          <ns5:t>=</ns5:t>
        </ns5:r>
        <ns5:r>
          <ns5:t>4</ns5:t>
        </ns5:r>
      </ns5:oMath>
      <w:r>
        <w:t xml:space="preserve">,</w:t>
      </w:r>
      <w:r>
        <w:t xml:space="preserve"> </w:t>
      </w:r>
      <ns5:oMath>
        <ns5:r>
          <ns5:t>n</ns5:t>
        </ns5:r>
        <ns5:r>
          <ns5:rPr>
            <ns5:sty ns5:val="p"/>
          </ns5:rPr>
          <ns5:t>=</ns5:t>
        </ns5:r>
        <ns5:r>
          <ns5:t>15</ns5:t>
        </ns5:r>
      </ns5:oMath>
      <w:r>
        <w:t xml:space="preserve">,</w:t>
      </w:r>
      <w:r>
        <w:t xml:space="preserve"> </w:t>
      </w:r>
      <ns5:oMath>
        <ns5:r>
          <ns5:t>α</ns5:t>
        </ns5:r>
        <ns5:r>
          <ns5:rPr>
            <ns5:sty ns5:val="p"/>
          </ns5:rPr>
          <ns5:t>=</ns5:t>
        </ns5:r>
        <ns5:r>
          <ns5:t>0.05</ns5:t>
        </ns5:r>
      </ns5:oMath>
      <w:r>
        <w:t xml:space="preserve"> </w:t>
      </w:r>
      <w:r>
        <w:t xml:space="preserve">es</w:t>
      </w:r>
      <w:r>
        <w:t xml:space="preserve"> </w:t>
      </w:r>
      <ns5:oMath>
        <ns5:r>
          <ns5:t>C</ns5:t>
        </ns5:r>
        <ns5:r>
          <ns5:t>D</ns5:t>
        </ns5:r>
        <ns5:r>
          <ns5:rPr>
            <ns5:sty ns5:val="p"/>
          </ns5:rPr>
          <ns5:t>=</ns5:t>
        </ns5:r>
        <ns5:r>
          <ns5:t>1.211</ns5:t>
        </ns5:r>
      </ns5:oMath>
      <w:r>
        <w:t xml:space="preserve"> </w:t>
      </w:r>
      <w:r>
        <w:t xml:space="preserve">en ambas métricas.</w:t>
      </w:r>
    </w:p>
    <w:tbl>
      <w:tblPr>
        <w:tblStyle w:val="Table"/>
        <w:tblW w:type="pct" w:w="5000"/>
        <w:jc w:val="center"/>
        <w:tblLayout w:type="fixed"/>
        <w:tblLook w:firstRow="0" w:lastRow="0" w:firstColumn="0" w:lastColumn="0" w:noHBand="0" w:noVBand="0" w:val="0000"/>
      </w:tblPr>
      <w:tblGrid>
        <w:gridCol w:w="7920"/>
      </w:tblGrid>
      <w:tr>
        <w:tc>
          <w:tcPr/>
          <w:bookmarkStart w:id="595" w:name="tbl-appendix-nemenyi-full"/>
          <w:p>
            <w:pPr>
              <w:pStyle w:val="ImageCaption"/>
              <w:spacing w:before="200" w:line="360" w:lineRule="auto"/>
              <w:jc w:val="center"/>
            </w:pPr>
            <w:r>
              <w:t xml:space="preserve">Tabla 7.14: Comparaciones post-hoc de Nemenyi con diferencias en rangos medios para fidelidad y estabilidad. La diferencia crítica</w:t>
            </w:r>
            <w:r>
              <w:t xml:space="preserve"> </w:t>
            </w:r>
            <ns5:oMath>
              <ns5:r>
                <ns5:t>C</ns5:t>
              </ns5:r>
              <ns5:r>
                <ns5:t>D</ns5:t>
              </ns5:r>
              <ns5:r>
                <ns5:rPr>
                  <ns5:sty ns5:val="p"/>
                </ns5:rPr>
                <ns5:t>=</ns5:t>
              </ns5:r>
              <ns5:r>
                <ns5:t>1.211</ns5:t>
              </ns5:r>
            </ns5:oMath>
            <w:r>
              <w:t xml:space="preserve">.</w:t>
            </w:r>
          </w:p>
          <w:tbl>
            <w:tblPr>
              <w:tblStyle w:val="Table"/>
              <w:tblW w:type="pct" w:w="500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both"/>
                    <w:jc w:val="center"/>
                    <w:spacing w:line="360" w:lineRule="auto"/>
                  </w:pPr>
                  <w:r>
                    <w:rPr>
                      <w:bCs/>
                      <w:b/>
                    </w:rPr>
                    <w:t xml:space="preserve">Par de métodos</w:t>
                  </w:r>
                </w:p>
              </w:tc>
              <w:tc>
                <w:tcPr/>
                <w:p>
                  <w:pPr>
                    <w:pStyle w:val="Compact"/>
                    <w:jc w:val="both"/>
                    <w:jc w:val="center"/>
                    <w:spacing w:line="360" w:lineRule="auto"/>
                  </w:pPr>
                  <ns5:oMath>
                    <ns5:sSub>
                      <ns5:e>
                        <ns5:r>
                          <ns5:t>R</ns5:t>
                        </ns5:r>
                      </ns5:e>
                      <ns5:sub>
                        <ns5:r>
                          <ns5:t>i</ns5:t>
                        </ns5:r>
                      </ns5:sub>
                    </ns5:sSub>
                    <ns5:r>
                      <ns5:rPr>
                        <ns5:sty ns5:val="p"/>
                      </ns5:rPr>
                      <ns5:t>−</ns5:t>
                    </ns5:r>
                    <ns5:sSub>
                      <ns5:e>
                        <ns5:r>
                          <ns5:t>R</ns5:t>
                        </ns5:r>
                      </ns5:e>
                      <ns5:sub>
                        <ns5:r>
                          <ns5:t>j</ns5:t>
                        </ns5:r>
                      </ns5:sub>
                    </ns5:sSub>
                  </ns5:oMath>
                  <w:r>
                    <w:rPr>
                      <w:bCs/>
                      <w:b/>
                    </w:rPr>
                    <w:t xml:space="preserve"> </w:t>
                  </w:r>
                  <w:r>
                    <w:rPr>
                      <w:bCs/>
                      <w:b/>
                    </w:rPr>
                    <w:t xml:space="preserve">(fidelidad)</w:t>
                  </w:r>
                </w:p>
              </w:tc>
              <w:tc>
                <w:tcPr/>
                <w:p>
                  <w:pPr>
                    <w:pStyle w:val="Compact"/>
                    <w:jc w:val="both"/>
                    <w:jc w:val="center"/>
                    <w:spacing w:line="360" w:lineRule="auto"/>
                  </w:pPr>
                  <w:r>
                    <w:rPr>
                      <w:bCs/>
                      <w:b/>
                    </w:rPr>
                    <w:t xml:space="preserve">Signif. (fidelidad)</w:t>
                  </w:r>
                </w:p>
              </w:tc>
              <w:tc>
                <w:tcPr/>
                <w:p>
                  <w:pPr>
                    <w:pStyle w:val="Compact"/>
                    <w:jc w:val="both"/>
                    <w:jc w:val="center"/>
                    <w:spacing w:line="360" w:lineRule="auto"/>
                  </w:pPr>
                  <ns5:oMath>
                    <ns5:sSub>
                      <ns5:e>
                        <ns5:r>
                          <ns5:t>R</ns5:t>
                        </ns5:r>
                      </ns5:e>
                      <ns5:sub>
                        <ns5:r>
                          <ns5:t>i</ns5:t>
                        </ns5:r>
                      </ns5:sub>
                    </ns5:sSub>
                    <ns5:r>
                      <ns5:rPr>
                        <ns5:sty ns5:val="p"/>
                      </ns5:rPr>
                      <ns5:t>−</ns5:t>
                    </ns5:r>
                    <ns5:sSub>
                      <ns5:e>
                        <ns5:r>
                          <ns5:t>R</ns5:t>
                        </ns5:r>
                      </ns5:e>
                      <ns5:sub>
                        <ns5:r>
                          <ns5:t>j</ns5:t>
                        </ns5:r>
                      </ns5:sub>
                    </ns5:sSub>
                  </ns5:oMath>
                  <w:r>
                    <w:rPr>
                      <w:bCs/>
                      <w:b/>
                    </w:rPr>
                    <w:t xml:space="preserve"> </w:t>
                  </w:r>
                  <w:r>
                    <w:rPr>
                      <w:bCs/>
                      <w:b/>
                    </w:rPr>
                    <w:t xml:space="preserve">(estabilidad)</w:t>
                  </w:r>
                </w:p>
              </w:tc>
              <w:tc>
                <w:tcPr/>
                <w:p>
                  <w:pPr>
                    <w:pStyle w:val="Compact"/>
                    <w:jc w:val="both"/>
                    <w:jc w:val="center"/>
                    <w:spacing w:line="360" w:lineRule="auto"/>
                  </w:pPr>
                  <w:r>
                    <w:rPr>
                      <w:bCs/>
                      <w:b/>
                    </w:rPr>
                    <w:t xml:space="preserve">Signif. (estabilidad)</w:t>
                  </w:r>
                </w:p>
              </w:tc>
            </w:tr>
            <w:tr>
              <w:tc>
                <w:tcPr/>
                <w:p>
                  <w:pPr>
                    <w:pStyle w:val="Compact"/>
                    <w:jc w:val="both"/>
                    <w:jc w:val="center"/>
                    <w:spacing w:line="360" w:lineRule="auto"/>
                  </w:pPr>
                  <w:r>
                    <w:t xml:space="preserve">SHAP vs. LIME</w:t>
                  </w:r>
                </w:p>
              </w:tc>
              <w:tc>
                <w:tcPr/>
                <w:p>
                  <w:pPr>
                    <w:pStyle w:val="Compact"/>
                    <w:jc w:val="both"/>
                    <w:jc w:val="center"/>
                    <w:spacing w:line="360" w:lineRule="auto"/>
                  </w:pPr>
                  <w:r>
                    <w:t xml:space="preserve">1.000</w:t>
                  </w:r>
                </w:p>
              </w:tc>
              <w:tc>
                <w:tcPr/>
                <w:p>
                  <w:pPr>
                    <w:pStyle w:val="Compact"/>
                    <w:jc w:val="both"/>
                    <w:jc w:val="center"/>
                    <w:spacing w:line="360" w:lineRule="auto"/>
                  </w:pPr>
                  <w:r>
                    <w:t xml:space="preserve">No (</w:t>
                  </w:r>
                  <ns5:oMath>
                    <ns5:r>
                      <ns5:rPr>
                        <ns5:sty ns5:val="p"/>
                      </ns5:rPr>
                      <ns5:t>&lt;</ns5:t>
                    </ns5:r>
                    <ns5:r>
                      <ns5:t>1.211</ns5:t>
                    </ns5:r>
                  </ns5:oMath>
                  <w:r>
                    <w:t xml:space="preserve">)</w:t>
                  </w:r>
                </w:p>
              </w:tc>
              <w:tc>
                <w:tcPr/>
                <w:p>
                  <w:pPr>
                    <w:pStyle w:val="Compact"/>
                    <w:jc w:val="both"/>
                    <w:jc w:val="center"/>
                    <w:spacing w:line="360" w:lineRule="auto"/>
                  </w:pPr>
                  <ns5:oMath>
                    <ns5:r>
                      <ns5:rPr>
                        <ns5:sty ns5:val="p"/>
                      </ns5:rPr>
                      <ns5:t>−</ns5:t>
                    </ns5:r>
                  </ns5:oMath>
                  <w:r>
                    <w:t xml:space="preserve">​</w:t>
                  </w:r>
                </w:p>
              </w:tc>
              <w:tc>
                <w:tcPr/>
                <w:p>
                  <w:pPr>
                    <w:pStyle w:val="Compact"/>
                    <w:jc w:val="both"/>
                    <w:jc w:val="center"/>
                    <w:spacing w:line="360" w:lineRule="auto"/>
                  </w:pPr>
                  <ns5:oMath>
                    <ns5:r>
                      <ns5:rPr>
                        <ns5:sty ns5:val="p"/>
                      </ns5:rPr>
                      <ns5:t>−</ns5:t>
                    </ns5:r>
                  </ns5:oMath>
                  <w:r>
                    <w:t xml:space="preserve">​</w:t>
                  </w:r>
                </w:p>
              </w:tc>
            </w:tr>
            <w:tr>
              <w:tc>
                <w:tcPr/>
                <w:p>
                  <w:pPr>
                    <w:pStyle w:val="Compact"/>
                    <w:jc w:val="both"/>
                    <w:jc w:val="center"/>
                    <w:spacing w:line="360" w:lineRule="auto"/>
                  </w:pPr>
                  <w:r>
                    <w:t xml:space="preserve">SHAP vs. Anchors</w:t>
                  </w:r>
                </w:p>
              </w:tc>
              <w:tc>
                <w:tcPr/>
                <w:p>
                  <w:pPr>
                    <w:pStyle w:val="Compact"/>
                    <w:jc w:val="both"/>
                    <w:jc w:val="center"/>
                    <w:spacing w:line="360" w:lineRule="auto"/>
                  </w:pPr>
                  <w:r>
                    <w:t xml:space="preserve">2.200</w:t>
                  </w:r>
                </w:p>
              </w:tc>
              <w:tc>
                <w:tcPr/>
                <w:p>
                  <w:pPr>
                    <w:pStyle w:val="Compact"/>
                    <w:jc w:val="both"/>
                    <w:jc w:val="center"/>
                    <w:spacing w:line="360" w:lineRule="auto"/>
                  </w:pPr>
                  <w:r>
                    <w:rPr>
                      <w:b/>
                      <w:bCs/>
                    </w:rPr>
                    <w:t xml:space="preserve">Sí</w:t>
                  </w:r>
                  <w:r>
                    <w:t xml:space="preserve"> </w:t>
                  </w:r>
                  <w:r>
                    <w:t xml:space="preserve">(</w:t>
                  </w:r>
                  <ns5:oMath>
                    <ns5:r>
                      <ns5:rPr>
                        <ns5:sty ns5:val="p"/>
                      </ns5:rPr>
                      <ns5:t>&gt;</ns5:t>
                    </ns5:r>
                    <ns5:r>
                      <ns5:t>1.211</ns5:t>
                    </ns5:r>
                  </ns5:oMath>
                  <w:r>
                    <w:t xml:space="preserve">)</w:t>
                  </w:r>
                </w:p>
              </w:tc>
              <w:tc>
                <w:tcPr/>
                <w:p>
                  <w:pPr>
                    <w:pStyle w:val="Compact"/>
                    <w:jc w:val="both"/>
                    <w:jc w:val="center"/>
                    <w:spacing w:line="360" w:lineRule="auto"/>
                  </w:pPr>
                  <w:r>
                    <w:t xml:space="preserve">2.600</w:t>
                  </w:r>
                </w:p>
              </w:tc>
              <w:tc>
                <w:tcPr/>
                <w:p>
                  <w:pPr>
                    <w:pStyle w:val="Compact"/>
                    <w:jc w:val="both"/>
                    <w:jc w:val="center"/>
                    <w:spacing w:line="360" w:lineRule="auto"/>
                  </w:pPr>
                  <w:r>
                    <w:rPr>
                      <w:b/>
                      <w:bCs/>
                    </w:rPr>
                    <w:t xml:space="preserve">Sí</w:t>
                  </w:r>
                </w:p>
              </w:tc>
            </w:tr>
            <w:tr>
              <w:tc>
                <w:tcPr/>
                <w:p>
                  <w:pPr>
                    <w:pStyle w:val="Compact"/>
                    <w:jc w:val="both"/>
                    <w:jc w:val="center"/>
                    <w:spacing w:line="360" w:lineRule="auto"/>
                  </w:pPr>
                  <w:r>
                    <w:t xml:space="preserve">SHAP vs. DiCE</w:t>
                  </w:r>
                </w:p>
              </w:tc>
              <w:tc>
                <w:tcPr/>
                <w:p>
                  <w:pPr>
                    <w:pStyle w:val="Compact"/>
                    <w:jc w:val="both"/>
                    <w:jc w:val="center"/>
                    <w:spacing w:line="360" w:lineRule="auto"/>
                  </w:pPr>
                  <w:r>
                    <w:t xml:space="preserve">2.800</w:t>
                  </w:r>
                </w:p>
              </w:tc>
              <w:tc>
                <w:tcPr/>
                <w:p>
                  <w:pPr>
                    <w:pStyle w:val="Compact"/>
                    <w:jc w:val="both"/>
                    <w:jc w:val="center"/>
                    <w:spacing w:line="360" w:lineRule="auto"/>
                  </w:pPr>
                  <w:r>
                    <w:rPr>
                      <w:b/>
                      <w:bCs/>
                    </w:rPr>
                    <w:t xml:space="preserve">Sí</w:t>
                  </w:r>
                </w:p>
              </w:tc>
              <w:tc>
                <w:tcPr/>
                <w:p>
                  <w:pPr>
                    <w:pStyle w:val="Compact"/>
                    <w:jc w:val="both"/>
                    <w:jc w:val="center"/>
                    <w:spacing w:line="360" w:lineRule="auto"/>
                  </w:pPr>
                  <w:r>
                    <w:t xml:space="preserve">1.000</w:t>
                  </w:r>
                </w:p>
              </w:tc>
              <w:tc>
                <w:tcPr/>
                <w:p>
                  <w:pPr>
                    <w:pStyle w:val="Compact"/>
                    <w:jc w:val="both"/>
                    <w:jc w:val="center"/>
                    <w:spacing w:line="360" w:lineRule="auto"/>
                  </w:pPr>
                  <w:r>
                    <w:t xml:space="preserve">No (</w:t>
                  </w:r>
                  <ns5:oMath>
                    <ns5:r>
                      <ns5:rPr>
                        <ns5:sty ns5:val="p"/>
                      </ns5:rPr>
                      <ns5:t>&lt;</ns5:t>
                    </ns5:r>
                    <ns5:r>
                      <ns5:t>1.211</ns5:t>
                    </ns5:r>
                  </ns5:oMath>
                  <w:r>
                    <w:t xml:space="preserve">)</w:t>
                  </w:r>
                </w:p>
              </w:tc>
            </w:tr>
            <w:tr>
              <w:tc>
                <w:tcPr/>
                <w:p>
                  <w:pPr>
                    <w:pStyle w:val="Compact"/>
                    <w:jc w:val="both"/>
                    <w:jc w:val="center"/>
                    <w:spacing w:line="360" w:lineRule="auto"/>
                  </w:pPr>
                  <w:r>
                    <w:t xml:space="preserve">LIME vs. Anchors</w:t>
                  </w:r>
                </w:p>
              </w:tc>
              <w:tc>
                <w:tcPr/>
                <w:p>
                  <w:pPr>
                    <w:pStyle w:val="Compact"/>
                    <w:jc w:val="both"/>
                    <w:jc w:val="center"/>
                    <w:spacing w:line="360" w:lineRule="auto"/>
                  </w:pPr>
                  <w:r>
                    <w:t xml:space="preserve">1.200</w:t>
                  </w:r>
                </w:p>
              </w:tc>
              <w:tc>
                <w:tcPr/>
                <w:p>
                  <w:pPr>
                    <w:pStyle w:val="Compact"/>
                    <w:jc w:val="both"/>
                    <w:jc w:val="center"/>
                    <w:spacing w:line="360" w:lineRule="auto"/>
                  </w:pPr>
                  <w:r>
                    <w:t xml:space="preserve">No (</w:t>
                  </w:r>
                  <ns5:oMath>
                    <ns5:r>
                      <ns5:rPr>
                        <ns5:sty ns5:val="p"/>
                      </ns5:rPr>
                      <ns5:t>&lt;</ns5:t>
                    </ns5:r>
                    <ns5:r>
                      <ns5:t>1.211</ns5:t>
                    </ns5:r>
                  </ns5:oMath>
                  <w:r>
                    <w:t xml:space="preserve">)</w:t>
                  </w:r>
                </w:p>
              </w:tc>
              <w:tc>
                <w:tcPr/>
                <w:p>
                  <w:pPr>
                    <w:pStyle w:val="Compact"/>
                    <w:jc w:val="both"/>
                    <w:jc w:val="center"/>
                    <w:spacing w:line="360" w:lineRule="auto"/>
                  </w:pPr>
                  <w:r>
                    <w:t xml:space="preserve">1.400</w:t>
                  </w:r>
                </w:p>
              </w:tc>
              <w:tc>
                <w:tcPr/>
                <w:p>
                  <w:pPr>
                    <w:pStyle w:val="Compact"/>
                    <w:jc w:val="both"/>
                    <w:jc w:val="center"/>
                    <w:spacing w:line="360" w:lineRule="auto"/>
                  </w:pPr>
                  <w:r>
                    <w:rPr>
                      <w:b/>
                      <w:bCs/>
                    </w:rPr>
                    <w:t xml:space="preserve">Sí</w:t>
                  </w:r>
                </w:p>
              </w:tc>
            </w:tr>
            <w:tr>
              <w:tc>
                <w:tcPr/>
                <w:p>
                  <w:pPr>
                    <w:pStyle w:val="Compact"/>
                    <w:jc w:val="both"/>
                    <w:jc w:val="center"/>
                    <w:spacing w:line="360" w:lineRule="auto"/>
                  </w:pPr>
                  <w:r>
                    <w:t xml:space="preserve">LIME vs. DiCE</w:t>
                  </w:r>
                </w:p>
              </w:tc>
              <w:tc>
                <w:tcPr/>
                <w:p>
                  <w:pPr>
                    <w:pStyle w:val="Compact"/>
                    <w:jc w:val="both"/>
                    <w:jc w:val="center"/>
                    <w:spacing w:line="360" w:lineRule="auto"/>
                  </w:pPr>
                  <w:r>
                    <w:t xml:space="preserve">1.800</w:t>
                  </w:r>
                </w:p>
              </w:tc>
              <w:tc>
                <w:tcPr/>
                <w:p>
                  <w:pPr>
                    <w:pStyle w:val="Compact"/>
                    <w:jc w:val="both"/>
                    <w:jc w:val="center"/>
                    <w:spacing w:line="360" w:lineRule="auto"/>
                  </w:pPr>
                  <w:r>
                    <w:rPr>
                      <w:b/>
                      <w:bCs/>
                    </w:rPr>
                    <w:t xml:space="preserve">Sí</w:t>
                  </w:r>
                </w:p>
              </w:tc>
              <w:tc>
                <w:tcPr/>
                <w:p>
                  <w:pPr>
                    <w:pStyle w:val="Compact"/>
                    <w:jc w:val="both"/>
                    <w:jc w:val="center"/>
                    <w:spacing w:line="360" w:lineRule="auto"/>
                  </w:pPr>
                  <w:r>
                    <w:t xml:space="preserve">1.400</w:t>
                  </w:r>
                </w:p>
              </w:tc>
              <w:tc>
                <w:tcPr/>
                <w:p>
                  <w:pPr>
                    <w:pStyle w:val="Compact"/>
                    <w:jc w:val="both"/>
                    <w:jc w:val="center"/>
                    <w:spacing w:line="360" w:lineRule="auto"/>
                  </w:pPr>
                  <w:r>
                    <w:rPr>
                      <w:b/>
                      <w:bCs/>
                    </w:rPr>
                    <w:t xml:space="preserve">Sí</w:t>
                  </w:r>
                </w:p>
              </w:tc>
            </w:tr>
            <w:tr>
              <w:tc>
                <w:tcPr/>
                <w:p>
                  <w:pPr>
                    <w:pStyle w:val="Compact"/>
                    <w:jc w:val="both"/>
                    <w:jc w:val="center"/>
                    <w:spacing w:line="360" w:lineRule="auto"/>
                  </w:pPr>
                  <w:r>
                    <w:t xml:space="preserve">Anchors vs. DiCE</w:t>
                  </w:r>
                </w:p>
              </w:tc>
              <w:tc>
                <w:tcPr/>
                <w:p>
                  <w:pPr>
                    <w:pStyle w:val="Compact"/>
                    <w:jc w:val="both"/>
                    <w:jc w:val="center"/>
                    <w:spacing w:line="360" w:lineRule="auto"/>
                  </w:pPr>
                  <w:r>
                    <w:t xml:space="preserve">0.600</w:t>
                  </w:r>
                </w:p>
              </w:tc>
              <w:tc>
                <w:tcPr/>
                <w:p>
                  <w:pPr>
                    <w:pStyle w:val="Compact"/>
                    <w:jc w:val="both"/>
                    <w:jc w:val="center"/>
                    <w:spacing w:line="360" w:lineRule="auto"/>
                  </w:pPr>
                  <w:r>
                    <w:t xml:space="preserve">No</w:t>
                  </w:r>
                </w:p>
              </w:tc>
              <w:tc>
                <w:tcPr/>
                <w:p>
                  <w:pPr>
                    <w:pStyle w:val="Compact"/>
                    <w:jc w:val="both"/>
                    <w:jc w:val="center"/>
                    <w:spacing w:line="360" w:lineRule="auto"/>
                  </w:pPr>
                  <w:r>
                    <w:t xml:space="preserve">0.200</w:t>
                  </w:r>
                </w:p>
              </w:tc>
              <w:tc>
                <w:tcPr/>
                <w:p>
                  <w:pPr>
                    <w:pStyle w:val="Compact"/>
                    <w:jc w:val="both"/>
                    <w:jc w:val="center"/>
                    <w:spacing w:line="360" w:lineRule="auto"/>
                  </w:pPr>
                  <w:r>
                    <w:t xml:space="preserve">No</w:t>
                  </w:r>
                </w:p>
              </w:tc>
            </w:tr>
            <w:tr>
              <w:tc>
                <w:tcPr/>
                <w:p>
                  <w:pPr>
                    <w:pStyle w:val="Compact"/>
                    <w:jc w:val="both"/>
                    <w:jc w:val="center"/>
                    <w:spacing w:line="360" w:lineRule="auto"/>
                  </w:pPr>
                  <w:r>
                    <w:t xml:space="preserve">SHAP vs. LIME (estabilidad)</w:t>
                  </w:r>
                </w:p>
              </w:tc>
              <w:tc>
                <w:tcPr/>
                <w:p>
                  <w:pPr>
                    <w:pStyle w:val="Compact"/>
                    <w:jc w:val="both"/>
                    <w:jc w:val="center"/>
                    <w:spacing w:line="360" w:lineRule="auto"/>
                  </w:pPr>
                  <ns5:oMath>
                    <ns5:r>
                      <ns5:rPr>
                        <ns5:sty ns5:val="p"/>
                      </ns5:rPr>
                      <ns5:t>−</ns5:t>
                    </ns5:r>
                  </ns5:oMath>
                  <w:r>
                    <w:t xml:space="preserve">​</w:t>
                  </w:r>
                </w:p>
              </w:tc>
              <w:tc>
                <w:tcPr/>
                <w:p>
                  <w:pPr>
                    <w:pStyle w:val="Compact"/>
                    <w:jc w:val="both"/>
                    <w:jc w:val="center"/>
                    <w:spacing w:line="360" w:lineRule="auto"/>
                  </w:pPr>
                  <ns5:oMath>
                    <ns5:r>
                      <ns5:rPr>
                        <ns5:sty ns5:val="p"/>
                      </ns5:rPr>
                      <ns5:t>−</ns5:t>
                    </ns5:r>
                  </ns5:oMath>
                  <w:r>
                    <w:t xml:space="preserve">​</w:t>
                  </w:r>
                </w:p>
              </w:tc>
              <w:tc>
                <w:tcPr/>
                <w:p>
                  <w:pPr>
                    <w:pStyle w:val="Compact"/>
                    <w:jc w:val="both"/>
                    <w:jc w:val="center"/>
                    <w:spacing w:line="360" w:lineRule="auto"/>
                  </w:pPr>
                  <w:r>
                    <w:t xml:space="preserve">2.400</w:t>
                  </w:r>
                </w:p>
              </w:tc>
              <w:tc>
                <w:tcPr/>
                <w:p>
                  <w:pPr>
                    <w:pStyle w:val="Compact"/>
                    <w:jc w:val="both"/>
                    <w:jc w:val="center"/>
                    <w:spacing w:line="360" w:lineRule="auto"/>
                  </w:pPr>
                  <w:r>
                    <w:rPr>
                      <w:b/>
                      <w:bCs/>
                    </w:rPr>
                    <w:t xml:space="preserve">Sí</w:t>
                  </w:r>
                </w:p>
              </w:tc>
            </w:tr>
            <w:tr>
              <w:tc>
                <w:tcPr/>
                <w:p>
                  <w:pPr>
                    <w:pStyle w:val="Compact"/>
                    <w:jc w:val="both"/>
                    <w:jc w:val="center"/>
                    <w:spacing w:line="360" w:lineRule="auto"/>
                  </w:pPr>
                  <w:r>
                    <w:t xml:space="preserve">DiCE vs. LIME (estabilidad)</w:t>
                  </w:r>
                </w:p>
              </w:tc>
              <w:tc>
                <w:tcPr/>
                <w:p>
                  <w:pPr>
                    <w:pStyle w:val="Compact"/>
                    <w:jc w:val="both"/>
                    <w:jc w:val="center"/>
                    <w:spacing w:line="360" w:lineRule="auto"/>
                  </w:pPr>
                  <ns5:oMath>
                    <ns5:r>
                      <ns5:rPr>
                        <ns5:sty ns5:val="p"/>
                      </ns5:rPr>
                      <ns5:t>−</ns5:t>
                    </ns5:r>
                  </ns5:oMath>
                  <w:r>
                    <w:t xml:space="preserve">​</w:t>
                  </w:r>
                </w:p>
              </w:tc>
              <w:tc>
                <w:tcPr/>
                <w:p>
                  <w:pPr>
                    <w:pStyle w:val="Compact"/>
                    <w:jc w:val="both"/>
                    <w:jc w:val="center"/>
                    <w:spacing w:line="360" w:lineRule="auto"/>
                  </w:pPr>
                  <ns5:oMath>
                    <ns5:r>
                      <ns5:rPr>
                        <ns5:sty ns5:val="p"/>
                      </ns5:rPr>
                      <ns5:t>−</ns5:t>
                    </ns5:r>
                  </ns5:oMath>
                  <w:r>
                    <w:t xml:space="preserve">​</w:t>
                  </w:r>
                </w:p>
              </w:tc>
              <w:tc>
                <w:tcPr/>
                <w:p>
                  <w:pPr>
                    <w:pStyle w:val="Compact"/>
                    <w:jc w:val="both"/>
                    <w:jc w:val="center"/>
                    <w:spacing w:line="360" w:lineRule="auto"/>
                  </w:pPr>
                  <w:r>
                    <w:t xml:space="preserve">1.400</w:t>
                  </w:r>
                </w:p>
              </w:tc>
              <w:tc>
                <w:tcPr/>
                <w:p>
                  <w:pPr>
                    <w:pStyle w:val="Compact"/>
                    <w:jc w:val="both"/>
                    <w:jc w:val="center"/>
                    <w:spacing w:line="360" w:lineRule="auto"/>
                  </w:pPr>
                  <w:r>
                    <w:rPr>
                      <w:b/>
                      <w:bCs/>
                    </w:rPr>
                    <w:t xml:space="preserve">Sí</w:t>
                  </w:r>
                </w:p>
              </w:tc>
            </w:tr>
            <w:tr>
              <w:tc>
                <w:tcPr/>
                <w:p>
                  <w:pPr>
                    <w:pStyle w:val="Compact"/>
                    <w:jc w:val="both"/>
                    <w:jc w:val="center"/>
                    <w:spacing w:line="360" w:lineRule="auto"/>
                  </w:pPr>
                  <w:r>
                    <w:t xml:space="preserve">DiCE vs. Anchors (estabilidad)</w:t>
                  </w:r>
                </w:p>
              </w:tc>
              <w:tc>
                <w:tcPr/>
                <w:p>
                  <w:pPr>
                    <w:pStyle w:val="Compact"/>
                    <w:jc w:val="both"/>
                    <w:jc w:val="center"/>
                    <w:spacing w:line="360" w:lineRule="auto"/>
                  </w:pPr>
                  <ns5:oMath>
                    <ns5:r>
                      <ns5:rPr>
                        <ns5:sty ns5:val="p"/>
                      </ns5:rPr>
                      <ns5:t>−</ns5:t>
                    </ns5:r>
                  </ns5:oMath>
                  <w:r>
                    <w:t xml:space="preserve">​</w:t>
                  </w:r>
                </w:p>
              </w:tc>
              <w:tc>
                <w:tcPr/>
                <w:p>
                  <w:pPr>
                    <w:pStyle w:val="Compact"/>
                    <w:jc w:val="both"/>
                    <w:jc w:val="center"/>
                    <w:spacing w:line="360" w:lineRule="auto"/>
                  </w:pPr>
                  <ns5:oMath>
                    <ns5:r>
                      <ns5:rPr>
                        <ns5:sty ns5:val="p"/>
                      </ns5:rPr>
                      <ns5:t>−</ns5:t>
                    </ns5:r>
                  </ns5:oMath>
                  <w:r>
                    <w:t xml:space="preserve">​</w:t>
                  </w:r>
                </w:p>
              </w:tc>
              <w:tc>
                <w:tcPr/>
                <w:p>
                  <w:pPr>
                    <w:pStyle w:val="Compact"/>
                    <w:jc w:val="both"/>
                    <w:jc w:val="center"/>
                    <w:spacing w:line="360" w:lineRule="auto"/>
                  </w:pPr>
                  <w:r>
                    <w:t xml:space="preserve">1.600</w:t>
                  </w:r>
                </w:p>
              </w:tc>
              <w:tc>
                <w:tcPr/>
                <w:p>
                  <w:pPr>
                    <w:pStyle w:val="Compact"/>
                    <w:jc w:val="both"/>
                    <w:jc w:val="center"/>
                    <w:spacing w:line="360" w:lineRule="auto"/>
                  </w:pPr>
                  <w:r>
                    <w:rPr>
                      <w:b/>
                      <w:bCs/>
                    </w:rPr>
                    <w:t xml:space="preserve">Sí</w:t>
                  </w:r>
                </w:p>
              </w:tc>
            </w:tr>
          </w:tbl>
          <w:bookmarkEnd w:id="595"/>
          <w:p>
            <w:pPr>
              <w:spacing w:line="360" w:lineRule="auto"/>
              <w:jc w:val="both"/>
            </w:pPr>
          </w:p>
        </w:tc>
      </w:tr>
    </w:tbl>
    <w:bookmarkEnd w:id="596"/>
    <w:bookmarkStart w:id="598" w:name="Xf2da686c9e12c39a6d10c106f98f0eb5f2d8684"/>
    <w:p>
      <w:pPr>
        <w:pStyle w:val="Ttulo3"/>
        <w:spacing w:line="360" w:lineRule="auto"/>
        <w:jc w:val="both"/>
      </w:pPr>
      <w:r>
        <w:t xml:space="preserve">D.3 Resultados completos del análisis pareado Wilcoxon (H3)</w:t>
      </w:r>
    </w:p>
    <w:p>
      <w:pPr>
        <w:pStyle w:val="FirstParagraph"/>
        <w:spacing w:line="360" w:lineRule="auto"/>
        <w:jc w:val="both"/>
      </w:pPr>
      <w:r>
        <w:t xml:space="preserve">Análisis sobre</w:t>
      </w:r>
      <w:r>
        <w:t xml:space="preserve"> </w:t>
      </w:r>
      <ns5:oMath>
        <ns5:r>
          <ns5:t>n</ns5:t>
        </ns5:r>
        <ns5:r>
          <ns5:rPr>
            <ns5:sty ns5:val="p"/>
          </ns5:rPr>
          <ns5:t>=</ns5:t>
        </ns5:r>
        <ns5:r>
          <ns5:t>75</ns5:t>
        </ns5:r>
      </ns5:oMath>
      <w:r>
        <w:t xml:space="preserve"> </w:t>
      </w:r>
      <w:r>
        <w:t xml:space="preserve">celdas pareadas</w:t>
      </w:r>
      <w:r>
        <w:t xml:space="preserve"> </w:t>
      </w:r>
      <ns5:oMath>
        <ns5:r>
          <ns5:rPr>
            <ns5:sty ns5:val="p"/>
          </ns5:rPr>
          <ns5:t>(</ns5:t>
        </ns5:r>
        <ns5:r>
          <ns5:t>g</ns5:t>
        </ns5:r>
        <ns5:r>
          <ns5:rPr>
            <ns5:sty ns5:val="p"/>
          </ns5:rPr>
          <ns5:t>,</ns5:t>
        </ns5:r>
        <ns5:r>
          <ns5:t>s</ns5:t>
        </ns5:r>
        <ns5:r>
          <ns5:rPr>
            <ns5:sty ns5:val="p"/>
          </ns5:rPr>
          <ns5:t>,</ns5:t>
        </ns5:r>
        <ns5:r>
          <ns5:t>n</ns5:t>
        </ns5:r>
        <ns5:r>
          <ns5:rPr>
            <ns5:sty ns5:val="p"/>
          </ns5:rPr>
          <ns5:t>)</ns5:t>
        </ns5:r>
      </ns5:oMath>
      <w:r>
        <w:t xml:space="preserve"> </w:t>
      </w:r>
      <w:r>
        <w:t xml:space="preserve">con corrección</w:t>
      </w:r>
      <w:r>
        <w:t xml:space="preserve"> </w:t>
      </w:r>
      <w:r>
        <w:t xml:space="preserve">Holm-Bonferroni sobre las cinco comparaciones simultáneas.</w:t>
      </w:r>
    </w:p>
    <w:tbl>
      <w:tblPr>
        <w:tblStyle w:val="Table"/>
        <w:tblW w:type="pct" w:w="5000"/>
        <w:jc w:val="center"/>
        <w:tblLayout w:type="fixed"/>
        <w:tblLook w:firstRow="0" w:lastRow="0" w:firstColumn="0" w:lastColumn="0" w:noHBand="0" w:noVBand="0" w:val="0000"/>
      </w:tblPr>
      <w:tblGrid>
        <w:gridCol w:w="7920"/>
      </w:tblGrid>
      <w:tr>
        <w:tc>
          <w:tcPr/>
          <w:bookmarkStart w:id="597" w:name="tbl-appendix-wilcoxon-full"/>
          <w:p>
            <w:pPr>
              <w:pStyle w:val="ImageCaption"/>
              <w:spacing w:before="200" w:line="360" w:lineRule="auto"/>
              <w:jc w:val="center"/>
            </w:pPr>
            <w:r>
              <w:t xml:space="preserve">Tabla 7.15: Resultados completos del análisis pareado Wilcoxon SHAP-LIME con corrección Holm-Bonferroni (</w:t>
            </w:r>
            <ns5:oMath>
              <ns5:r>
                <ns5:t>n</ns5:t>
              </ns5:r>
              <ns5:r>
                <ns5:rPr>
                  <ns5:sty ns5:val="p"/>
                </ns5:rPr>
                <ns5:t>=</ns5:t>
              </ns5:r>
              <ns5:r>
                <ns5:t>75</ns5:t>
              </ns5:r>
            </ns5:oMath>
            <w:r>
              <w:t xml:space="preserve">).</w:t>
            </w:r>
            <w:r>
              <w:t xml:space="preserve"> </w:t>
            </w:r>
            <ns5:oMath>
              <ns5:sSub>
                <ns5:e>
                  <ns5:r>
                    <ns5:t>d</ns5:t>
                  </ns5:r>
                </ns5:e>
                <ns5:sub>
                  <ns5:r>
                    <ns5:t>z</ns5:t>
                  </ns5:r>
                </ns5:sub>
              </ns5:sSub>
              <ns5:r>
                <ns5:rPr>
                  <ns5:sty ns5:val="p"/>
                </ns5:rPr>
                <ns5:t>=</ns5:t>
              </ns5:r>
              <ns5:acc>
                <ns5:accPr>
                  <ns5:chr ns5:val="‾"/>
                </ns5:accPr>
                <ns5:e>
                  <ns5:r>
                    <ns5:t>d</ns5:t>
                  </ns5:r>
                </ns5:e>
              </ns5:acc>
              <ns5:r>
                <ns5:rPr>
                  <ns5:sty ns5:val="p"/>
                </ns5:rPr>
                <ns5:t>/</ns5:t>
              </ns5:r>
              <ns5:sSub>
                <ns5:e>
                  <ns5:r>
                    <ns5:t>s</ns5:t>
                  </ns5:r>
                </ns5:e>
                <ns5:sub>
                  <ns5:r>
                    <ns5:t>d</ns5:t>
                  </ns5:r>
                </ns5:sub>
              </ns5:sSub>
            </ns5:oMath>
            <w:r>
              <w:t xml:space="preserve">.</w:t>
            </w:r>
          </w:p>
          <w:tbl>
            <w:tblPr>
              <w:tblStyle w:val="Table"/>
              <w:tblW w:type="pct" w:w="500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jc w:val="both"/>
                    <w:jc w:val="center"/>
                    <w:spacing w:line="360" w:lineRule="auto"/>
                  </w:pPr>
                  <w:r>
                    <w:rPr>
                      <w:bCs/>
                      <w:b/>
                    </w:rPr>
                    <w:t xml:space="preserve">Métrica</w:t>
                  </w:r>
                </w:p>
              </w:tc>
              <w:tc>
                <w:tcPr/>
                <w:p>
                  <w:pPr>
                    <w:pStyle w:val="Compact"/>
                    <w:jc w:val="both"/>
                    <w:jc w:val="center"/>
                    <w:spacing w:line="360" w:lineRule="auto"/>
                  </w:pPr>
                  <ns5:oMath>
                    <ns5:acc>
                      <ns5:accPr>
                        <ns5:chr ns5:val="‾"/>
                      </ns5:accPr>
                      <ns5:e>
                        <ns5:r>
                          <ns5:t>d</ns5:t>
                        </ns5:r>
                      </ns5:e>
                    </ns5:acc>
                  </ns5:oMath>
                  <w:r>
                    <w:rPr>
                      <w:bCs/>
                      <w:b/>
                    </w:rPr>
                    <w:t xml:space="preserve"> </w:t>
                  </w:r>
                  <w:r>
                    <w:rPr>
                      <w:bCs/>
                      <w:b/>
                    </w:rPr>
                    <w:t xml:space="preserve">(SHAP</w:t>
                  </w:r>
                  <ns5:oMath>
                    <ns5:r>
                      <ns5:rPr>
                        <ns5:sty ns5:val="p"/>
                      </ns5:rPr>
                      <ns5:t>−</ns5:t>
                    </ns5:r>
                  </ns5:oMath>
                  <w:r>
                    <w:rPr>
                      <w:bCs/>
                      <w:b/>
                    </w:rPr>
                    <w:t xml:space="preserve">LIME)</w:t>
                  </w:r>
                </w:p>
              </w:tc>
              <w:tc>
                <w:tcPr/>
                <w:p>
                  <w:pPr>
                    <w:pStyle w:val="Compact"/>
                    <w:jc w:val="both"/>
                    <w:jc w:val="center"/>
                    <w:spacing w:line="360" w:lineRule="auto"/>
                  </w:pPr>
                  <ns5:oMath>
                    <ns5:sSub>
                      <ns5:e>
                        <ns5:r>
                          <ns5:t>s</ns5:t>
                        </ns5:r>
                      </ns5:e>
                      <ns5:sub>
                        <ns5:r>
                          <ns5:t>d</ns5:t>
                        </ns5:r>
                      </ns5:sub>
                    </ns5:sSub>
                  </ns5:oMath>
                  <w:r>
                    <w:rPr>
                      <w:bCs/>
                      <w:b/>
                    </w:rPr>
                    <w:t xml:space="preserve">​</w:t>
                  </w:r>
                </w:p>
              </w:tc>
              <w:tc>
                <w:tcPr/>
                <w:p>
                  <w:pPr>
                    <w:pStyle w:val="Compact"/>
                    <w:jc w:val="both"/>
                    <w:jc w:val="center"/>
                    <w:spacing w:line="360" w:lineRule="auto"/>
                  </w:pPr>
                  <ns5:oMath>
                    <ns5:sSub>
                      <ns5:e>
                        <ns5:r>
                          <ns5:t>d</ns5:t>
                        </ns5:r>
                      </ns5:e>
                      <ns5:sub>
                        <ns5:r>
                          <ns5:t>z</ns5:t>
                        </ns5:r>
                      </ns5:sub>
                    </ns5:sSub>
                  </ns5:oMath>
                  <w:r>
                    <w:rPr>
                      <w:bCs/>
                      <w:b/>
                    </w:rPr>
                    <w:t xml:space="preserve">​</w:t>
                  </w:r>
                </w:p>
              </w:tc>
              <w:tc>
                <w:tcPr/>
                <w:p>
                  <w:pPr>
                    <w:pStyle w:val="Compact"/>
                    <w:jc w:val="both"/>
                    <w:jc w:val="center"/>
                    <w:spacing w:line="360" w:lineRule="auto"/>
                  </w:pPr>
                  <ns5:oMath>
                    <ns5:r>
                      <ns5:t>W</ns5:t>
                    </ns5:r>
                  </ns5:oMath>
                  <w:r>
                    <w:rPr>
                      <w:bCs/>
                      <w:b/>
                    </w:rPr>
                    <w:t xml:space="preserve">​</w:t>
                  </w:r>
                </w:p>
              </w:tc>
              <w:tc>
                <w:tcPr/>
                <w:p>
                  <w:pPr>
                    <w:pStyle w:val="Compact"/>
                    <w:jc w:val="both"/>
                    <w:jc w:val="center"/>
                    <w:spacing w:line="360" w:lineRule="auto"/>
                  </w:pPr>
                  <ns5:oMath>
                    <ns5:r>
                      <ns5:t>p</ns5:t>
                    </ns5:r>
                  </ns5:oMath>
                  <w:r>
                    <w:rPr>
                      <w:bCs/>
                      <w:b/>
                    </w:rPr>
                    <w:t xml:space="preserve"> </w:t>
                  </w:r>
                  <w:r>
                    <w:rPr>
                      <w:bCs/>
                      <w:b/>
                    </w:rPr>
                    <w:t xml:space="preserve">(bilateral)</w:t>
                  </w:r>
                </w:p>
              </w:tc>
              <w:tc>
                <w:tcPr/>
                <w:p>
                  <w:pPr>
                    <w:pStyle w:val="Compact"/>
                    <w:jc w:val="both"/>
                    <w:jc w:val="center"/>
                    <w:spacing w:line="360" w:lineRule="auto"/>
                  </w:pPr>
                  <ns5:oMath>
                    <ns5:sSub>
                      <ns5:e>
                        <ns5:r>
                          <ns5:t>p</ns5:t>
                        </ns5:r>
                      </ns5:e>
                      <ns5:sub>
                        <ns5:r>
                          <ns5:rPr>
                            <ns5:sty ns5:val="p"/>
                          </ns5:rPr>
                          <ns5:t>H</ns5:t>
                        </ns5:r>
                        <ns5:r>
                          <ns5:rPr>
                            <ns5:sty ns5:val="p"/>
                          </ns5:rPr>
                          <ns5:t>o</ns5:t>
                        </ns5:r>
                        <ns5:r>
                          <ns5:rPr>
                            <ns5:sty ns5:val="p"/>
                          </ns5:rPr>
                          <ns5:t>l</ns5:t>
                        </ns5:r>
                        <ns5:r>
                          <ns5:rPr>
                            <ns5:sty ns5:val="p"/>
                          </ns5:rPr>
                          <ns5:t>m</ns5:t>
                        </ns5:r>
                      </ns5:sub>
                    </ns5:sSub>
                  </ns5:oMath>
                  <w:r>
                    <w:rPr>
                      <w:bCs/>
                      <w:b/>
                    </w:rPr>
                    <w:t xml:space="preserve">​</w:t>
                  </w:r>
                </w:p>
              </w:tc>
              <w:tc>
                <w:tcPr/>
                <w:p>
                  <w:pPr>
                    <w:pStyle w:val="Compact"/>
                    <w:jc w:val="both"/>
                    <w:jc w:val="center"/>
                    <w:spacing w:line="360" w:lineRule="auto"/>
                  </w:pPr>
                  <ns5:oMath>
                    <ns5:sSup>
                      <ns5:e>
                        <ns5:r>
                          <ns5:t>n</ns5:t>
                        </ns5:r>
                      </ns5:e>
                      <ns5:sup>
                        <ns5:r>
                          <ns5:rPr>
                            <ns5:sty ns5:val="p"/>
                          </ns5:rPr>
                          <ns5:t>+</ns5:t>
                        </ns5:r>
                      </ns5:sup>
                    </ns5:sSup>
                  </ns5:oMath>
                  <w:r>
                    <w:rPr>
                      <w:bCs/>
                      <w:b/>
                    </w:rPr>
                    <w:t xml:space="preserve">​</w:t>
                  </w:r>
                </w:p>
              </w:tc>
              <w:tc>
                <w:tcPr/>
                <w:p>
                  <w:pPr>
                    <w:pStyle w:val="Compact"/>
                    <w:jc w:val="both"/>
                    <w:jc w:val="center"/>
                    <w:spacing w:line="360" w:lineRule="auto"/>
                  </w:pPr>
                  <ns5:oMath>
                    <ns5:sSup>
                      <ns5:e>
                        <ns5:r>
                          <ns5:t>n</ns5:t>
                        </ns5:r>
                      </ns5:e>
                      <ns5:sup>
                        <ns5:r>
                          <ns5:rPr>
                            <ns5:sty ns5:val="p"/>
                          </ns5:rPr>
                          <ns5:t>−</ns5:t>
                        </ns5:r>
                      </ns5:sup>
                    </ns5:sSup>
                  </ns5:oMath>
                  <w:r>
                    <w:rPr>
                      <w:bCs/>
                      <w:b/>
                    </w:rPr>
                    <w:t xml:space="preserve">​</w:t>
                  </w:r>
                </w:p>
              </w:tc>
              <w:tc>
                <w:tcPr/>
                <w:p>
                  <w:pPr>
                    <w:pStyle w:val="Compact"/>
                    <w:jc w:val="both"/>
                    <w:jc w:val="center"/>
                    <w:spacing w:line="360" w:lineRule="auto"/>
                  </w:pPr>
                  <w:r>
                    <w:rPr>
                      <w:bCs/>
                      <w:b/>
                    </w:rPr>
                    <w:t xml:space="preserve">Decisión</w:t>
                  </w:r>
                </w:p>
              </w:tc>
            </w:tr>
            <w:tr>
              <w:tc>
                <w:tcPr/>
                <w:p>
                  <w:pPr>
                    <w:pStyle w:val="Compact"/>
                    <w:jc w:val="both"/>
                    <w:jc w:val="center"/>
                    <w:spacing w:line="360" w:lineRule="auto"/>
                  </w:pPr>
                  <w:r>
                    <w:t xml:space="preserve">Fidelidad</w:t>
                  </w:r>
                </w:p>
              </w:tc>
              <w:tc>
                <w:tcPr/>
                <w:p>
                  <w:pPr>
                    <w:pStyle w:val="Compact"/>
                    <w:jc w:val="both"/>
                    <w:jc w:val="center"/>
                    <w:spacing w:line="360" w:lineRule="auto"/>
                  </w:pPr>
                  <ns5:oMath>
                    <ns5:r>
                      <ns5:rPr>
                        <ns5:sty ns5:val="p"/>
                      </ns5:rPr>
                      <ns5:t>+</ns5:t>
                    </ns5:r>
                    <ns5:r>
                      <ns5:t>0.2479</ns5:t>
                    </ns5:r>
                  </ns5:oMath>
                  <w:r>
                    <w:t xml:space="preserve">​</w:t>
                  </w:r>
                </w:p>
              </w:tc>
              <w:tc>
                <w:tcPr/>
                <w:p>
                  <w:pPr>
                    <w:pStyle w:val="Compact"/>
                    <w:jc w:val="both"/>
                    <w:jc w:val="center"/>
                    <w:spacing w:line="360" w:lineRule="auto"/>
                  </w:pPr>
                  <ns5:oMath>
                    <ns5:r>
                      <ns5:t>0.0514</ns5:t>
                    </ns5:r>
                  </ns5:oMath>
                  <w:r>
                    <w:t xml:space="preserve">​</w:t>
                  </w:r>
                </w:p>
              </w:tc>
              <w:tc>
                <w:tcPr/>
                <w:p>
                  <w:pPr>
                    <w:pStyle w:val="Compact"/>
                    <w:jc w:val="both"/>
                    <w:jc w:val="center"/>
                    <w:spacing w:line="360" w:lineRule="auto"/>
                  </w:pPr>
                  <ns5:oMath>
                    <ns5:r>
                      <ns5:rPr>
                        <ns5:sty ns5:val="p"/>
                      </ns5:rPr>
                      <ns5:t>+</ns5:t>
                    </ns5:r>
                    <ns5:r>
                      <ns5:t>4.820</ns5:t>
                    </ns5:r>
                  </ns5:oMath>
                  <w:r>
                    <w:t xml:space="preserve">​</w:t>
                  </w:r>
                </w:p>
              </w:tc>
              <w:tc>
                <w:tcPr/>
                <w:p>
                  <w:pPr>
                    <w:pStyle w:val="Compact"/>
                    <w:jc w:val="both"/>
                    <w:jc w:val="center"/>
                    <w:spacing w:line="360" w:lineRule="auto"/>
                  </w:pPr>
                  <w:r>
                    <w:t xml:space="preserve">0</w:t>
                  </w:r>
                </w:p>
              </w:tc>
              <w:tc>
                <w:tcPr/>
                <w:p>
                  <w:pPr>
                    <w:pStyle w:val="Compact"/>
                    <w:jc w:val="both"/>
                    <w:jc w:val="center"/>
                    <w:spacing w:line="360" w:lineRule="auto"/>
                  </w:pPr>
                  <ns5:oMath>
                    <ns5:r>
                      <ns5:rPr>
                        <ns5:sty ns5:val="p"/>
                      </ns5:rPr>
                      <ns5:t>&lt;</ns5:t>
                    </ns5:r>
                    <ns5:r>
                      <ns5:t>2.2</ns5:t>
                    </ns5:r>
                    <ns5:r>
                      <ns5:rPr>
                        <ns5:sty ns5:val="p"/>
                      </ns5:rPr>
                      <ns5:t>×</ns5:t>
                    </ns5:r>
                    <ns5:sSup>
                      <ns5:e>
                        <ns5:r>
                          <ns5:t>10</ns5:t>
                        </ns5:r>
                      </ns5:e>
                      <ns5:sup>
                        <ns5:r>
                          <ns5:rPr>
                            <ns5:sty ns5:val="p"/>
                          </ns5:rPr>
                          <ns5:t>−</ns5:t>
                        </ns5:r>
                        <ns5:r>
                          <ns5:t>16</ns5:t>
                        </ns5:r>
                      </ns5:sup>
                    </ns5:sSup>
                  </ns5:oMath>
                  <w:r>
                    <w:t xml:space="preserve">​</w:t>
                  </w:r>
                </w:p>
              </w:tc>
              <w:tc>
                <w:tcPr/>
                <w:p>
                  <w:pPr>
                    <w:pStyle w:val="Compact"/>
                    <w:jc w:val="both"/>
                    <w:jc w:val="center"/>
                    <w:spacing w:line="360" w:lineRule="auto"/>
                  </w:pPr>
                  <ns5:oMath>
                    <ns5:r>
                      <ns5:rPr>
                        <ns5:sty ns5:val="p"/>
                      </ns5:rPr>
                      <ns5:t>&lt;</ns5:t>
                    </ns5:r>
                    <ns5:r>
                      <ns5:t>1.0</ns5:t>
                    </ns5:r>
                    <ns5:r>
                      <ns5:rPr>
                        <ns5:sty ns5:val="p"/>
                      </ns5:rPr>
                      <ns5:t>×</ns5:t>
                    </ns5:r>
                    <ns5:sSup>
                      <ns5:e>
                        <ns5:r>
                          <ns5:t>10</ns5:t>
                        </ns5:r>
                      </ns5:e>
                      <ns5:sup>
                        <ns5:r>
                          <ns5:rPr>
                            <ns5:sty ns5:val="p"/>
                          </ns5:rPr>
                          <ns5:t>−</ns5:t>
                        </ns5:r>
                        <ns5:r>
                          <ns5:t>14</ns5:t>
                        </ns5:r>
                      </ns5:sup>
                    </ns5:sSup>
                  </ns5:oMath>
                  <w:r>
                    <w:t xml:space="preserve">​</w:t>
                  </w:r>
                </w:p>
              </w:tc>
              <w:tc>
                <w:tcPr/>
                <w:p>
                  <w:pPr>
                    <w:pStyle w:val="Compact"/>
                    <w:jc w:val="both"/>
                    <w:jc w:val="center"/>
                    <w:spacing w:line="360" w:lineRule="auto"/>
                  </w:pPr>
                  <w:r>
                    <w:t xml:space="preserve">75</w:t>
                  </w:r>
                </w:p>
              </w:tc>
              <w:tc>
                <w:tcPr/>
                <w:p>
                  <w:pPr>
                    <w:pStyle w:val="Compact"/>
                    <w:jc w:val="both"/>
                    <w:jc w:val="center"/>
                    <w:spacing w:line="360" w:lineRule="auto"/>
                  </w:pPr>
                  <w:r>
                    <w:t xml:space="preserve">0</w:t>
                  </w:r>
                </w:p>
              </w:tc>
              <w:tc>
                <w:tcPr/>
                <w:p>
                  <w:pPr>
                    <w:pStyle w:val="Compact"/>
                    <w:jc w:val="both"/>
                    <w:jc w:val="center"/>
                    <w:spacing w:line="360" w:lineRule="auto"/>
                  </w:pPr>
                  <w:r>
                    <w:rPr>
                      <w:b/>
                      <w:bCs/>
                    </w:rPr>
                    <w:t xml:space="preserve">Rechazar</w:t>
                  </w:r>
                  <w:r>
                    <w:t xml:space="preserve"> </w:t>
                  </w:r>
                  <ns5:oMath>
                    <ns5:sSub>
                      <ns5:e>
                        <ns5:r>
                          <ns5:t>H</ns5:t>
                        </ns5:r>
                      </ns5:e>
                      <ns5:sub>
                        <ns5:r>
                          <ns5:t>0</ns5:t>
                        </ns5:r>
                      </ns5:sub>
                    </ns5:sSub>
                  </ns5:oMath>
                </w:p>
              </w:tc>
            </w:tr>
            <w:tr>
              <w:tc>
                <w:tcPr/>
                <w:p>
                  <w:pPr>
                    <w:pStyle w:val="Compact"/>
                    <w:jc w:val="both"/>
                    <w:jc w:val="center"/>
                    <w:spacing w:line="360" w:lineRule="auto"/>
                  </w:pPr>
                  <w:r>
                    <w:t xml:space="preserve">Estabilidad</w:t>
                  </w:r>
                </w:p>
              </w:tc>
              <w:tc>
                <w:tcPr/>
                <w:p>
                  <w:pPr>
                    <w:pStyle w:val="Compact"/>
                    <w:jc w:val="both"/>
                    <w:jc w:val="center"/>
                    <w:spacing w:line="360" w:lineRule="auto"/>
                  </w:pPr>
                  <ns5:oMath>
                    <ns5:r>
                      <ns5:rPr>
                        <ns5:sty ns5:val="p"/>
                      </ns5:rPr>
                      <ns5:t>+</ns5:t>
                    </ns5:r>
                    <ns5:r>
                      <ns5:t>0.7176</ns5:t>
                    </ns5:r>
                  </ns5:oMath>
                  <w:r>
                    <w:t xml:space="preserve">​</w:t>
                  </w:r>
                </w:p>
              </w:tc>
              <w:tc>
                <w:tcPr/>
                <w:p>
                  <w:pPr>
                    <w:pStyle w:val="Compact"/>
                    <w:jc w:val="both"/>
                    <w:jc w:val="center"/>
                    <w:spacing w:line="360" w:lineRule="auto"/>
                  </w:pPr>
                  <ns5:oMath>
                    <ns5:r>
                      <ns5:t>0.2390</ns5:t>
                    </ns5:r>
                  </ns5:oMath>
                  <w:r>
                    <w:t xml:space="preserve">​</w:t>
                  </w:r>
                </w:p>
              </w:tc>
              <w:tc>
                <w:tcPr/>
                <w:p>
                  <w:pPr>
                    <w:pStyle w:val="Compact"/>
                    <w:jc w:val="both"/>
                    <w:jc w:val="center"/>
                    <w:spacing w:line="360" w:lineRule="auto"/>
                  </w:pPr>
                  <ns5:oMath>
                    <ns5:r>
                      <ns5:rPr>
                        <ns5:sty ns5:val="p"/>
                      </ns5:rPr>
                      <ns5:t>+</ns5:t>
                    </ns5:r>
                    <ns5:r>
                      <ns5:t>3.002</ns5:t>
                    </ns5:r>
                  </ns5:oMath>
                  <w:r>
                    <w:t xml:space="preserve">​</w:t>
                  </w:r>
                </w:p>
              </w:tc>
              <w:tc>
                <w:tcPr/>
                <w:p>
                  <w:pPr>
                    <w:pStyle w:val="Compact"/>
                    <w:jc w:val="both"/>
                    <w:jc w:val="center"/>
                    <w:spacing w:line="360" w:lineRule="auto"/>
                  </w:pPr>
                  <w:r>
                    <w:t xml:space="preserve">0</w:t>
                  </w:r>
                </w:p>
              </w:tc>
              <w:tc>
                <w:tcPr/>
                <w:p>
                  <w:pPr>
                    <w:pStyle w:val="Compact"/>
                    <w:jc w:val="both"/>
                    <w:jc w:val="center"/>
                    <w:spacing w:line="360" w:lineRule="auto"/>
                  </w:pPr>
                  <ns5:oMath>
                    <ns5:r>
                      <ns5:rPr>
                        <ns5:sty ns5:val="p"/>
                      </ns5:rPr>
                      <ns5:t>&lt;</ns5:t>
                    </ns5:r>
                    <ns5:r>
                      <ns5:t>2.2</ns5:t>
                    </ns5:r>
                    <ns5:r>
                      <ns5:rPr>
                        <ns5:sty ns5:val="p"/>
                      </ns5:rPr>
                      <ns5:t>×</ns5:t>
                    </ns5:r>
                    <ns5:sSup>
                      <ns5:e>
                        <ns5:r>
                          <ns5:t>10</ns5:t>
                        </ns5:r>
                      </ns5:e>
                      <ns5:sup>
                        <ns5:r>
                          <ns5:rPr>
                            <ns5:sty ns5:val="p"/>
                          </ns5:rPr>
                          <ns5:t>−</ns5:t>
                        </ns5:r>
                        <ns5:r>
                          <ns5:t>16</ns5:t>
                        </ns5:r>
                      </ns5:sup>
                    </ns5:sSup>
                  </ns5:oMath>
                  <w:r>
                    <w:t xml:space="preserve">​</w:t>
                  </w:r>
                </w:p>
              </w:tc>
              <w:tc>
                <w:tcPr/>
                <w:p>
                  <w:pPr>
                    <w:pStyle w:val="Compact"/>
                    <w:jc w:val="both"/>
                    <w:jc w:val="center"/>
                    <w:spacing w:line="360" w:lineRule="auto"/>
                  </w:pPr>
                  <ns5:oMath>
                    <ns5:r>
                      <ns5:rPr>
                        <ns5:sty ns5:val="p"/>
                      </ns5:rPr>
                      <ns5:t>&lt;</ns5:t>
                    </ns5:r>
                    <ns5:r>
                      <ns5:t>1.0</ns5:t>
                    </ns5:r>
                    <ns5:r>
                      <ns5:rPr>
                        <ns5:sty ns5:val="p"/>
                      </ns5:rPr>
                      <ns5:t>×</ns5:t>
                    </ns5:r>
                    <ns5:sSup>
                      <ns5:e>
                        <ns5:r>
                          <ns5:t>10</ns5:t>
                        </ns5:r>
                      </ns5:e>
                      <ns5:sup>
                        <ns5:r>
                          <ns5:rPr>
                            <ns5:sty ns5:val="p"/>
                          </ns5:rPr>
                          <ns5:t>−</ns5:t>
                        </ns5:r>
                        <ns5:r>
                          <ns5:t>14</ns5:t>
                        </ns5:r>
                      </ns5:sup>
                    </ns5:sSup>
                  </ns5:oMath>
                  <w:r>
                    <w:t xml:space="preserve">​</w:t>
                  </w:r>
                </w:p>
              </w:tc>
              <w:tc>
                <w:tcPr/>
                <w:p>
                  <w:pPr>
                    <w:pStyle w:val="Compact"/>
                    <w:jc w:val="both"/>
                    <w:jc w:val="center"/>
                    <w:spacing w:line="360" w:lineRule="auto"/>
                  </w:pPr>
                  <w:r>
                    <w:t xml:space="preserve">75</w:t>
                  </w:r>
                </w:p>
              </w:tc>
              <w:tc>
                <w:tcPr/>
                <w:p>
                  <w:pPr>
                    <w:pStyle w:val="Compact"/>
                    <w:jc w:val="both"/>
                    <w:jc w:val="center"/>
                    <w:spacing w:line="360" w:lineRule="auto"/>
                  </w:pPr>
                  <w:r>
                    <w:t xml:space="preserve">0</w:t>
                  </w:r>
                </w:p>
              </w:tc>
              <w:tc>
                <w:tcPr/>
                <w:p>
                  <w:pPr>
                    <w:pStyle w:val="Compact"/>
                    <w:jc w:val="both"/>
                    <w:jc w:val="center"/>
                    <w:spacing w:line="360" w:lineRule="auto"/>
                  </w:pPr>
                  <w:r>
                    <w:rPr>
                      <w:b/>
                      <w:bCs/>
                    </w:rPr>
                    <w:t xml:space="preserve">Rechazar</w:t>
                  </w:r>
                  <w:r>
                    <w:t xml:space="preserve"> </w:t>
                  </w:r>
                  <ns5:oMath>
                    <ns5:sSub>
                      <ns5:e>
                        <ns5:r>
                          <ns5:t>H</ns5:t>
                        </ns5:r>
                      </ns5:e>
                      <ns5:sub>
                        <ns5:r>
                          <ns5:t>0</ns5:t>
                        </ns5:r>
                      </ns5:sub>
                    </ns5:sSub>
                  </ns5:oMath>
                </w:p>
              </w:tc>
            </w:tr>
            <w:tr>
              <w:tc>
                <w:tcPr/>
                <w:p>
                  <w:pPr>
                    <w:pStyle w:val="Compact"/>
                    <w:jc w:val="both"/>
                    <w:jc w:val="center"/>
                    <w:spacing w:line="360" w:lineRule="auto"/>
                  </w:pPr>
                  <w:r>
                    <w:t xml:space="preserve">Parsimonia</w:t>
                  </w:r>
                </w:p>
              </w:tc>
              <w:tc>
                <w:tcPr/>
                <w:p>
                  <w:pPr>
                    <w:pStyle w:val="Compact"/>
                    <w:jc w:val="both"/>
                    <w:jc w:val="center"/>
                    <w:spacing w:line="360" w:lineRule="auto"/>
                  </w:pPr>
                  <ns5:oMath>
                    <ns5:r>
                      <ns5:rPr>
                        <ns5:sty ns5:val="p"/>
                      </ns5:rPr>
                      <ns5:t>+</ns5:t>
                    </ns5:r>
                    <ns5:r>
                      <ns5:t>0.1418</ns5:t>
                    </ns5:r>
                  </ns5:oMath>
                  <w:r>
                    <w:t xml:space="preserve">​</w:t>
                  </w:r>
                </w:p>
              </w:tc>
              <w:tc>
                <w:tcPr/>
                <w:p>
                  <w:pPr>
                    <w:pStyle w:val="Compact"/>
                    <w:jc w:val="both"/>
                    <w:jc w:val="center"/>
                    <w:spacing w:line="360" w:lineRule="auto"/>
                  </w:pPr>
                  <ns5:oMath>
                    <ns5:r>
                      <ns5:t>0.1690</ns5:t>
                    </ns5:r>
                  </ns5:oMath>
                  <w:r>
                    <w:t xml:space="preserve">​</w:t>
                  </w:r>
                </w:p>
              </w:tc>
              <w:tc>
                <w:tcPr/>
                <w:p>
                  <w:pPr>
                    <w:pStyle w:val="Compact"/>
                    <w:jc w:val="both"/>
                    <w:jc w:val="center"/>
                    <w:spacing w:line="360" w:lineRule="auto"/>
                  </w:pPr>
                  <ns5:oMath>
                    <ns5:r>
                      <ns5:rPr>
                        <ns5:sty ns5:val="p"/>
                      </ns5:rPr>
                      <ns5:t>+</ns5:t>
                    </ns5:r>
                    <ns5:r>
                      <ns5:t>0.839</ns5:t>
                    </ns5:r>
                  </ns5:oMath>
                  <w:r>
                    <w:t xml:space="preserve">​</w:t>
                  </w:r>
                </w:p>
              </w:tc>
              <w:tc>
                <w:tcPr/>
                <w:p>
                  <w:pPr>
                    <w:pStyle w:val="Compact"/>
                    <w:jc w:val="both"/>
                    <w:jc w:val="center"/>
                    <w:spacing w:line="360" w:lineRule="auto"/>
                  </w:pPr>
                  <w:r>
                    <w:t xml:space="preserve">0</w:t>
                  </w:r>
                </w:p>
              </w:tc>
              <w:tc>
                <w:tcPr/>
                <w:p>
                  <w:pPr>
                    <w:pStyle w:val="Compact"/>
                    <w:jc w:val="both"/>
                    <w:jc w:val="center"/>
                    <w:spacing w:line="360" w:lineRule="auto"/>
                  </w:pPr>
                  <ns5:oMath>
                    <ns5:r>
                      <ns5:rPr>
                        <ns5:sty ns5:val="p"/>
                      </ns5:rPr>
                      <ns5:t>&lt;</ns5:t>
                    </ns5:r>
                    <ns5:r>
                      <ns5:t>2.2</ns5:t>
                    </ns5:r>
                    <ns5:r>
                      <ns5:rPr>
                        <ns5:sty ns5:val="p"/>
                      </ns5:rPr>
                      <ns5:t>×</ns5:t>
                    </ns5:r>
                    <ns5:sSup>
                      <ns5:e>
                        <ns5:r>
                          <ns5:t>10</ns5:t>
                        </ns5:r>
                      </ns5:e>
                      <ns5:sup>
                        <ns5:r>
                          <ns5:rPr>
                            <ns5:sty ns5:val="p"/>
                          </ns5:rPr>
                          <ns5:t>−</ns5:t>
                        </ns5:r>
                        <ns5:r>
                          <ns5:t>16</ns5:t>
                        </ns5:r>
                      </ns5:sup>
                    </ns5:sSup>
                  </ns5:oMath>
                  <w:r>
                    <w:t xml:space="preserve">​</w:t>
                  </w:r>
                </w:p>
              </w:tc>
              <w:tc>
                <w:tcPr/>
                <w:p>
                  <w:pPr>
                    <w:pStyle w:val="Compact"/>
                    <w:jc w:val="both"/>
                    <w:jc w:val="center"/>
                    <w:spacing w:line="360" w:lineRule="auto"/>
                  </w:pPr>
                  <ns5:oMath>
                    <ns5:r>
                      <ns5:rPr>
                        <ns5:sty ns5:val="p"/>
                      </ns5:rPr>
                      <ns5:t>&lt;</ns5:t>
                    </ns5:r>
                    <ns5:r>
                      <ns5:t>1.0</ns5:t>
                    </ns5:r>
                    <ns5:r>
                      <ns5:rPr>
                        <ns5:sty ns5:val="p"/>
                      </ns5:rPr>
                      <ns5:t>×</ns5:t>
                    </ns5:r>
                    <ns5:sSup>
                      <ns5:e>
                        <ns5:r>
                          <ns5:t>10</ns5:t>
                        </ns5:r>
                      </ns5:e>
                      <ns5:sup>
                        <ns5:r>
                          <ns5:rPr>
                            <ns5:sty ns5:val="p"/>
                          </ns5:rPr>
                          <ns5:t>−</ns5:t>
                        </ns5:r>
                        <ns5:r>
                          <ns5:t>13</ns5:t>
                        </ns5:r>
                      </ns5:sup>
                    </ns5:sSup>
                  </ns5:oMath>
                  <w:r>
                    <w:t xml:space="preserve">​</w:t>
                  </w:r>
                </w:p>
              </w:tc>
              <w:tc>
                <w:tcPr/>
                <w:p>
                  <w:pPr>
                    <w:pStyle w:val="Compact"/>
                    <w:jc w:val="both"/>
                    <w:jc w:val="center"/>
                    <w:spacing w:line="360" w:lineRule="auto"/>
                  </w:pPr>
                  <w:r>
                    <w:t xml:space="preserve">75</w:t>
                  </w:r>
                </w:p>
              </w:tc>
              <w:tc>
                <w:tcPr/>
                <w:p>
                  <w:pPr>
                    <w:pStyle w:val="Compact"/>
                    <w:jc w:val="both"/>
                    <w:jc w:val="center"/>
                    <w:spacing w:line="360" w:lineRule="auto"/>
                  </w:pPr>
                  <w:r>
                    <w:t xml:space="preserve">0</w:t>
                  </w:r>
                </w:p>
              </w:tc>
              <w:tc>
                <w:tcPr/>
                <w:p>
                  <w:pPr>
                    <w:pStyle w:val="Compact"/>
                    <w:jc w:val="both"/>
                    <w:jc w:val="center"/>
                    <w:spacing w:line="360" w:lineRule="auto"/>
                  </w:pPr>
                  <w:r>
                    <w:rPr>
                      <w:b/>
                      <w:bCs/>
                    </w:rPr>
                    <w:t xml:space="preserve">Rechazar</w:t>
                  </w:r>
                  <w:r>
                    <w:t xml:space="preserve"> </w:t>
                  </w:r>
                  <ns5:oMath>
                    <ns5:sSub>
                      <ns5:e>
                        <ns5:r>
                          <ns5:t>H</ns5:t>
                        </ns5:r>
                      </ns5:e>
                      <ns5:sub>
                        <ns5:r>
                          <ns5:t>0</ns5:t>
                        </ns5:r>
                      </ns5:sub>
                    </ns5:sSub>
                  </ns5:oMath>
                </w:p>
              </w:tc>
            </w:tr>
            <w:tr>
              <w:tc>
                <w:tcPr/>
                <w:p>
                  <w:pPr>
                    <w:pStyle w:val="Compact"/>
                    <w:jc w:val="both"/>
                    <w:jc w:val="center"/>
                    <w:spacing w:line="360" w:lineRule="auto"/>
                  </w:pPr>
                  <w:r>
                    <w:t xml:space="preserve">Brecha fidelidad</w:t>
                  </w:r>
                </w:p>
              </w:tc>
              <w:tc>
                <w:tcPr/>
                <w:p>
                  <w:pPr>
                    <w:pStyle w:val="Compact"/>
                    <w:jc w:val="both"/>
                    <w:jc w:val="center"/>
                    <w:spacing w:line="360" w:lineRule="auto"/>
                  </w:pPr>
                  <ns5:oMath>
                    <ns5:r>
                      <ns5:rPr>
                        <ns5:sty ns5:val="p"/>
                      </ns5:rPr>
                      <ns5:t>+</ns5:t>
                    </ns5:r>
                    <ns5:r>
                      <ns5:t>0.0453</ns5:t>
                    </ns5:r>
                  </ns5:oMath>
                  <w:r>
                    <w:t xml:space="preserve">​</w:t>
                  </w:r>
                </w:p>
              </w:tc>
              <w:tc>
                <w:tcPr/>
                <w:p>
                  <w:pPr>
                    <w:pStyle w:val="Compact"/>
                    <w:jc w:val="both"/>
                    <w:jc w:val="center"/>
                    <w:spacing w:line="360" w:lineRule="auto"/>
                  </w:pPr>
                  <ns5:oMath>
                    <ns5:r>
                      <ns5:t>0.0173</ns5:t>
                    </ns5:r>
                  </ns5:oMath>
                  <w:r>
                    <w:t xml:space="preserve">​</w:t>
                  </w:r>
                </w:p>
              </w:tc>
              <w:tc>
                <w:tcPr/>
                <w:p>
                  <w:pPr>
                    <w:pStyle w:val="Compact"/>
                    <w:jc w:val="both"/>
                    <w:jc w:val="center"/>
                    <w:spacing w:line="360" w:lineRule="auto"/>
                  </w:pPr>
                  <ns5:oMath>
                    <ns5:r>
                      <ns5:rPr>
                        <ns5:sty ns5:val="p"/>
                      </ns5:rPr>
                      <ns5:t>+</ns5:t>
                    </ns5:r>
                    <ns5:r>
                      <ns5:t>2.626</ns5:t>
                    </ns5:r>
                  </ns5:oMath>
                  <w:r>
                    <w:t xml:space="preserve">​</w:t>
                  </w:r>
                </w:p>
              </w:tc>
              <w:tc>
                <w:tcPr/>
                <w:p>
                  <w:pPr>
                    <w:pStyle w:val="Compact"/>
                    <w:jc w:val="both"/>
                    <w:jc w:val="center"/>
                    <w:spacing w:line="360" w:lineRule="auto"/>
                  </w:pPr>
                  <w:r>
                    <w:t xml:space="preserve">1</w:t>
                  </w:r>
                </w:p>
              </w:tc>
              <w:tc>
                <w:tcPr/>
                <w:p>
                  <w:pPr>
                    <w:pStyle w:val="Compact"/>
                    <w:jc w:val="both"/>
                    <w:jc w:val="center"/>
                    <w:spacing w:line="360" w:lineRule="auto"/>
                  </w:pPr>
                  <ns5:oMath>
                    <ns5:r>
                      <ns5:t>2.64</ns5:t>
                    </ns5:r>
                    <ns5:r>
                      <ns5:rPr>
                        <ns5:sty ns5:val="p"/>
                      </ns5:rPr>
                      <ns5:t>×</ns5:t>
                    </ns5:r>
                    <ns5:sSup>
                      <ns5:e>
                        <ns5:r>
                          <ns5:t>10</ns5:t>
                        </ns5:r>
                      </ns5:e>
                      <ns5:sup>
                        <ns5:r>
                          <ns5:rPr>
                            <ns5:sty ns5:val="p"/>
                          </ns5:rPr>
                          <ns5:t>−</ns5:t>
                        </ns5:r>
                        <ns5:r>
                          <ns5:t>13</ns5:t>
                        </ns5:r>
                      </ns5:sup>
                    </ns5:sSup>
                  </ns5:oMath>
                  <w:r>
                    <w:t xml:space="preserve">​</w:t>
                  </w:r>
                </w:p>
              </w:tc>
              <w:tc>
                <w:tcPr/>
                <w:p>
                  <w:pPr>
                    <w:pStyle w:val="Compact"/>
                    <w:jc w:val="both"/>
                    <w:jc w:val="center"/>
                    <w:spacing w:line="360" w:lineRule="auto"/>
                  </w:pPr>
                  <ns5:oMath>
                    <ns5:r>
                      <ns5:t>2.64</ns5:t>
                    </ns5:r>
                    <ns5:r>
                      <ns5:rPr>
                        <ns5:sty ns5:val="p"/>
                      </ns5:rPr>
                      <ns5:t>×</ns5:t>
                    </ns5:r>
                    <ns5:sSup>
                      <ns5:e>
                        <ns5:r>
                          <ns5:t>10</ns5:t>
                        </ns5:r>
                      </ns5:e>
                      <ns5:sup>
                        <ns5:r>
                          <ns5:rPr>
                            <ns5:sty ns5:val="p"/>
                          </ns5:rPr>
                          <ns5:t>−</ns5:t>
                        </ns5:r>
                        <ns5:r>
                          <ns5:t>13</ns5:t>
                        </ns5:r>
                      </ns5:sup>
                    </ns5:sSup>
                  </ns5:oMath>
                  <w:r>
                    <w:t xml:space="preserve">​</w:t>
                  </w:r>
                </w:p>
              </w:tc>
              <w:tc>
                <w:tcPr/>
                <w:p>
                  <w:pPr>
                    <w:pStyle w:val="Compact"/>
                    <w:jc w:val="both"/>
                    <w:jc w:val="center"/>
                    <w:spacing w:line="360" w:lineRule="auto"/>
                  </w:pPr>
                  <w:r>
                    <w:t xml:space="preserve">74</w:t>
                  </w:r>
                </w:p>
              </w:tc>
              <w:tc>
                <w:tcPr/>
                <w:p>
                  <w:pPr>
                    <w:pStyle w:val="Compact"/>
                    <w:jc w:val="both"/>
                    <w:jc w:val="center"/>
                    <w:spacing w:line="360" w:lineRule="auto"/>
                  </w:pPr>
                  <w:r>
                    <w:t xml:space="preserve">1</w:t>
                  </w:r>
                </w:p>
              </w:tc>
              <w:tc>
                <w:tcPr/>
                <w:p>
                  <w:pPr>
                    <w:pStyle w:val="Compact"/>
                    <w:jc w:val="both"/>
                    <w:jc w:val="center"/>
                    <w:spacing w:line="360" w:lineRule="auto"/>
                  </w:pPr>
                  <w:r>
                    <w:rPr>
                      <w:b/>
                      <w:bCs/>
                    </w:rPr>
                    <w:t xml:space="preserve">Rechazar</w:t>
                  </w:r>
                  <w:r>
                    <w:t xml:space="preserve"> </w:t>
                  </w:r>
                  <ns5:oMath>
                    <ns5:sSub>
                      <ns5:e>
                        <ns5:r>
                          <ns5:t>H</ns5:t>
                        </ns5:r>
                      </ns5:e>
                      <ns5:sub>
                        <ns5:r>
                          <ns5:t>0</ns5:t>
                        </ns5:r>
                      </ns5:sub>
                    </ns5:sSub>
                  </ns5:oMath>
                </w:p>
              </w:tc>
            </w:tr>
            <w:tr>
              <w:tc>
                <w:tcPr/>
                <w:p>
                  <w:pPr>
                    <w:pStyle w:val="Compact"/>
                    <w:jc w:val="both"/>
                    <w:jc w:val="center"/>
                    <w:spacing w:line="360" w:lineRule="auto"/>
                  </w:pPr>
                  <w:r>
                    <w:t xml:space="preserve">Coste (ms)</w:t>
                  </w:r>
                </w:p>
              </w:tc>
              <w:tc>
                <w:tcPr/>
                <w:p>
                  <w:pPr>
                    <w:pStyle w:val="Compact"/>
                    <w:jc w:val="both"/>
                    <w:jc w:val="center"/>
                    <w:spacing w:line="360" w:lineRule="auto"/>
                  </w:pPr>
                  <ns5:oMath>
                    <ns5:r>
                      <ns5:rPr>
                        <ns5:sty ns5:val="p"/>
                      </ns5:rPr>
                      <ns5:t>+</ns5:t>
                    </ns5:r>
                    <ns5:r>
                      <ns5:t>8</ns5:t>
                    </ns5:r>
                    <ns5:r>
                      <ns5:rPr>
                        <ns5:sty ns5:val="p"/>
                      </ns5:rPr>
                      <ns5:t>,</ns5:t>
                    </ns5:r>
                    <ns5:r>
                      <ns5:t>047.6</ns5:t>
                    </ns5:r>
                  </ns5:oMath>
                  <w:r>
                    <w:t xml:space="preserve">​</w:t>
                  </w:r>
                </w:p>
              </w:tc>
              <w:tc>
                <w:tcPr/>
                <w:p>
                  <w:pPr>
                    <w:pStyle w:val="Compact"/>
                    <w:jc w:val="both"/>
                    <w:jc w:val="center"/>
                    <w:spacing w:line="360" w:lineRule="auto"/>
                  </w:pPr>
                  <ns5:oMath>
                    <ns5:r>
                      <ns5:t>17</ns5:t>
                    </ns5:r>
                    <ns5:r>
                      <ns5:rPr>
                        <ns5:sty ns5:val="p"/>
                      </ns5:rPr>
                      <ns5:t>,</ns5:t>
                    </ns5:r>
                    <ns5:r>
                      <ns5:t>856.6</ns5:t>
                    </ns5:r>
                  </ns5:oMath>
                  <w:r>
                    <w:t xml:space="preserve">​</w:t>
                  </w:r>
                </w:p>
              </w:tc>
              <w:tc>
                <w:tcPr/>
                <w:p>
                  <w:pPr>
                    <w:pStyle w:val="Compact"/>
                    <w:jc w:val="both"/>
                    <w:jc w:val="center"/>
                    <w:spacing w:line="360" w:lineRule="auto"/>
                  </w:pPr>
                  <ns5:oMath>
                    <ns5:r>
                      <ns5:rPr>
                        <ns5:sty ns5:val="p"/>
                      </ns5:rPr>
                      <ns5:t>+</ns5:t>
                    </ns5:r>
                    <ns5:r>
                      <ns5:t>0.451</ns5:t>
                    </ns5:r>
                  </ns5:oMath>
                  <w:r>
                    <w:t xml:space="preserve">​</w:t>
                  </w:r>
                </w:p>
              </w:tc>
              <w:tc>
                <w:tcPr/>
                <w:p>
                  <w:pPr>
                    <w:pStyle w:val="Compact"/>
                    <w:jc w:val="both"/>
                    <w:jc w:val="center"/>
                    <w:spacing w:line="360" w:lineRule="auto"/>
                  </w:pPr>
                  <w:r>
                    <w:t xml:space="preserve">205</w:t>
                  </w:r>
                </w:p>
              </w:tc>
              <w:tc>
                <w:tcPr/>
                <w:p>
                  <w:pPr>
                    <w:pStyle w:val="Compact"/>
                    <w:jc w:val="both"/>
                    <w:jc w:val="center"/>
                    <w:spacing w:line="360" w:lineRule="auto"/>
                  </w:pPr>
                  <ns5:oMath>
                    <ns5:r>
                      <ns5:t>1.18</ns5:t>
                    </ns5:r>
                    <ns5:r>
                      <ns5:rPr>
                        <ns5:sty ns5:val="p"/>
                      </ns5:rPr>
                      <ns5:t>×</ns5:t>
                    </ns5:r>
                    <ns5:sSup>
                      <ns5:e>
                        <ns5:r>
                          <ns5:t>10</ns5:t>
                        </ns5:r>
                      </ns5:e>
                      <ns5:sup>
                        <ns5:r>
                          <ns5:rPr>
                            <ns5:sty ns5:val="p"/>
                          </ns5:rPr>
                          <ns5:t>−</ns5:t>
                        </ns5:r>
                        <ns5:r>
                          <ns5:t>10</ns5:t>
                        </ns5:r>
                      </ns5:sup>
                    </ns5:sSup>
                  </ns5:oMath>
                  <w:r>
                    <w:t xml:space="preserve">​</w:t>
                  </w:r>
                </w:p>
              </w:tc>
              <w:tc>
                <w:tcPr/>
                <w:p>
                  <w:pPr>
                    <w:pStyle w:val="Compact"/>
                    <w:jc w:val="both"/>
                    <w:jc w:val="center"/>
                    <w:spacing w:line="360" w:lineRule="auto"/>
                  </w:pPr>
                  <ns5:oMath>
                    <ns5:r>
                      <ns5:t>1.18</ns5:t>
                    </ns5:r>
                    <ns5:r>
                      <ns5:rPr>
                        <ns5:sty ns5:val="p"/>
                      </ns5:rPr>
                      <ns5:t>×</ns5:t>
                    </ns5:r>
                    <ns5:sSup>
                      <ns5:e>
                        <ns5:r>
                          <ns5:t>10</ns5:t>
                        </ns5:r>
                      </ns5:e>
                      <ns5:sup>
                        <ns5:r>
                          <ns5:rPr>
                            <ns5:sty ns5:val="p"/>
                          </ns5:rPr>
                          <ns5:t>−</ns5:t>
                        </ns5:r>
                        <ns5:r>
                          <ns5:t>10</ns5:t>
                        </ns5:r>
                      </ns5:sup>
                    </ns5:sSup>
                  </ns5:oMath>
                  <w:r>
                    <w:t xml:space="preserve">​</w:t>
                  </w:r>
                </w:p>
              </w:tc>
              <w:tc>
                <w:tcPr/>
                <w:p>
                  <w:pPr>
                    <w:pStyle w:val="Compact"/>
                    <w:jc w:val="both"/>
                    <w:jc w:val="center"/>
                    <w:spacing w:line="360" w:lineRule="auto"/>
                  </w:pPr>
                  <w:r>
                    <w:t xml:space="preserve">59</w:t>
                  </w:r>
                </w:p>
              </w:tc>
              <w:tc>
                <w:tcPr/>
                <w:p>
                  <w:pPr>
                    <w:pStyle w:val="Compact"/>
                    <w:jc w:val="both"/>
                    <w:jc w:val="center"/>
                    <w:spacing w:line="360" w:lineRule="auto"/>
                  </w:pPr>
                  <w:r>
                    <w:t xml:space="preserve">16</w:t>
                  </w:r>
                </w:p>
              </w:tc>
              <w:tc>
                <w:tcPr/>
                <w:p>
                  <w:pPr>
                    <w:pStyle w:val="Compact"/>
                    <w:jc w:val="both"/>
                    <w:jc w:val="center"/>
                    <w:spacing w:line="360" w:lineRule="auto"/>
                  </w:pPr>
                  <w:r>
                    <w:rPr>
                      <w:b/>
                      <w:bCs/>
                    </w:rPr>
                    <w:t xml:space="preserve">Rechazar</w:t>
                  </w:r>
                  <w:r>
                    <w:t xml:space="preserve"> </w:t>
                  </w:r>
                  <ns5:oMath>
                    <ns5:sSub>
                      <ns5:e>
                        <ns5:r>
                          <ns5:t>H</ns5:t>
                        </ns5:r>
                      </ns5:e>
                      <ns5:sub>
                        <ns5:r>
                          <ns5:t>0</ns5:t>
                        </ns5:r>
                      </ns5:sub>
                    </ns5:sSub>
                  </ns5:oMath>
                </w:p>
              </w:tc>
            </w:tr>
          </w:tbl>
          <w:bookmarkEnd w:id="597"/>
          <w:p>
            <w:pPr>
              <w:spacing w:line="360" w:lineRule="auto"/>
              <w:jc w:val="both"/>
            </w:pPr>
          </w:p>
        </w:tc>
      </w:tr>
    </w:tbl>
    <w:p>
      <w:pPr>
        <w:pStyle w:val="Textoindependiente"/>
        <w:spacing w:line="360" w:lineRule="auto"/>
        <w:jc w:val="both"/>
      </w:pPr>
      <w:r>
        <w:t xml:space="preserve">La interpretación de</w:t>
      </w:r>
      <w:r>
        <w:t xml:space="preserve"> </w:t>
      </w:r>
      <ns5:oMath>
        <ns5:sSub>
          <ns5:e>
            <ns5:r>
              <ns5:t>d</ns5:t>
            </ns5:r>
          </ns5:e>
          <ns5:sub>
            <ns5:r>
              <ns5:t>z</ns5:t>
            </ns5:r>
          </ns5:sub>
        </ns5:sSub>
      </ns5:oMath>
      <w:r>
        <w:t xml:space="preserve"> </w:t>
      </w:r>
      <w:r>
        <w:t xml:space="preserve">sigue la escala de Cohen:</w:t>
      </w:r>
      <w:r>
        <w:t xml:space="preserve"> </w:t>
      </w:r>
      <ns5:oMath>
        <ns5:sSub>
          <ns5:e>
            <ns5:r>
              <ns5:t>d</ns5:t>
            </ns5:r>
          </ns5:e>
          <ns5:sub>
            <ns5:r>
              <ns5:t>z</ns5:t>
            </ns5:r>
          </ns5:sub>
        </ns5:sSub>
        <ns5:r>
          <ns5:rPr>
            <ns5:sty ns5:val="p"/>
          </ns5:rPr>
          <ns5:t>&gt;</ns5:t>
        </ns5:r>
        <ns5:r>
          <ns5:t>0.8</ns5:t>
        </ns5:r>
      </ns5:oMath>
      <w:r>
        <w:t xml:space="preserve"> </w:t>
      </w:r>
      <w:r>
        <w:t xml:space="preserve">= efecto</w:t>
      </w:r>
      <w:r>
        <w:t xml:space="preserve"> </w:t>
      </w:r>
      <w:r>
        <w:t xml:space="preserve">grande;</w:t>
      </w:r>
      <w:r>
        <w:t xml:space="preserve"> </w:t>
      </w:r>
      <ns5:oMath>
        <ns5:sSub>
          <ns5:e>
            <ns5:r>
              <ns5:t>d</ns5:t>
            </ns5:r>
          </ns5:e>
          <ns5:sub>
            <ns5:r>
              <ns5:t>z</ns5:t>
            </ns5:r>
          </ns5:sub>
        </ns5:sSub>
        <ns5:r>
          <ns5:rPr>
            <ns5:sty ns5:val="p"/>
          </ns5:rPr>
          <ns5:t>&gt;</ns5:t>
        </ns5:r>
        <ns5:r>
          <ns5:t>2.0</ns5:t>
        </ns5:r>
      </ns5:oMath>
      <w:r>
        <w:t xml:space="preserve"> </w:t>
      </w:r>
      <w:r>
        <w:t xml:space="preserve">= efecto muy grande. Los umbrales Holm ajustados se</w:t>
      </w:r>
      <w:r>
        <w:t xml:space="preserve"> </w:t>
      </w:r>
      <w:r>
        <w:t xml:space="preserve">aplican en orden decreciente de</w:t>
      </w:r>
      <w:r>
        <w:t xml:space="preserve"> </w:t>
      </w:r>
      <ns5:oMath>
        <ns5:r>
          <ns5:t>p</ns5:t>
        </ns5:r>
      </ns5:oMath>
      <w:r>
        <w:t xml:space="preserve">-valor:</w:t>
      </w:r>
      <w:r>
        <w:t xml:space="preserve"> </w:t>
      </w:r>
      <ns5:oMath>
        <ns5:r>
          <ns5:t>α</ns5:t>
        </ns5:r>
        <ns5:r>
          <ns5:rPr>
            <ns5:sty ns5:val="p"/>
          </ns5:rPr>
          <ns5:t>/</ns5:t>
        </ns5:r>
        <ns5:r>
          <ns5:t>5</ns5:t>
        </ns5:r>
        <ns5:r>
          <ns5:rPr>
            <ns5:sty ns5:val="p"/>
          </ns5:rPr>
          <ns5:t>=</ns5:t>
        </ns5:r>
        <ns5:r>
          <ns5:t>0.010</ns5:t>
        </ns5:r>
      </ns5:oMath>
      <w:r>
        <w:t xml:space="preserve">,</w:t>
      </w:r>
      <w:r>
        <w:t xml:space="preserve"> </w:t>
      </w:r>
      <ns5:oMath>
        <ns5:r>
          <ns5:t>α</ns5:t>
        </ns5:r>
        <ns5:r>
          <ns5:rPr>
            <ns5:sty ns5:val="p"/>
          </ns5:rPr>
          <ns5:t>/</ns5:t>
        </ns5:r>
        <ns5:r>
          <ns5:t>4</ns5:t>
        </ns5:r>
        <ns5:r>
          <ns5:rPr>
            <ns5:sty ns5:val="p"/>
          </ns5:rPr>
          <ns5:t>=</ns5:t>
        </ns5:r>
        <ns5:r>
          <ns5:t>0.0125</ns5:t>
        </ns5:r>
      </ns5:oMath>
      <w:r>
        <w:t xml:space="preserve">,</w:t>
      </w:r>
      <w:r>
        <w:t xml:space="preserve"> </w:t>
      </w:r>
      <ns5:oMath>
        <ns5:r>
          <ns5:t>α</ns5:t>
        </ns5:r>
        <ns5:r>
          <ns5:rPr>
            <ns5:sty ns5:val="p"/>
          </ns5:rPr>
          <ns5:t>/</ns5:t>
        </ns5:r>
        <ns5:r>
          <ns5:t>3</ns5:t>
        </ns5:r>
        <ns5:r>
          <ns5:rPr>
            <ns5:sty ns5:val="p"/>
          </ns5:rPr>
          <ns5:t>=</ns5:t>
        </ns5:r>
        <ns5:r>
          <ns5:t>0.0167</ns5:t>
        </ns5:r>
      </ns5:oMath>
      <w:r>
        <w:t xml:space="preserve">,</w:t>
      </w:r>
      <w:r>
        <w:t xml:space="preserve"> </w:t>
      </w:r>
      <ns5:oMath>
        <ns5:r>
          <ns5:t>α</ns5:t>
        </ns5:r>
        <ns5:r>
          <ns5:rPr>
            <ns5:sty ns5:val="p"/>
          </ns5:rPr>
          <ns5:t>/</ns5:t>
        </ns5:r>
        <ns5:r>
          <ns5:t>2</ns5:t>
        </ns5:r>
        <ns5:r>
          <ns5:rPr>
            <ns5:sty ns5:val="p"/>
          </ns5:rPr>
          <ns5:t>=</ns5:t>
        </ns5:r>
        <ns5:r>
          <ns5:t>0.025</ns5:t>
        </ns5:r>
      </ns5:oMath>
      <w:r>
        <w:t xml:space="preserve">,</w:t>
      </w:r>
      <w:r>
        <w:t xml:space="preserve"> </w:t>
      </w:r>
      <ns5:oMath>
        <ns5:r>
          <ns5:t>α</ns5:t>
        </ns5:r>
        <ns5:r>
          <ns5:rPr>
            <ns5:sty ns5:val="p"/>
          </ns5:rPr>
          <ns5:t>/</ns5:t>
        </ns5:r>
        <ns5:r>
          <ns5:t>1</ns5:t>
        </ns5:r>
        <ns5:r>
          <ns5:rPr>
            <ns5:sty ns5:val="p"/>
          </ns5:rPr>
          <ns5:t>=</ns5:t>
        </ns5:r>
        <ns5:r>
          <ns5:t>0.050</ns5:t>
        </ns5:r>
      </ns5:oMath>
      <w:r>
        <w:t xml:space="preserve">. Todos</w:t>
      </w:r>
      <w:r>
        <w:t xml:space="preserve"> </w:t>
      </w:r>
      <w:r>
        <w:t xml:space="preserve">los p-valores ajustados quedan muy por debajo de sus umbrales correspondientes.</w:t>
      </w:r>
    </w:p>
    <w:p>
      <w:pPr>
        <w:pStyle w:val="Textoindependiente"/>
        <w:spacing w:line="360" w:lineRule="auto"/>
        <w:jc w:val="both"/>
      </w:pPr>
      <w:r>
        <w:t xml:space="preserve">La proposición P1 se evalúa sobre el estrato replicado RF/</w:t>
      </w:r>
      <ns5:oMath>
        <ns5:r>
          <ns5:t>N</ns5:t>
        </ns5:r>
        <ns5:r>
          <ns5:rPr>
            <ns5:sty ns5:val="p"/>
          </ns5:rPr>
          <ns5:t>=</ns5:t>
        </ns5:r>
        <ns5:r>
          <ns5:t>100</ns5:t>
        </ns5:r>
      </ns5:oMath>
      <w:r>
        <w:t xml:space="preserve"> </w:t>
      </w:r>
      <w:r>
        <w:t xml:space="preserve">del nivel de</w:t>
      </w:r>
      <w:r>
        <w:t xml:space="preserve"> </w:t>
      </w:r>
      <w:r>
        <w:t xml:space="preserve">ejecución de EXP2, agregando las cinco semillas: los valores de la</w:t>
      </w:r>
      <w:r>
        <w:t xml:space="preserve"> </w:t>
      </w:r>
      <w:hyperlink w:anchor="tbl-cv-p1">
        <w:r>
          <w:rPr>
            <w:rStyle w:val="Hipervnculo"/>
          </w:rPr>
          <w:t xml:space="preserve">Tabla 4.6</w:t>
        </w:r>
      </w:hyperlink>
      <w:r>
        <w:t xml:space="preserve"> </w:t>
      </w:r>
      <w:r>
        <w:t xml:space="preserve">se re-derivan de</w:t>
      </w:r>
      <w:r>
        <w:t xml:space="preserve"> </w:t>
      </w:r>
      <w:r>
        <w:rPr>
          <w:rStyle w:val="VerbatimChar"/>
        </w:rPr>
        <w:t xml:space="preserve">outputs/analysis/paper_a_exp2_stats/exp2_run_level_metrics.csv</w:t>
      </w:r>
      <w:r>
        <w:t xml:space="preserve">. El perfilado</w:t>
      </w:r>
      <w:r>
        <w:t xml:space="preserve"> </w:t>
      </w:r>
      <w:r>
        <w:t xml:space="preserve">de dispersión de EXP1, documentado de forma independiente en</w:t>
      </w:r>
      <w:r>
        <w:t xml:space="preserve"> </w:t>
      </w:r>
      <w:r>
        <w:rPr>
          <w:rStyle w:val="VerbatimChar"/>
        </w:rPr>
        <w:t xml:space="preserve">experiments/exp1_adult/reproducibility/reproducibility_report.csv</w:t>
      </w:r>
      <w:r>
        <w:t xml:space="preserve">, cubre una</w:t>
      </w:r>
      <w:r>
        <w:t xml:space="preserve"> </w:t>
      </w:r>
      <w:r>
        <w:t xml:space="preserve">cohorte distinta (nueve ejecuciones por configuración, modelos</w:t>
      </w:r>
      <w:r>
        <w:t xml:space="preserve"> </w:t>
      </w:r>
      <w:r>
        <w:rPr>
          <w:rStyle w:val="VerbatimChar"/>
        </w:rPr>
        <w:t xml:space="preserve">rf</w:t>
      </w:r>
      <w:r>
        <w:t xml:space="preserve">/</w:t>
      </w:r>
      <w:r>
        <w:rPr>
          <w:rStyle w:val="VerbatimChar"/>
        </w:rPr>
        <w:t xml:space="preserve">xgb</w:t>
      </w:r>
      <w:r>
        <w:t xml:space="preserve"> </w:t>
      </w:r>
      <w:r>
        <w:t xml:space="preserve">con</w:t>
      </w:r>
      <w:r>
        <w:t xml:space="preserve"> </w:t>
      </w:r>
      <w:r>
        <w:t xml:space="preserve">SHAP y LIME) y sostiene la puerta 6 del protocolo, pero no es la fuente de las</w:t>
      </w:r>
      <w:r>
        <w:t xml:space="preserve"> </w:t>
      </w:r>
      <w:r>
        <w:t xml:space="preserve">cifras de la</w:t>
      </w:r>
      <w:r>
        <w:t xml:space="preserve"> </w:t>
      </w:r>
      <w:hyperlink w:anchor="tbl-cv-p1">
        <w:r>
          <w:rPr>
            <w:rStyle w:val="Hipervnculo"/>
          </w:rPr>
          <w:t xml:space="preserve">Tabla 4.6</w:t>
        </w:r>
      </w:hyperlink>
      <w:r>
        <w:t xml:space="preserve">. Los artefactos crudos por ejecución se encuentran bajo</w:t>
      </w:r>
      <w:r>
        <w:t xml:space="preserve"> </w:t>
      </w:r>
      <w:r>
        <w:rPr>
          <w:rStyle w:val="VerbatimChar"/>
        </w:rPr>
        <w:t xml:space="preserve">experiments/exp2_scaled/results/</w:t>
      </w:r>
      <w:r>
        <w:t xml:space="preserve">; la superposición de recuperación para</w:t>
      </w:r>
      <w:r>
        <w:t xml:space="preserve"> </w:t>
      </w:r>
      <w:r>
        <w:rPr>
          <w:rStyle w:val="VerbatimChar"/>
        </w:rPr>
        <w:t xml:space="preserve">mlp_shap</w:t>
      </w:r>
      <w:r>
        <w:t xml:space="preserve">/</w:t>
      </w:r>
      <w:r>
        <w:rPr>
          <w:rStyle w:val="VerbatimChar"/>
        </w:rPr>
        <w:t xml:space="preserve">svm_shap</w:t>
      </w:r>
      <w:r>
        <w:t xml:space="preserve"> </w:t>
      </w:r>
      <w:r>
        <w:t xml:space="preserve">se documenta en</w:t>
      </w:r>
      <w:r>
        <w:t xml:space="preserve"> </w:t>
      </w:r>
      <w:r>
        <w:rPr>
          <w:rStyle w:val="VerbatimChar"/>
        </w:rPr>
        <w:t xml:space="preserve">outputs/batch_results.csv</w:t>
      </w:r>
      <w:r>
        <w:t xml:space="preserve">.</w:t>
      </w:r>
    </w:p>
    <w:bookmarkEnd w:id="598"/>
    <w:bookmarkEnd w:id="599"/>
    <w:bookmarkStart w:id="601" w:name="X04860b57595e5decb99c93517a1220202cc7fb5"/>
    <w:p>
      <w:pPr>
        <w:pStyle w:val="Ttulo2"/>
        <w:spacing w:line="360" w:lineRule="auto"/>
        <w:jc w:val="both"/>
      </w:pPr>
      <w:r>
        <w:t xml:space="preserve">Apéndice E: Entorno computacional y reproducción</w:t>
      </w:r>
    </w:p>
    <w:p>
      <w:pPr>
        <w:pStyle w:val="FirstParagraph"/>
        <w:spacing w:line="360" w:lineRule="auto"/>
        <w:jc w:val="both"/>
      </w:pPr>
      <w:r>
        <w:t xml:space="preserve">La instantánea de trabajo usada para esta versión de tesis corresponde al commit</w:t>
      </w:r>
      <w:r>
        <w:t xml:space="preserve"> </w:t>
      </w:r>
      <w:r>
        <w:rPr>
          <w:rStyle w:val="VerbatimChar"/>
        </w:rPr>
        <w:t xml:space="preserve">553f65d71b077ec181ad36da7bb6e7c9942fe116</w:t>
      </w:r>
      <w:r>
        <w:t xml:space="preserve"> </w:t>
      </w:r>
      <w:r>
        <w:t xml:space="preserve">(2026-07-24), archivado con DOI</w:t>
      </w:r>
      <w:r>
        <w:t xml:space="preserve"> </w:t>
      </w:r>
      <w:r>
        <w:t xml:space="preserve">Zenodo</w:t>
      </w:r>
      <w:r>
        <w:t xml:space="preserve"> </w:t>
      </w:r>
      <w:r>
        <w:rPr>
          <w:rStyle w:val="VerbatimChar"/>
        </w:rPr>
        <w:t xml:space="preserve">10.5281/zenodo.21538180</w:t>
      </w:r>
      <w:r>
        <w:t xml:space="preserve">; el DOI de concepto</w:t>
      </w:r>
      <w:r>
        <w:t xml:space="preserve"> </w:t>
      </w:r>
      <w:r>
        <w:rPr>
          <w:rStyle w:val="VerbatimChar"/>
        </w:rPr>
        <w:t xml:space="preserve">10.5281/zenodo.19297723</w:t>
      </w:r>
      <w:r>
        <w:t xml:space="preserve"> </w:t>
      </w:r>
      <w:r>
        <w:t xml:space="preserve">resuelve a la versión más reciente. La instantánea</w:t>
      </w:r>
      <w:r>
        <w:t xml:space="preserve"> </w:t>
      </w:r>
      <w:r>
        <w:t xml:space="preserve">anterior (</w:t>
      </w:r>
      <w:r>
        <w:rPr>
          <w:rStyle w:val="VerbatimChar"/>
        </w:rPr>
        <w:t xml:space="preserve">33fd952a01a752f6988f46ba79b18694838c3f8f</w:t>
      </w:r>
      <w:r>
        <w:t xml:space="preserve">, DOI</w:t>
      </w:r>
      <w:r>
        <w:t xml:space="preserve"> </w:t>
      </w:r>
      <w:r>
        <w:rPr>
          <w:rStyle w:val="VerbatimChar"/>
        </w:rPr>
        <w:t xml:space="preserve">10.5281/zenodo.19297724</w:t>
      </w:r>
      <w:r>
        <w:t xml:space="preserve">, abril de 2026) se conserva por procedencia pero es</w:t>
      </w:r>
      <w:r>
        <w:t xml:space="preserve"> </w:t>
      </w:r>
      <w:r>
        <w:t xml:space="preserve">anterior a la superposición de recuperación de SHAP y no reproduce las cifras</w:t>
      </w:r>
      <w:r>
        <w:t xml:space="preserve"> </w:t>
      </w:r>
      <w:r>
        <w:t xml:space="preserve">del Capítulo 4. Los archivos principales de entorno se listan en la</w:t>
      </w:r>
      <w:r>
        <w:t xml:space="preserve"> </w:t>
      </w:r>
      <w:hyperlink w:anchor="tbl-appendix-environment">
        <w:r>
          <w:rPr>
            <w:rStyle w:val="Hipervnculo"/>
          </w:rPr>
          <w:t xml:space="preserve">Tabla 7.16</w:t>
        </w:r>
      </w:hyperlink>
      <w:r>
        <w:t xml:space="preserve">:</w:t>
      </w:r>
    </w:p>
    <w:tbl>
      <w:tblPr>
        <w:tblStyle w:val="Table"/>
        <w:tblW w:type="pct" w:w="5000"/>
        <w:jc w:val="center"/>
        <w:tblLayout w:type="fixed"/>
        <w:tblLook w:firstRow="0" w:lastRow="0" w:firstColumn="0" w:lastColumn="0" w:noHBand="0" w:noVBand="0" w:val="0000"/>
      </w:tblPr>
      <w:tblGrid>
        <w:gridCol w:w="7920"/>
      </w:tblGrid>
      <w:tr>
        <w:tc>
          <w:tcPr/>
          <w:bookmarkStart w:id="600" w:name="tbl-appendix-environment"/>
          <w:p>
            <w:pPr>
              <w:pStyle w:val="ImageCaption"/>
              <w:spacing w:before="200" w:line="360" w:lineRule="auto"/>
              <w:jc w:val="center"/>
            </w:pPr>
            <w:r>
              <w:t xml:space="preserve">Tabla 7.16: Archivos de entorno y reproducción.</w:t>
            </w:r>
          </w:p>
          <w:tbl>
            <w:tblPr>
              <w:tblStyle w:val="Table"/>
              <w:tblW w:type="auto" w:w="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firstRow="1" w:lastRow="0" w:firstColumn="0" w:lastColumn="0" w:noHBand="0" w:noVBand="0" w:val="0020"/>
            </w:tblPr>
            <w:tblGrid>
              <w:gridCol w:w="3960"/>
              <w:gridCol w:w="3960"/>
            </w:tblGrid>
            <w:tr>
              <w:trPr>
                <w:tblHeader w:val="on"/>
              </w:trPr>
              <w:tc>
                <w:tcPr/>
                <w:p>
                  <w:pPr>
                    <w:pStyle w:val="Compact"/>
                    <w:jc w:val="both"/>
                    <w:jc w:val="center"/>
                    <w:spacing w:line="360" w:lineRule="auto"/>
                  </w:pPr>
                  <w:r>
                    <w:rPr>
                      <w:bCs/>
                      <w:b/>
                    </w:rPr>
                    <w:t xml:space="preserve">Archivo</w:t>
                  </w:r>
                </w:p>
              </w:tc>
              <w:tc>
                <w:tcPr/>
                <w:p>
                  <w:pPr>
                    <w:pStyle w:val="Compact"/>
                    <w:jc w:val="both"/>
                    <w:jc w:val="center"/>
                    <w:spacing w:line="360" w:lineRule="auto"/>
                  </w:pPr>
                  <w:r>
                    <w:rPr>
                      <w:bCs/>
                      <w:b/>
                    </w:rPr>
                    <w:t xml:space="preserve">Función</w:t>
                  </w:r>
                </w:p>
              </w:tc>
            </w:tr>
            <w:tr>
              <w:tc>
                <w:tcPr/>
                <w:p>
                  <w:pPr>
                    <w:pStyle w:val="Compact"/>
                    <w:jc w:val="both"/>
                    <w:jc w:val="center"/>
                    <w:spacing w:line="360" w:lineRule="auto"/>
                  </w:pPr>
                  <w:r>
                    <w:rPr>
                      <w:rStyle w:val="VerbatimChar"/>
                    </w:rPr>
                    <w:t xml:space="preserve">environment.yml</w:t>
                  </w:r>
                </w:p>
              </w:tc>
              <w:tc>
                <w:tcPr/>
                <w:p>
                  <w:pPr>
                    <w:pStyle w:val="Compact"/>
                    <w:jc w:val="both"/>
                    <w:jc w:val="center"/>
                    <w:spacing w:line="360" w:lineRule="auto"/>
                  </w:pPr>
                  <w:r>
                    <w:t xml:space="preserve">Entorno Conda base con Python 3.11</w:t>
                  </w:r>
                </w:p>
              </w:tc>
            </w:tr>
            <w:tr>
              <w:tc>
                <w:tcPr/>
                <w:p>
                  <w:pPr>
                    <w:pStyle w:val="Compact"/>
                    <w:jc w:val="both"/>
                    <w:jc w:val="center"/>
                    <w:spacing w:line="360" w:lineRule="auto"/>
                  </w:pPr>
                  <w:r>
                    <w:rPr>
                      <w:rStyle w:val="VerbatimChar"/>
                    </w:rPr>
                    <w:t xml:space="preserve">requirements.txt</w:t>
                  </w:r>
                </w:p>
              </w:tc>
              <w:tc>
                <w:tcPr/>
                <w:p>
                  <w:pPr>
                    <w:pStyle w:val="Compact"/>
                    <w:jc w:val="both"/>
                    <w:jc w:val="center"/>
                    <w:spacing w:line="360" w:lineRule="auto"/>
                  </w:pPr>
                  <w:r>
                    <w:t xml:space="preserve">Dependencias Python principales</w:t>
                  </w:r>
                </w:p>
              </w:tc>
            </w:tr>
            <w:tr>
              <w:tc>
                <w:tcPr/>
                <w:p>
                  <w:pPr>
                    <w:pStyle w:val="Compact"/>
                    <w:jc w:val="both"/>
                    <w:jc w:val="center"/>
                    <w:spacing w:line="360" w:lineRule="auto"/>
                  </w:pPr>
                  <w:r>
                    <w:rPr>
                      <w:rStyle w:val="VerbatimChar"/>
                    </w:rPr>
                    <w:t xml:space="preserve">requirements-frozen.txt</w:t>
                  </w:r>
                </w:p>
              </w:tc>
              <w:tc>
                <w:tcPr/>
                <w:p>
                  <w:pPr>
                    <w:pStyle w:val="Compact"/>
                    <w:jc w:val="both"/>
                    <w:jc w:val="center"/>
                    <w:spacing w:line="360" w:lineRule="auto"/>
                  </w:pPr>
                  <w:r>
                    <w:t xml:space="preserve">Dependencias fijadas para reproducción</w:t>
                  </w:r>
                </w:p>
              </w:tc>
            </w:tr>
            <w:tr>
              <w:tc>
                <w:tcPr/>
                <w:p>
                  <w:pPr>
                    <w:pStyle w:val="Compact"/>
                    <w:jc w:val="both"/>
                    <w:jc w:val="center"/>
                    <w:spacing w:line="360" w:lineRule="auto"/>
                  </w:pPr>
                  <w:r>
                    <w:rPr>
                      <w:rStyle w:val="VerbatimChar"/>
                    </w:rPr>
                    <w:t xml:space="preserve">render.yaml</w:t>
                  </w:r>
                </w:p>
              </w:tc>
              <w:tc>
                <w:tcPr/>
                <w:p>
                  <w:pPr>
                    <w:pStyle w:val="Compact"/>
                    <w:jc w:val="both"/>
                    <w:jc w:val="center"/>
                    <w:spacing w:line="360" w:lineRule="auto"/>
                  </w:pPr>
                  <w:r>
                    <w:t xml:space="preserve">Configuración auxiliar de render</w:t>
                  </w:r>
                </w:p>
              </w:tc>
            </w:tr>
          </w:tbl>
          <w:bookmarkEnd w:id="600"/>
          <w:p>
            <w:pPr>
              <w:spacing w:line="360" w:lineRule="auto"/>
              <w:jc w:val="both"/>
            </w:pPr>
          </w:p>
        </w:tc>
      </w:tr>
    </w:tbl>
    <w:p>
      <w:pPr>
        <w:pStyle w:val="Textoindependiente"/>
        <w:spacing w:line="360" w:lineRule="auto"/>
        <w:jc w:val="both"/>
      </w:pPr>
      <w:r>
        <w:t xml:space="preserve">La reproducción mínima sigue esta secuencia:</w:t>
      </w:r>
    </w:p>
    <w:p>
      <w:pPr>
        <w:pStyle w:val="Compact"/>
        <w:numPr>
          <w:ilvl w:val="0"/>
          <w:numId w:val="1025"/>
        </w:numPr>
        <w:spacing w:line="360" w:lineRule="auto"/>
        <w:jc w:val="both"/>
      </w:pPr>
      <w:r>
        <w:t xml:space="preserve">Crear el entorno desde</w:t>
      </w:r>
      <w:r>
        <w:t xml:space="preserve"> </w:t>
      </w:r>
      <w:r>
        <w:rPr>
          <w:rStyle w:val="VerbatimChar"/>
        </w:rPr>
        <w:t xml:space="preserve">environment.yml</w:t>
      </w:r>
      <w:r>
        <w:t xml:space="preserve">.</w:t>
      </w:r>
    </w:p>
    <w:p>
      <w:pPr>
        <w:pStyle w:val="Compact"/>
        <w:numPr>
          <w:ilvl w:val="0"/>
          <w:numId w:val="1025"/>
        </w:numPr>
        <w:spacing w:line="360" w:lineRule="auto"/>
        <w:jc w:val="both"/>
      </w:pPr>
      <w:r>
        <w:t xml:space="preserve">Instalar dependencias fijadas desde</w:t>
      </w:r>
      <w:r>
        <w:t xml:space="preserve"> </w:t>
      </w:r>
      <w:r>
        <w:rPr>
          <w:rStyle w:val="VerbatimChar"/>
        </w:rPr>
        <w:t xml:space="preserve">requirements-frozen.txt</w:t>
      </w:r>
      <w:r>
        <w:t xml:space="preserve">.</w:t>
      </w:r>
    </w:p>
    <w:p>
      <w:pPr>
        <w:pStyle w:val="Compact"/>
        <w:numPr>
          <w:ilvl w:val="0"/>
          <w:numId w:val="1025"/>
        </w:numPr>
        <w:spacing w:line="360" w:lineRule="auto"/>
        <w:jc w:val="both"/>
      </w:pPr>
      <w:r>
        <w:t xml:space="preserve">Verificar artefactos EXP2 con</w:t>
      </w:r>
      <w:r>
        <w:t xml:space="preserve"> </w:t>
      </w:r>
      <w:r>
        <w:rPr>
          <w:rStyle w:val="VerbatimChar"/>
        </w:rPr>
        <w:t xml:space="preserve">scripts/validate_results.py</w:t>
      </w:r>
      <w:r>
        <w:t xml:space="preserve"> </w:t>
      </w:r>
      <w:r>
        <w:t xml:space="preserve">o</w:t>
      </w:r>
      <w:r>
        <w:t xml:space="preserve"> </w:t>
      </w:r>
      <w:r>
        <w:rPr>
          <w:rStyle w:val="VerbatimChar"/>
        </w:rPr>
        <w:t xml:space="preserve">scripts/verify_and_repair_results.py</w:t>
      </w:r>
      <w:r>
        <w:t xml:space="preserve">.</w:t>
      </w:r>
    </w:p>
    <w:p>
      <w:pPr>
        <w:pStyle w:val="Compact"/>
        <w:numPr>
          <w:ilvl w:val="0"/>
          <w:numId w:val="1025"/>
        </w:numPr>
        <w:spacing w:line="360" w:lineRule="auto"/>
        <w:jc w:val="both"/>
      </w:pPr>
      <w:r>
        <w:t xml:space="preserve">Regenerar tablas inferenciales con</w:t>
      </w:r>
      <w:r>
        <w:t xml:space="preserve"> </w:t>
      </w:r>
      <w:r>
        <w:rPr>
          <w:rStyle w:val="VerbatimChar"/>
        </w:rPr>
        <w:t xml:space="preserve">scripts/run_exp2_statistical_analysis.py</w:t>
      </w:r>
      <w:r>
        <w:t xml:space="preserve">.</w:t>
      </w:r>
    </w:p>
    <w:p>
      <w:pPr>
        <w:pStyle w:val="Compact"/>
        <w:numPr>
          <w:ilvl w:val="0"/>
          <w:numId w:val="1025"/>
        </w:numPr>
        <w:spacing w:line="360" w:lineRule="auto"/>
        <w:jc w:val="both"/>
      </w:pPr>
      <w:r>
        <w:t xml:space="preserve">Renderizar la tesis desde</w:t>
      </w:r>
      <w:r>
        <w:t xml:space="preserve"> </w:t>
      </w:r>
      <w:r>
        <w:rPr>
          <w:rStyle w:val="VerbatimChar"/>
        </w:rPr>
        <w:t xml:space="preserve">thesis/</w:t>
      </w:r>
      <w:r>
        <w:t xml:space="preserve"> </w:t>
      </w:r>
      <w:r>
        <w:t xml:space="preserve">con</w:t>
      </w:r>
      <w:r>
        <w:t xml:space="preserve"> </w:t>
      </w:r>
      <w:r>
        <w:rPr>
          <w:rStyle w:val="VerbatimChar"/>
        </w:rPr>
        <w:t xml:space="preserve">quarto render</w:t>
      </w:r>
      <w:r>
        <w:t xml:space="preserve">.</w:t>
      </w:r>
    </w:p>
    <w:bookmarkEnd w:id="601"/>
    <w:bookmarkStart w:id="603" w:name="X6203a5fbf2bdeeaed3e02c144db2e542f2870ed"/>
    <w:p>
      <w:pPr>
        <w:pStyle w:val="Ttulo2"/>
        <w:spacing w:line="360" w:lineRule="auto"/>
        <w:jc w:val="both"/>
      </w:pPr>
      <w:r>
        <w:t xml:space="preserve">Apéndice F: Artefactos del Estudio EXP4 (fiabilidad de jueces LLM)</w:t>
      </w:r>
    </w:p>
    <w:p>
      <w:pPr>
        <w:pStyle w:val="FirstParagraph"/>
        <w:spacing w:line="360" w:lineRule="auto"/>
        <w:jc w:val="both"/>
      </w:pPr>
      <w:r>
        <w:t xml:space="preserve">EXP4 (diseñado en §</w:t>
      </w:r>
      <w:hyperlink w:anchor="sec-exp4-diseno">
        <w:r>
          <w:rPr>
            <w:rStyle w:val="Hipervnculo"/>
          </w:rPr>
          <w:t xml:space="preserve">3.11.2</w:t>
        </w:r>
      </w:hyperlink>
      <w:r>
        <w:t xml:space="preserve">, Capítulo 3; resultados en</w:t>
      </w:r>
      <w:r>
        <w:t xml:space="preserve"> </w:t>
      </w:r>
      <w:r>
        <w:t xml:space="preserve">§</w:t>
      </w:r>
      <w:hyperlink w:anchor="sec-exp4-fiabilidad">
        <w:r>
          <w:rPr>
            <w:rStyle w:val="Hipervnculo"/>
          </w:rPr>
          <w:t xml:space="preserve">5.8</w:t>
        </w:r>
      </w:hyperlink>
      <w:r>
        <w:t xml:space="preserve">, Capítulo 5) cuantifica la fiabilidad inter-juez de</w:t>
      </w:r>
      <w:r>
        <w:t xml:space="preserve"> </w:t>
      </w:r>
      <w:r>
        <w:t xml:space="preserve">evaluadores LLM sobre siete dimensiones semánticas. Los artefactos del estudio</w:t>
      </w:r>
      <w:r>
        <w:t xml:space="preserve"> </w:t>
      </w:r>
      <w:r>
        <w:t xml:space="preserve">se listan en la</w:t>
      </w:r>
      <w:r>
        <w:t xml:space="preserve"> </w:t>
      </w:r>
      <w:hyperlink w:anchor="tbl-appendix-llm">
        <w:r>
          <w:rPr>
            <w:rStyle w:val="Hipervnculo"/>
          </w:rPr>
          <w:t xml:space="preserve">Tabla 7.17</w:t>
        </w:r>
      </w:hyperlink>
      <w:r>
        <w:t xml:space="preserve"> </w:t>
      </w:r>
      <w:r>
        <w:t xml:space="preserve">y sostienen las Tablas</w:t>
      </w:r>
      <w:r>
        <w:t xml:space="preserve"> </w:t>
      </w:r>
      <w:hyperlink w:anchor="tbl-exp4-icc">
        <w:r>
          <w:rPr>
            <w:rStyle w:val="Hipervnculo"/>
          </w:rPr>
          <w:t xml:space="preserve">5.3</w:t>
        </w:r>
      </w:hyperlink>
      <w:r>
        <w:t xml:space="preserve"> </w:t>
      </w:r>
      <w:r>
        <w:t xml:space="preserve">y</w:t>
      </w:r>
      <w:r>
        <w:t xml:space="preserve"> </w:t>
      </w:r>
      <w:hyperlink w:anchor="tbl-exp4-icc-c2">
        <w:r>
          <w:rPr>
            <w:rStyle w:val="Hipervnculo"/>
          </w:rPr>
          <w:t xml:space="preserve">5.4</w:t>
        </w:r>
      </w:hyperlink>
      <w:r>
        <w:t xml:space="preserve"> </w:t>
      </w:r>
      <w:r>
        <w:t xml:space="preserve">del Capítulo 5.</w:t>
      </w:r>
    </w:p>
    <w:tbl>
      <w:tblPr>
        <w:tblStyle w:val="Table"/>
        <w:tblW w:type="pct" w:w="5000"/>
        <w:jc w:val="center"/>
        <w:tblLayout w:type="fixed"/>
        <w:tblLook w:firstRow="0" w:lastRow="0" w:firstColumn="0" w:lastColumn="0" w:noHBand="0" w:noVBand="0" w:val="0000"/>
      </w:tblPr>
      <w:tblGrid>
        <w:gridCol w:w="7920"/>
      </w:tblGrid>
      <w:tr>
        <w:tc>
          <w:tcPr/>
          <w:bookmarkStart w:id="602" w:name="tbl-appendix-llm"/>
          <w:p>
            <w:pPr>
              <w:pStyle w:val="ImageCaption"/>
              <w:spacing w:before="200" w:line="360" w:lineRule="auto"/>
              <w:jc w:val="center"/>
            </w:pPr>
            <w:r>
              <w:t xml:space="preserve">Tabla 7.17: Artefactos de EXP4 y trazabilidad a la tesis.</w:t>
            </w:r>
          </w:p>
          <w:tbl>
            <w:tblPr>
              <w:tblStyle w:val="Table"/>
              <w:tblW w:type="pct" w:w="500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Row="1" w:lastRow="0" w:firstColumn="0" w:lastColumn="0" w:noHBand="0" w:noVBand="0" w:val="0020"/>
            </w:tblPr>
            <w:tblGrid>
              <w:gridCol w:w="2640"/>
              <w:gridCol w:w="2640"/>
              <w:gridCol w:w="2640"/>
            </w:tblGrid>
            <w:tr>
              <w:trPr>
                <w:tblHeader w:val="on"/>
              </w:trPr>
              <w:tc>
                <w:tcPr/>
                <w:p>
                  <w:pPr>
                    <w:pStyle w:val="Compact"/>
                    <w:jc w:val="both"/>
                    <w:jc w:val="center"/>
                    <w:spacing w:line="360" w:lineRule="auto"/>
                  </w:pPr>
                  <w:r>
                    <w:rPr>
                      <w:bCs/>
                      <w:b/>
                    </w:rPr>
                    <w:t xml:space="preserve">Artefacto</w:t>
                  </w:r>
                </w:p>
              </w:tc>
              <w:tc>
                <w:tcPr/>
                <w:p>
                  <w:pPr>
                    <w:pStyle w:val="Compact"/>
                    <w:jc w:val="both"/>
                    <w:jc w:val="center"/>
                    <w:spacing w:line="360" w:lineRule="auto"/>
                  </w:pPr>
                  <w:r>
                    <w:rPr>
                      <w:bCs/>
                      <w:b/>
                    </w:rPr>
                    <w:t xml:space="preserve">Contenido</w:t>
                  </w:r>
                </w:p>
              </w:tc>
              <w:tc>
                <w:tcPr/>
                <w:p>
                  <w:pPr>
                    <w:pStyle w:val="Compact"/>
                    <w:jc w:val="both"/>
                    <w:jc w:val="center"/>
                    <w:spacing w:line="360" w:lineRule="auto"/>
                  </w:pPr>
                  <w:r>
                    <w:rPr>
                      <w:bCs/>
                      <w:b/>
                    </w:rPr>
                    <w:t xml:space="preserve">Uso en la tesis</w:t>
                  </w:r>
                </w:p>
              </w:tc>
            </w:tr>
            <w:tr>
              <w:tc>
                <w:tcPr/>
                <w:p>
                  <w:pPr>
                    <w:pStyle w:val="Compact"/>
                    <w:jc w:val="both"/>
                    <w:jc w:val="center"/>
                    <w:spacing w:line="360" w:lineRule="auto"/>
                  </w:pPr>
                  <w:r>
                    <w:rPr>
                      <w:rStyle w:val="VerbatimChar"/>
                    </w:rPr>
                    <w:t xml:space="preserve">src/evaluation/exp4_schema.py</w:t>
                  </w:r>
                </w:p>
              </w:tc>
              <w:tc>
                <w:tcPr/>
                <w:p>
                  <w:pPr>
                    <w:pStyle w:val="Compact"/>
                    <w:jc w:val="both"/>
                    <w:jc w:val="center"/>
                    <w:spacing w:line="360" w:lineRule="auto"/>
                  </w:pPr>
                  <w:r>
                    <w:t xml:space="preserve">Esquema de puntuación EXP4: las siete dimensiones y la escala 1–5</w:t>
                  </w:r>
                </w:p>
              </w:tc>
              <w:tc>
                <w:tcPr/>
                <w:p>
                  <w:pPr>
                    <w:pStyle w:val="Compact"/>
                    <w:jc w:val="both"/>
                    <w:jc w:val="center"/>
                    <w:spacing w:line="360" w:lineRule="auto"/>
                  </w:pPr>
                  <w:r>
                    <w:t xml:space="preserve">Instrumento de medición EXP4 (fuente reconstruida, RCA-002)</w:t>
                  </w:r>
                </w:p>
              </w:tc>
            </w:tr>
            <w:tr>
              <w:tc>
                <w:tcPr/>
                <w:p>
                  <w:pPr>
                    <w:pStyle w:val="Compact"/>
                    <w:jc w:val="both"/>
                    <w:jc w:val="center"/>
                    <w:spacing w:line="360" w:lineRule="auto"/>
                  </w:pPr>
                  <w:r>
                    <w:rPr>
                      <w:rStyle w:val="VerbatimChar"/>
                    </w:rPr>
                    <w:t xml:space="preserve">src/prompts/templates/explanation_eval.j2</w:t>
                  </w:r>
                </w:p>
              </w:tc>
              <w:tc>
                <w:tcPr/>
                <w:p>
                  <w:pPr>
                    <w:pStyle w:val="Compact"/>
                    <w:jc w:val="both"/>
                    <w:jc w:val="center"/>
                    <w:spacing w:line="360" w:lineRule="auto"/>
                  </w:pPr>
                  <w:r>
                    <w:t xml:space="preserve">Plantilla de tres dimensiones de EXP1;</w:t>
                  </w:r>
                  <w:r>
                    <w:t xml:space="preserve"> </w:t>
                  </w:r>
                  <w:r>
                    <w:rPr>
                      <w:b/>
                      <w:bCs/>
                    </w:rPr>
                    <w:t xml:space="preserve">no</w:t>
                  </w:r>
                  <w:r>
                    <w:t xml:space="preserve"> </w:t>
                  </w:r>
                  <w:r>
                    <w:t xml:space="preserve">es el instrumento de EXP4</w:t>
                  </w:r>
                </w:p>
              </w:tc>
              <w:tc>
                <w:tcPr/>
                <w:p>
                  <w:pPr>
                    <w:pStyle w:val="Compact"/>
                    <w:jc w:val="both"/>
                    <w:jc w:val="center"/>
                    <w:spacing w:line="360" w:lineRule="auto"/>
                  </w:pPr>
                  <w:r>
                    <w:t xml:space="preserve">Referencia histórica</w:t>
                  </w:r>
                </w:p>
              </w:tc>
            </w:tr>
            <w:tr>
              <w:tc>
                <w:tcPr/>
                <w:p>
                  <w:pPr>
                    <w:pStyle w:val="Compact"/>
                    <w:jc w:val="both"/>
                    <w:jc w:val="center"/>
                    <w:spacing w:line="360" w:lineRule="auto"/>
                  </w:pPr>
                  <w:r>
                    <w:rPr>
                      <w:rStyle w:val="VerbatimChar"/>
                    </w:rPr>
                    <w:t xml:space="preserve">src/prompts/templates/eval_instruction.j2</w:t>
                  </w:r>
                </w:p>
              </w:tc>
              <w:tc>
                <w:tcPr/>
                <w:p>
                  <w:pPr>
                    <w:pStyle w:val="Compact"/>
                    <w:jc w:val="both"/>
                    <w:jc w:val="center"/>
                    <w:spacing w:line="360" w:lineRule="auto"/>
                  </w:pPr>
                  <w:r>
                    <w:t xml:space="preserve">Instrucciones del sistema para el juez LLM (EXP1)</w:t>
                  </w:r>
                </w:p>
              </w:tc>
              <w:tc>
                <w:tcPr/>
                <w:p>
                  <w:pPr>
                    <w:pStyle w:val="Compact"/>
                    <w:jc w:val="both"/>
                    <w:jc w:val="center"/>
                    <w:spacing w:line="360" w:lineRule="auto"/>
                  </w:pPr>
                  <w:r>
                    <w:t xml:space="preserve">Referencia histórica</w:t>
                  </w:r>
                </w:p>
              </w:tc>
            </w:tr>
            <w:tr>
              <w:tc>
                <w:tcPr/>
                <w:p>
                  <w:pPr>
                    <w:pStyle w:val="Compact"/>
                    <w:jc w:val="both"/>
                    <w:jc w:val="center"/>
                    <w:spacing w:line="360" w:lineRule="auto"/>
                  </w:pPr>
                  <w:r>
                    <w:rPr>
                      <w:rStyle w:val="VerbatimChar"/>
                    </w:rPr>
                    <w:t xml:space="preserve">outputs/analysis/exp4_llm_evaluation/icc_analysis.csv</w:t>
                  </w:r>
                </w:p>
              </w:tc>
              <w:tc>
                <w:tcPr/>
                <w:p>
                  <w:pPr>
                    <w:pStyle w:val="Compact"/>
                    <w:jc w:val="both"/>
                    <w:jc w:val="center"/>
                    <w:spacing w:line="360" w:lineRule="auto"/>
                  </w:pPr>
                  <w:r>
                    <w:t xml:space="preserve">ICC(1,1) por dimensión, cohorte original (la columna se denomina</w:t>
                  </w:r>
                  <w:r>
                    <w:t xml:space="preserve"> </w:t>
                  </w:r>
                  <w:r>
                    <w:rPr>
                      <w:rStyle w:val="VerbatimChar"/>
                    </w:rPr>
                    <w:t xml:space="preserve">icc_2_1</w:t>
                  </w:r>
                  <w:r>
                    <w:t xml:space="preserve"> </w:t>
                  </w:r>
                  <w:r>
                    <w:t xml:space="preserve">por razones históricas)</w:t>
                  </w:r>
                </w:p>
              </w:tc>
              <w:tc>
                <w:tcPr/>
                <w:p>
                  <w:pPr>
                    <w:pStyle w:val="Compact"/>
                    <w:jc w:val="both"/>
                    <w:jc w:val="center"/>
                    <w:spacing w:line="360" w:lineRule="auto"/>
                  </w:pPr>
                  <w:r>
                    <w:t xml:space="preserve">Tabla</w:t>
                  </w:r>
                  <w:r>
                    <w:t xml:space="preserve"> </w:t>
                  </w:r>
                  <w:hyperlink w:anchor="tbl-exp4-icc">
                    <w:r>
                      <w:rPr>
                        <w:rStyle w:val="Hipervnculo"/>
                      </w:rPr>
                      <w:t xml:space="preserve">5.3</w:t>
                    </w:r>
                  </w:hyperlink>
                  <w:r>
                    <w:t xml:space="preserve"> </w:t>
                  </w:r>
                  <w:r>
                    <w:t xml:space="preserve">(fuente)</w:t>
                  </w:r>
                </w:p>
              </w:tc>
            </w:tr>
            <w:tr>
              <w:tc>
                <w:tcPr/>
                <w:p>
                  <w:pPr>
                    <w:pStyle w:val="Compact"/>
                    <w:jc w:val="both"/>
                    <w:jc w:val="center"/>
                    <w:spacing w:line="360" w:lineRule="auto"/>
                  </w:pPr>
                  <w:r>
                    <w:rPr>
                      <w:rStyle w:val="VerbatimChar"/>
                    </w:rPr>
                    <w:t xml:space="preserve">outputs/analysis/exp4_llm_evaluation/krippendorff_alpha.csv</w:t>
                  </w:r>
                </w:p>
              </w:tc>
              <w:tc>
                <w:tcPr/>
                <w:p>
                  <w:pPr>
                    <w:pStyle w:val="Compact"/>
                    <w:jc w:val="both"/>
                    <w:jc w:val="center"/>
                    <w:spacing w:line="360" w:lineRule="auto"/>
                  </w:pPr>
                  <ns5:oMath>
                    <ns5:r>
                      <ns5:t>α</ns5:t>
                    </ns5:r>
                  </ns5:oMath>
                  <w:r>
                    <w:t xml:space="preserve"> </w:t>
                  </w:r>
                  <w:r>
                    <w:t xml:space="preserve">de Krippendorff por dimensión, cohorte original</w:t>
                  </w:r>
                </w:p>
              </w:tc>
              <w:tc>
                <w:tcPr/>
                <w:p>
                  <w:pPr>
                    <w:pStyle w:val="Compact"/>
                    <w:jc w:val="both"/>
                    <w:jc w:val="center"/>
                    <w:spacing w:line="360" w:lineRule="auto"/>
                  </w:pPr>
                  <w:r>
                    <w:t xml:space="preserve">Tabla</w:t>
                  </w:r>
                  <w:r>
                    <w:t xml:space="preserve"> </w:t>
                  </w:r>
                  <w:hyperlink w:anchor="tbl-exp4-icc">
                    <w:r>
                      <w:rPr>
                        <w:rStyle w:val="Hipervnculo"/>
                      </w:rPr>
                      <w:t xml:space="preserve">5.3</w:t>
                    </w:r>
                  </w:hyperlink>
                  <w:r>
                    <w:t xml:space="preserve"> </w:t>
                  </w:r>
                  <w:r>
                    <w:t xml:space="preserve">(fuente)</w:t>
                  </w:r>
                </w:p>
              </w:tc>
            </w:tr>
            <w:tr>
              <w:tc>
                <w:tcPr/>
                <w:p>
                  <w:pPr>
                    <w:pStyle w:val="Compact"/>
                    <w:jc w:val="both"/>
                    <w:jc w:val="center"/>
                    <w:spacing w:line="360" w:lineRule="auto"/>
                  </w:pPr>
                  <w:r>
                    <w:rPr>
                      <w:rStyle w:val="VerbatimChar"/>
                    </w:rPr>
                    <w:t xml:space="preserve">outputs/analysis/exp4_llm_evaluation/judge_disagreement.csv</w:t>
                  </w:r>
                </w:p>
              </w:tc>
              <w:tc>
                <w:tcPr/>
                <w:p>
                  <w:pPr>
                    <w:pStyle w:val="Compact"/>
                    <w:jc w:val="both"/>
                    <w:jc w:val="center"/>
                    <w:spacing w:line="360" w:lineRule="auto"/>
                  </w:pPr>
                  <w:r>
                    <w:t xml:space="preserve">Identificadores de los 192 casos y dispersión inter-juez por caso, cohorte original</w:t>
                  </w:r>
                </w:p>
              </w:tc>
              <w:tc>
                <w:tcPr/>
                <w:p>
                  <w:pPr>
                    <w:pStyle w:val="Compact"/>
                    <w:jc w:val="both"/>
                    <w:jc w:val="center"/>
                    <w:spacing w:line="360" w:lineRule="auto"/>
                  </w:pPr>
                  <w:r>
                    <w:t xml:space="preserve">Recuperación de los casos para la cohorte 2</w:t>
                  </w:r>
                </w:p>
              </w:tc>
            </w:tr>
            <w:tr>
              <w:tc>
                <w:tcPr/>
                <w:p>
                  <w:pPr>
                    <w:pStyle w:val="Compact"/>
                    <w:jc w:val="both"/>
                    <w:jc w:val="center"/>
                    <w:spacing w:line="360" w:lineRule="auto"/>
                  </w:pPr>
                  <w:r>
                    <w:rPr>
                      <w:rStyle w:val="VerbatimChar"/>
                    </w:rPr>
                    <w:t xml:space="preserve">outputs/analysis/exp4_llm_evaluation/judge_comparison_summary.csv</w:t>
                  </w:r>
                </w:p>
              </w:tc>
              <w:tc>
                <w:tcPr/>
                <w:p>
                  <w:pPr>
                    <w:pStyle w:val="Compact"/>
                    <w:jc w:val="both"/>
                    <w:jc w:val="center"/>
                    <w:spacing w:line="360" w:lineRule="auto"/>
                  </w:pPr>
                  <w:r>
                    <w:t xml:space="preserve">Vacío: la cohorte original no produjo estadísticos por juez</w:t>
                  </w:r>
                </w:p>
              </w:tc>
              <w:tc>
                <w:tcPr/>
                <w:p>
                  <w:pPr>
                    <w:pStyle w:val="Compact"/>
                    <w:jc w:val="both"/>
                    <w:jc w:val="center"/>
                    <w:spacing w:line="360" w:lineRule="auto"/>
                  </w:pPr>
                  <w:r>
                    <w:t xml:space="preserve">Ninguno</w:t>
                  </w:r>
                </w:p>
              </w:tc>
            </w:tr>
            <w:tr>
              <w:tc>
                <w:tcPr/>
                <w:p>
                  <w:pPr>
                    <w:pStyle w:val="Compact"/>
                    <w:jc w:val="both"/>
                    <w:jc w:val="center"/>
                    <w:spacing w:line="360" w:lineRule="auto"/>
                  </w:pPr>
                  <w:r>
                    <w:rPr>
                      <w:rStyle w:val="VerbatimChar"/>
                    </w:rPr>
                    <w:t xml:space="preserve">experiments/exp4_cohort2/</w:t>
                  </w:r>
                </w:p>
              </w:tc>
              <w:tc>
                <w:tcPr/>
                <w:p>
                  <w:pPr>
                    <w:pStyle w:val="Compact"/>
                    <w:jc w:val="both"/>
                    <w:jc w:val="center"/>
                    <w:spacing w:line="360" w:lineRule="auto"/>
                  </w:pPr>
                  <w:r>
                    <w:t xml:space="preserve">Casos, consignas renderizadas, respuestas brutas de los jueces y puntuaciones validadas de la cohorte 2</w:t>
                  </w:r>
                </w:p>
              </w:tc>
              <w:tc>
                <w:tcPr/>
                <w:p>
                  <w:pPr>
                    <w:pStyle w:val="Compact"/>
                    <w:jc w:val="both"/>
                    <w:jc w:val="center"/>
                    <w:spacing w:line="360" w:lineRule="auto"/>
                  </w:pPr>
                  <w:r>
                    <w:t xml:space="preserve">Datos brutos de la replicación</w:t>
                  </w:r>
                </w:p>
              </w:tc>
            </w:tr>
            <w:tr>
              <w:tc>
                <w:tcPr/>
                <w:p>
                  <w:pPr>
                    <w:pStyle w:val="Compact"/>
                    <w:jc w:val="both"/>
                    <w:jc w:val="center"/>
                    <w:spacing w:line="360" w:lineRule="auto"/>
                  </w:pPr>
                  <w:r>
                    <w:rPr>
                      <w:rStyle w:val="VerbatimChar"/>
                    </w:rPr>
                    <w:t xml:space="preserve">src/prompts/templates/exp4_semantic_eval_v1*.j2</w:t>
                  </w:r>
                </w:p>
              </w:tc>
              <w:tc>
                <w:tcPr/>
                <w:p>
                  <w:pPr>
                    <w:pStyle w:val="Compact"/>
                    <w:jc w:val="both"/>
                    <w:jc w:val="center"/>
                    <w:spacing w:line="360" w:lineRule="auto"/>
                  </w:pPr>
                  <w:r>
                    <w:t xml:space="preserve">Plantillas de consigna de las tres condiciones, reconstruidas para la cohorte 2</w:t>
                  </w:r>
                </w:p>
              </w:tc>
              <w:tc>
                <w:tcPr/>
                <w:p>
                  <w:pPr>
                    <w:pStyle w:val="Compact"/>
                    <w:jc w:val="both"/>
                    <w:jc w:val="center"/>
                    <w:spacing w:line="360" w:lineRule="auto"/>
                  </w:pPr>
                  <w:r>
                    <w:t xml:space="preserve">Instrumento de la cohorte 2</w:t>
                  </w:r>
                </w:p>
              </w:tc>
            </w:tr>
            <w:tr>
              <w:tc>
                <w:tcPr/>
                <w:p>
                  <w:pPr>
                    <w:pStyle w:val="Compact"/>
                    <w:jc w:val="both"/>
                    <w:jc w:val="center"/>
                    <w:spacing w:line="360" w:lineRule="auto"/>
                  </w:pPr>
                  <w:r>
                    <w:rPr>
                      <w:rStyle w:val="VerbatimChar"/>
                    </w:rPr>
                    <w:t xml:space="preserve">outputs/analysis/exp4_cohort2/cohort2_reliability_by_view.csv</w:t>
                  </w:r>
                </w:p>
              </w:tc>
              <w:tc>
                <w:tcPr/>
                <w:p>
                  <w:pPr>
                    <w:pStyle w:val="Compact"/>
                    <w:jc w:val="both"/>
                    <w:jc w:val="center"/>
                    <w:spacing w:line="360" w:lineRule="auto"/>
                  </w:pPr>
                  <w:r>
                    <w:t xml:space="preserve">ICC(1,1), IC 95 % y</w:t>
                  </w:r>
                  <w:r>
                    <w:t xml:space="preserve"> </w:t>
                  </w:r>
                  <ns5:oMath>
                    <ns5:r>
                      <ns5:t>α</ns5:t>
                    </ns5:r>
                  </ns5:oMath>
                  <w:r>
                    <w:t xml:space="preserve"> </w:t>
                  </w:r>
                  <w:r>
                    <w:t xml:space="preserve">por dimensión y por condición o agregación, cohorte 2</w:t>
                  </w:r>
                </w:p>
              </w:tc>
              <w:tc>
                <w:tcPr/>
                <w:p>
                  <w:pPr>
                    <w:pStyle w:val="Compact"/>
                    <w:jc w:val="both"/>
                    <w:jc w:val="center"/>
                    <w:spacing w:line="360" w:lineRule="auto"/>
                  </w:pPr>
                  <w:r>
                    <w:t xml:space="preserve">Tabla</w:t>
                  </w:r>
                  <w:r>
                    <w:t xml:space="preserve"> </w:t>
                  </w:r>
                  <w:hyperlink w:anchor="tbl-exp4-icc-c2">
                    <w:r>
                      <w:rPr>
                        <w:rStyle w:val="Hipervnculo"/>
                      </w:rPr>
                      <w:t xml:space="preserve">5.4</w:t>
                    </w:r>
                  </w:hyperlink>
                  <w:r>
                    <w:t xml:space="preserve"> </w:t>
                  </w:r>
                  <w:r>
                    <w:t xml:space="preserve">(fuente)</w:t>
                  </w:r>
                </w:p>
              </w:tc>
            </w:tr>
          </w:tbl>
          <w:bookmarkEnd w:id="602"/>
          <w:p>
            <w:pPr>
              <w:spacing w:line="360" w:lineRule="auto"/>
              <w:jc w:val="both"/>
            </w:pPr>
          </w:p>
        </w:tc>
      </w:tr>
    </w:tbl>
    <w:p>
      <w:pPr>
        <w:pStyle w:val="Textoindependiente"/>
        <w:spacing w:line="360" w:lineRule="auto"/>
        <w:jc w:val="both"/>
      </w:pPr>
      <w:r>
        <w:t xml:space="preserve">EXP4 no aporta evidencia confirmativa sobre las hipótesis H1–H3 ni modifica P1;</w:t>
      </w:r>
      <w:r>
        <w:t xml:space="preserve"> </w:t>
      </w:r>
      <w:r>
        <w:t xml:space="preserve">su resultado (P2: en la condición primaria, los jueces LLM no alcanzan ICC</w:t>
      </w:r>
      <w:r>
        <w:t xml:space="preserve"> </w:t>
      </w:r>
      <ns5:oMath>
        <ns5:r>
          <ns5:rPr>
            <ns5:sty ns5:val="p"/>
          </ns5:rPr>
          <ns5:t>≥</ns5:t>
        </ns5:r>
        <ns5:r>
          <ns5:t>0.75</ns5:t>
        </ns5:r>
      </ns5:oMath>
      <w:r>
        <w:t xml:space="preserve"> </w:t>
      </w:r>
      <w:r>
        <w:t xml:space="preserve">bajo las rúbricas actuales, con dos paneles de jueces distintos) es</w:t>
      </w:r>
      <w:r>
        <w:t xml:space="preserve"> </w:t>
      </w:r>
      <w:r>
        <w:t xml:space="preserve">un resultado negativo que delimita el alcance de la evaluación</w:t>
      </w:r>
      <w:r>
        <w:t xml:space="preserve"> </w:t>
      </w:r>
      <w:r>
        <w:t xml:space="preserve">semántica automática en XAI y establece los requisitos de formalización para</w:t>
      </w:r>
      <w:r>
        <w:t xml:space="preserve"> </w:t>
      </w:r>
      <w:r>
        <w:t xml:space="preserve">investigación futura (véase §</w:t>
      </w:r>
      <w:hyperlink w:anchor="sec-exp4-fiabilidad">
        <w:r>
          <w:rPr>
            <w:rStyle w:val="Hipervnculo"/>
          </w:rPr>
          <w:t xml:space="preserve">5.8</w:t>
        </w:r>
      </w:hyperlink>
      <w:r>
        <w:t xml:space="preserve"> </w:t>
      </w:r>
      <w:r>
        <w:t xml:space="preserve">y §</w:t>
      </w:r>
      <w:hyperlink w:anchor="sec-futuro">
        <w:r>
          <w:rPr>
            <w:rStyle w:val="Hipervnculo"/>
          </w:rPr>
          <w:t xml:space="preserve">7.6</w:t>
        </w:r>
      </w:hyperlink>
      <w:r>
        <w:t xml:space="preserve">).</w:t>
      </w:r>
    </w:p>
    <w:bookmarkEnd w:id="603"/>
    <w:bookmarkStart w:id="605" w:name="Xb30eeab50807791c6a31d61db03fab06db172d3"/>
    <w:p>
      <w:pPr>
        <w:pStyle w:val="Ttulo2"/>
        <w:spacing w:line="360" w:lineRule="auto"/>
        <w:jc w:val="both"/>
      </w:pPr>
      <w:r>
        <w:t xml:space="preserve">Apéndice G: Artefactos de los estudios de seguimiento</w:t>
      </w:r>
    </w:p>
    <w:p>
      <w:pPr>
        <w:pStyle w:val="FirstParagraph"/>
        <w:spacing w:line="360" w:lineRule="auto"/>
        <w:jc w:val="both"/>
      </w:pPr>
      <w:r>
        <w:t xml:space="preserve">Los estudios de seguimiento del Capítulo 6 (§</w:t>
      </w:r>
      <w:hyperlink w:anchor="sec-seguimiento">
        <w:r>
          <w:rPr>
            <w:rStyle w:val="Hipervnculo"/>
          </w:rPr>
          <w:t xml:space="preserve">6</w:t>
        </w:r>
      </w:hyperlink>
      <w:r>
        <w:t xml:space="preserve">) tienen cada uno</w:t>
      </w:r>
      <w:r>
        <w:t xml:space="preserve"> </w:t>
      </w:r>
      <w:r>
        <w:t xml:space="preserve">su plan de análisis, su código y sus archivos de resultados en el repositorio.</w:t>
      </w:r>
      <w:r>
        <w:t xml:space="preserve"> </w:t>
      </w:r>
      <w:r>
        <w:t xml:space="preserve">Los nombres de las carpetas son identificadores históricos del repositorio. Cada</w:t>
      </w:r>
      <w:r>
        <w:t xml:space="preserve"> </w:t>
      </w:r>
      <w:r>
        <w:t xml:space="preserve">cifra del Capítulo 6 se vuelve a derivar de estos archivos en la verificación</w:t>
      </w:r>
      <w:r>
        <w:t xml:space="preserve"> </w:t>
      </w:r>
      <w:r>
        <w:t xml:space="preserve">automática de afirmaciones. La</w:t>
      </w:r>
      <w:r>
        <w:t xml:space="preserve"> </w:t>
      </w:r>
      <w:hyperlink w:anchor="tbl-appendix-seguimiento">
        <w:r>
          <w:rPr>
            <w:rStyle w:val="Hipervnculo"/>
          </w:rPr>
          <w:t xml:space="preserve">Tabla 7.18</w:t>
        </w:r>
      </w:hyperlink>
      <w:r>
        <w:t xml:space="preserve"> </w:t>
      </w:r>
      <w:r>
        <w:t xml:space="preserve">los localiza.</w:t>
      </w:r>
    </w:p>
    <w:tbl>
      <w:tblPr>
        <w:tblStyle w:val="Table"/>
        <w:tblW w:type="pct" w:w="5000"/>
        <w:jc w:val="center"/>
        <w:tblLayout w:type="fixed"/>
        <w:tblLook w:firstRow="0" w:lastRow="0" w:firstColumn="0" w:lastColumn="0" w:noHBand="0" w:noVBand="0" w:val="0000"/>
      </w:tblPr>
      <w:tblGrid>
        <w:gridCol w:w="7920"/>
      </w:tblGrid>
      <w:tr>
        <w:tc>
          <w:tcPr/>
          <w:bookmarkStart w:id="604" w:name="tbl-appendix-seguimiento"/>
          <w:p>
            <w:pPr>
              <w:pStyle w:val="ImageCaption"/>
              <w:spacing w:before="200" w:line="360" w:lineRule="auto"/>
              <w:jc w:val="center"/>
            </w:pPr>
            <w:r>
              <w:t xml:space="preserve">Tabla 7.18: Artefactos de los estudios de seguimiento y trazabilidad a la tesis.</w:t>
            </w:r>
          </w:p>
          <w:tbl>
            <w:tblPr>
              <w:tblStyle w:val="Table"/>
              <w:tblW w:type="pct" w:w="500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both"/>
                    <w:jc w:val="center"/>
                    <w:spacing w:line="360" w:lineRule="auto"/>
                  </w:pPr>
                  <w:r>
                    <w:rPr>
                      <w:bCs/>
                      <w:b/>
                    </w:rPr>
                    <w:t xml:space="preserve">Estudio</w:t>
                  </w:r>
                </w:p>
              </w:tc>
              <w:tc>
                <w:tcPr/>
                <w:p>
                  <w:pPr>
                    <w:pStyle w:val="Compact"/>
                    <w:jc w:val="both"/>
                    <w:jc w:val="center"/>
                    <w:spacing w:line="360" w:lineRule="auto"/>
                  </w:pPr>
                  <w:r>
                    <w:rPr>
                      <w:bCs/>
                      <w:b/>
                    </w:rPr>
                    <w:t xml:space="preserve">Plan de análisis</w:t>
                  </w:r>
                </w:p>
              </w:tc>
              <w:tc>
                <w:tcPr/>
                <w:p>
                  <w:pPr>
                    <w:pStyle w:val="Compact"/>
                    <w:jc w:val="both"/>
                    <w:jc w:val="center"/>
                    <w:spacing w:line="360" w:lineRule="auto"/>
                  </w:pPr>
                  <w:r>
                    <w:rPr>
                      <w:bCs/>
                      <w:b/>
                    </w:rPr>
                    <w:t xml:space="preserve">Código de análisis</w:t>
                  </w:r>
                </w:p>
              </w:tc>
              <w:tc>
                <w:tcPr/>
                <w:p>
                  <w:pPr>
                    <w:pStyle w:val="Compact"/>
                    <w:jc w:val="both"/>
                    <w:jc w:val="center"/>
                    <w:spacing w:line="360" w:lineRule="auto"/>
                  </w:pPr>
                  <w:r>
                    <w:rPr>
                      <w:bCs/>
                      <w:b/>
                    </w:rPr>
                    <w:t xml:space="preserve">Resultados</w:t>
                  </w:r>
                </w:p>
              </w:tc>
              <w:tc>
                <w:tcPr/>
                <w:p>
                  <w:pPr>
                    <w:pStyle w:val="Compact"/>
                    <w:jc w:val="both"/>
                    <w:jc w:val="center"/>
                    <w:spacing w:line="360" w:lineRule="auto"/>
                  </w:pPr>
                  <w:r>
                    <w:rPr>
                      <w:bCs/>
                      <w:b/>
                    </w:rPr>
                    <w:t xml:space="preserve">Archivo Zenodo</w:t>
                  </w:r>
                </w:p>
              </w:tc>
            </w:tr>
            <w:tr>
              <w:tc>
                <w:tcPr/>
                <w:p>
                  <w:pPr>
                    <w:pStyle w:val="Compact"/>
                    <w:jc w:val="both"/>
                    <w:jc w:val="center"/>
                    <w:spacing w:line="360" w:lineRule="auto"/>
                  </w:pPr>
                  <w:r>
                    <w:t xml:space="preserve">Fiabilidad ante el Error</w:t>
                  </w:r>
                </w:p>
              </w:tc>
              <w:tc>
                <w:tcPr/>
                <w:p>
                  <w:pPr>
                    <w:pStyle w:val="Compact"/>
                    <w:jc w:val="both"/>
                    <w:jc w:val="center"/>
                    <w:spacing w:line="360" w:lineRule="auto"/>
                  </w:pPr>
                  <w:r>
                    <w:rPr>
                      <w:rStyle w:val="VerbatimChar"/>
                    </w:rPr>
                    <w:t xml:space="preserve">docs/reports/paper_d/ANALYSIS_PLAN.md</w:t>
                  </w:r>
                </w:p>
              </w:tc>
              <w:tc>
                <w:tcPr/>
                <w:p>
                  <w:pPr>
                    <w:pStyle w:val="Compact"/>
                    <w:jc w:val="both"/>
                    <w:jc w:val="center"/>
                    <w:spacing w:line="360" w:lineRule="auto"/>
                  </w:pPr>
                  <w:r>
                    <w:rPr>
                      <w:rStyle w:val="VerbatimChar"/>
                    </w:rPr>
                    <w:t xml:space="preserve">scripts/pubs/paper_d_analysis.py</w:t>
                  </w:r>
                </w:p>
              </w:tc>
              <w:tc>
                <w:tcPr/>
                <w:p>
                  <w:pPr>
                    <w:pStyle w:val="Compact"/>
                    <w:jc w:val="both"/>
                    <w:jc w:val="center"/>
                    <w:spacing w:line="360" w:lineRule="auto"/>
                  </w:pPr>
                  <w:r>
                    <w:rPr>
                      <w:rStyle w:val="VerbatimChar"/>
                    </w:rPr>
                    <w:t xml:space="preserve">outputs/analysis/paper_d/</w:t>
                  </w:r>
                </w:p>
              </w:tc>
              <w:tc>
                <w:tcPr/>
                <w:p>
                  <w:pPr>
                    <w:pStyle w:val="Compact"/>
                    <w:jc w:val="both"/>
                    <w:jc w:val="center"/>
                    <w:spacing w:line="360" w:lineRule="auto"/>
                  </w:pPr>
                  <w:r>
                    <w:rPr>
                      <w:rStyle w:val="VerbatimChar"/>
                    </w:rPr>
                    <w:t xml:space="preserve">10.5281/zenodo.23130014</w:t>
                  </w:r>
                </w:p>
              </w:tc>
            </w:tr>
            <w:tr>
              <w:tc>
                <w:tcPr/>
                <w:p>
                  <w:pPr>
                    <w:pStyle w:val="Compact"/>
                    <w:jc w:val="both"/>
                    <w:jc w:val="center"/>
                    <w:spacing w:line="360" w:lineRule="auto"/>
                  </w:pPr>
                  <w:r>
                    <w:t xml:space="preserve">Concordancia entre Explicadores</w:t>
                  </w:r>
                </w:p>
              </w:tc>
              <w:tc>
                <w:tcPr/>
                <w:p>
                  <w:pPr>
                    <w:pStyle w:val="Compact"/>
                    <w:jc w:val="both"/>
                    <w:jc w:val="center"/>
                    <w:spacing w:line="360" w:lineRule="auto"/>
                  </w:pPr>
                  <w:r>
                    <w:rPr>
                      <w:rStyle w:val="VerbatimChar"/>
                    </w:rPr>
                    <w:t xml:space="preserve">docs/reports/paper_e/ANALYSIS_PLAN.md</w:t>
                  </w:r>
                </w:p>
              </w:tc>
              <w:tc>
                <w:tcPr/>
                <w:p>
                  <w:pPr>
                    <w:pStyle w:val="Compact"/>
                    <w:jc w:val="both"/>
                    <w:jc w:val="center"/>
                    <w:spacing w:line="360" w:lineRule="auto"/>
                  </w:pPr>
                  <w:r>
                    <w:rPr>
                      <w:rStyle w:val="VerbatimChar"/>
                    </w:rPr>
                    <w:t xml:space="preserve">scripts/analyze_paper_e.py</w:t>
                  </w:r>
                </w:p>
              </w:tc>
              <w:tc>
                <w:tcPr/>
                <w:p>
                  <w:pPr>
                    <w:pStyle w:val="Compact"/>
                    <w:jc w:val="both"/>
                    <w:jc w:val="center"/>
                    <w:spacing w:line="360" w:lineRule="auto"/>
                  </w:pPr>
                  <w:r>
                    <w:rPr>
                      <w:rStyle w:val="VerbatimChar"/>
                    </w:rPr>
                    <w:t xml:space="preserve">outputs/analysis/paper_e/</w:t>
                  </w:r>
                </w:p>
              </w:tc>
              <w:tc>
                <w:tcPr/>
                <w:p>
                  <w:pPr>
                    <w:pStyle w:val="Compact"/>
                    <w:jc w:val="both"/>
                    <w:jc w:val="center"/>
                    <w:spacing w:line="360" w:lineRule="auto"/>
                  </w:pPr>
                  <w:r>
                    <w:rPr>
                      <w:rStyle w:val="VerbatimChar"/>
                    </w:rPr>
                    <w:t xml:space="preserve">10.5281/zenodo.23142429</w:t>
                  </w:r>
                </w:p>
              </w:tc>
            </w:tr>
            <w:tr>
              <w:tc>
                <w:tcPr/>
                <w:p>
                  <w:pPr>
                    <w:pStyle w:val="Compact"/>
                    <w:jc w:val="both"/>
                    <w:jc w:val="center"/>
                    <w:spacing w:line="360" w:lineRule="auto"/>
                  </w:pPr>
                  <w:r>
                    <w:t xml:space="preserve">Transferencia entre Conjuntos de Datos</w:t>
                  </w:r>
                </w:p>
              </w:tc>
              <w:tc>
                <w:tcPr/>
                <w:p>
                  <w:pPr>
                    <w:pStyle w:val="Compact"/>
                    <w:jc w:val="both"/>
                    <w:jc w:val="center"/>
                    <w:spacing w:line="360" w:lineRule="auto"/>
                  </w:pPr>
                  <w:r>
                    <w:rPr>
                      <w:rStyle w:val="VerbatimChar"/>
                    </w:rPr>
                    <w:t xml:space="preserve">docs/reports/paper_f/ANALYSIS_PLAN.md</w:t>
                  </w:r>
                </w:p>
              </w:tc>
              <w:tc>
                <w:tcPr/>
                <w:p>
                  <w:pPr>
                    <w:pStyle w:val="Compact"/>
                    <w:jc w:val="both"/>
                    <w:jc w:val="center"/>
                    <w:spacing w:line="360" w:lineRule="auto"/>
                  </w:pPr>
                  <w:r>
                    <w:rPr>
                      <w:rStyle w:val="VerbatimChar"/>
                    </w:rPr>
                    <w:t xml:space="preserve">scripts/paper_f_analyze.py</w:t>
                  </w:r>
                </w:p>
              </w:tc>
              <w:tc>
                <w:tcPr/>
                <w:p>
                  <w:pPr>
                    <w:pStyle w:val="Compact"/>
                    <w:jc w:val="both"/>
                    <w:jc w:val="center"/>
                    <w:spacing w:line="360" w:lineRule="auto"/>
                  </w:pPr>
                  <w:r>
                    <w:rPr>
                      <w:rStyle w:val="VerbatimChar"/>
                    </w:rPr>
                    <w:t xml:space="preserve">outputs/analysis/paper_f/results/</w:t>
                  </w:r>
                </w:p>
              </w:tc>
              <w:tc>
                <w:tcPr/>
                <w:p>
                  <w:pPr>
                    <w:pStyle w:val="Compact"/>
                    <w:jc w:val="both"/>
                    <w:jc w:val="center"/>
                    <w:spacing w:line="360" w:lineRule="auto"/>
                  </w:pPr>
                  <w:r>
                    <w:rPr>
                      <w:rStyle w:val="VerbatimChar"/>
                    </w:rPr>
                    <w:t xml:space="preserve">10.5281/zenodo.23325483</w:t>
                  </w:r>
                </w:p>
              </w:tc>
            </w:tr>
            <w:tr>
              <w:tc>
                <w:tcPr/>
                <w:p>
                  <w:pPr>
                    <w:pStyle w:val="Compact"/>
                    <w:jc w:val="both"/>
                    <w:jc w:val="center"/>
                    <w:spacing w:line="360" w:lineRule="auto"/>
                  </w:pPr>
                  <w:r>
                    <w:t xml:space="preserve">Controles del Estudio de Fiabilidad Inter-juez</w:t>
                  </w:r>
                </w:p>
              </w:tc>
              <w:tc>
                <w:tcPr/>
                <w:p>
                  <w:pPr>
                    <w:pStyle w:val="Compact"/>
                    <w:jc w:val="both"/>
                    <w:jc w:val="center"/>
                    <w:spacing w:line="360" w:lineRule="auto"/>
                  </w:pPr>
                  <w:r>
                    <w:rPr>
                      <w:rStyle w:val="VerbatimChar"/>
                    </w:rPr>
                    <w:t xml:space="preserve">docs/reports/paper_c/PLAN.md</w:t>
                  </w:r>
                </w:p>
              </w:tc>
              <w:tc>
                <w:tcPr/>
                <w:p>
                  <w:pPr>
                    <w:pStyle w:val="Compact"/>
                    <w:jc w:val="both"/>
                    <w:jc w:val="center"/>
                    <w:spacing w:line="360" w:lineRule="auto"/>
                  </w:pPr>
                  <w:r>
                    <w:rPr>
                      <w:rStyle w:val="VerbatimChar"/>
                    </w:rPr>
                    <w:t xml:space="preserve">docs/reports/paper_c/scripts/</w:t>
                  </w:r>
                </w:p>
              </w:tc>
              <w:tc>
                <w:tcPr/>
                <w:p>
                  <w:pPr>
                    <w:pStyle w:val="Compact"/>
                    <w:jc w:val="both"/>
                    <w:jc w:val="center"/>
                    <w:spacing w:line="360" w:lineRule="auto"/>
                  </w:pPr>
                  <w:r>
                    <w:rPr>
                      <w:rStyle w:val="VerbatimChar"/>
                    </w:rPr>
                    <w:t xml:space="preserve">docs/reports/paper_c/results/</w:t>
                  </w:r>
                  <w:r>
                    <w:t xml:space="preserve">,</w:t>
                  </w:r>
                  <w:r>
                    <w:t xml:space="preserve"> </w:t>
                  </w:r>
                  <w:r>
                    <w:rPr>
                      <w:rStyle w:val="VerbatimChar"/>
                    </w:rPr>
                    <w:t xml:space="preserve">clean_condition/</w:t>
                  </w:r>
                  <w:r>
                    <w:t xml:space="preserve"> </w:t>
                  </w:r>
                  <w:r>
                    <w:t xml:space="preserve">y</w:t>
                  </w:r>
                  <w:r>
                    <w:t xml:space="preserve"> </w:t>
                  </w:r>
                  <w:r>
                    <w:rPr>
                      <w:rStyle w:val="VerbatimChar"/>
                    </w:rPr>
                    <w:t xml:space="preserve">positive_control/</w:t>
                  </w:r>
                </w:p>
              </w:tc>
              <w:tc>
                <w:tcPr/>
                <w:p>
                  <w:pPr>
                    <w:pStyle w:val="Compact"/>
                    <w:jc w:val="both"/>
                    <w:jc w:val="center"/>
                    <w:spacing w:line="360" w:lineRule="auto"/>
                  </w:pPr>
                  <w:r>
                    <w:rPr>
                      <w:rStyle w:val="VerbatimChar"/>
                    </w:rPr>
                    <w:t xml:space="preserve">10.5281/zenodo.23165763</w:t>
                  </w:r>
                </w:p>
              </w:tc>
            </w:tr>
          </w:tbl>
          <w:bookmarkEnd w:id="604"/>
          <w:p>
            <w:pPr>
              <w:spacing w:line="360" w:lineRule="auto"/>
              <w:jc w:val="both"/>
            </w:pPr>
          </w:p>
        </w:tc>
      </w:tr>
    </w:tbl>
    <w:p>
      <w:pPr>
        <w:pStyle w:val="Textoindependiente"/>
        <w:spacing w:line="360" w:lineRule="auto"/>
        <w:jc w:val="both"/>
      </w:pPr>
      <w:r>
        <w:t xml:space="preserve">Los cuatro archivos son versiones del mismo depósito, cuyo DOI de concepto es</w:t>
      </w:r>
      <w:r>
        <w:t xml:space="preserve"> </w:t>
      </w:r>
      <w:r>
        <w:rPr>
          <w:rStyle w:val="VerbatimChar"/>
        </w:rPr>
        <w:t xml:space="preserve">10.5281/zenodo.19297723</w:t>
      </w:r>
      <w:r>
        <w:t xml:space="preserve">.</w:t>
      </w:r>
    </w:p>
    <w:bookmarkEnd w:id="605"/>
    <w:bookmarkEnd w:id="606"/>
    <w:sectPr w:rsidR="004A1446" w:rsidSect="0070096E">
      <w:headerReference ns4:id="rId9" w:type="even"/>
      <w:headerReference ns4:id="rId10" w:type="default"/>
      <w:pgSz w:h="15840" w:w="12240"/>
      <w:pgMar w:bottom="1440" w:footer="720" w:gutter="0" w:header="720" w:left="1440" w:right="1440" w:top="1728"/>
      <w:pgNumType w:fmt="decimal" w:start="1"/>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SimSun">
    <w:altName w:val="宋体"/>
    <w:panose1 w:val="02010600030101010101"/>
    <w:charset w:val="86"/>
    <w:family w:val="auto"/>
    <w:notTrueType/>
    <w:pitch w:val="variable"/>
    <w:sig w:usb0="00000001" w:usb1="080E0000" w:usb2="00000010" w:usb3="00000000" w:csb0="00040000"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0096E" w:rsidRDefault="00637ED1">
    <w:pPr>
      <w:spacing w:line="200" w:lineRule="exact"/>
      <w:rPr>
        <w:sz w:val="20"/>
        <w:szCs w:val="20"/>
      </w:rPr>
    </w:pPr>
    <w:r w:rsidRPr="00637ED1">
      <w:rPr>
        <w:noProof/>
        <w:sz w:val="22"/>
      </w:rPr>
      <w:pict>
        <v:shapetype id="_x0000_t202" coordsize="21600,21600" o:spt="202" path="m,l,21600r21600,l21600,xe">
          <v:stroke joinstyle="miter"/>
          <v:path gradientshapeok="t" o:connecttype="rect"/>
        </v:shapetype>
        <v:shape id="Text Box 1" o:spid="_x0000_s2050" type="#_x0000_t202" style="position:absolute;margin-left:541.25pt;margin-top:36.15pt;width:16pt;height:14pt;z-index:-251658752;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" filled="f" stroked="f">
          <v:textbox style="mso-next-textbox:#Text Box 1" inset="0,0,0,0">
            <w:txbxContent>
              <w:p w:rsidR="0070096E" w:rsidRDefault="00637ED1">
                <w:pPr>
                  <w:pStyle w:val="Textoindependiente"/>
                  <w:spacing w:line="265" w:lineRule="exact"/>
                  <w:ind w:left="40"/>
                </w:pPr>
                <w:r>
                  <w:fldChar w:fldCharType="begin"/>
                </w:r>
                <w:r w:rsidR="00B84E16">
                  <w:instrText xml:space="preserve"> PAGE </w:instrText>
                </w:r>
                <w:r>
                  <w:fldChar w:fldCharType="separate"/>
                </w:r>
                <w:r w:rsidR="0070096E">
                  <w:rPr>
                    <w:noProof/>
                  </w:rPr>
                  <w:t>2</w:t>
                </w:r>
                <w:r>
                  <w:rPr>
                    <w:noProof/>
                  </w:rPr>
                  <w:fldChar w:fldCharType="end"/>
                </w:r>
              </w:p>
            </w:txbxContent>
          </v:textbox>
          <w10:wrap anchorx="page" anchory="page"/>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325631411"/>
      <w:docPartObj>
        <w:docPartGallery w:val="Page Numbers (Top of Page)"/>
        <w:docPartUnique/>
      </w:docPartObj>
    </w:sdtPr>
    <w:sdtEndPr>
      <w:rPr>
        <w:noProof/>
      </w:rPr>
    </w:sdtEndPr>
    <w:sdtContent>
      <w:p w:rsidR="0070096E" w:rsidRDefault="0070096E">
        <w:pPr>
          <w:pStyle w:val="Encabezado"/>
          <w:jc w:val="right"/>
        </w:pPr>
        <w:r>
          <w:rPr>
            <w:noProof/>
            <w:lang w:val="es-ES" w:eastAsia="es-ES"/>
          </w:rPr>
          <w:drawing>
            <wp:anchor distT="0" distB="0" distL="114300" distR="114300" simplePos="0" relativeHeight="251657216" behindDoc="0" locked="0" layoutInCell="1" allowOverlap="1">
              <wp:simplePos x="0" y="0"/>
              <wp:positionH relativeFrom="column">
                <wp:posOffset>-445135</wp:posOffset>
              </wp:positionH>
              <wp:positionV relativeFrom="paragraph">
                <wp:posOffset>-294005</wp:posOffset>
              </wp:positionV>
              <wp:extent cx="935990" cy="955040"/>
              <wp:effectExtent l="19050" t="0" r="0" b="0"/>
              <wp:wrapNone/>
              <wp:docPr id="7" name="2 Imagen" descr="logo-unad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unade.jpg"/>
                      <pic:cNvPicPr/>
                    </pic:nvPicPr>
                    <pic:blipFill>
                      <a:blip r:embed="rId1"/>
                      <a:stretch>
                        <a:fillRect/>
                      </a:stretch>
                    </pic:blipFill>
                    <pic:spPr>
                      <a:xfrm>
                        <a:off x="0" y="0"/>
                        <a:ext cx="935990" cy="955040"/>
                      </a:xfrm>
                      <a:prstGeom prst="rect">
                        <a:avLst/>
                      </a:prstGeom>
                    </pic:spPr>
                  </pic:pic>
                </a:graphicData>
              </a:graphic>
            </wp:anchor>
          </w:drawing>
        </w:r>
      </w:p>
      <w:p w:rsidR="0070096E" w:rsidRDefault="0070096E">
        <w:pPr>
          <w:pStyle w:val="Encabezado"/>
          <w:jc w:val="right"/>
        </w:pPr>
      </w:p>
      <w:p w:rsidR="0070096E" w:rsidRDefault="00637ED1" w:rsidP="00FB6C23">
        <w:pPr>
          <w:pStyle w:val="Encabezado"/>
          <w:jc w:val="right"/>
        </w:pPr>
        <w:r>
          <w:fldChar w:fldCharType="begin"/>
        </w:r>
        <w:r w:rsidR="00B84E16">
          <w:instrText xml:space="preserve"> PAGE   \* MERGEFORMAT </w:instrText>
        </w:r>
        <w:r>
          <w:fldChar w:fldCharType="separate"/>
        </w:r>
        <w:r w:rsidR="00AC4B04">
          <w:rPr>
            <w:noProof/>
          </w:rPr>
          <w:t>xiii</w:t>
        </w:r>
        <w:r>
          <w:rPr>
            <w:noProof/>
          </w:rPr>
          <w:fldChar w:fldCharType="end"/>
        </w:r>
      </w:p>
    </w:sdtContent>
  </w:sdt>
  <w:p w:rsidR="0070096E" w:rsidRDefault="0070096E">
    <w:pPr>
      <w:spacing w:line="200" w:lineRule="exact"/>
      <w:rPr>
        <w:sz w:val="20"/>
        <w:szCs w:val="20"/>
      </w:rP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5806582"/>
      <w:docPartObj>
        <w:docPartGallery w:val="Page Numbers (Top of Page)"/>
        <w:docPartUnique/>
      </w:docPartObj>
    </w:sdtPr>
    <w:sdtEndPr>
      <w:rPr>
        <w:noProof/>
      </w:rPr>
    </w:sdtEndPr>
    <w:sdtContent>
      <w:p w:rsidR="0070096E" w:rsidRDefault="0070096E">
        <w:pPr>
          <w:pStyle w:val="Encabezado"/>
          <w:jc w:val="right"/>
        </w:pPr>
        <w:r>
          <w:rPr>
            <w:noProof/>
            <w:lang w:val="es-ES" w:eastAsia="es-ES"/>
          </w:rPr>
          <w:drawing>
            <wp:anchor distT="0" distB="0" distL="114300" distR="114300" simplePos="0" relativeHeight="251660800" behindDoc="0" locked="0" layoutInCell="1" allowOverlap="1">
              <wp:simplePos x="0" y="0"/>
              <wp:positionH relativeFrom="column">
                <wp:posOffset>-523657</wp:posOffset>
              </wp:positionH>
              <wp:positionV relativeFrom="paragraph">
                <wp:posOffset>122830</wp:posOffset>
              </wp:positionV>
              <wp:extent cx="936293" cy="955343"/>
              <wp:effectExtent l="19050" t="0" r="0" b="0"/>
              <wp:wrapNone/>
              <wp:docPr id="1" name="2 Imagen" descr="logo-unad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unade.jpg"/>
                      <pic:cNvPicPr/>
                    </pic:nvPicPr>
                    <pic:blipFill>
                      <a:blip r:embed="rId1"/>
                      <a:stretch>
                        <a:fillRect/>
                      </a:stretch>
                    </pic:blipFill>
                    <pic:spPr>
                      <a:xfrm>
                        <a:off x="0" y="0"/>
                        <a:ext cx="936293" cy="955343"/>
                      </a:xfrm>
                      <a:prstGeom prst="rect">
                        <a:avLst/>
                      </a:prstGeom>
                    </pic:spPr>
                  </pic:pic>
                </a:graphicData>
              </a:graphic>
            </wp:anchor>
          </w:drawing>
        </w:r>
      </w:p>
      <w:p w:rsidR="0070096E" w:rsidRDefault="0070096E">
        <w:pPr>
          <w:pStyle w:val="Encabezado"/>
          <w:jc w:val="right"/>
        </w:pPr>
      </w:p>
      <w:p w:rsidR="0070096E" w:rsidRDefault="0070096E">
        <w:pPr>
          <w:pStyle w:val="Encabezado"/>
          <w:jc w:val="right"/>
        </w:pPr>
      </w:p>
      <w:p w:rsidR="0070096E" w:rsidRDefault="0070096E">
        <w:pPr>
          <w:pStyle w:val="Encabezado"/>
          <w:jc w:val="right"/>
        </w:pPr>
      </w:p>
      <w:p w:rsidR="0070096E" w:rsidRDefault="00637ED1" w:rsidP="00FB6C23">
        <w:pPr>
          <w:pStyle w:val="Encabezado"/>
          <w:jc w:val="right"/>
        </w:pPr>
        <w:r>
          <w:fldChar w:fldCharType="begin"/>
        </w:r>
        <w:r w:rsidR="00B84E16">
          <w:instrText xml:space="preserve"> PAGE   \* MERGEFORMAT </w:instrText>
        </w:r>
        <w:r>
          <w:fldChar w:fldCharType="separate"/>
        </w:r>
        <w:r w:rsidR="00AC4B04">
          <w:rPr>
            <w:noProof/>
          </w:rPr>
          <w:t>14</w:t>
        </w:r>
        <w:r>
          <w:rPr>
            <w:noProof/>
          </w:rPr>
          <w:fldChar w:fldCharType="end"/>
        </w:r>
      </w:p>
    </w:sdtContent>
  </w:sdt>
  <w:p w:rsidR="0070096E" w:rsidRDefault="0070096E">
    <w:pPr>
      <w:spacing w:line="200" w:lineRule="exact"/>
      <w:rPr>
        <w:sz w:val="20"/>
        <w:szCs w:val="20"/>
      </w:rPr>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0096E" w:rsidRDefault="00637ED1">
    <w:pPr>
      <w:spacing w:line="1" w:lineRule="exact"/>
    </w:pPr>
    <w:r w:rsidRPr="00637ED1">
      <w:rPr>
        <w:noProof/>
      </w:rPr>
      <w:pict>
        <v:shapetype id="_x0000_t202" coordsize="21600,21600" o:spt="202" path="m,l,21600r21600,l21600,xe">
          <v:stroke joinstyle="miter"/>
          <v:path gradientshapeok="t" o:connecttype="rect"/>
        </v:shapetype>
        <v:shape id="Shape 67" o:spid="_x0000_s2049" type="#_x0000_t202" style="position:absolute;margin-left:533.05pt;margin-top:6.25pt;width:12.05pt;height:27.6pt;z-index:-251657728;visibility:visible;mso-wrap-style:non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" filled="f" stroked="f">
          <v:textbox style="mso-fit-shape-to-text:t" inset="0,0,0,0">
            <w:txbxContent>
              <w:p w:rsidR="0070096E" w:rsidRDefault="0070096E">
                <w:pPr>
                  <w:pStyle w:val="Encabezadoopiedepgina0"/>
                  <w:shd w:val="clear" w:color="auto" w:fill="auto"/>
                </w:pPr>
              </w:p>
              <w:p w:rsidR="0070096E" w:rsidRDefault="00637ED1">
                <w:pPr>
                  <w:pStyle w:val="Encabezadoopiedepgina0"/>
                  <w:shd w:val="clear" w:color="auto" w:fill="auto"/>
                </w:pPr>
                <w:r w:rsidRPr="00637ED1">
                  <w:fldChar w:fldCharType="begin"/>
                </w:r>
                <w:r w:rsidR="0070096E">
                  <w:instrText xml:space="preserve"> PAGE \* MERGEFORMAT </w:instrText>
                </w:r>
                <w:r w:rsidRPr="00637ED1">
                  <w:fldChar w:fldCharType="separate"/>
                </w:r>
                <w:r w:rsidR="00AC4B04" w:rsidRPr="00AC4B04">
                  <w:rPr>
                    <w:noProof/>
                    <w:color w:val="000000"/>
                    <w:szCs w:val="24"/>
                    <w:lang w:val="en-US" w:eastAsia="en-US" w:bidi="en-US"/>
                  </w:rPr>
                  <w:t>24</w:t>
                </w:r>
                <w:r>
                  <w:rPr>
                    <w:lang w:val="en-US" w:eastAsia="en-US" w:bidi="en-US"/>
                  </w:rPr>
                  <w:fldChar w:fldCharType="end"/>
                </w:r>
              </w:p>
            </w:txbxContent>
          </v:textbox>
          <w10:wrap anchorx="page" anchory="page"/>
        </v:shape>
      </w:pict>
    </w:r>
  </w:p>
</w:hdr>
</file>

<file path=word/numbering.xml><?xml version="1.0" encoding="utf-8"?>
<w:numbering xmlns:m="http://schemas.openxmlformats.org/officeDocument/2006/math" xmlns:o="urn:schemas-microsoft-com:office:office" xmlns:r="http://schemas.openxmlformats.org/officeDocument/2006/relationships" xmlns:v="urn:schemas-microsoft-com:vml" xmlns:ve="http://schemas.openxmlformats.org/markup-compatibility/2006" xmlns:w="http://schemas.openxmlformats.org/wordprocessingml/2006/main" xmlns:w10="urn:schemas-microsoft-com:office:word" xmlns:wne="http://schemas.microsoft.com/office/word/2006/wordml" xmlns:wp="http://schemas.openxmlformats.org/drawingml/2006/wordprocessingDrawing">
  <w:abstractNum w:abstractNumId="0">
    <w:nsid w:val="0366072D"/>
    <w:multiLevelType w:val="multilevel"/>
    <w:tmpl w:val="D5B6500A"/>
    <w:lvl w:ilvl="0">
      <w:start w:val="1"/>
      <w:numFmt w:val="decimal"/>
      <w:lvlText w:val="%1"/>
      <w:lvlJc w:val="left"/>
      <w:pPr>
        <w:ind w:hanging="360" w:left="360"/>
      </w:pPr>
      <w:rPr>
        <w:rFonts w:hint="default"/>
      </w:rPr>
    </w:lvl>
    <w:lvl w:ilvl="1">
      <w:start w:val="1"/>
      <w:numFmt w:val="decimal"/>
      <w:lvlText w:val="%1.%2"/>
      <w:lvlJc w:val="left"/>
      <w:pPr>
        <w:ind w:hanging="360" w:left="360"/>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720" w:left="720"/>
      </w:pPr>
      <w:rPr>
        <w:rFonts w:hint="default"/>
      </w:rPr>
    </w:lvl>
    <w:lvl w:ilvl="4">
      <w:start w:val="1"/>
      <w:numFmt w:val="decimal"/>
      <w:lvlText w:val="%1.%2.%3.%4.%5"/>
      <w:lvlJc w:val="left"/>
      <w:pPr>
        <w:ind w:hanging="1080" w:left="1080"/>
      </w:pPr>
      <w:rPr>
        <w:rFonts w:hint="default"/>
      </w:rPr>
    </w:lvl>
    <w:lvl w:ilvl="5">
      <w:start w:val="1"/>
      <w:numFmt w:val="decimal"/>
      <w:lvlText w:val="%1.%2.%3.%4.%5.%6"/>
      <w:lvlJc w:val="left"/>
      <w:pPr>
        <w:ind w:hanging="1080" w:left="1080"/>
      </w:pPr>
      <w:rPr>
        <w:rFonts w:hint="default"/>
      </w:rPr>
    </w:lvl>
    <w:lvl w:ilvl="6">
      <w:start w:val="1"/>
      <w:numFmt w:val="decimal"/>
      <w:lvlText w:val="%1.%2.%3.%4.%5.%6.%7"/>
      <w:lvlJc w:val="left"/>
      <w:pPr>
        <w:ind w:hanging="1440" w:left="1440"/>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800" w:left="1800"/>
      </w:pPr>
      <w:rPr>
        <w:rFonts w:hint="default"/>
      </w:rPr>
    </w:lvl>
  </w:abstractNum>
  <w:abstractNum w:abstractNumId="1">
    <w:nsid w:val="045A1F37"/>
    <w:multiLevelType w:val="hybridMultilevel"/>
    <w:tmpl w:val="4F60AA28"/>
    <w:lvl w:ilvl="0" w:tplc="080A0019">
      <w:start w:val="1"/>
      <w:numFmt w:val="lowerLetter"/>
      <w:lvlText w:val="%1."/>
      <w:lvlJc w:val="left"/>
      <w:pPr>
        <w:ind w:hanging="360" w:left="1440"/>
      </w:pPr>
    </w:lvl>
    <w:lvl w:ilvl="1" w:tentative="1" w:tplc="080A0019">
      <w:start w:val="1"/>
      <w:numFmt w:val="lowerLetter"/>
      <w:lvlText w:val="%2."/>
      <w:lvlJc w:val="left"/>
      <w:pPr>
        <w:ind w:hanging="360" w:left="2160"/>
      </w:pPr>
    </w:lvl>
    <w:lvl w:ilvl="2" w:tentative="1" w:tplc="080A001B">
      <w:start w:val="1"/>
      <w:numFmt w:val="lowerRoman"/>
      <w:lvlText w:val="%3."/>
      <w:lvlJc w:val="right"/>
      <w:pPr>
        <w:ind w:hanging="180" w:left="2880"/>
      </w:pPr>
    </w:lvl>
    <w:lvl w:ilvl="3" w:tentative="1" w:tplc="080A000F">
      <w:start w:val="1"/>
      <w:numFmt w:val="decimal"/>
      <w:lvlText w:val="%4."/>
      <w:lvlJc w:val="left"/>
      <w:pPr>
        <w:ind w:hanging="360" w:left="3600"/>
      </w:pPr>
    </w:lvl>
    <w:lvl w:ilvl="4" w:tentative="1" w:tplc="080A0019">
      <w:start w:val="1"/>
      <w:numFmt w:val="lowerLetter"/>
      <w:lvlText w:val="%5."/>
      <w:lvlJc w:val="left"/>
      <w:pPr>
        <w:ind w:hanging="360" w:left="4320"/>
      </w:pPr>
    </w:lvl>
    <w:lvl w:ilvl="5" w:tentative="1" w:tplc="080A001B">
      <w:start w:val="1"/>
      <w:numFmt w:val="lowerRoman"/>
      <w:lvlText w:val="%6."/>
      <w:lvlJc w:val="right"/>
      <w:pPr>
        <w:ind w:hanging="180" w:left="5040"/>
      </w:pPr>
    </w:lvl>
    <w:lvl w:ilvl="6" w:tentative="1" w:tplc="080A000F">
      <w:start w:val="1"/>
      <w:numFmt w:val="decimal"/>
      <w:lvlText w:val="%7."/>
      <w:lvlJc w:val="left"/>
      <w:pPr>
        <w:ind w:hanging="360" w:left="5760"/>
      </w:pPr>
    </w:lvl>
    <w:lvl w:ilvl="7" w:tentative="1" w:tplc="080A0019">
      <w:start w:val="1"/>
      <w:numFmt w:val="lowerLetter"/>
      <w:lvlText w:val="%8."/>
      <w:lvlJc w:val="left"/>
      <w:pPr>
        <w:ind w:hanging="360" w:left="6480"/>
      </w:pPr>
    </w:lvl>
    <w:lvl w:ilvl="8" w:tentative="1" w:tplc="080A001B">
      <w:start w:val="1"/>
      <w:numFmt w:val="lowerRoman"/>
      <w:lvlText w:val="%9."/>
      <w:lvlJc w:val="right"/>
      <w:pPr>
        <w:ind w:hanging="180" w:left="7200"/>
      </w:pPr>
    </w:lvl>
  </w:abstractNum>
  <w:abstractNum w:abstractNumId="2">
    <w:nsid w:val="08A41C17"/>
    <w:multiLevelType w:val="hybridMultilevel"/>
    <w:tmpl w:val="A09AC198"/>
    <w:lvl w:ilvl="0" w:tplc="080A0019">
      <w:start w:val="1"/>
      <w:numFmt w:val="lowerLetter"/>
      <w:lvlText w:val="%1."/>
      <w:lvlJc w:val="left"/>
      <w:pPr>
        <w:ind w:hanging="360" w:left="1440"/>
      </w:pPr>
    </w:lvl>
    <w:lvl w:ilvl="1" w:tentative="1" w:tplc="080A0019">
      <w:start w:val="1"/>
      <w:numFmt w:val="lowerLetter"/>
      <w:lvlText w:val="%2."/>
      <w:lvlJc w:val="left"/>
      <w:pPr>
        <w:ind w:hanging="360" w:left="2160"/>
      </w:pPr>
    </w:lvl>
    <w:lvl w:ilvl="2" w:tentative="1" w:tplc="080A001B">
      <w:start w:val="1"/>
      <w:numFmt w:val="lowerRoman"/>
      <w:lvlText w:val="%3."/>
      <w:lvlJc w:val="right"/>
      <w:pPr>
        <w:ind w:hanging="180" w:left="2880"/>
      </w:pPr>
    </w:lvl>
    <w:lvl w:ilvl="3" w:tentative="1" w:tplc="080A000F">
      <w:start w:val="1"/>
      <w:numFmt w:val="decimal"/>
      <w:lvlText w:val="%4."/>
      <w:lvlJc w:val="left"/>
      <w:pPr>
        <w:ind w:hanging="360" w:left="3600"/>
      </w:pPr>
    </w:lvl>
    <w:lvl w:ilvl="4" w:tentative="1" w:tplc="080A0019">
      <w:start w:val="1"/>
      <w:numFmt w:val="lowerLetter"/>
      <w:lvlText w:val="%5."/>
      <w:lvlJc w:val="left"/>
      <w:pPr>
        <w:ind w:hanging="360" w:left="4320"/>
      </w:pPr>
    </w:lvl>
    <w:lvl w:ilvl="5" w:tentative="1" w:tplc="080A001B">
      <w:start w:val="1"/>
      <w:numFmt w:val="lowerRoman"/>
      <w:lvlText w:val="%6."/>
      <w:lvlJc w:val="right"/>
      <w:pPr>
        <w:ind w:hanging="180" w:left="5040"/>
      </w:pPr>
    </w:lvl>
    <w:lvl w:ilvl="6" w:tentative="1" w:tplc="080A000F">
      <w:start w:val="1"/>
      <w:numFmt w:val="decimal"/>
      <w:lvlText w:val="%7."/>
      <w:lvlJc w:val="left"/>
      <w:pPr>
        <w:ind w:hanging="360" w:left="5760"/>
      </w:pPr>
    </w:lvl>
    <w:lvl w:ilvl="7" w:tentative="1" w:tplc="080A0019">
      <w:start w:val="1"/>
      <w:numFmt w:val="lowerLetter"/>
      <w:lvlText w:val="%8."/>
      <w:lvlJc w:val="left"/>
      <w:pPr>
        <w:ind w:hanging="360" w:left="6480"/>
      </w:pPr>
    </w:lvl>
    <w:lvl w:ilvl="8" w:tentative="1" w:tplc="080A001B">
      <w:start w:val="1"/>
      <w:numFmt w:val="lowerRoman"/>
      <w:lvlText w:val="%9."/>
      <w:lvlJc w:val="right"/>
      <w:pPr>
        <w:ind w:hanging="180" w:left="7200"/>
      </w:pPr>
    </w:lvl>
  </w:abstractNum>
  <w:abstractNum w:abstractNumId="3">
    <w:nsid w:val="09EB2CFE"/>
    <w:multiLevelType w:val="hybridMultilevel"/>
    <w:tmpl w:val="4BE88608"/>
    <w:lvl w:ilvl="0" w:tplc="080A000F">
      <w:start w:val="1"/>
      <w:numFmt w:val="decimal"/>
      <w:lvlText w:val="%1."/>
      <w:lvlJc w:val="left"/>
      <w:pPr>
        <w:ind w:hanging="360" w:left="720"/>
      </w:pPr>
    </w:lvl>
    <w:lvl w:ilvl="1" w:tplc="080A0019">
      <w:start w:val="1"/>
      <w:numFmt w:val="lowerLetter"/>
      <w:lvlText w:val="%2."/>
      <w:lvlJc w:val="left"/>
      <w:pPr>
        <w:ind w:hanging="360" w:left="1440"/>
      </w:pPr>
      <w:rPr>
        <w:rFonts w:hint="default"/>
      </w:rPr>
    </w:lvl>
    <w:lvl w:ilvl="2" w:tentative="1" w:tplc="080A001B">
      <w:start w:val="1"/>
      <w:numFmt w:val="lowerRoman"/>
      <w:lvlText w:val="%3."/>
      <w:lvlJc w:val="right"/>
      <w:pPr>
        <w:ind w:hanging="180" w:left="2160"/>
      </w:pPr>
    </w:lvl>
    <w:lvl w:ilvl="3" w:tentative="1" w:tplc="080A000F">
      <w:start w:val="1"/>
      <w:numFmt w:val="decimal"/>
      <w:lvlText w:val="%4."/>
      <w:lvlJc w:val="left"/>
      <w:pPr>
        <w:ind w:hanging="360" w:left="2880"/>
      </w:pPr>
    </w:lvl>
    <w:lvl w:ilvl="4" w:tentative="1" w:tplc="080A0019">
      <w:start w:val="1"/>
      <w:numFmt w:val="lowerLetter"/>
      <w:lvlText w:val="%5."/>
      <w:lvlJc w:val="left"/>
      <w:pPr>
        <w:ind w:hanging="360" w:left="3600"/>
      </w:pPr>
    </w:lvl>
    <w:lvl w:ilvl="5" w:tentative="1" w:tplc="080A001B">
      <w:start w:val="1"/>
      <w:numFmt w:val="lowerRoman"/>
      <w:lvlText w:val="%6."/>
      <w:lvlJc w:val="right"/>
      <w:pPr>
        <w:ind w:hanging="180" w:left="4320"/>
      </w:pPr>
    </w:lvl>
    <w:lvl w:ilvl="6" w:tentative="1" w:tplc="080A000F">
      <w:start w:val="1"/>
      <w:numFmt w:val="decimal"/>
      <w:lvlText w:val="%7."/>
      <w:lvlJc w:val="left"/>
      <w:pPr>
        <w:ind w:hanging="360" w:left="5040"/>
      </w:pPr>
    </w:lvl>
    <w:lvl w:ilvl="7" w:tentative="1" w:tplc="080A0019">
      <w:start w:val="1"/>
      <w:numFmt w:val="lowerLetter"/>
      <w:lvlText w:val="%8."/>
      <w:lvlJc w:val="left"/>
      <w:pPr>
        <w:ind w:hanging="360" w:left="5760"/>
      </w:pPr>
    </w:lvl>
    <w:lvl w:ilvl="8" w:tentative="1" w:tplc="080A001B">
      <w:start w:val="1"/>
      <w:numFmt w:val="lowerRoman"/>
      <w:lvlText w:val="%9."/>
      <w:lvlJc w:val="right"/>
      <w:pPr>
        <w:ind w:hanging="180" w:left="6480"/>
      </w:pPr>
    </w:lvl>
  </w:abstractNum>
  <w:abstractNum w:abstractNumId="4">
    <w:nsid w:val="0C1B2678"/>
    <w:multiLevelType w:val="hybridMultilevel"/>
    <w:tmpl w:val="F35CB910"/>
    <w:lvl w:ilvl="0" w:tplc="080A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abstractNumId="5">
    <w:nsid w:val="0D1640E7"/>
    <w:multiLevelType w:val="hybridMultilevel"/>
    <w:tmpl w:val="23F4CD86"/>
    <w:lvl w:ilvl="0" w:tplc="080A0017">
      <w:start w:val="1"/>
      <w:numFmt w:val="lowerLetter"/>
      <w:lvlText w:val="%1)"/>
      <w:lvlJc w:val="left"/>
      <w:pPr>
        <w:ind w:hanging="360" w:left="720"/>
      </w:pPr>
    </w:lvl>
    <w:lvl w:ilvl="1" w:tentative="1" w:tplc="080A0019">
      <w:start w:val="1"/>
      <w:numFmt w:val="lowerLetter"/>
      <w:lvlText w:val="%2."/>
      <w:lvlJc w:val="left"/>
      <w:pPr>
        <w:ind w:hanging="360" w:left="1440"/>
      </w:pPr>
    </w:lvl>
    <w:lvl w:ilvl="2" w:tentative="1" w:tplc="080A001B">
      <w:start w:val="1"/>
      <w:numFmt w:val="lowerRoman"/>
      <w:lvlText w:val="%3."/>
      <w:lvlJc w:val="right"/>
      <w:pPr>
        <w:ind w:hanging="180" w:left="2160"/>
      </w:pPr>
    </w:lvl>
    <w:lvl w:ilvl="3" w:tentative="1" w:tplc="080A000F">
      <w:start w:val="1"/>
      <w:numFmt w:val="decimal"/>
      <w:lvlText w:val="%4."/>
      <w:lvlJc w:val="left"/>
      <w:pPr>
        <w:ind w:hanging="360" w:left="2880"/>
      </w:pPr>
    </w:lvl>
    <w:lvl w:ilvl="4" w:tentative="1" w:tplc="080A0019">
      <w:start w:val="1"/>
      <w:numFmt w:val="lowerLetter"/>
      <w:lvlText w:val="%5."/>
      <w:lvlJc w:val="left"/>
      <w:pPr>
        <w:ind w:hanging="360" w:left="3600"/>
      </w:pPr>
    </w:lvl>
    <w:lvl w:ilvl="5" w:tentative="1" w:tplc="080A001B">
      <w:start w:val="1"/>
      <w:numFmt w:val="lowerRoman"/>
      <w:lvlText w:val="%6."/>
      <w:lvlJc w:val="right"/>
      <w:pPr>
        <w:ind w:hanging="180" w:left="4320"/>
      </w:pPr>
    </w:lvl>
    <w:lvl w:ilvl="6" w:tentative="1" w:tplc="080A000F">
      <w:start w:val="1"/>
      <w:numFmt w:val="decimal"/>
      <w:lvlText w:val="%7."/>
      <w:lvlJc w:val="left"/>
      <w:pPr>
        <w:ind w:hanging="360" w:left="5040"/>
      </w:pPr>
    </w:lvl>
    <w:lvl w:ilvl="7" w:tentative="1" w:tplc="080A0019">
      <w:start w:val="1"/>
      <w:numFmt w:val="lowerLetter"/>
      <w:lvlText w:val="%8."/>
      <w:lvlJc w:val="left"/>
      <w:pPr>
        <w:ind w:hanging="360" w:left="5760"/>
      </w:pPr>
    </w:lvl>
    <w:lvl w:ilvl="8" w:tentative="1" w:tplc="080A001B">
      <w:start w:val="1"/>
      <w:numFmt w:val="lowerRoman"/>
      <w:lvlText w:val="%9."/>
      <w:lvlJc w:val="right"/>
      <w:pPr>
        <w:ind w:hanging="180" w:left="6480"/>
      </w:pPr>
    </w:lvl>
  </w:abstractNum>
  <w:abstractNum w:abstractNumId="6">
    <w:nsid w:val="0F9B6BE1"/>
    <w:multiLevelType w:val="hybridMultilevel"/>
    <w:tmpl w:val="DD488E46"/>
    <w:lvl w:ilvl="0" w:tplc="080A0019">
      <w:start w:val="1"/>
      <w:numFmt w:val="lowerLetter"/>
      <w:lvlText w:val="%1."/>
      <w:lvlJc w:val="left"/>
      <w:pPr>
        <w:ind w:hanging="360" w:left="1440"/>
      </w:pPr>
    </w:lvl>
    <w:lvl w:ilvl="1" w:tentative="1" w:tplc="080A0019">
      <w:start w:val="1"/>
      <w:numFmt w:val="lowerLetter"/>
      <w:lvlText w:val="%2."/>
      <w:lvlJc w:val="left"/>
      <w:pPr>
        <w:ind w:hanging="360" w:left="2160"/>
      </w:pPr>
    </w:lvl>
    <w:lvl w:ilvl="2" w:tentative="1" w:tplc="080A001B">
      <w:start w:val="1"/>
      <w:numFmt w:val="lowerRoman"/>
      <w:lvlText w:val="%3."/>
      <w:lvlJc w:val="right"/>
      <w:pPr>
        <w:ind w:hanging="180" w:left="2880"/>
      </w:pPr>
    </w:lvl>
    <w:lvl w:ilvl="3" w:tentative="1" w:tplc="080A000F">
      <w:start w:val="1"/>
      <w:numFmt w:val="decimal"/>
      <w:lvlText w:val="%4."/>
      <w:lvlJc w:val="left"/>
      <w:pPr>
        <w:ind w:hanging="360" w:left="3600"/>
      </w:pPr>
    </w:lvl>
    <w:lvl w:ilvl="4" w:tentative="1" w:tplc="080A0019">
      <w:start w:val="1"/>
      <w:numFmt w:val="lowerLetter"/>
      <w:lvlText w:val="%5."/>
      <w:lvlJc w:val="left"/>
      <w:pPr>
        <w:ind w:hanging="360" w:left="4320"/>
      </w:pPr>
    </w:lvl>
    <w:lvl w:ilvl="5" w:tentative="1" w:tplc="080A001B">
      <w:start w:val="1"/>
      <w:numFmt w:val="lowerRoman"/>
      <w:lvlText w:val="%6."/>
      <w:lvlJc w:val="right"/>
      <w:pPr>
        <w:ind w:hanging="180" w:left="5040"/>
      </w:pPr>
    </w:lvl>
    <w:lvl w:ilvl="6" w:tentative="1" w:tplc="080A000F">
      <w:start w:val="1"/>
      <w:numFmt w:val="decimal"/>
      <w:lvlText w:val="%7."/>
      <w:lvlJc w:val="left"/>
      <w:pPr>
        <w:ind w:hanging="360" w:left="5760"/>
      </w:pPr>
    </w:lvl>
    <w:lvl w:ilvl="7" w:tentative="1" w:tplc="080A0019">
      <w:start w:val="1"/>
      <w:numFmt w:val="lowerLetter"/>
      <w:lvlText w:val="%8."/>
      <w:lvlJc w:val="left"/>
      <w:pPr>
        <w:ind w:hanging="360" w:left="6480"/>
      </w:pPr>
    </w:lvl>
    <w:lvl w:ilvl="8" w:tentative="1" w:tplc="080A001B">
      <w:start w:val="1"/>
      <w:numFmt w:val="lowerRoman"/>
      <w:lvlText w:val="%9."/>
      <w:lvlJc w:val="right"/>
      <w:pPr>
        <w:ind w:hanging="180" w:left="7200"/>
      </w:pPr>
    </w:lvl>
  </w:abstractNum>
  <w:abstractNum w:abstractNumId="7">
    <w:nsid w:val="125D1FD1"/>
    <w:multiLevelType w:val="hybridMultilevel"/>
    <w:tmpl w:val="7A1C071C"/>
    <w:lvl w:ilvl="0" w:tplc="080A0019">
      <w:start w:val="1"/>
      <w:numFmt w:val="lowerLetter"/>
      <w:lvlText w:val="%1."/>
      <w:lvlJc w:val="left"/>
      <w:pPr>
        <w:ind w:hanging="360" w:left="1440"/>
      </w:pPr>
    </w:lvl>
    <w:lvl w:ilvl="1" w:tentative="1" w:tplc="080A0019">
      <w:start w:val="1"/>
      <w:numFmt w:val="lowerLetter"/>
      <w:lvlText w:val="%2."/>
      <w:lvlJc w:val="left"/>
      <w:pPr>
        <w:ind w:hanging="360" w:left="2160"/>
      </w:pPr>
    </w:lvl>
    <w:lvl w:ilvl="2" w:tentative="1" w:tplc="080A001B">
      <w:start w:val="1"/>
      <w:numFmt w:val="lowerRoman"/>
      <w:lvlText w:val="%3."/>
      <w:lvlJc w:val="right"/>
      <w:pPr>
        <w:ind w:hanging="180" w:left="2880"/>
      </w:pPr>
    </w:lvl>
    <w:lvl w:ilvl="3" w:tentative="1" w:tplc="080A000F">
      <w:start w:val="1"/>
      <w:numFmt w:val="decimal"/>
      <w:lvlText w:val="%4."/>
      <w:lvlJc w:val="left"/>
      <w:pPr>
        <w:ind w:hanging="360" w:left="3600"/>
      </w:pPr>
    </w:lvl>
    <w:lvl w:ilvl="4" w:tentative="1" w:tplc="080A0019">
      <w:start w:val="1"/>
      <w:numFmt w:val="lowerLetter"/>
      <w:lvlText w:val="%5."/>
      <w:lvlJc w:val="left"/>
      <w:pPr>
        <w:ind w:hanging="360" w:left="4320"/>
      </w:pPr>
    </w:lvl>
    <w:lvl w:ilvl="5" w:tentative="1" w:tplc="080A001B">
      <w:start w:val="1"/>
      <w:numFmt w:val="lowerRoman"/>
      <w:lvlText w:val="%6."/>
      <w:lvlJc w:val="right"/>
      <w:pPr>
        <w:ind w:hanging="180" w:left="5040"/>
      </w:pPr>
    </w:lvl>
    <w:lvl w:ilvl="6" w:tentative="1" w:tplc="080A000F">
      <w:start w:val="1"/>
      <w:numFmt w:val="decimal"/>
      <w:lvlText w:val="%7."/>
      <w:lvlJc w:val="left"/>
      <w:pPr>
        <w:ind w:hanging="360" w:left="5760"/>
      </w:pPr>
    </w:lvl>
    <w:lvl w:ilvl="7" w:tentative="1" w:tplc="080A0019">
      <w:start w:val="1"/>
      <w:numFmt w:val="lowerLetter"/>
      <w:lvlText w:val="%8."/>
      <w:lvlJc w:val="left"/>
      <w:pPr>
        <w:ind w:hanging="360" w:left="6480"/>
      </w:pPr>
    </w:lvl>
    <w:lvl w:ilvl="8" w:tentative="1" w:tplc="080A001B">
      <w:start w:val="1"/>
      <w:numFmt w:val="lowerRoman"/>
      <w:lvlText w:val="%9."/>
      <w:lvlJc w:val="right"/>
      <w:pPr>
        <w:ind w:hanging="180" w:left="7200"/>
      </w:pPr>
    </w:lvl>
  </w:abstractNum>
  <w:abstractNum w:abstractNumId="8">
    <w:nsid w:val="14D610D6"/>
    <w:multiLevelType w:val="hybridMultilevel"/>
    <w:tmpl w:val="362C8B90"/>
    <w:lvl w:ilvl="0" w:tplc="080A0019">
      <w:start w:val="1"/>
      <w:numFmt w:val="lowerLetter"/>
      <w:lvlText w:val="%1."/>
      <w:lvlJc w:val="left"/>
      <w:pPr>
        <w:ind w:hanging="360" w:left="1440"/>
      </w:pPr>
    </w:lvl>
    <w:lvl w:ilvl="1" w:tentative="1" w:tplc="080A0019">
      <w:start w:val="1"/>
      <w:numFmt w:val="lowerLetter"/>
      <w:lvlText w:val="%2."/>
      <w:lvlJc w:val="left"/>
      <w:pPr>
        <w:ind w:hanging="360" w:left="2160"/>
      </w:pPr>
    </w:lvl>
    <w:lvl w:ilvl="2" w:tentative="1" w:tplc="080A001B">
      <w:start w:val="1"/>
      <w:numFmt w:val="lowerRoman"/>
      <w:lvlText w:val="%3."/>
      <w:lvlJc w:val="right"/>
      <w:pPr>
        <w:ind w:hanging="180" w:left="2880"/>
      </w:pPr>
    </w:lvl>
    <w:lvl w:ilvl="3" w:tentative="1" w:tplc="080A000F">
      <w:start w:val="1"/>
      <w:numFmt w:val="decimal"/>
      <w:lvlText w:val="%4."/>
      <w:lvlJc w:val="left"/>
      <w:pPr>
        <w:ind w:hanging="360" w:left="3600"/>
      </w:pPr>
    </w:lvl>
    <w:lvl w:ilvl="4" w:tentative="1" w:tplc="080A0019">
      <w:start w:val="1"/>
      <w:numFmt w:val="lowerLetter"/>
      <w:lvlText w:val="%5."/>
      <w:lvlJc w:val="left"/>
      <w:pPr>
        <w:ind w:hanging="360" w:left="4320"/>
      </w:pPr>
    </w:lvl>
    <w:lvl w:ilvl="5" w:tentative="1" w:tplc="080A001B">
      <w:start w:val="1"/>
      <w:numFmt w:val="lowerRoman"/>
      <w:lvlText w:val="%6."/>
      <w:lvlJc w:val="right"/>
      <w:pPr>
        <w:ind w:hanging="180" w:left="5040"/>
      </w:pPr>
    </w:lvl>
    <w:lvl w:ilvl="6" w:tentative="1" w:tplc="080A000F">
      <w:start w:val="1"/>
      <w:numFmt w:val="decimal"/>
      <w:lvlText w:val="%7."/>
      <w:lvlJc w:val="left"/>
      <w:pPr>
        <w:ind w:hanging="360" w:left="5760"/>
      </w:pPr>
    </w:lvl>
    <w:lvl w:ilvl="7" w:tentative="1" w:tplc="080A0019">
      <w:start w:val="1"/>
      <w:numFmt w:val="lowerLetter"/>
      <w:lvlText w:val="%8."/>
      <w:lvlJc w:val="left"/>
      <w:pPr>
        <w:ind w:hanging="360" w:left="6480"/>
      </w:pPr>
    </w:lvl>
    <w:lvl w:ilvl="8" w:tentative="1" w:tplc="080A001B">
      <w:start w:val="1"/>
      <w:numFmt w:val="lowerRoman"/>
      <w:lvlText w:val="%9."/>
      <w:lvlJc w:val="right"/>
      <w:pPr>
        <w:ind w:hanging="180" w:left="7200"/>
      </w:pPr>
    </w:lvl>
  </w:abstractNum>
  <w:abstractNum w:abstractNumId="9">
    <w:nsid w:val="16160779"/>
    <w:multiLevelType w:val="hybridMultilevel"/>
    <w:tmpl w:val="B85E7372"/>
    <w:lvl w:ilvl="0" w:tplc="080A0019">
      <w:start w:val="1"/>
      <w:numFmt w:val="lowerLetter"/>
      <w:lvlText w:val="%1."/>
      <w:lvlJc w:val="left"/>
      <w:pPr>
        <w:ind w:hanging="360" w:left="1440"/>
      </w:pPr>
    </w:lvl>
    <w:lvl w:ilvl="1" w:tentative="1" w:tplc="080A0019">
      <w:start w:val="1"/>
      <w:numFmt w:val="lowerLetter"/>
      <w:lvlText w:val="%2."/>
      <w:lvlJc w:val="left"/>
      <w:pPr>
        <w:ind w:hanging="360" w:left="2160"/>
      </w:pPr>
    </w:lvl>
    <w:lvl w:ilvl="2" w:tentative="1" w:tplc="080A001B">
      <w:start w:val="1"/>
      <w:numFmt w:val="lowerRoman"/>
      <w:lvlText w:val="%3."/>
      <w:lvlJc w:val="right"/>
      <w:pPr>
        <w:ind w:hanging="180" w:left="2880"/>
      </w:pPr>
    </w:lvl>
    <w:lvl w:ilvl="3" w:tentative="1" w:tplc="080A000F">
      <w:start w:val="1"/>
      <w:numFmt w:val="decimal"/>
      <w:lvlText w:val="%4."/>
      <w:lvlJc w:val="left"/>
      <w:pPr>
        <w:ind w:hanging="360" w:left="3600"/>
      </w:pPr>
    </w:lvl>
    <w:lvl w:ilvl="4" w:tentative="1" w:tplc="080A0019">
      <w:start w:val="1"/>
      <w:numFmt w:val="lowerLetter"/>
      <w:lvlText w:val="%5."/>
      <w:lvlJc w:val="left"/>
      <w:pPr>
        <w:ind w:hanging="360" w:left="4320"/>
      </w:pPr>
    </w:lvl>
    <w:lvl w:ilvl="5" w:tentative="1" w:tplc="080A001B">
      <w:start w:val="1"/>
      <w:numFmt w:val="lowerRoman"/>
      <w:lvlText w:val="%6."/>
      <w:lvlJc w:val="right"/>
      <w:pPr>
        <w:ind w:hanging="180" w:left="5040"/>
      </w:pPr>
    </w:lvl>
    <w:lvl w:ilvl="6" w:tentative="1" w:tplc="080A000F">
      <w:start w:val="1"/>
      <w:numFmt w:val="decimal"/>
      <w:lvlText w:val="%7."/>
      <w:lvlJc w:val="left"/>
      <w:pPr>
        <w:ind w:hanging="360" w:left="5760"/>
      </w:pPr>
    </w:lvl>
    <w:lvl w:ilvl="7" w:tentative="1" w:tplc="080A0019">
      <w:start w:val="1"/>
      <w:numFmt w:val="lowerLetter"/>
      <w:lvlText w:val="%8."/>
      <w:lvlJc w:val="left"/>
      <w:pPr>
        <w:ind w:hanging="360" w:left="6480"/>
      </w:pPr>
    </w:lvl>
    <w:lvl w:ilvl="8" w:tentative="1" w:tplc="080A001B">
      <w:start w:val="1"/>
      <w:numFmt w:val="lowerRoman"/>
      <w:lvlText w:val="%9."/>
      <w:lvlJc w:val="right"/>
      <w:pPr>
        <w:ind w:hanging="180" w:left="7200"/>
      </w:pPr>
    </w:lvl>
  </w:abstractNum>
  <w:abstractNum w:abstractNumId="10">
    <w:nsid w:val="1DAE4C57"/>
    <w:multiLevelType w:val="hybridMultilevel"/>
    <w:tmpl w:val="C862F0EA"/>
    <w:lvl w:ilvl="0" w:tplc="080A0019">
      <w:start w:val="1"/>
      <w:numFmt w:val="lowerLetter"/>
      <w:lvlText w:val="%1."/>
      <w:lvlJc w:val="left"/>
      <w:pPr>
        <w:ind w:hanging="360" w:left="1440"/>
      </w:pPr>
    </w:lvl>
    <w:lvl w:ilvl="1" w:tentative="1" w:tplc="080A0019">
      <w:start w:val="1"/>
      <w:numFmt w:val="lowerLetter"/>
      <w:lvlText w:val="%2."/>
      <w:lvlJc w:val="left"/>
      <w:pPr>
        <w:ind w:hanging="360" w:left="2160"/>
      </w:pPr>
    </w:lvl>
    <w:lvl w:ilvl="2" w:tentative="1" w:tplc="080A001B">
      <w:start w:val="1"/>
      <w:numFmt w:val="lowerRoman"/>
      <w:lvlText w:val="%3."/>
      <w:lvlJc w:val="right"/>
      <w:pPr>
        <w:ind w:hanging="180" w:left="2880"/>
      </w:pPr>
    </w:lvl>
    <w:lvl w:ilvl="3" w:tentative="1" w:tplc="080A000F">
      <w:start w:val="1"/>
      <w:numFmt w:val="decimal"/>
      <w:lvlText w:val="%4."/>
      <w:lvlJc w:val="left"/>
      <w:pPr>
        <w:ind w:hanging="360" w:left="3600"/>
      </w:pPr>
    </w:lvl>
    <w:lvl w:ilvl="4" w:tentative="1" w:tplc="080A0019">
      <w:start w:val="1"/>
      <w:numFmt w:val="lowerLetter"/>
      <w:lvlText w:val="%5."/>
      <w:lvlJc w:val="left"/>
      <w:pPr>
        <w:ind w:hanging="360" w:left="4320"/>
      </w:pPr>
    </w:lvl>
    <w:lvl w:ilvl="5" w:tentative="1" w:tplc="080A001B">
      <w:start w:val="1"/>
      <w:numFmt w:val="lowerRoman"/>
      <w:lvlText w:val="%6."/>
      <w:lvlJc w:val="right"/>
      <w:pPr>
        <w:ind w:hanging="180" w:left="5040"/>
      </w:pPr>
    </w:lvl>
    <w:lvl w:ilvl="6" w:tentative="1" w:tplc="080A000F">
      <w:start w:val="1"/>
      <w:numFmt w:val="decimal"/>
      <w:lvlText w:val="%7."/>
      <w:lvlJc w:val="left"/>
      <w:pPr>
        <w:ind w:hanging="360" w:left="5760"/>
      </w:pPr>
    </w:lvl>
    <w:lvl w:ilvl="7" w:tentative="1" w:tplc="080A0019">
      <w:start w:val="1"/>
      <w:numFmt w:val="lowerLetter"/>
      <w:lvlText w:val="%8."/>
      <w:lvlJc w:val="left"/>
      <w:pPr>
        <w:ind w:hanging="360" w:left="6480"/>
      </w:pPr>
    </w:lvl>
    <w:lvl w:ilvl="8" w:tentative="1" w:tplc="080A001B">
      <w:start w:val="1"/>
      <w:numFmt w:val="lowerRoman"/>
      <w:lvlText w:val="%9."/>
      <w:lvlJc w:val="right"/>
      <w:pPr>
        <w:ind w:hanging="180" w:left="7200"/>
      </w:pPr>
    </w:lvl>
  </w:abstractNum>
  <w:abstractNum w:abstractNumId="11">
    <w:nsid w:val="22AE35CC"/>
    <w:multiLevelType w:val="hybridMultilevel"/>
    <w:tmpl w:val="454A8A06"/>
    <w:lvl w:ilvl="0" w:tplc="080A0019">
      <w:start w:val="1"/>
      <w:numFmt w:val="lowerLetter"/>
      <w:lvlText w:val="%1."/>
      <w:lvlJc w:val="left"/>
      <w:pPr>
        <w:ind w:hanging="360" w:left="1440"/>
      </w:pPr>
    </w:lvl>
    <w:lvl w:ilvl="1" w:tentative="1" w:tplc="080A0019">
      <w:start w:val="1"/>
      <w:numFmt w:val="lowerLetter"/>
      <w:lvlText w:val="%2."/>
      <w:lvlJc w:val="left"/>
      <w:pPr>
        <w:ind w:hanging="360" w:left="2160"/>
      </w:pPr>
    </w:lvl>
    <w:lvl w:ilvl="2" w:tentative="1" w:tplc="080A001B">
      <w:start w:val="1"/>
      <w:numFmt w:val="lowerRoman"/>
      <w:lvlText w:val="%3."/>
      <w:lvlJc w:val="right"/>
      <w:pPr>
        <w:ind w:hanging="180" w:left="2880"/>
      </w:pPr>
    </w:lvl>
    <w:lvl w:ilvl="3" w:tentative="1" w:tplc="080A000F">
      <w:start w:val="1"/>
      <w:numFmt w:val="decimal"/>
      <w:lvlText w:val="%4."/>
      <w:lvlJc w:val="left"/>
      <w:pPr>
        <w:ind w:hanging="360" w:left="3600"/>
      </w:pPr>
    </w:lvl>
    <w:lvl w:ilvl="4" w:tentative="1" w:tplc="080A0019">
      <w:start w:val="1"/>
      <w:numFmt w:val="lowerLetter"/>
      <w:lvlText w:val="%5."/>
      <w:lvlJc w:val="left"/>
      <w:pPr>
        <w:ind w:hanging="360" w:left="4320"/>
      </w:pPr>
    </w:lvl>
    <w:lvl w:ilvl="5" w:tentative="1" w:tplc="080A001B">
      <w:start w:val="1"/>
      <w:numFmt w:val="lowerRoman"/>
      <w:lvlText w:val="%6."/>
      <w:lvlJc w:val="right"/>
      <w:pPr>
        <w:ind w:hanging="180" w:left="5040"/>
      </w:pPr>
    </w:lvl>
    <w:lvl w:ilvl="6" w:tentative="1" w:tplc="080A000F">
      <w:start w:val="1"/>
      <w:numFmt w:val="decimal"/>
      <w:lvlText w:val="%7."/>
      <w:lvlJc w:val="left"/>
      <w:pPr>
        <w:ind w:hanging="360" w:left="5760"/>
      </w:pPr>
    </w:lvl>
    <w:lvl w:ilvl="7" w:tentative="1" w:tplc="080A0019">
      <w:start w:val="1"/>
      <w:numFmt w:val="lowerLetter"/>
      <w:lvlText w:val="%8."/>
      <w:lvlJc w:val="left"/>
      <w:pPr>
        <w:ind w:hanging="360" w:left="6480"/>
      </w:pPr>
    </w:lvl>
    <w:lvl w:ilvl="8" w:tentative="1" w:tplc="080A001B">
      <w:start w:val="1"/>
      <w:numFmt w:val="lowerRoman"/>
      <w:lvlText w:val="%9."/>
      <w:lvlJc w:val="right"/>
      <w:pPr>
        <w:ind w:hanging="180" w:left="7200"/>
      </w:pPr>
    </w:lvl>
  </w:abstractNum>
  <w:abstractNum w:abstractNumId="12">
    <w:nsid w:val="27907C7D"/>
    <w:multiLevelType w:val="hybridMultilevel"/>
    <w:tmpl w:val="3BB64318"/>
    <w:lvl w:ilvl="0" w:tplc="080A0019">
      <w:start w:val="1"/>
      <w:numFmt w:val="lowerLetter"/>
      <w:lvlText w:val="%1."/>
      <w:lvlJc w:val="left"/>
      <w:pPr>
        <w:ind w:hanging="360" w:left="1440"/>
      </w:pPr>
    </w:lvl>
    <w:lvl w:ilvl="1" w:tentative="1" w:tplc="080A0019">
      <w:start w:val="1"/>
      <w:numFmt w:val="lowerLetter"/>
      <w:lvlText w:val="%2."/>
      <w:lvlJc w:val="left"/>
      <w:pPr>
        <w:ind w:hanging="360" w:left="2160"/>
      </w:pPr>
    </w:lvl>
    <w:lvl w:ilvl="2" w:tentative="1" w:tplc="080A001B">
      <w:start w:val="1"/>
      <w:numFmt w:val="lowerRoman"/>
      <w:lvlText w:val="%3."/>
      <w:lvlJc w:val="right"/>
      <w:pPr>
        <w:ind w:hanging="180" w:left="2880"/>
      </w:pPr>
    </w:lvl>
    <w:lvl w:ilvl="3" w:tentative="1" w:tplc="080A000F">
      <w:start w:val="1"/>
      <w:numFmt w:val="decimal"/>
      <w:lvlText w:val="%4."/>
      <w:lvlJc w:val="left"/>
      <w:pPr>
        <w:ind w:hanging="360" w:left="3600"/>
      </w:pPr>
    </w:lvl>
    <w:lvl w:ilvl="4" w:tentative="1" w:tplc="080A0019">
      <w:start w:val="1"/>
      <w:numFmt w:val="lowerLetter"/>
      <w:lvlText w:val="%5."/>
      <w:lvlJc w:val="left"/>
      <w:pPr>
        <w:ind w:hanging="360" w:left="4320"/>
      </w:pPr>
    </w:lvl>
    <w:lvl w:ilvl="5" w:tentative="1" w:tplc="080A001B">
      <w:start w:val="1"/>
      <w:numFmt w:val="lowerRoman"/>
      <w:lvlText w:val="%6."/>
      <w:lvlJc w:val="right"/>
      <w:pPr>
        <w:ind w:hanging="180" w:left="5040"/>
      </w:pPr>
    </w:lvl>
    <w:lvl w:ilvl="6" w:tentative="1" w:tplc="080A000F">
      <w:start w:val="1"/>
      <w:numFmt w:val="decimal"/>
      <w:lvlText w:val="%7."/>
      <w:lvlJc w:val="left"/>
      <w:pPr>
        <w:ind w:hanging="360" w:left="5760"/>
      </w:pPr>
    </w:lvl>
    <w:lvl w:ilvl="7" w:tentative="1" w:tplc="080A0019">
      <w:start w:val="1"/>
      <w:numFmt w:val="lowerLetter"/>
      <w:lvlText w:val="%8."/>
      <w:lvlJc w:val="left"/>
      <w:pPr>
        <w:ind w:hanging="360" w:left="6480"/>
      </w:pPr>
    </w:lvl>
    <w:lvl w:ilvl="8" w:tentative="1" w:tplc="080A001B">
      <w:start w:val="1"/>
      <w:numFmt w:val="lowerRoman"/>
      <w:lvlText w:val="%9."/>
      <w:lvlJc w:val="right"/>
      <w:pPr>
        <w:ind w:hanging="180" w:left="7200"/>
      </w:pPr>
    </w:lvl>
  </w:abstractNum>
  <w:abstractNum w:abstractNumId="13">
    <w:nsid w:val="27B21B07"/>
    <w:multiLevelType w:val="hybridMultilevel"/>
    <w:tmpl w:val="03D2FBA0"/>
    <w:lvl w:ilvl="0" w:tplc="080A0019">
      <w:start w:val="1"/>
      <w:numFmt w:val="lowerLetter"/>
      <w:lvlText w:val="%1."/>
      <w:lvlJc w:val="left"/>
      <w:pPr>
        <w:ind w:hanging="360" w:left="1440"/>
      </w:pPr>
    </w:lvl>
    <w:lvl w:ilvl="1" w:tentative="1" w:tplc="080A0019">
      <w:start w:val="1"/>
      <w:numFmt w:val="lowerLetter"/>
      <w:lvlText w:val="%2."/>
      <w:lvlJc w:val="left"/>
      <w:pPr>
        <w:ind w:hanging="360" w:left="2160"/>
      </w:pPr>
    </w:lvl>
    <w:lvl w:ilvl="2" w:tentative="1" w:tplc="080A001B">
      <w:start w:val="1"/>
      <w:numFmt w:val="lowerRoman"/>
      <w:lvlText w:val="%3."/>
      <w:lvlJc w:val="right"/>
      <w:pPr>
        <w:ind w:hanging="180" w:left="2880"/>
      </w:pPr>
    </w:lvl>
    <w:lvl w:ilvl="3" w:tentative="1" w:tplc="080A000F">
      <w:start w:val="1"/>
      <w:numFmt w:val="decimal"/>
      <w:lvlText w:val="%4."/>
      <w:lvlJc w:val="left"/>
      <w:pPr>
        <w:ind w:hanging="360" w:left="3600"/>
      </w:pPr>
    </w:lvl>
    <w:lvl w:ilvl="4" w:tentative="1" w:tplc="080A0019">
      <w:start w:val="1"/>
      <w:numFmt w:val="lowerLetter"/>
      <w:lvlText w:val="%5."/>
      <w:lvlJc w:val="left"/>
      <w:pPr>
        <w:ind w:hanging="360" w:left="4320"/>
      </w:pPr>
    </w:lvl>
    <w:lvl w:ilvl="5" w:tentative="1" w:tplc="080A001B">
      <w:start w:val="1"/>
      <w:numFmt w:val="lowerRoman"/>
      <w:lvlText w:val="%6."/>
      <w:lvlJc w:val="right"/>
      <w:pPr>
        <w:ind w:hanging="180" w:left="5040"/>
      </w:pPr>
    </w:lvl>
    <w:lvl w:ilvl="6" w:tentative="1" w:tplc="080A000F">
      <w:start w:val="1"/>
      <w:numFmt w:val="decimal"/>
      <w:lvlText w:val="%7."/>
      <w:lvlJc w:val="left"/>
      <w:pPr>
        <w:ind w:hanging="360" w:left="5760"/>
      </w:pPr>
    </w:lvl>
    <w:lvl w:ilvl="7" w:tentative="1" w:tplc="080A0019">
      <w:start w:val="1"/>
      <w:numFmt w:val="lowerLetter"/>
      <w:lvlText w:val="%8."/>
      <w:lvlJc w:val="left"/>
      <w:pPr>
        <w:ind w:hanging="360" w:left="6480"/>
      </w:pPr>
    </w:lvl>
    <w:lvl w:ilvl="8" w:tentative="1" w:tplc="080A001B">
      <w:start w:val="1"/>
      <w:numFmt w:val="lowerRoman"/>
      <w:lvlText w:val="%9."/>
      <w:lvlJc w:val="right"/>
      <w:pPr>
        <w:ind w:hanging="180" w:left="7200"/>
      </w:pPr>
    </w:lvl>
  </w:abstractNum>
  <w:abstractNum w:abstractNumId="14">
    <w:nsid w:val="27B509CD"/>
    <w:multiLevelType w:val="hybridMultilevel"/>
    <w:tmpl w:val="398ADC5A"/>
    <w:lvl w:ilvl="0" w:tplc="080A0019">
      <w:start w:val="1"/>
      <w:numFmt w:val="lowerLetter"/>
      <w:lvlText w:val="%1."/>
      <w:lvlJc w:val="left"/>
      <w:pPr>
        <w:ind w:hanging="360" w:left="1440"/>
      </w:pPr>
    </w:lvl>
    <w:lvl w:ilvl="1" w:tentative="1" w:tplc="080A0019">
      <w:start w:val="1"/>
      <w:numFmt w:val="lowerLetter"/>
      <w:lvlText w:val="%2."/>
      <w:lvlJc w:val="left"/>
      <w:pPr>
        <w:ind w:hanging="360" w:left="2160"/>
      </w:pPr>
    </w:lvl>
    <w:lvl w:ilvl="2" w:tentative="1" w:tplc="080A001B">
      <w:start w:val="1"/>
      <w:numFmt w:val="lowerRoman"/>
      <w:lvlText w:val="%3."/>
      <w:lvlJc w:val="right"/>
      <w:pPr>
        <w:ind w:hanging="180" w:left="2880"/>
      </w:pPr>
    </w:lvl>
    <w:lvl w:ilvl="3" w:tentative="1" w:tplc="080A000F">
      <w:start w:val="1"/>
      <w:numFmt w:val="decimal"/>
      <w:lvlText w:val="%4."/>
      <w:lvlJc w:val="left"/>
      <w:pPr>
        <w:ind w:hanging="360" w:left="3600"/>
      </w:pPr>
    </w:lvl>
    <w:lvl w:ilvl="4" w:tentative="1" w:tplc="080A0019">
      <w:start w:val="1"/>
      <w:numFmt w:val="lowerLetter"/>
      <w:lvlText w:val="%5."/>
      <w:lvlJc w:val="left"/>
      <w:pPr>
        <w:ind w:hanging="360" w:left="4320"/>
      </w:pPr>
    </w:lvl>
    <w:lvl w:ilvl="5" w:tentative="1" w:tplc="080A001B">
      <w:start w:val="1"/>
      <w:numFmt w:val="lowerRoman"/>
      <w:lvlText w:val="%6."/>
      <w:lvlJc w:val="right"/>
      <w:pPr>
        <w:ind w:hanging="180" w:left="5040"/>
      </w:pPr>
    </w:lvl>
    <w:lvl w:ilvl="6" w:tentative="1" w:tplc="080A000F">
      <w:start w:val="1"/>
      <w:numFmt w:val="decimal"/>
      <w:lvlText w:val="%7."/>
      <w:lvlJc w:val="left"/>
      <w:pPr>
        <w:ind w:hanging="360" w:left="5760"/>
      </w:pPr>
    </w:lvl>
    <w:lvl w:ilvl="7" w:tentative="1" w:tplc="080A0019">
      <w:start w:val="1"/>
      <w:numFmt w:val="lowerLetter"/>
      <w:lvlText w:val="%8."/>
      <w:lvlJc w:val="left"/>
      <w:pPr>
        <w:ind w:hanging="360" w:left="6480"/>
      </w:pPr>
    </w:lvl>
    <w:lvl w:ilvl="8" w:tentative="1" w:tplc="080A001B">
      <w:start w:val="1"/>
      <w:numFmt w:val="lowerRoman"/>
      <w:lvlText w:val="%9."/>
      <w:lvlJc w:val="right"/>
      <w:pPr>
        <w:ind w:hanging="180" w:left="7200"/>
      </w:pPr>
    </w:lvl>
  </w:abstractNum>
  <w:abstractNum w:abstractNumId="15">
    <w:nsid w:val="2C213436"/>
    <w:multiLevelType w:val="hybridMultilevel"/>
    <w:tmpl w:val="8514F4BC"/>
    <w:lvl w:ilvl="0" w:tplc="080A0019">
      <w:start w:val="1"/>
      <w:numFmt w:val="lowerLetter"/>
      <w:lvlText w:val="%1."/>
      <w:lvlJc w:val="left"/>
      <w:pPr>
        <w:ind w:hanging="360" w:left="1440"/>
      </w:pPr>
    </w:lvl>
    <w:lvl w:ilvl="1" w:tentative="1" w:tplc="080A0019">
      <w:start w:val="1"/>
      <w:numFmt w:val="lowerLetter"/>
      <w:lvlText w:val="%2."/>
      <w:lvlJc w:val="left"/>
      <w:pPr>
        <w:ind w:hanging="360" w:left="2160"/>
      </w:pPr>
    </w:lvl>
    <w:lvl w:ilvl="2" w:tentative="1" w:tplc="080A001B">
      <w:start w:val="1"/>
      <w:numFmt w:val="lowerRoman"/>
      <w:lvlText w:val="%3."/>
      <w:lvlJc w:val="right"/>
      <w:pPr>
        <w:ind w:hanging="180" w:left="2880"/>
      </w:pPr>
    </w:lvl>
    <w:lvl w:ilvl="3" w:tentative="1" w:tplc="080A000F">
      <w:start w:val="1"/>
      <w:numFmt w:val="decimal"/>
      <w:lvlText w:val="%4."/>
      <w:lvlJc w:val="left"/>
      <w:pPr>
        <w:ind w:hanging="360" w:left="3600"/>
      </w:pPr>
    </w:lvl>
    <w:lvl w:ilvl="4" w:tentative="1" w:tplc="080A0019">
      <w:start w:val="1"/>
      <w:numFmt w:val="lowerLetter"/>
      <w:lvlText w:val="%5."/>
      <w:lvlJc w:val="left"/>
      <w:pPr>
        <w:ind w:hanging="360" w:left="4320"/>
      </w:pPr>
    </w:lvl>
    <w:lvl w:ilvl="5" w:tentative="1" w:tplc="080A001B">
      <w:start w:val="1"/>
      <w:numFmt w:val="lowerRoman"/>
      <w:lvlText w:val="%6."/>
      <w:lvlJc w:val="right"/>
      <w:pPr>
        <w:ind w:hanging="180" w:left="5040"/>
      </w:pPr>
    </w:lvl>
    <w:lvl w:ilvl="6" w:tentative="1" w:tplc="080A000F">
      <w:start w:val="1"/>
      <w:numFmt w:val="decimal"/>
      <w:lvlText w:val="%7."/>
      <w:lvlJc w:val="left"/>
      <w:pPr>
        <w:ind w:hanging="360" w:left="5760"/>
      </w:pPr>
    </w:lvl>
    <w:lvl w:ilvl="7" w:tentative="1" w:tplc="080A0019">
      <w:start w:val="1"/>
      <w:numFmt w:val="lowerLetter"/>
      <w:lvlText w:val="%8."/>
      <w:lvlJc w:val="left"/>
      <w:pPr>
        <w:ind w:hanging="360" w:left="6480"/>
      </w:pPr>
    </w:lvl>
    <w:lvl w:ilvl="8" w:tentative="1" w:tplc="080A001B">
      <w:start w:val="1"/>
      <w:numFmt w:val="lowerRoman"/>
      <w:lvlText w:val="%9."/>
      <w:lvlJc w:val="right"/>
      <w:pPr>
        <w:ind w:hanging="180" w:left="7200"/>
      </w:pPr>
    </w:lvl>
  </w:abstractNum>
  <w:abstractNum w:abstractNumId="16">
    <w:nsid w:val="2D0835BB"/>
    <w:multiLevelType w:val="hybridMultilevel"/>
    <w:tmpl w:val="0E2ACF50"/>
    <w:lvl w:ilvl="0" w:tplc="080A001B">
      <w:start w:val="1"/>
      <w:numFmt w:val="lowerRoman"/>
      <w:lvlText w:val="%1."/>
      <w:lvlJc w:val="right"/>
      <w:pPr>
        <w:ind w:hanging="360" w:left="2880"/>
      </w:pPr>
    </w:lvl>
    <w:lvl w:ilvl="1" w:tentative="1" w:tplc="080A0019">
      <w:start w:val="1"/>
      <w:numFmt w:val="lowerLetter"/>
      <w:lvlText w:val="%2."/>
      <w:lvlJc w:val="left"/>
      <w:pPr>
        <w:ind w:hanging="360" w:left="3600"/>
      </w:pPr>
    </w:lvl>
    <w:lvl w:ilvl="2" w:tentative="1" w:tplc="080A001B">
      <w:start w:val="1"/>
      <w:numFmt w:val="lowerRoman"/>
      <w:lvlText w:val="%3."/>
      <w:lvlJc w:val="right"/>
      <w:pPr>
        <w:ind w:hanging="180" w:left="4320"/>
      </w:pPr>
    </w:lvl>
    <w:lvl w:ilvl="3" w:tentative="1" w:tplc="080A000F">
      <w:start w:val="1"/>
      <w:numFmt w:val="decimal"/>
      <w:lvlText w:val="%4."/>
      <w:lvlJc w:val="left"/>
      <w:pPr>
        <w:ind w:hanging="360" w:left="5040"/>
      </w:pPr>
    </w:lvl>
    <w:lvl w:ilvl="4" w:tentative="1" w:tplc="080A0019">
      <w:start w:val="1"/>
      <w:numFmt w:val="lowerLetter"/>
      <w:lvlText w:val="%5."/>
      <w:lvlJc w:val="left"/>
      <w:pPr>
        <w:ind w:hanging="360" w:left="5760"/>
      </w:pPr>
    </w:lvl>
    <w:lvl w:ilvl="5" w:tentative="1" w:tplc="080A001B">
      <w:start w:val="1"/>
      <w:numFmt w:val="lowerRoman"/>
      <w:lvlText w:val="%6."/>
      <w:lvlJc w:val="right"/>
      <w:pPr>
        <w:ind w:hanging="180" w:left="6480"/>
      </w:pPr>
    </w:lvl>
    <w:lvl w:ilvl="6" w:tentative="1" w:tplc="080A000F">
      <w:start w:val="1"/>
      <w:numFmt w:val="decimal"/>
      <w:lvlText w:val="%7."/>
      <w:lvlJc w:val="left"/>
      <w:pPr>
        <w:ind w:hanging="360" w:left="7200"/>
      </w:pPr>
    </w:lvl>
    <w:lvl w:ilvl="7" w:tentative="1" w:tplc="080A0019">
      <w:start w:val="1"/>
      <w:numFmt w:val="lowerLetter"/>
      <w:lvlText w:val="%8."/>
      <w:lvlJc w:val="left"/>
      <w:pPr>
        <w:ind w:hanging="360" w:left="7920"/>
      </w:pPr>
    </w:lvl>
    <w:lvl w:ilvl="8" w:tentative="1" w:tplc="080A001B">
      <w:start w:val="1"/>
      <w:numFmt w:val="lowerRoman"/>
      <w:lvlText w:val="%9."/>
      <w:lvlJc w:val="right"/>
      <w:pPr>
        <w:ind w:hanging="180" w:left="8640"/>
      </w:pPr>
    </w:lvl>
  </w:abstractNum>
  <w:abstractNum w:abstractNumId="17">
    <w:nsid w:val="2DEB5C4F"/>
    <w:multiLevelType w:val="hybridMultilevel"/>
    <w:tmpl w:val="FB7A1464"/>
    <w:lvl w:ilvl="0" w:tplc="080A0019">
      <w:start w:val="1"/>
      <w:numFmt w:val="lowerLetter"/>
      <w:lvlText w:val="%1."/>
      <w:lvlJc w:val="left"/>
      <w:pPr>
        <w:ind w:hanging="360" w:left="1440"/>
      </w:pPr>
    </w:lvl>
    <w:lvl w:ilvl="1" w:tentative="1" w:tplc="080A0019">
      <w:start w:val="1"/>
      <w:numFmt w:val="lowerLetter"/>
      <w:lvlText w:val="%2."/>
      <w:lvlJc w:val="left"/>
      <w:pPr>
        <w:ind w:hanging="360" w:left="2160"/>
      </w:pPr>
    </w:lvl>
    <w:lvl w:ilvl="2" w:tentative="1" w:tplc="080A001B">
      <w:start w:val="1"/>
      <w:numFmt w:val="lowerRoman"/>
      <w:lvlText w:val="%3."/>
      <w:lvlJc w:val="right"/>
      <w:pPr>
        <w:ind w:hanging="180" w:left="2880"/>
      </w:pPr>
    </w:lvl>
    <w:lvl w:ilvl="3" w:tentative="1" w:tplc="080A000F">
      <w:start w:val="1"/>
      <w:numFmt w:val="decimal"/>
      <w:lvlText w:val="%4."/>
      <w:lvlJc w:val="left"/>
      <w:pPr>
        <w:ind w:hanging="360" w:left="3600"/>
      </w:pPr>
    </w:lvl>
    <w:lvl w:ilvl="4" w:tentative="1" w:tplc="080A0019">
      <w:start w:val="1"/>
      <w:numFmt w:val="lowerLetter"/>
      <w:lvlText w:val="%5."/>
      <w:lvlJc w:val="left"/>
      <w:pPr>
        <w:ind w:hanging="360" w:left="4320"/>
      </w:pPr>
    </w:lvl>
    <w:lvl w:ilvl="5" w:tentative="1" w:tplc="080A001B">
      <w:start w:val="1"/>
      <w:numFmt w:val="lowerRoman"/>
      <w:lvlText w:val="%6."/>
      <w:lvlJc w:val="right"/>
      <w:pPr>
        <w:ind w:hanging="180" w:left="5040"/>
      </w:pPr>
    </w:lvl>
    <w:lvl w:ilvl="6" w:tentative="1" w:tplc="080A000F">
      <w:start w:val="1"/>
      <w:numFmt w:val="decimal"/>
      <w:lvlText w:val="%7."/>
      <w:lvlJc w:val="left"/>
      <w:pPr>
        <w:ind w:hanging="360" w:left="5760"/>
      </w:pPr>
    </w:lvl>
    <w:lvl w:ilvl="7" w:tentative="1" w:tplc="080A0019">
      <w:start w:val="1"/>
      <w:numFmt w:val="lowerLetter"/>
      <w:lvlText w:val="%8."/>
      <w:lvlJc w:val="left"/>
      <w:pPr>
        <w:ind w:hanging="360" w:left="6480"/>
      </w:pPr>
    </w:lvl>
    <w:lvl w:ilvl="8" w:tentative="1" w:tplc="080A001B">
      <w:start w:val="1"/>
      <w:numFmt w:val="lowerRoman"/>
      <w:lvlText w:val="%9."/>
      <w:lvlJc w:val="right"/>
      <w:pPr>
        <w:ind w:hanging="180" w:left="7200"/>
      </w:pPr>
    </w:lvl>
  </w:abstractNum>
  <w:abstractNum w:abstractNumId="18">
    <w:nsid w:val="2E716288"/>
    <w:multiLevelType w:val="hybridMultilevel"/>
    <w:tmpl w:val="44F4B19C"/>
    <w:lvl w:ilvl="0" w:tplc="080A0013">
      <w:start w:val="1"/>
      <w:numFmt w:val="upperRoman"/>
      <w:lvlText w:val="%1."/>
      <w:lvlJc w:val="right"/>
      <w:pPr>
        <w:ind w:hanging="360" w:left="2160"/>
      </w:pPr>
    </w:lvl>
    <w:lvl w:ilvl="1" w:tentative="1" w:tplc="080A0019">
      <w:start w:val="1"/>
      <w:numFmt w:val="lowerLetter"/>
      <w:lvlText w:val="%2."/>
      <w:lvlJc w:val="left"/>
      <w:pPr>
        <w:ind w:hanging="360" w:left="2880"/>
      </w:pPr>
    </w:lvl>
    <w:lvl w:ilvl="2" w:tentative="1" w:tplc="080A001B">
      <w:start w:val="1"/>
      <w:numFmt w:val="lowerRoman"/>
      <w:lvlText w:val="%3."/>
      <w:lvlJc w:val="right"/>
      <w:pPr>
        <w:ind w:hanging="180" w:left="3600"/>
      </w:pPr>
    </w:lvl>
    <w:lvl w:ilvl="3" w:tentative="1" w:tplc="080A000F">
      <w:start w:val="1"/>
      <w:numFmt w:val="decimal"/>
      <w:lvlText w:val="%4."/>
      <w:lvlJc w:val="left"/>
      <w:pPr>
        <w:ind w:hanging="360" w:left="4320"/>
      </w:pPr>
    </w:lvl>
    <w:lvl w:ilvl="4" w:tentative="1" w:tplc="080A0019">
      <w:start w:val="1"/>
      <w:numFmt w:val="lowerLetter"/>
      <w:lvlText w:val="%5."/>
      <w:lvlJc w:val="left"/>
      <w:pPr>
        <w:ind w:hanging="360" w:left="5040"/>
      </w:pPr>
    </w:lvl>
    <w:lvl w:ilvl="5" w:tentative="1" w:tplc="080A001B">
      <w:start w:val="1"/>
      <w:numFmt w:val="lowerRoman"/>
      <w:lvlText w:val="%6."/>
      <w:lvlJc w:val="right"/>
      <w:pPr>
        <w:ind w:hanging="180" w:left="5760"/>
      </w:pPr>
    </w:lvl>
    <w:lvl w:ilvl="6" w:tentative="1" w:tplc="080A000F">
      <w:start w:val="1"/>
      <w:numFmt w:val="decimal"/>
      <w:lvlText w:val="%7."/>
      <w:lvlJc w:val="left"/>
      <w:pPr>
        <w:ind w:hanging="360" w:left="6480"/>
      </w:pPr>
    </w:lvl>
    <w:lvl w:ilvl="7" w:tentative="1" w:tplc="080A0019">
      <w:start w:val="1"/>
      <w:numFmt w:val="lowerLetter"/>
      <w:lvlText w:val="%8."/>
      <w:lvlJc w:val="left"/>
      <w:pPr>
        <w:ind w:hanging="360" w:left="7200"/>
      </w:pPr>
    </w:lvl>
    <w:lvl w:ilvl="8" w:tentative="1" w:tplc="080A001B">
      <w:start w:val="1"/>
      <w:numFmt w:val="lowerRoman"/>
      <w:lvlText w:val="%9."/>
      <w:lvlJc w:val="right"/>
      <w:pPr>
        <w:ind w:hanging="180" w:left="7920"/>
      </w:pPr>
    </w:lvl>
  </w:abstractNum>
  <w:abstractNum w:abstractNumId="19">
    <w:nsid w:val="34236F3A"/>
    <w:multiLevelType w:val="hybridMultilevel"/>
    <w:tmpl w:val="DAC2D14E"/>
    <w:lvl w:ilvl="0" w:tplc="080A0019">
      <w:start w:val="1"/>
      <w:numFmt w:val="lowerLetter"/>
      <w:lvlText w:val="%1."/>
      <w:lvlJc w:val="left"/>
      <w:pPr>
        <w:ind w:hanging="360" w:left="1440"/>
      </w:pPr>
    </w:lvl>
    <w:lvl w:ilvl="1" w:tentative="1" w:tplc="080A0019">
      <w:start w:val="1"/>
      <w:numFmt w:val="lowerLetter"/>
      <w:lvlText w:val="%2."/>
      <w:lvlJc w:val="left"/>
      <w:pPr>
        <w:ind w:hanging="360" w:left="2160"/>
      </w:pPr>
    </w:lvl>
    <w:lvl w:ilvl="2" w:tentative="1" w:tplc="080A001B">
      <w:start w:val="1"/>
      <w:numFmt w:val="lowerRoman"/>
      <w:lvlText w:val="%3."/>
      <w:lvlJc w:val="right"/>
      <w:pPr>
        <w:ind w:hanging="180" w:left="2880"/>
      </w:pPr>
    </w:lvl>
    <w:lvl w:ilvl="3" w:tentative="1" w:tplc="080A000F">
      <w:start w:val="1"/>
      <w:numFmt w:val="decimal"/>
      <w:lvlText w:val="%4."/>
      <w:lvlJc w:val="left"/>
      <w:pPr>
        <w:ind w:hanging="360" w:left="3600"/>
      </w:pPr>
    </w:lvl>
    <w:lvl w:ilvl="4" w:tentative="1" w:tplc="080A0019">
      <w:start w:val="1"/>
      <w:numFmt w:val="lowerLetter"/>
      <w:lvlText w:val="%5."/>
      <w:lvlJc w:val="left"/>
      <w:pPr>
        <w:ind w:hanging="360" w:left="4320"/>
      </w:pPr>
    </w:lvl>
    <w:lvl w:ilvl="5" w:tentative="1" w:tplc="080A001B">
      <w:start w:val="1"/>
      <w:numFmt w:val="lowerRoman"/>
      <w:lvlText w:val="%6."/>
      <w:lvlJc w:val="right"/>
      <w:pPr>
        <w:ind w:hanging="180" w:left="5040"/>
      </w:pPr>
    </w:lvl>
    <w:lvl w:ilvl="6" w:tentative="1" w:tplc="080A000F">
      <w:start w:val="1"/>
      <w:numFmt w:val="decimal"/>
      <w:lvlText w:val="%7."/>
      <w:lvlJc w:val="left"/>
      <w:pPr>
        <w:ind w:hanging="360" w:left="5760"/>
      </w:pPr>
    </w:lvl>
    <w:lvl w:ilvl="7" w:tentative="1" w:tplc="080A0019">
      <w:start w:val="1"/>
      <w:numFmt w:val="lowerLetter"/>
      <w:lvlText w:val="%8."/>
      <w:lvlJc w:val="left"/>
      <w:pPr>
        <w:ind w:hanging="360" w:left="6480"/>
      </w:pPr>
    </w:lvl>
    <w:lvl w:ilvl="8" w:tentative="1" w:tplc="080A001B">
      <w:start w:val="1"/>
      <w:numFmt w:val="lowerRoman"/>
      <w:lvlText w:val="%9."/>
      <w:lvlJc w:val="right"/>
      <w:pPr>
        <w:ind w:hanging="180" w:left="7200"/>
      </w:pPr>
    </w:lvl>
  </w:abstractNum>
  <w:abstractNum w:abstractNumId="20">
    <w:nsid w:val="345269CA"/>
    <w:multiLevelType w:val="hybridMultilevel"/>
    <w:tmpl w:val="748A3582"/>
    <w:lvl w:ilvl="0" w:tplc="080A0019">
      <w:start w:val="1"/>
      <w:numFmt w:val="lowerLetter"/>
      <w:lvlText w:val="%1."/>
      <w:lvlJc w:val="left"/>
      <w:pPr>
        <w:ind w:hanging="360" w:left="1440"/>
      </w:pPr>
    </w:lvl>
    <w:lvl w:ilvl="1" w:tentative="1" w:tplc="080A0019">
      <w:start w:val="1"/>
      <w:numFmt w:val="lowerLetter"/>
      <w:lvlText w:val="%2."/>
      <w:lvlJc w:val="left"/>
      <w:pPr>
        <w:ind w:hanging="360" w:left="2160"/>
      </w:pPr>
    </w:lvl>
    <w:lvl w:ilvl="2" w:tentative="1" w:tplc="080A001B">
      <w:start w:val="1"/>
      <w:numFmt w:val="lowerRoman"/>
      <w:lvlText w:val="%3."/>
      <w:lvlJc w:val="right"/>
      <w:pPr>
        <w:ind w:hanging="180" w:left="2880"/>
      </w:pPr>
    </w:lvl>
    <w:lvl w:ilvl="3" w:tentative="1" w:tplc="080A000F">
      <w:start w:val="1"/>
      <w:numFmt w:val="decimal"/>
      <w:lvlText w:val="%4."/>
      <w:lvlJc w:val="left"/>
      <w:pPr>
        <w:ind w:hanging="360" w:left="3600"/>
      </w:pPr>
    </w:lvl>
    <w:lvl w:ilvl="4" w:tentative="1" w:tplc="080A0019">
      <w:start w:val="1"/>
      <w:numFmt w:val="lowerLetter"/>
      <w:lvlText w:val="%5."/>
      <w:lvlJc w:val="left"/>
      <w:pPr>
        <w:ind w:hanging="360" w:left="4320"/>
      </w:pPr>
    </w:lvl>
    <w:lvl w:ilvl="5" w:tentative="1" w:tplc="080A001B">
      <w:start w:val="1"/>
      <w:numFmt w:val="lowerRoman"/>
      <w:lvlText w:val="%6."/>
      <w:lvlJc w:val="right"/>
      <w:pPr>
        <w:ind w:hanging="180" w:left="5040"/>
      </w:pPr>
    </w:lvl>
    <w:lvl w:ilvl="6" w:tentative="1" w:tplc="080A000F">
      <w:start w:val="1"/>
      <w:numFmt w:val="decimal"/>
      <w:lvlText w:val="%7."/>
      <w:lvlJc w:val="left"/>
      <w:pPr>
        <w:ind w:hanging="360" w:left="5760"/>
      </w:pPr>
    </w:lvl>
    <w:lvl w:ilvl="7" w:tentative="1" w:tplc="080A0019">
      <w:start w:val="1"/>
      <w:numFmt w:val="lowerLetter"/>
      <w:lvlText w:val="%8."/>
      <w:lvlJc w:val="left"/>
      <w:pPr>
        <w:ind w:hanging="360" w:left="6480"/>
      </w:pPr>
    </w:lvl>
    <w:lvl w:ilvl="8" w:tentative="1" w:tplc="080A001B">
      <w:start w:val="1"/>
      <w:numFmt w:val="lowerRoman"/>
      <w:lvlText w:val="%9."/>
      <w:lvlJc w:val="right"/>
      <w:pPr>
        <w:ind w:hanging="180" w:left="7200"/>
      </w:pPr>
    </w:lvl>
  </w:abstractNum>
  <w:abstractNum w:abstractNumId="21">
    <w:nsid w:val="35F945DC"/>
    <w:multiLevelType w:val="hybridMultilevel"/>
    <w:tmpl w:val="CFC4444C"/>
    <w:lvl w:ilvl="0" w:tplc="080A0019">
      <w:start w:val="1"/>
      <w:numFmt w:val="lowerLetter"/>
      <w:lvlText w:val="%1."/>
      <w:lvlJc w:val="left"/>
      <w:pPr>
        <w:ind w:hanging="360" w:left="1440"/>
      </w:pPr>
    </w:lvl>
    <w:lvl w:ilvl="1" w:tentative="1" w:tplc="080A0019">
      <w:start w:val="1"/>
      <w:numFmt w:val="lowerLetter"/>
      <w:lvlText w:val="%2."/>
      <w:lvlJc w:val="left"/>
      <w:pPr>
        <w:ind w:hanging="360" w:left="2160"/>
      </w:pPr>
    </w:lvl>
    <w:lvl w:ilvl="2" w:tentative="1" w:tplc="080A001B">
      <w:start w:val="1"/>
      <w:numFmt w:val="lowerRoman"/>
      <w:lvlText w:val="%3."/>
      <w:lvlJc w:val="right"/>
      <w:pPr>
        <w:ind w:hanging="180" w:left="2880"/>
      </w:pPr>
    </w:lvl>
    <w:lvl w:ilvl="3" w:tentative="1" w:tplc="080A000F">
      <w:start w:val="1"/>
      <w:numFmt w:val="decimal"/>
      <w:lvlText w:val="%4."/>
      <w:lvlJc w:val="left"/>
      <w:pPr>
        <w:ind w:hanging="360" w:left="3600"/>
      </w:pPr>
    </w:lvl>
    <w:lvl w:ilvl="4" w:tentative="1" w:tplc="080A0019">
      <w:start w:val="1"/>
      <w:numFmt w:val="lowerLetter"/>
      <w:lvlText w:val="%5."/>
      <w:lvlJc w:val="left"/>
      <w:pPr>
        <w:ind w:hanging="360" w:left="4320"/>
      </w:pPr>
    </w:lvl>
    <w:lvl w:ilvl="5" w:tentative="1" w:tplc="080A001B">
      <w:start w:val="1"/>
      <w:numFmt w:val="lowerRoman"/>
      <w:lvlText w:val="%6."/>
      <w:lvlJc w:val="right"/>
      <w:pPr>
        <w:ind w:hanging="180" w:left="5040"/>
      </w:pPr>
    </w:lvl>
    <w:lvl w:ilvl="6" w:tentative="1" w:tplc="080A000F">
      <w:start w:val="1"/>
      <w:numFmt w:val="decimal"/>
      <w:lvlText w:val="%7."/>
      <w:lvlJc w:val="left"/>
      <w:pPr>
        <w:ind w:hanging="360" w:left="5760"/>
      </w:pPr>
    </w:lvl>
    <w:lvl w:ilvl="7" w:tentative="1" w:tplc="080A0019">
      <w:start w:val="1"/>
      <w:numFmt w:val="lowerLetter"/>
      <w:lvlText w:val="%8."/>
      <w:lvlJc w:val="left"/>
      <w:pPr>
        <w:ind w:hanging="360" w:left="6480"/>
      </w:pPr>
    </w:lvl>
    <w:lvl w:ilvl="8" w:tentative="1" w:tplc="080A001B">
      <w:start w:val="1"/>
      <w:numFmt w:val="lowerRoman"/>
      <w:lvlText w:val="%9."/>
      <w:lvlJc w:val="right"/>
      <w:pPr>
        <w:ind w:hanging="180" w:left="7200"/>
      </w:pPr>
    </w:lvl>
  </w:abstractNum>
  <w:abstractNum w:abstractNumId="22">
    <w:nsid w:val="38857A3F"/>
    <w:multiLevelType w:val="hybridMultilevel"/>
    <w:tmpl w:val="3C4A2C96"/>
    <w:lvl w:ilvl="0" w:tplc="080A001B">
      <w:start w:val="1"/>
      <w:numFmt w:val="lowerRoman"/>
      <w:lvlText w:val="%1."/>
      <w:lvlJc w:val="right"/>
      <w:pPr>
        <w:ind w:hanging="360" w:left="2880"/>
      </w:pPr>
    </w:lvl>
    <w:lvl w:ilvl="1" w:tentative="1" w:tplc="080A0019">
      <w:start w:val="1"/>
      <w:numFmt w:val="lowerLetter"/>
      <w:lvlText w:val="%2."/>
      <w:lvlJc w:val="left"/>
      <w:pPr>
        <w:ind w:hanging="360" w:left="3600"/>
      </w:pPr>
    </w:lvl>
    <w:lvl w:ilvl="2" w:tentative="1" w:tplc="080A001B">
      <w:start w:val="1"/>
      <w:numFmt w:val="lowerRoman"/>
      <w:lvlText w:val="%3."/>
      <w:lvlJc w:val="right"/>
      <w:pPr>
        <w:ind w:hanging="180" w:left="4320"/>
      </w:pPr>
    </w:lvl>
    <w:lvl w:ilvl="3" w:tentative="1" w:tplc="080A000F">
      <w:start w:val="1"/>
      <w:numFmt w:val="decimal"/>
      <w:lvlText w:val="%4."/>
      <w:lvlJc w:val="left"/>
      <w:pPr>
        <w:ind w:hanging="360" w:left="5040"/>
      </w:pPr>
    </w:lvl>
    <w:lvl w:ilvl="4" w:tentative="1" w:tplc="080A0019">
      <w:start w:val="1"/>
      <w:numFmt w:val="lowerLetter"/>
      <w:lvlText w:val="%5."/>
      <w:lvlJc w:val="left"/>
      <w:pPr>
        <w:ind w:hanging="360" w:left="5760"/>
      </w:pPr>
    </w:lvl>
    <w:lvl w:ilvl="5" w:tentative="1" w:tplc="080A001B">
      <w:start w:val="1"/>
      <w:numFmt w:val="lowerRoman"/>
      <w:lvlText w:val="%6."/>
      <w:lvlJc w:val="right"/>
      <w:pPr>
        <w:ind w:hanging="180" w:left="6480"/>
      </w:pPr>
    </w:lvl>
    <w:lvl w:ilvl="6" w:tentative="1" w:tplc="080A000F">
      <w:start w:val="1"/>
      <w:numFmt w:val="decimal"/>
      <w:lvlText w:val="%7."/>
      <w:lvlJc w:val="left"/>
      <w:pPr>
        <w:ind w:hanging="360" w:left="7200"/>
      </w:pPr>
    </w:lvl>
    <w:lvl w:ilvl="7" w:tentative="1" w:tplc="080A0019">
      <w:start w:val="1"/>
      <w:numFmt w:val="lowerLetter"/>
      <w:lvlText w:val="%8."/>
      <w:lvlJc w:val="left"/>
      <w:pPr>
        <w:ind w:hanging="360" w:left="7920"/>
      </w:pPr>
    </w:lvl>
    <w:lvl w:ilvl="8" w:tentative="1" w:tplc="080A001B">
      <w:start w:val="1"/>
      <w:numFmt w:val="lowerRoman"/>
      <w:lvlText w:val="%9."/>
      <w:lvlJc w:val="right"/>
      <w:pPr>
        <w:ind w:hanging="180" w:left="8640"/>
      </w:pPr>
    </w:lvl>
  </w:abstractNum>
  <w:abstractNum w:abstractNumId="23">
    <w:nsid w:val="39D862C2"/>
    <w:multiLevelType w:val="hybridMultilevel"/>
    <w:tmpl w:val="F4389C8C"/>
    <w:lvl w:ilvl="0" w:tplc="080A0019">
      <w:start w:val="1"/>
      <w:numFmt w:val="lowerLetter"/>
      <w:lvlText w:val="%1."/>
      <w:lvlJc w:val="left"/>
      <w:pPr>
        <w:ind w:hanging="360" w:left="1440"/>
      </w:pPr>
    </w:lvl>
    <w:lvl w:ilvl="1" w:tentative="1" w:tplc="080A0019">
      <w:start w:val="1"/>
      <w:numFmt w:val="lowerLetter"/>
      <w:lvlText w:val="%2."/>
      <w:lvlJc w:val="left"/>
      <w:pPr>
        <w:ind w:hanging="360" w:left="2160"/>
      </w:pPr>
    </w:lvl>
    <w:lvl w:ilvl="2" w:tentative="1" w:tplc="080A001B">
      <w:start w:val="1"/>
      <w:numFmt w:val="lowerRoman"/>
      <w:lvlText w:val="%3."/>
      <w:lvlJc w:val="right"/>
      <w:pPr>
        <w:ind w:hanging="180" w:left="2880"/>
      </w:pPr>
    </w:lvl>
    <w:lvl w:ilvl="3" w:tentative="1" w:tplc="080A000F">
      <w:start w:val="1"/>
      <w:numFmt w:val="decimal"/>
      <w:lvlText w:val="%4."/>
      <w:lvlJc w:val="left"/>
      <w:pPr>
        <w:ind w:hanging="360" w:left="3600"/>
      </w:pPr>
    </w:lvl>
    <w:lvl w:ilvl="4" w:tentative="1" w:tplc="080A0019">
      <w:start w:val="1"/>
      <w:numFmt w:val="lowerLetter"/>
      <w:lvlText w:val="%5."/>
      <w:lvlJc w:val="left"/>
      <w:pPr>
        <w:ind w:hanging="360" w:left="4320"/>
      </w:pPr>
    </w:lvl>
    <w:lvl w:ilvl="5" w:tentative="1" w:tplc="080A001B">
      <w:start w:val="1"/>
      <w:numFmt w:val="lowerRoman"/>
      <w:lvlText w:val="%6."/>
      <w:lvlJc w:val="right"/>
      <w:pPr>
        <w:ind w:hanging="180" w:left="5040"/>
      </w:pPr>
    </w:lvl>
    <w:lvl w:ilvl="6" w:tentative="1" w:tplc="080A000F">
      <w:start w:val="1"/>
      <w:numFmt w:val="decimal"/>
      <w:lvlText w:val="%7."/>
      <w:lvlJc w:val="left"/>
      <w:pPr>
        <w:ind w:hanging="360" w:left="5760"/>
      </w:pPr>
    </w:lvl>
    <w:lvl w:ilvl="7" w:tentative="1" w:tplc="080A0019">
      <w:start w:val="1"/>
      <w:numFmt w:val="lowerLetter"/>
      <w:lvlText w:val="%8."/>
      <w:lvlJc w:val="left"/>
      <w:pPr>
        <w:ind w:hanging="360" w:left="6480"/>
      </w:pPr>
    </w:lvl>
    <w:lvl w:ilvl="8" w:tentative="1" w:tplc="080A001B">
      <w:start w:val="1"/>
      <w:numFmt w:val="lowerRoman"/>
      <w:lvlText w:val="%9."/>
      <w:lvlJc w:val="right"/>
      <w:pPr>
        <w:ind w:hanging="180" w:left="7200"/>
      </w:pPr>
    </w:lvl>
  </w:abstractNum>
  <w:abstractNum w:abstractNumId="24">
    <w:nsid w:val="3A1612FF"/>
    <w:multiLevelType w:val="hybridMultilevel"/>
    <w:tmpl w:val="D9B82A20"/>
    <w:lvl w:ilvl="0" w:tplc="080A0019">
      <w:start w:val="1"/>
      <w:numFmt w:val="lowerLetter"/>
      <w:lvlText w:val="%1."/>
      <w:lvlJc w:val="left"/>
      <w:pPr>
        <w:ind w:hanging="360" w:left="1440"/>
      </w:pPr>
    </w:lvl>
    <w:lvl w:ilvl="1" w:tentative="1" w:tplc="080A0019">
      <w:start w:val="1"/>
      <w:numFmt w:val="lowerLetter"/>
      <w:lvlText w:val="%2."/>
      <w:lvlJc w:val="left"/>
      <w:pPr>
        <w:ind w:hanging="360" w:left="2160"/>
      </w:pPr>
    </w:lvl>
    <w:lvl w:ilvl="2" w:tentative="1" w:tplc="080A001B">
      <w:start w:val="1"/>
      <w:numFmt w:val="lowerRoman"/>
      <w:lvlText w:val="%3."/>
      <w:lvlJc w:val="right"/>
      <w:pPr>
        <w:ind w:hanging="180" w:left="2880"/>
      </w:pPr>
    </w:lvl>
    <w:lvl w:ilvl="3" w:tentative="1" w:tplc="080A000F">
      <w:start w:val="1"/>
      <w:numFmt w:val="decimal"/>
      <w:lvlText w:val="%4."/>
      <w:lvlJc w:val="left"/>
      <w:pPr>
        <w:ind w:hanging="360" w:left="3600"/>
      </w:pPr>
    </w:lvl>
    <w:lvl w:ilvl="4" w:tentative="1" w:tplc="080A0019">
      <w:start w:val="1"/>
      <w:numFmt w:val="lowerLetter"/>
      <w:lvlText w:val="%5."/>
      <w:lvlJc w:val="left"/>
      <w:pPr>
        <w:ind w:hanging="360" w:left="4320"/>
      </w:pPr>
    </w:lvl>
    <w:lvl w:ilvl="5" w:tentative="1" w:tplc="080A001B">
      <w:start w:val="1"/>
      <w:numFmt w:val="lowerRoman"/>
      <w:lvlText w:val="%6."/>
      <w:lvlJc w:val="right"/>
      <w:pPr>
        <w:ind w:hanging="180" w:left="5040"/>
      </w:pPr>
    </w:lvl>
    <w:lvl w:ilvl="6" w:tentative="1" w:tplc="080A000F">
      <w:start w:val="1"/>
      <w:numFmt w:val="decimal"/>
      <w:lvlText w:val="%7."/>
      <w:lvlJc w:val="left"/>
      <w:pPr>
        <w:ind w:hanging="360" w:left="5760"/>
      </w:pPr>
    </w:lvl>
    <w:lvl w:ilvl="7" w:tentative="1" w:tplc="080A0019">
      <w:start w:val="1"/>
      <w:numFmt w:val="lowerLetter"/>
      <w:lvlText w:val="%8."/>
      <w:lvlJc w:val="left"/>
      <w:pPr>
        <w:ind w:hanging="360" w:left="6480"/>
      </w:pPr>
    </w:lvl>
    <w:lvl w:ilvl="8" w:tentative="1" w:tplc="080A001B">
      <w:start w:val="1"/>
      <w:numFmt w:val="lowerRoman"/>
      <w:lvlText w:val="%9."/>
      <w:lvlJc w:val="right"/>
      <w:pPr>
        <w:ind w:hanging="180" w:left="7200"/>
      </w:pPr>
    </w:lvl>
  </w:abstractNum>
  <w:abstractNum w:abstractNumId="25">
    <w:nsid w:val="3EF34284"/>
    <w:multiLevelType w:val="hybridMultilevel"/>
    <w:tmpl w:val="4BE88608"/>
    <w:lvl w:ilvl="0" w:tplc="080A000F">
      <w:start w:val="1"/>
      <w:numFmt w:val="decimal"/>
      <w:lvlText w:val="%1."/>
      <w:lvlJc w:val="left"/>
      <w:pPr>
        <w:ind w:hanging="360" w:left="720"/>
      </w:pPr>
    </w:lvl>
    <w:lvl w:ilvl="1" w:tplc="080A0019">
      <w:start w:val="1"/>
      <w:numFmt w:val="lowerLetter"/>
      <w:lvlText w:val="%2."/>
      <w:lvlJc w:val="left"/>
      <w:pPr>
        <w:ind w:hanging="360" w:left="1440"/>
      </w:pPr>
      <w:rPr>
        <w:rFonts w:hint="default"/>
      </w:rPr>
    </w:lvl>
    <w:lvl w:ilvl="2" w:tentative="1" w:tplc="080A001B">
      <w:start w:val="1"/>
      <w:numFmt w:val="lowerRoman"/>
      <w:lvlText w:val="%3."/>
      <w:lvlJc w:val="right"/>
      <w:pPr>
        <w:ind w:hanging="180" w:left="2160"/>
      </w:pPr>
    </w:lvl>
    <w:lvl w:ilvl="3" w:tentative="1" w:tplc="080A000F">
      <w:start w:val="1"/>
      <w:numFmt w:val="decimal"/>
      <w:lvlText w:val="%4."/>
      <w:lvlJc w:val="left"/>
      <w:pPr>
        <w:ind w:hanging="360" w:left="2880"/>
      </w:pPr>
    </w:lvl>
    <w:lvl w:ilvl="4" w:tentative="1" w:tplc="080A0019">
      <w:start w:val="1"/>
      <w:numFmt w:val="lowerLetter"/>
      <w:lvlText w:val="%5."/>
      <w:lvlJc w:val="left"/>
      <w:pPr>
        <w:ind w:hanging="360" w:left="3600"/>
      </w:pPr>
    </w:lvl>
    <w:lvl w:ilvl="5" w:tentative="1" w:tplc="080A001B">
      <w:start w:val="1"/>
      <w:numFmt w:val="lowerRoman"/>
      <w:lvlText w:val="%6."/>
      <w:lvlJc w:val="right"/>
      <w:pPr>
        <w:ind w:hanging="180" w:left="4320"/>
      </w:pPr>
    </w:lvl>
    <w:lvl w:ilvl="6" w:tentative="1" w:tplc="080A000F">
      <w:start w:val="1"/>
      <w:numFmt w:val="decimal"/>
      <w:lvlText w:val="%7."/>
      <w:lvlJc w:val="left"/>
      <w:pPr>
        <w:ind w:hanging="360" w:left="5040"/>
      </w:pPr>
    </w:lvl>
    <w:lvl w:ilvl="7" w:tentative="1" w:tplc="080A0019">
      <w:start w:val="1"/>
      <w:numFmt w:val="lowerLetter"/>
      <w:lvlText w:val="%8."/>
      <w:lvlJc w:val="left"/>
      <w:pPr>
        <w:ind w:hanging="360" w:left="5760"/>
      </w:pPr>
    </w:lvl>
    <w:lvl w:ilvl="8" w:tentative="1" w:tplc="080A001B">
      <w:start w:val="1"/>
      <w:numFmt w:val="lowerRoman"/>
      <w:lvlText w:val="%9."/>
      <w:lvlJc w:val="right"/>
      <w:pPr>
        <w:ind w:hanging="180" w:left="6480"/>
      </w:pPr>
    </w:lvl>
  </w:abstractNum>
  <w:abstractNum w:abstractNumId="26">
    <w:nsid w:val="40357D59"/>
    <w:multiLevelType w:val="hybridMultilevel"/>
    <w:tmpl w:val="3D987F96"/>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abstractNumId="27">
    <w:nsid w:val="4370587C"/>
    <w:multiLevelType w:val="hybridMultilevel"/>
    <w:tmpl w:val="966E9F90"/>
    <w:lvl w:ilvl="0" w:tplc="080A0019">
      <w:start w:val="1"/>
      <w:numFmt w:val="lowerLetter"/>
      <w:lvlText w:val="%1."/>
      <w:lvlJc w:val="left"/>
      <w:pPr>
        <w:ind w:hanging="360" w:left="1440"/>
      </w:pPr>
    </w:lvl>
    <w:lvl w:ilvl="1" w:tentative="1" w:tplc="080A0019">
      <w:start w:val="1"/>
      <w:numFmt w:val="lowerLetter"/>
      <w:lvlText w:val="%2."/>
      <w:lvlJc w:val="left"/>
      <w:pPr>
        <w:ind w:hanging="360" w:left="2160"/>
      </w:pPr>
    </w:lvl>
    <w:lvl w:ilvl="2" w:tentative="1" w:tplc="080A001B">
      <w:start w:val="1"/>
      <w:numFmt w:val="lowerRoman"/>
      <w:lvlText w:val="%3."/>
      <w:lvlJc w:val="right"/>
      <w:pPr>
        <w:ind w:hanging="180" w:left="2880"/>
      </w:pPr>
    </w:lvl>
    <w:lvl w:ilvl="3" w:tentative="1" w:tplc="080A000F">
      <w:start w:val="1"/>
      <w:numFmt w:val="decimal"/>
      <w:lvlText w:val="%4."/>
      <w:lvlJc w:val="left"/>
      <w:pPr>
        <w:ind w:hanging="360" w:left="3600"/>
      </w:pPr>
    </w:lvl>
    <w:lvl w:ilvl="4" w:tentative="1" w:tplc="080A0019">
      <w:start w:val="1"/>
      <w:numFmt w:val="lowerLetter"/>
      <w:lvlText w:val="%5."/>
      <w:lvlJc w:val="left"/>
      <w:pPr>
        <w:ind w:hanging="360" w:left="4320"/>
      </w:pPr>
    </w:lvl>
    <w:lvl w:ilvl="5" w:tentative="1" w:tplc="080A001B">
      <w:start w:val="1"/>
      <w:numFmt w:val="lowerRoman"/>
      <w:lvlText w:val="%6."/>
      <w:lvlJc w:val="right"/>
      <w:pPr>
        <w:ind w:hanging="180" w:left="5040"/>
      </w:pPr>
    </w:lvl>
    <w:lvl w:ilvl="6" w:tentative="1" w:tplc="080A000F">
      <w:start w:val="1"/>
      <w:numFmt w:val="decimal"/>
      <w:lvlText w:val="%7."/>
      <w:lvlJc w:val="left"/>
      <w:pPr>
        <w:ind w:hanging="360" w:left="5760"/>
      </w:pPr>
    </w:lvl>
    <w:lvl w:ilvl="7" w:tentative="1" w:tplc="080A0019">
      <w:start w:val="1"/>
      <w:numFmt w:val="lowerLetter"/>
      <w:lvlText w:val="%8."/>
      <w:lvlJc w:val="left"/>
      <w:pPr>
        <w:ind w:hanging="360" w:left="6480"/>
      </w:pPr>
    </w:lvl>
    <w:lvl w:ilvl="8" w:tentative="1" w:tplc="080A001B">
      <w:start w:val="1"/>
      <w:numFmt w:val="lowerRoman"/>
      <w:lvlText w:val="%9."/>
      <w:lvlJc w:val="right"/>
      <w:pPr>
        <w:ind w:hanging="180" w:left="7200"/>
      </w:pPr>
    </w:lvl>
  </w:abstractNum>
  <w:abstractNum w:abstractNumId="28">
    <w:nsid w:val="43D517A4"/>
    <w:multiLevelType w:val="hybridMultilevel"/>
    <w:tmpl w:val="67D0F820"/>
    <w:lvl w:ilvl="0" w:tplc="080A0019">
      <w:start w:val="1"/>
      <w:numFmt w:val="lowerLetter"/>
      <w:lvlText w:val="%1."/>
      <w:lvlJc w:val="left"/>
      <w:pPr>
        <w:ind w:hanging="360" w:left="1440"/>
      </w:pPr>
    </w:lvl>
    <w:lvl w:ilvl="1" w:tentative="1" w:tplc="080A0019">
      <w:start w:val="1"/>
      <w:numFmt w:val="lowerLetter"/>
      <w:lvlText w:val="%2."/>
      <w:lvlJc w:val="left"/>
      <w:pPr>
        <w:ind w:hanging="360" w:left="2160"/>
      </w:pPr>
    </w:lvl>
    <w:lvl w:ilvl="2" w:tentative="1" w:tplc="080A001B">
      <w:start w:val="1"/>
      <w:numFmt w:val="lowerRoman"/>
      <w:lvlText w:val="%3."/>
      <w:lvlJc w:val="right"/>
      <w:pPr>
        <w:ind w:hanging="180" w:left="2880"/>
      </w:pPr>
    </w:lvl>
    <w:lvl w:ilvl="3" w:tentative="1" w:tplc="080A000F">
      <w:start w:val="1"/>
      <w:numFmt w:val="decimal"/>
      <w:lvlText w:val="%4."/>
      <w:lvlJc w:val="left"/>
      <w:pPr>
        <w:ind w:hanging="360" w:left="3600"/>
      </w:pPr>
    </w:lvl>
    <w:lvl w:ilvl="4" w:tentative="1" w:tplc="080A0019">
      <w:start w:val="1"/>
      <w:numFmt w:val="lowerLetter"/>
      <w:lvlText w:val="%5."/>
      <w:lvlJc w:val="left"/>
      <w:pPr>
        <w:ind w:hanging="360" w:left="4320"/>
      </w:pPr>
    </w:lvl>
    <w:lvl w:ilvl="5" w:tentative="1" w:tplc="080A001B">
      <w:start w:val="1"/>
      <w:numFmt w:val="lowerRoman"/>
      <w:lvlText w:val="%6."/>
      <w:lvlJc w:val="right"/>
      <w:pPr>
        <w:ind w:hanging="180" w:left="5040"/>
      </w:pPr>
    </w:lvl>
    <w:lvl w:ilvl="6" w:tentative="1" w:tplc="080A000F">
      <w:start w:val="1"/>
      <w:numFmt w:val="decimal"/>
      <w:lvlText w:val="%7."/>
      <w:lvlJc w:val="left"/>
      <w:pPr>
        <w:ind w:hanging="360" w:left="5760"/>
      </w:pPr>
    </w:lvl>
    <w:lvl w:ilvl="7" w:tentative="1" w:tplc="080A0019">
      <w:start w:val="1"/>
      <w:numFmt w:val="lowerLetter"/>
      <w:lvlText w:val="%8."/>
      <w:lvlJc w:val="left"/>
      <w:pPr>
        <w:ind w:hanging="360" w:left="6480"/>
      </w:pPr>
    </w:lvl>
    <w:lvl w:ilvl="8" w:tentative="1" w:tplc="080A001B">
      <w:start w:val="1"/>
      <w:numFmt w:val="lowerRoman"/>
      <w:lvlText w:val="%9."/>
      <w:lvlJc w:val="right"/>
      <w:pPr>
        <w:ind w:hanging="180" w:left="7200"/>
      </w:pPr>
    </w:lvl>
  </w:abstractNum>
  <w:abstractNum w:abstractNumId="29">
    <w:nsid w:val="4848398E"/>
    <w:multiLevelType w:val="multilevel"/>
    <w:tmpl w:val="6478A78C"/>
    <w:lvl w:ilvl="0">
      <w:start w:val="1"/>
      <w:numFmt w:val="bullet"/>
      <w:lvlText w:val="•"/>
      <w:lvlJc w:val="left"/>
      <w:rPr>
        <w:rFonts w:ascii="Arial" w:cs="Arial" w:eastAsia="Arial" w:hAnsi="Arial"/>
        <w:b w:val="0"/>
        <w:bCs w:val="0"/>
        <w:i w:val="0"/>
        <w:iCs w:val="0"/>
        <w:smallCaps w:val="0"/>
        <w:strike w:val="0"/>
        <w:color w:val="000000"/>
        <w:spacing w:val="0"/>
        <w:w w:val="100"/>
        <w:position w:val="0"/>
        <w:sz w:val="22"/>
        <w:szCs w:val="22"/>
        <w:u w:val="none"/>
        <w:shd w:color="auto" w:fill="auto" w:val="clear"/>
        <w:lang w:bidi="es-ES" w:eastAsia="es-ES" w:val="es-E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nsid w:val="4A38013C"/>
    <w:multiLevelType w:val="hybridMultilevel"/>
    <w:tmpl w:val="EEEC82D8"/>
    <w:lvl w:ilvl="0" w:tplc="080A0019">
      <w:start w:val="1"/>
      <w:numFmt w:val="lowerLetter"/>
      <w:lvlText w:val="%1."/>
      <w:lvlJc w:val="left"/>
      <w:pPr>
        <w:ind w:hanging="360" w:left="1440"/>
      </w:pPr>
    </w:lvl>
    <w:lvl w:ilvl="1" w:tentative="1" w:tplc="080A0019">
      <w:start w:val="1"/>
      <w:numFmt w:val="lowerLetter"/>
      <w:lvlText w:val="%2."/>
      <w:lvlJc w:val="left"/>
      <w:pPr>
        <w:ind w:hanging="360" w:left="2160"/>
      </w:pPr>
    </w:lvl>
    <w:lvl w:ilvl="2" w:tentative="1" w:tplc="080A001B">
      <w:start w:val="1"/>
      <w:numFmt w:val="lowerRoman"/>
      <w:lvlText w:val="%3."/>
      <w:lvlJc w:val="right"/>
      <w:pPr>
        <w:ind w:hanging="180" w:left="2880"/>
      </w:pPr>
    </w:lvl>
    <w:lvl w:ilvl="3" w:tentative="1" w:tplc="080A000F">
      <w:start w:val="1"/>
      <w:numFmt w:val="decimal"/>
      <w:lvlText w:val="%4."/>
      <w:lvlJc w:val="left"/>
      <w:pPr>
        <w:ind w:hanging="360" w:left="3600"/>
      </w:pPr>
    </w:lvl>
    <w:lvl w:ilvl="4" w:tentative="1" w:tplc="080A0019">
      <w:start w:val="1"/>
      <w:numFmt w:val="lowerLetter"/>
      <w:lvlText w:val="%5."/>
      <w:lvlJc w:val="left"/>
      <w:pPr>
        <w:ind w:hanging="360" w:left="4320"/>
      </w:pPr>
    </w:lvl>
    <w:lvl w:ilvl="5" w:tentative="1" w:tplc="080A001B">
      <w:start w:val="1"/>
      <w:numFmt w:val="lowerRoman"/>
      <w:lvlText w:val="%6."/>
      <w:lvlJc w:val="right"/>
      <w:pPr>
        <w:ind w:hanging="180" w:left="5040"/>
      </w:pPr>
    </w:lvl>
    <w:lvl w:ilvl="6" w:tentative="1" w:tplc="080A000F">
      <w:start w:val="1"/>
      <w:numFmt w:val="decimal"/>
      <w:lvlText w:val="%7."/>
      <w:lvlJc w:val="left"/>
      <w:pPr>
        <w:ind w:hanging="360" w:left="5760"/>
      </w:pPr>
    </w:lvl>
    <w:lvl w:ilvl="7" w:tentative="1" w:tplc="080A0019">
      <w:start w:val="1"/>
      <w:numFmt w:val="lowerLetter"/>
      <w:lvlText w:val="%8."/>
      <w:lvlJc w:val="left"/>
      <w:pPr>
        <w:ind w:hanging="360" w:left="6480"/>
      </w:pPr>
    </w:lvl>
    <w:lvl w:ilvl="8" w:tentative="1" w:tplc="080A001B">
      <w:start w:val="1"/>
      <w:numFmt w:val="lowerRoman"/>
      <w:lvlText w:val="%9."/>
      <w:lvlJc w:val="right"/>
      <w:pPr>
        <w:ind w:hanging="180" w:left="7200"/>
      </w:pPr>
    </w:lvl>
  </w:abstractNum>
  <w:abstractNum w:abstractNumId="31">
    <w:nsid w:val="508079F5"/>
    <w:multiLevelType w:val="hybridMultilevel"/>
    <w:tmpl w:val="9E2EB8D6"/>
    <w:lvl w:ilvl="0" w:tplc="080A0019">
      <w:start w:val="1"/>
      <w:numFmt w:val="lowerLetter"/>
      <w:lvlText w:val="%1."/>
      <w:lvlJc w:val="left"/>
      <w:pPr>
        <w:ind w:hanging="360" w:left="1080"/>
      </w:pPr>
    </w:lvl>
    <w:lvl w:ilvl="1" w:tentative="1" w:tplc="080A0019">
      <w:start w:val="1"/>
      <w:numFmt w:val="lowerLetter"/>
      <w:lvlText w:val="%2."/>
      <w:lvlJc w:val="left"/>
      <w:pPr>
        <w:ind w:hanging="360" w:left="1800"/>
      </w:pPr>
    </w:lvl>
    <w:lvl w:ilvl="2" w:tentative="1" w:tplc="080A001B">
      <w:start w:val="1"/>
      <w:numFmt w:val="lowerRoman"/>
      <w:lvlText w:val="%3."/>
      <w:lvlJc w:val="right"/>
      <w:pPr>
        <w:ind w:hanging="180" w:left="2520"/>
      </w:pPr>
    </w:lvl>
    <w:lvl w:ilvl="3" w:tentative="1" w:tplc="080A000F">
      <w:start w:val="1"/>
      <w:numFmt w:val="decimal"/>
      <w:lvlText w:val="%4."/>
      <w:lvlJc w:val="left"/>
      <w:pPr>
        <w:ind w:hanging="360" w:left="3240"/>
      </w:pPr>
    </w:lvl>
    <w:lvl w:ilvl="4" w:tentative="1" w:tplc="080A0019">
      <w:start w:val="1"/>
      <w:numFmt w:val="lowerLetter"/>
      <w:lvlText w:val="%5."/>
      <w:lvlJc w:val="left"/>
      <w:pPr>
        <w:ind w:hanging="360" w:left="3960"/>
      </w:pPr>
    </w:lvl>
    <w:lvl w:ilvl="5" w:tentative="1" w:tplc="080A001B">
      <w:start w:val="1"/>
      <w:numFmt w:val="lowerRoman"/>
      <w:lvlText w:val="%6."/>
      <w:lvlJc w:val="right"/>
      <w:pPr>
        <w:ind w:hanging="180" w:left="4680"/>
      </w:pPr>
    </w:lvl>
    <w:lvl w:ilvl="6" w:tentative="1" w:tplc="080A000F">
      <w:start w:val="1"/>
      <w:numFmt w:val="decimal"/>
      <w:lvlText w:val="%7."/>
      <w:lvlJc w:val="left"/>
      <w:pPr>
        <w:ind w:hanging="360" w:left="5400"/>
      </w:pPr>
    </w:lvl>
    <w:lvl w:ilvl="7" w:tentative="1" w:tplc="080A0019">
      <w:start w:val="1"/>
      <w:numFmt w:val="lowerLetter"/>
      <w:lvlText w:val="%8."/>
      <w:lvlJc w:val="left"/>
      <w:pPr>
        <w:ind w:hanging="360" w:left="6120"/>
      </w:pPr>
    </w:lvl>
    <w:lvl w:ilvl="8" w:tentative="1" w:tplc="080A001B">
      <w:start w:val="1"/>
      <w:numFmt w:val="lowerRoman"/>
      <w:lvlText w:val="%9."/>
      <w:lvlJc w:val="right"/>
      <w:pPr>
        <w:ind w:hanging="180" w:left="6840"/>
      </w:pPr>
    </w:lvl>
  </w:abstractNum>
  <w:abstractNum w:abstractNumId="32">
    <w:nsid w:val="53D30A2A"/>
    <w:multiLevelType w:val="hybridMultilevel"/>
    <w:tmpl w:val="230AA50C"/>
    <w:lvl w:ilvl="0" w:tplc="080A0019">
      <w:start w:val="1"/>
      <w:numFmt w:val="lowerLetter"/>
      <w:lvlText w:val="%1."/>
      <w:lvlJc w:val="left"/>
      <w:pPr>
        <w:ind w:hanging="360" w:left="1440"/>
      </w:pPr>
    </w:lvl>
    <w:lvl w:ilvl="1" w:tentative="1" w:tplc="080A0019">
      <w:start w:val="1"/>
      <w:numFmt w:val="lowerLetter"/>
      <w:lvlText w:val="%2."/>
      <w:lvlJc w:val="left"/>
      <w:pPr>
        <w:ind w:hanging="360" w:left="2160"/>
      </w:pPr>
    </w:lvl>
    <w:lvl w:ilvl="2" w:tentative="1" w:tplc="080A001B">
      <w:start w:val="1"/>
      <w:numFmt w:val="lowerRoman"/>
      <w:lvlText w:val="%3."/>
      <w:lvlJc w:val="right"/>
      <w:pPr>
        <w:ind w:hanging="180" w:left="2880"/>
      </w:pPr>
    </w:lvl>
    <w:lvl w:ilvl="3" w:tentative="1" w:tplc="080A000F">
      <w:start w:val="1"/>
      <w:numFmt w:val="decimal"/>
      <w:lvlText w:val="%4."/>
      <w:lvlJc w:val="left"/>
      <w:pPr>
        <w:ind w:hanging="360" w:left="3600"/>
      </w:pPr>
    </w:lvl>
    <w:lvl w:ilvl="4" w:tentative="1" w:tplc="080A0019">
      <w:start w:val="1"/>
      <w:numFmt w:val="lowerLetter"/>
      <w:lvlText w:val="%5."/>
      <w:lvlJc w:val="left"/>
      <w:pPr>
        <w:ind w:hanging="360" w:left="4320"/>
      </w:pPr>
    </w:lvl>
    <w:lvl w:ilvl="5" w:tentative="1" w:tplc="080A001B">
      <w:start w:val="1"/>
      <w:numFmt w:val="lowerRoman"/>
      <w:lvlText w:val="%6."/>
      <w:lvlJc w:val="right"/>
      <w:pPr>
        <w:ind w:hanging="180" w:left="5040"/>
      </w:pPr>
    </w:lvl>
    <w:lvl w:ilvl="6" w:tentative="1" w:tplc="080A000F">
      <w:start w:val="1"/>
      <w:numFmt w:val="decimal"/>
      <w:lvlText w:val="%7."/>
      <w:lvlJc w:val="left"/>
      <w:pPr>
        <w:ind w:hanging="360" w:left="5760"/>
      </w:pPr>
    </w:lvl>
    <w:lvl w:ilvl="7" w:tentative="1" w:tplc="080A0019">
      <w:start w:val="1"/>
      <w:numFmt w:val="lowerLetter"/>
      <w:lvlText w:val="%8."/>
      <w:lvlJc w:val="left"/>
      <w:pPr>
        <w:ind w:hanging="360" w:left="6480"/>
      </w:pPr>
    </w:lvl>
    <w:lvl w:ilvl="8" w:tentative="1" w:tplc="080A001B">
      <w:start w:val="1"/>
      <w:numFmt w:val="lowerRoman"/>
      <w:lvlText w:val="%9."/>
      <w:lvlJc w:val="right"/>
      <w:pPr>
        <w:ind w:hanging="180" w:left="7200"/>
      </w:pPr>
    </w:lvl>
  </w:abstractNum>
  <w:abstractNum w:abstractNumId="33">
    <w:nsid w:val="544804CC"/>
    <w:multiLevelType w:val="hybridMultilevel"/>
    <w:tmpl w:val="61961078"/>
    <w:lvl w:ilvl="0" w:tplc="080A0019">
      <w:start w:val="1"/>
      <w:numFmt w:val="lowerLetter"/>
      <w:lvlText w:val="%1."/>
      <w:lvlJc w:val="left"/>
      <w:pPr>
        <w:ind w:hanging="360" w:left="1440"/>
      </w:pPr>
    </w:lvl>
    <w:lvl w:ilvl="1" w:tentative="1" w:tplc="080A0019">
      <w:start w:val="1"/>
      <w:numFmt w:val="lowerLetter"/>
      <w:lvlText w:val="%2."/>
      <w:lvlJc w:val="left"/>
      <w:pPr>
        <w:ind w:hanging="360" w:left="2160"/>
      </w:pPr>
    </w:lvl>
    <w:lvl w:ilvl="2" w:tentative="1" w:tplc="080A001B">
      <w:start w:val="1"/>
      <w:numFmt w:val="lowerRoman"/>
      <w:lvlText w:val="%3."/>
      <w:lvlJc w:val="right"/>
      <w:pPr>
        <w:ind w:hanging="180" w:left="2880"/>
      </w:pPr>
    </w:lvl>
    <w:lvl w:ilvl="3" w:tentative="1" w:tplc="080A000F">
      <w:start w:val="1"/>
      <w:numFmt w:val="decimal"/>
      <w:lvlText w:val="%4."/>
      <w:lvlJc w:val="left"/>
      <w:pPr>
        <w:ind w:hanging="360" w:left="3600"/>
      </w:pPr>
    </w:lvl>
    <w:lvl w:ilvl="4" w:tentative="1" w:tplc="080A0019">
      <w:start w:val="1"/>
      <w:numFmt w:val="lowerLetter"/>
      <w:lvlText w:val="%5."/>
      <w:lvlJc w:val="left"/>
      <w:pPr>
        <w:ind w:hanging="360" w:left="4320"/>
      </w:pPr>
    </w:lvl>
    <w:lvl w:ilvl="5" w:tentative="1" w:tplc="080A001B">
      <w:start w:val="1"/>
      <w:numFmt w:val="lowerRoman"/>
      <w:lvlText w:val="%6."/>
      <w:lvlJc w:val="right"/>
      <w:pPr>
        <w:ind w:hanging="180" w:left="5040"/>
      </w:pPr>
    </w:lvl>
    <w:lvl w:ilvl="6" w:tentative="1" w:tplc="080A000F">
      <w:start w:val="1"/>
      <w:numFmt w:val="decimal"/>
      <w:lvlText w:val="%7."/>
      <w:lvlJc w:val="left"/>
      <w:pPr>
        <w:ind w:hanging="360" w:left="5760"/>
      </w:pPr>
    </w:lvl>
    <w:lvl w:ilvl="7" w:tentative="1" w:tplc="080A0019">
      <w:start w:val="1"/>
      <w:numFmt w:val="lowerLetter"/>
      <w:lvlText w:val="%8."/>
      <w:lvlJc w:val="left"/>
      <w:pPr>
        <w:ind w:hanging="360" w:left="6480"/>
      </w:pPr>
    </w:lvl>
    <w:lvl w:ilvl="8" w:tentative="1" w:tplc="080A001B">
      <w:start w:val="1"/>
      <w:numFmt w:val="lowerRoman"/>
      <w:lvlText w:val="%9."/>
      <w:lvlJc w:val="right"/>
      <w:pPr>
        <w:ind w:hanging="180" w:left="7200"/>
      </w:pPr>
    </w:lvl>
  </w:abstractNum>
  <w:abstractNum w:abstractNumId="34">
    <w:nsid w:val="54AA50AC"/>
    <w:multiLevelType w:val="hybridMultilevel"/>
    <w:tmpl w:val="35B6DD6A"/>
    <w:lvl w:ilvl="0" w:tplc="080A0019">
      <w:start w:val="1"/>
      <w:numFmt w:val="lowerLetter"/>
      <w:lvlText w:val="%1."/>
      <w:lvlJc w:val="left"/>
      <w:pPr>
        <w:ind w:hanging="360" w:left="1440"/>
      </w:pPr>
    </w:lvl>
    <w:lvl w:ilvl="1" w:tentative="1" w:tplc="080A0019">
      <w:start w:val="1"/>
      <w:numFmt w:val="lowerLetter"/>
      <w:lvlText w:val="%2."/>
      <w:lvlJc w:val="left"/>
      <w:pPr>
        <w:ind w:hanging="360" w:left="2160"/>
      </w:pPr>
    </w:lvl>
    <w:lvl w:ilvl="2" w:tentative="1" w:tplc="080A001B">
      <w:start w:val="1"/>
      <w:numFmt w:val="lowerRoman"/>
      <w:lvlText w:val="%3."/>
      <w:lvlJc w:val="right"/>
      <w:pPr>
        <w:ind w:hanging="180" w:left="2880"/>
      </w:pPr>
    </w:lvl>
    <w:lvl w:ilvl="3" w:tentative="1" w:tplc="080A000F">
      <w:start w:val="1"/>
      <w:numFmt w:val="decimal"/>
      <w:lvlText w:val="%4."/>
      <w:lvlJc w:val="left"/>
      <w:pPr>
        <w:ind w:hanging="360" w:left="3600"/>
      </w:pPr>
    </w:lvl>
    <w:lvl w:ilvl="4" w:tentative="1" w:tplc="080A0019">
      <w:start w:val="1"/>
      <w:numFmt w:val="lowerLetter"/>
      <w:lvlText w:val="%5."/>
      <w:lvlJc w:val="left"/>
      <w:pPr>
        <w:ind w:hanging="360" w:left="4320"/>
      </w:pPr>
    </w:lvl>
    <w:lvl w:ilvl="5" w:tentative="1" w:tplc="080A001B">
      <w:start w:val="1"/>
      <w:numFmt w:val="lowerRoman"/>
      <w:lvlText w:val="%6."/>
      <w:lvlJc w:val="right"/>
      <w:pPr>
        <w:ind w:hanging="180" w:left="5040"/>
      </w:pPr>
    </w:lvl>
    <w:lvl w:ilvl="6" w:tentative="1" w:tplc="080A000F">
      <w:start w:val="1"/>
      <w:numFmt w:val="decimal"/>
      <w:lvlText w:val="%7."/>
      <w:lvlJc w:val="left"/>
      <w:pPr>
        <w:ind w:hanging="360" w:left="5760"/>
      </w:pPr>
    </w:lvl>
    <w:lvl w:ilvl="7" w:tentative="1" w:tplc="080A0019">
      <w:start w:val="1"/>
      <w:numFmt w:val="lowerLetter"/>
      <w:lvlText w:val="%8."/>
      <w:lvlJc w:val="left"/>
      <w:pPr>
        <w:ind w:hanging="360" w:left="6480"/>
      </w:pPr>
    </w:lvl>
    <w:lvl w:ilvl="8" w:tentative="1" w:tplc="080A001B">
      <w:start w:val="1"/>
      <w:numFmt w:val="lowerRoman"/>
      <w:lvlText w:val="%9."/>
      <w:lvlJc w:val="right"/>
      <w:pPr>
        <w:ind w:hanging="180" w:left="7200"/>
      </w:pPr>
    </w:lvl>
  </w:abstractNum>
  <w:abstractNum w:abstractNumId="35">
    <w:nsid w:val="57B742D1"/>
    <w:multiLevelType w:val="hybridMultilevel"/>
    <w:tmpl w:val="14DCC1EA"/>
    <w:lvl w:ilvl="0" w:tplc="080A0019">
      <w:start w:val="1"/>
      <w:numFmt w:val="lowerLetter"/>
      <w:lvlText w:val="%1."/>
      <w:lvlJc w:val="left"/>
      <w:pPr>
        <w:ind w:hanging="360" w:left="1440"/>
      </w:pPr>
    </w:lvl>
    <w:lvl w:ilvl="1" w:tentative="1" w:tplc="080A0019">
      <w:start w:val="1"/>
      <w:numFmt w:val="lowerLetter"/>
      <w:lvlText w:val="%2."/>
      <w:lvlJc w:val="left"/>
      <w:pPr>
        <w:ind w:hanging="360" w:left="2160"/>
      </w:pPr>
    </w:lvl>
    <w:lvl w:ilvl="2" w:tentative="1" w:tplc="080A001B">
      <w:start w:val="1"/>
      <w:numFmt w:val="lowerRoman"/>
      <w:lvlText w:val="%3."/>
      <w:lvlJc w:val="right"/>
      <w:pPr>
        <w:ind w:hanging="180" w:left="2880"/>
      </w:pPr>
    </w:lvl>
    <w:lvl w:ilvl="3" w:tentative="1" w:tplc="080A000F">
      <w:start w:val="1"/>
      <w:numFmt w:val="decimal"/>
      <w:lvlText w:val="%4."/>
      <w:lvlJc w:val="left"/>
      <w:pPr>
        <w:ind w:hanging="360" w:left="3600"/>
      </w:pPr>
    </w:lvl>
    <w:lvl w:ilvl="4" w:tentative="1" w:tplc="080A0019">
      <w:start w:val="1"/>
      <w:numFmt w:val="lowerLetter"/>
      <w:lvlText w:val="%5."/>
      <w:lvlJc w:val="left"/>
      <w:pPr>
        <w:ind w:hanging="360" w:left="4320"/>
      </w:pPr>
    </w:lvl>
    <w:lvl w:ilvl="5" w:tentative="1" w:tplc="080A001B">
      <w:start w:val="1"/>
      <w:numFmt w:val="lowerRoman"/>
      <w:lvlText w:val="%6."/>
      <w:lvlJc w:val="right"/>
      <w:pPr>
        <w:ind w:hanging="180" w:left="5040"/>
      </w:pPr>
    </w:lvl>
    <w:lvl w:ilvl="6" w:tentative="1" w:tplc="080A000F">
      <w:start w:val="1"/>
      <w:numFmt w:val="decimal"/>
      <w:lvlText w:val="%7."/>
      <w:lvlJc w:val="left"/>
      <w:pPr>
        <w:ind w:hanging="360" w:left="5760"/>
      </w:pPr>
    </w:lvl>
    <w:lvl w:ilvl="7" w:tentative="1" w:tplc="080A0019">
      <w:start w:val="1"/>
      <w:numFmt w:val="lowerLetter"/>
      <w:lvlText w:val="%8."/>
      <w:lvlJc w:val="left"/>
      <w:pPr>
        <w:ind w:hanging="360" w:left="6480"/>
      </w:pPr>
    </w:lvl>
    <w:lvl w:ilvl="8" w:tentative="1" w:tplc="080A001B">
      <w:start w:val="1"/>
      <w:numFmt w:val="lowerRoman"/>
      <w:lvlText w:val="%9."/>
      <w:lvlJc w:val="right"/>
      <w:pPr>
        <w:ind w:hanging="180" w:left="7200"/>
      </w:pPr>
    </w:lvl>
  </w:abstractNum>
  <w:abstractNum w:abstractNumId="36">
    <w:nsid w:val="58CD6908"/>
    <w:multiLevelType w:val="hybridMultilevel"/>
    <w:tmpl w:val="2AB6DCA4"/>
    <w:lvl w:ilvl="0" w:tplc="080A0019">
      <w:start w:val="1"/>
      <w:numFmt w:val="lowerLetter"/>
      <w:lvlText w:val="%1."/>
      <w:lvlJc w:val="left"/>
      <w:pPr>
        <w:ind w:hanging="360" w:left="1440"/>
      </w:pPr>
    </w:lvl>
    <w:lvl w:ilvl="1" w:tentative="1" w:tplc="080A0019">
      <w:start w:val="1"/>
      <w:numFmt w:val="lowerLetter"/>
      <w:lvlText w:val="%2."/>
      <w:lvlJc w:val="left"/>
      <w:pPr>
        <w:ind w:hanging="360" w:left="2160"/>
      </w:pPr>
    </w:lvl>
    <w:lvl w:ilvl="2" w:tentative="1" w:tplc="080A001B">
      <w:start w:val="1"/>
      <w:numFmt w:val="lowerRoman"/>
      <w:lvlText w:val="%3."/>
      <w:lvlJc w:val="right"/>
      <w:pPr>
        <w:ind w:hanging="180" w:left="2880"/>
      </w:pPr>
    </w:lvl>
    <w:lvl w:ilvl="3" w:tentative="1" w:tplc="080A000F">
      <w:start w:val="1"/>
      <w:numFmt w:val="decimal"/>
      <w:lvlText w:val="%4."/>
      <w:lvlJc w:val="left"/>
      <w:pPr>
        <w:ind w:hanging="360" w:left="3600"/>
      </w:pPr>
    </w:lvl>
    <w:lvl w:ilvl="4" w:tentative="1" w:tplc="080A0019">
      <w:start w:val="1"/>
      <w:numFmt w:val="lowerLetter"/>
      <w:lvlText w:val="%5."/>
      <w:lvlJc w:val="left"/>
      <w:pPr>
        <w:ind w:hanging="360" w:left="4320"/>
      </w:pPr>
    </w:lvl>
    <w:lvl w:ilvl="5" w:tentative="1" w:tplc="080A001B">
      <w:start w:val="1"/>
      <w:numFmt w:val="lowerRoman"/>
      <w:lvlText w:val="%6."/>
      <w:lvlJc w:val="right"/>
      <w:pPr>
        <w:ind w:hanging="180" w:left="5040"/>
      </w:pPr>
    </w:lvl>
    <w:lvl w:ilvl="6" w:tentative="1" w:tplc="080A000F">
      <w:start w:val="1"/>
      <w:numFmt w:val="decimal"/>
      <w:lvlText w:val="%7."/>
      <w:lvlJc w:val="left"/>
      <w:pPr>
        <w:ind w:hanging="360" w:left="5760"/>
      </w:pPr>
    </w:lvl>
    <w:lvl w:ilvl="7" w:tentative="1" w:tplc="080A0019">
      <w:start w:val="1"/>
      <w:numFmt w:val="lowerLetter"/>
      <w:lvlText w:val="%8."/>
      <w:lvlJc w:val="left"/>
      <w:pPr>
        <w:ind w:hanging="360" w:left="6480"/>
      </w:pPr>
    </w:lvl>
    <w:lvl w:ilvl="8" w:tentative="1" w:tplc="080A001B">
      <w:start w:val="1"/>
      <w:numFmt w:val="lowerRoman"/>
      <w:lvlText w:val="%9."/>
      <w:lvlJc w:val="right"/>
      <w:pPr>
        <w:ind w:hanging="180" w:left="7200"/>
      </w:pPr>
    </w:lvl>
  </w:abstractNum>
  <w:abstractNum w:abstractNumId="37">
    <w:nsid w:val="5B8701A5"/>
    <w:multiLevelType w:val="hybridMultilevel"/>
    <w:tmpl w:val="AF62B19E"/>
    <w:lvl w:ilvl="0" w:tplc="080A0019">
      <w:start w:val="1"/>
      <w:numFmt w:val="lowerLetter"/>
      <w:lvlText w:val="%1."/>
      <w:lvlJc w:val="left"/>
      <w:pPr>
        <w:ind w:hanging="360" w:left="1440"/>
      </w:pPr>
    </w:lvl>
    <w:lvl w:ilvl="1" w:tentative="1" w:tplc="080A0019">
      <w:start w:val="1"/>
      <w:numFmt w:val="lowerLetter"/>
      <w:lvlText w:val="%2."/>
      <w:lvlJc w:val="left"/>
      <w:pPr>
        <w:ind w:hanging="360" w:left="2160"/>
      </w:pPr>
    </w:lvl>
    <w:lvl w:ilvl="2" w:tentative="1" w:tplc="080A001B">
      <w:start w:val="1"/>
      <w:numFmt w:val="lowerRoman"/>
      <w:lvlText w:val="%3."/>
      <w:lvlJc w:val="right"/>
      <w:pPr>
        <w:ind w:hanging="180" w:left="2880"/>
      </w:pPr>
    </w:lvl>
    <w:lvl w:ilvl="3" w:tentative="1" w:tplc="080A000F">
      <w:start w:val="1"/>
      <w:numFmt w:val="decimal"/>
      <w:lvlText w:val="%4."/>
      <w:lvlJc w:val="left"/>
      <w:pPr>
        <w:ind w:hanging="360" w:left="3600"/>
      </w:pPr>
    </w:lvl>
    <w:lvl w:ilvl="4" w:tentative="1" w:tplc="080A0019">
      <w:start w:val="1"/>
      <w:numFmt w:val="lowerLetter"/>
      <w:lvlText w:val="%5."/>
      <w:lvlJc w:val="left"/>
      <w:pPr>
        <w:ind w:hanging="360" w:left="4320"/>
      </w:pPr>
    </w:lvl>
    <w:lvl w:ilvl="5" w:tentative="1" w:tplc="080A001B">
      <w:start w:val="1"/>
      <w:numFmt w:val="lowerRoman"/>
      <w:lvlText w:val="%6."/>
      <w:lvlJc w:val="right"/>
      <w:pPr>
        <w:ind w:hanging="180" w:left="5040"/>
      </w:pPr>
    </w:lvl>
    <w:lvl w:ilvl="6" w:tentative="1" w:tplc="080A000F">
      <w:start w:val="1"/>
      <w:numFmt w:val="decimal"/>
      <w:lvlText w:val="%7."/>
      <w:lvlJc w:val="left"/>
      <w:pPr>
        <w:ind w:hanging="360" w:left="5760"/>
      </w:pPr>
    </w:lvl>
    <w:lvl w:ilvl="7" w:tentative="1" w:tplc="080A0019">
      <w:start w:val="1"/>
      <w:numFmt w:val="lowerLetter"/>
      <w:lvlText w:val="%8."/>
      <w:lvlJc w:val="left"/>
      <w:pPr>
        <w:ind w:hanging="360" w:left="6480"/>
      </w:pPr>
    </w:lvl>
    <w:lvl w:ilvl="8" w:tentative="1" w:tplc="080A001B">
      <w:start w:val="1"/>
      <w:numFmt w:val="lowerRoman"/>
      <w:lvlText w:val="%9."/>
      <w:lvlJc w:val="right"/>
      <w:pPr>
        <w:ind w:hanging="180" w:left="7200"/>
      </w:pPr>
    </w:lvl>
  </w:abstractNum>
  <w:abstractNum w:abstractNumId="38">
    <w:nsid w:val="5DB827C7"/>
    <w:multiLevelType w:val="hybridMultilevel"/>
    <w:tmpl w:val="7890B052"/>
    <w:lvl w:ilvl="0" w:tplc="080A0019">
      <w:start w:val="1"/>
      <w:numFmt w:val="lowerLetter"/>
      <w:lvlText w:val="%1."/>
      <w:lvlJc w:val="left"/>
      <w:pPr>
        <w:ind w:hanging="360" w:left="1440"/>
      </w:pPr>
    </w:lvl>
    <w:lvl w:ilvl="1" w:tentative="1" w:tplc="080A0019">
      <w:start w:val="1"/>
      <w:numFmt w:val="lowerLetter"/>
      <w:lvlText w:val="%2."/>
      <w:lvlJc w:val="left"/>
      <w:pPr>
        <w:ind w:hanging="360" w:left="2160"/>
      </w:pPr>
    </w:lvl>
    <w:lvl w:ilvl="2" w:tentative="1" w:tplc="080A001B">
      <w:start w:val="1"/>
      <w:numFmt w:val="lowerRoman"/>
      <w:lvlText w:val="%3."/>
      <w:lvlJc w:val="right"/>
      <w:pPr>
        <w:ind w:hanging="180" w:left="2880"/>
      </w:pPr>
    </w:lvl>
    <w:lvl w:ilvl="3" w:tentative="1" w:tplc="080A000F">
      <w:start w:val="1"/>
      <w:numFmt w:val="decimal"/>
      <w:lvlText w:val="%4."/>
      <w:lvlJc w:val="left"/>
      <w:pPr>
        <w:ind w:hanging="360" w:left="3600"/>
      </w:pPr>
    </w:lvl>
    <w:lvl w:ilvl="4" w:tentative="1" w:tplc="080A0019">
      <w:start w:val="1"/>
      <w:numFmt w:val="lowerLetter"/>
      <w:lvlText w:val="%5."/>
      <w:lvlJc w:val="left"/>
      <w:pPr>
        <w:ind w:hanging="360" w:left="4320"/>
      </w:pPr>
    </w:lvl>
    <w:lvl w:ilvl="5" w:tentative="1" w:tplc="080A001B">
      <w:start w:val="1"/>
      <w:numFmt w:val="lowerRoman"/>
      <w:lvlText w:val="%6."/>
      <w:lvlJc w:val="right"/>
      <w:pPr>
        <w:ind w:hanging="180" w:left="5040"/>
      </w:pPr>
    </w:lvl>
    <w:lvl w:ilvl="6" w:tentative="1" w:tplc="080A000F">
      <w:start w:val="1"/>
      <w:numFmt w:val="decimal"/>
      <w:lvlText w:val="%7."/>
      <w:lvlJc w:val="left"/>
      <w:pPr>
        <w:ind w:hanging="360" w:left="5760"/>
      </w:pPr>
    </w:lvl>
    <w:lvl w:ilvl="7" w:tentative="1" w:tplc="080A0019">
      <w:start w:val="1"/>
      <w:numFmt w:val="lowerLetter"/>
      <w:lvlText w:val="%8."/>
      <w:lvlJc w:val="left"/>
      <w:pPr>
        <w:ind w:hanging="360" w:left="6480"/>
      </w:pPr>
    </w:lvl>
    <w:lvl w:ilvl="8" w:tentative="1" w:tplc="080A001B">
      <w:start w:val="1"/>
      <w:numFmt w:val="lowerRoman"/>
      <w:lvlText w:val="%9."/>
      <w:lvlJc w:val="right"/>
      <w:pPr>
        <w:ind w:hanging="180" w:left="7200"/>
      </w:pPr>
    </w:lvl>
  </w:abstractNum>
  <w:abstractNum w:abstractNumId="39">
    <w:nsid w:val="693273DA"/>
    <w:multiLevelType w:val="hybridMultilevel"/>
    <w:tmpl w:val="935A8374"/>
    <w:lvl w:ilvl="0" w:tplc="080A0019">
      <w:start w:val="1"/>
      <w:numFmt w:val="lowerLetter"/>
      <w:lvlText w:val="%1."/>
      <w:lvlJc w:val="left"/>
      <w:pPr>
        <w:ind w:hanging="360" w:left="1440"/>
      </w:pPr>
    </w:lvl>
    <w:lvl w:ilvl="1" w:tentative="1" w:tplc="080A0019">
      <w:start w:val="1"/>
      <w:numFmt w:val="lowerLetter"/>
      <w:lvlText w:val="%2."/>
      <w:lvlJc w:val="left"/>
      <w:pPr>
        <w:ind w:hanging="360" w:left="2160"/>
      </w:pPr>
    </w:lvl>
    <w:lvl w:ilvl="2" w:tentative="1" w:tplc="080A001B">
      <w:start w:val="1"/>
      <w:numFmt w:val="lowerRoman"/>
      <w:lvlText w:val="%3."/>
      <w:lvlJc w:val="right"/>
      <w:pPr>
        <w:ind w:hanging="180" w:left="2880"/>
      </w:pPr>
    </w:lvl>
    <w:lvl w:ilvl="3" w:tentative="1" w:tplc="080A000F">
      <w:start w:val="1"/>
      <w:numFmt w:val="decimal"/>
      <w:lvlText w:val="%4."/>
      <w:lvlJc w:val="left"/>
      <w:pPr>
        <w:ind w:hanging="360" w:left="3600"/>
      </w:pPr>
    </w:lvl>
    <w:lvl w:ilvl="4" w:tentative="1" w:tplc="080A0019">
      <w:start w:val="1"/>
      <w:numFmt w:val="lowerLetter"/>
      <w:lvlText w:val="%5."/>
      <w:lvlJc w:val="left"/>
      <w:pPr>
        <w:ind w:hanging="360" w:left="4320"/>
      </w:pPr>
    </w:lvl>
    <w:lvl w:ilvl="5" w:tentative="1" w:tplc="080A001B">
      <w:start w:val="1"/>
      <w:numFmt w:val="lowerRoman"/>
      <w:lvlText w:val="%6."/>
      <w:lvlJc w:val="right"/>
      <w:pPr>
        <w:ind w:hanging="180" w:left="5040"/>
      </w:pPr>
    </w:lvl>
    <w:lvl w:ilvl="6" w:tentative="1" w:tplc="080A000F">
      <w:start w:val="1"/>
      <w:numFmt w:val="decimal"/>
      <w:lvlText w:val="%7."/>
      <w:lvlJc w:val="left"/>
      <w:pPr>
        <w:ind w:hanging="360" w:left="5760"/>
      </w:pPr>
    </w:lvl>
    <w:lvl w:ilvl="7" w:tentative="1" w:tplc="080A0019">
      <w:start w:val="1"/>
      <w:numFmt w:val="lowerLetter"/>
      <w:lvlText w:val="%8."/>
      <w:lvlJc w:val="left"/>
      <w:pPr>
        <w:ind w:hanging="360" w:left="6480"/>
      </w:pPr>
    </w:lvl>
    <w:lvl w:ilvl="8" w:tentative="1" w:tplc="080A001B">
      <w:start w:val="1"/>
      <w:numFmt w:val="lowerRoman"/>
      <w:lvlText w:val="%9."/>
      <w:lvlJc w:val="right"/>
      <w:pPr>
        <w:ind w:hanging="180" w:left="7200"/>
      </w:pPr>
    </w:lvl>
  </w:abstractNum>
  <w:abstractNum w:abstractNumId="40">
    <w:nsid w:val="6DE41D04"/>
    <w:multiLevelType w:val="hybridMultilevel"/>
    <w:tmpl w:val="73FAA2A6"/>
    <w:lvl w:ilvl="0" w:tplc="080A0019">
      <w:start w:val="1"/>
      <w:numFmt w:val="lowerLetter"/>
      <w:lvlText w:val="%1."/>
      <w:lvlJc w:val="left"/>
      <w:pPr>
        <w:ind w:hanging="360" w:left="1440"/>
      </w:pPr>
    </w:lvl>
    <w:lvl w:ilvl="1" w:tentative="1" w:tplc="080A0019">
      <w:start w:val="1"/>
      <w:numFmt w:val="lowerLetter"/>
      <w:lvlText w:val="%2."/>
      <w:lvlJc w:val="left"/>
      <w:pPr>
        <w:ind w:hanging="360" w:left="2160"/>
      </w:pPr>
    </w:lvl>
    <w:lvl w:ilvl="2" w:tentative="1" w:tplc="080A001B">
      <w:start w:val="1"/>
      <w:numFmt w:val="lowerRoman"/>
      <w:lvlText w:val="%3."/>
      <w:lvlJc w:val="right"/>
      <w:pPr>
        <w:ind w:hanging="180" w:left="2880"/>
      </w:pPr>
    </w:lvl>
    <w:lvl w:ilvl="3" w:tentative="1" w:tplc="080A000F">
      <w:start w:val="1"/>
      <w:numFmt w:val="decimal"/>
      <w:lvlText w:val="%4."/>
      <w:lvlJc w:val="left"/>
      <w:pPr>
        <w:ind w:hanging="360" w:left="3600"/>
      </w:pPr>
    </w:lvl>
    <w:lvl w:ilvl="4" w:tentative="1" w:tplc="080A0019">
      <w:start w:val="1"/>
      <w:numFmt w:val="lowerLetter"/>
      <w:lvlText w:val="%5."/>
      <w:lvlJc w:val="left"/>
      <w:pPr>
        <w:ind w:hanging="360" w:left="4320"/>
      </w:pPr>
    </w:lvl>
    <w:lvl w:ilvl="5" w:tentative="1" w:tplc="080A001B">
      <w:start w:val="1"/>
      <w:numFmt w:val="lowerRoman"/>
      <w:lvlText w:val="%6."/>
      <w:lvlJc w:val="right"/>
      <w:pPr>
        <w:ind w:hanging="180" w:left="5040"/>
      </w:pPr>
    </w:lvl>
    <w:lvl w:ilvl="6" w:tentative="1" w:tplc="080A000F">
      <w:start w:val="1"/>
      <w:numFmt w:val="decimal"/>
      <w:lvlText w:val="%7."/>
      <w:lvlJc w:val="left"/>
      <w:pPr>
        <w:ind w:hanging="360" w:left="5760"/>
      </w:pPr>
    </w:lvl>
    <w:lvl w:ilvl="7" w:tentative="1" w:tplc="080A0019">
      <w:start w:val="1"/>
      <w:numFmt w:val="lowerLetter"/>
      <w:lvlText w:val="%8."/>
      <w:lvlJc w:val="left"/>
      <w:pPr>
        <w:ind w:hanging="360" w:left="6480"/>
      </w:pPr>
    </w:lvl>
    <w:lvl w:ilvl="8" w:tentative="1" w:tplc="080A001B">
      <w:start w:val="1"/>
      <w:numFmt w:val="lowerRoman"/>
      <w:lvlText w:val="%9."/>
      <w:lvlJc w:val="right"/>
      <w:pPr>
        <w:ind w:hanging="180" w:left="7200"/>
      </w:pPr>
    </w:lvl>
  </w:abstractNum>
  <w:abstractNum w:abstractNumId="41">
    <w:nsid w:val="6EF27F06"/>
    <w:multiLevelType w:val="hybridMultilevel"/>
    <w:tmpl w:val="B6822368"/>
    <w:lvl w:ilvl="0" w:tplc="080A0019">
      <w:start w:val="1"/>
      <w:numFmt w:val="lowerLetter"/>
      <w:lvlText w:val="%1."/>
      <w:lvlJc w:val="left"/>
      <w:pPr>
        <w:ind w:hanging="360" w:left="1440"/>
      </w:pPr>
    </w:lvl>
    <w:lvl w:ilvl="1" w:tentative="1" w:tplc="080A0019">
      <w:start w:val="1"/>
      <w:numFmt w:val="lowerLetter"/>
      <w:lvlText w:val="%2."/>
      <w:lvlJc w:val="left"/>
      <w:pPr>
        <w:ind w:hanging="360" w:left="2160"/>
      </w:pPr>
    </w:lvl>
    <w:lvl w:ilvl="2" w:tentative="1" w:tplc="080A001B">
      <w:start w:val="1"/>
      <w:numFmt w:val="lowerRoman"/>
      <w:lvlText w:val="%3."/>
      <w:lvlJc w:val="right"/>
      <w:pPr>
        <w:ind w:hanging="180" w:left="2880"/>
      </w:pPr>
    </w:lvl>
    <w:lvl w:ilvl="3" w:tentative="1" w:tplc="080A000F">
      <w:start w:val="1"/>
      <w:numFmt w:val="decimal"/>
      <w:lvlText w:val="%4."/>
      <w:lvlJc w:val="left"/>
      <w:pPr>
        <w:ind w:hanging="360" w:left="3600"/>
      </w:pPr>
    </w:lvl>
    <w:lvl w:ilvl="4" w:tentative="1" w:tplc="080A0019">
      <w:start w:val="1"/>
      <w:numFmt w:val="lowerLetter"/>
      <w:lvlText w:val="%5."/>
      <w:lvlJc w:val="left"/>
      <w:pPr>
        <w:ind w:hanging="360" w:left="4320"/>
      </w:pPr>
    </w:lvl>
    <w:lvl w:ilvl="5" w:tentative="1" w:tplc="080A001B">
      <w:start w:val="1"/>
      <w:numFmt w:val="lowerRoman"/>
      <w:lvlText w:val="%6."/>
      <w:lvlJc w:val="right"/>
      <w:pPr>
        <w:ind w:hanging="180" w:left="5040"/>
      </w:pPr>
    </w:lvl>
    <w:lvl w:ilvl="6" w:tentative="1" w:tplc="080A000F">
      <w:start w:val="1"/>
      <w:numFmt w:val="decimal"/>
      <w:lvlText w:val="%7."/>
      <w:lvlJc w:val="left"/>
      <w:pPr>
        <w:ind w:hanging="360" w:left="5760"/>
      </w:pPr>
    </w:lvl>
    <w:lvl w:ilvl="7" w:tentative="1" w:tplc="080A0019">
      <w:start w:val="1"/>
      <w:numFmt w:val="lowerLetter"/>
      <w:lvlText w:val="%8."/>
      <w:lvlJc w:val="left"/>
      <w:pPr>
        <w:ind w:hanging="360" w:left="6480"/>
      </w:pPr>
    </w:lvl>
    <w:lvl w:ilvl="8" w:tentative="1" w:tplc="080A001B">
      <w:start w:val="1"/>
      <w:numFmt w:val="lowerRoman"/>
      <w:lvlText w:val="%9."/>
      <w:lvlJc w:val="right"/>
      <w:pPr>
        <w:ind w:hanging="180" w:left="7200"/>
      </w:pPr>
    </w:lvl>
  </w:abstractNum>
  <w:abstractNum w:abstractNumId="42">
    <w:nsid w:val="70F068AF"/>
    <w:multiLevelType w:val="hybridMultilevel"/>
    <w:tmpl w:val="CFC4444C"/>
    <w:lvl w:ilvl="0" w:tplc="080A0019">
      <w:start w:val="1"/>
      <w:numFmt w:val="lowerLetter"/>
      <w:lvlText w:val="%1."/>
      <w:lvlJc w:val="left"/>
      <w:pPr>
        <w:ind w:hanging="360" w:left="1440"/>
      </w:pPr>
    </w:lvl>
    <w:lvl w:ilvl="1" w:tentative="1" w:tplc="080A0019">
      <w:start w:val="1"/>
      <w:numFmt w:val="lowerLetter"/>
      <w:lvlText w:val="%2."/>
      <w:lvlJc w:val="left"/>
      <w:pPr>
        <w:ind w:hanging="360" w:left="2160"/>
      </w:pPr>
    </w:lvl>
    <w:lvl w:ilvl="2" w:tentative="1" w:tplc="080A001B">
      <w:start w:val="1"/>
      <w:numFmt w:val="lowerRoman"/>
      <w:lvlText w:val="%3."/>
      <w:lvlJc w:val="right"/>
      <w:pPr>
        <w:ind w:hanging="180" w:left="2880"/>
      </w:pPr>
    </w:lvl>
    <w:lvl w:ilvl="3" w:tentative="1" w:tplc="080A000F">
      <w:start w:val="1"/>
      <w:numFmt w:val="decimal"/>
      <w:lvlText w:val="%4."/>
      <w:lvlJc w:val="left"/>
      <w:pPr>
        <w:ind w:hanging="360" w:left="3600"/>
      </w:pPr>
    </w:lvl>
    <w:lvl w:ilvl="4" w:tentative="1" w:tplc="080A0019">
      <w:start w:val="1"/>
      <w:numFmt w:val="lowerLetter"/>
      <w:lvlText w:val="%5."/>
      <w:lvlJc w:val="left"/>
      <w:pPr>
        <w:ind w:hanging="360" w:left="4320"/>
      </w:pPr>
    </w:lvl>
    <w:lvl w:ilvl="5" w:tentative="1" w:tplc="080A001B">
      <w:start w:val="1"/>
      <w:numFmt w:val="lowerRoman"/>
      <w:lvlText w:val="%6."/>
      <w:lvlJc w:val="right"/>
      <w:pPr>
        <w:ind w:hanging="180" w:left="5040"/>
      </w:pPr>
    </w:lvl>
    <w:lvl w:ilvl="6" w:tentative="1" w:tplc="080A000F">
      <w:start w:val="1"/>
      <w:numFmt w:val="decimal"/>
      <w:lvlText w:val="%7."/>
      <w:lvlJc w:val="left"/>
      <w:pPr>
        <w:ind w:hanging="360" w:left="5760"/>
      </w:pPr>
    </w:lvl>
    <w:lvl w:ilvl="7" w:tentative="1" w:tplc="080A0019">
      <w:start w:val="1"/>
      <w:numFmt w:val="lowerLetter"/>
      <w:lvlText w:val="%8."/>
      <w:lvlJc w:val="left"/>
      <w:pPr>
        <w:ind w:hanging="360" w:left="6480"/>
      </w:pPr>
    </w:lvl>
    <w:lvl w:ilvl="8" w:tentative="1" w:tplc="080A001B">
      <w:start w:val="1"/>
      <w:numFmt w:val="lowerRoman"/>
      <w:lvlText w:val="%9."/>
      <w:lvlJc w:val="right"/>
      <w:pPr>
        <w:ind w:hanging="180" w:left="7200"/>
      </w:pPr>
    </w:lvl>
  </w:abstractNum>
  <w:abstractNum w:abstractNumId="43">
    <w:nsid w:val="73833852"/>
    <w:multiLevelType w:val="hybridMultilevel"/>
    <w:tmpl w:val="E34A5114"/>
    <w:lvl w:ilvl="0" w:tplc="080A0013">
      <w:start w:val="1"/>
      <w:numFmt w:val="upperRoman"/>
      <w:lvlText w:val="%1."/>
      <w:lvlJc w:val="right"/>
      <w:pPr>
        <w:ind w:hanging="360" w:left="2160"/>
      </w:pPr>
    </w:lvl>
    <w:lvl w:ilvl="1" w:tentative="1" w:tplc="080A0019">
      <w:start w:val="1"/>
      <w:numFmt w:val="lowerLetter"/>
      <w:lvlText w:val="%2."/>
      <w:lvlJc w:val="left"/>
      <w:pPr>
        <w:ind w:hanging="360" w:left="2880"/>
      </w:pPr>
    </w:lvl>
    <w:lvl w:ilvl="2" w:tentative="1" w:tplc="080A001B">
      <w:start w:val="1"/>
      <w:numFmt w:val="lowerRoman"/>
      <w:lvlText w:val="%3."/>
      <w:lvlJc w:val="right"/>
      <w:pPr>
        <w:ind w:hanging="180" w:left="3600"/>
      </w:pPr>
    </w:lvl>
    <w:lvl w:ilvl="3" w:tentative="1" w:tplc="080A000F">
      <w:start w:val="1"/>
      <w:numFmt w:val="decimal"/>
      <w:lvlText w:val="%4."/>
      <w:lvlJc w:val="left"/>
      <w:pPr>
        <w:ind w:hanging="360" w:left="4320"/>
      </w:pPr>
    </w:lvl>
    <w:lvl w:ilvl="4" w:tentative="1" w:tplc="080A0019">
      <w:start w:val="1"/>
      <w:numFmt w:val="lowerLetter"/>
      <w:lvlText w:val="%5."/>
      <w:lvlJc w:val="left"/>
      <w:pPr>
        <w:ind w:hanging="360" w:left="5040"/>
      </w:pPr>
    </w:lvl>
    <w:lvl w:ilvl="5" w:tentative="1" w:tplc="080A001B">
      <w:start w:val="1"/>
      <w:numFmt w:val="lowerRoman"/>
      <w:lvlText w:val="%6."/>
      <w:lvlJc w:val="right"/>
      <w:pPr>
        <w:ind w:hanging="180" w:left="5760"/>
      </w:pPr>
    </w:lvl>
    <w:lvl w:ilvl="6" w:tentative="1" w:tplc="080A000F">
      <w:start w:val="1"/>
      <w:numFmt w:val="decimal"/>
      <w:lvlText w:val="%7."/>
      <w:lvlJc w:val="left"/>
      <w:pPr>
        <w:ind w:hanging="360" w:left="6480"/>
      </w:pPr>
    </w:lvl>
    <w:lvl w:ilvl="7" w:tentative="1" w:tplc="080A0019">
      <w:start w:val="1"/>
      <w:numFmt w:val="lowerLetter"/>
      <w:lvlText w:val="%8."/>
      <w:lvlJc w:val="left"/>
      <w:pPr>
        <w:ind w:hanging="360" w:left="7200"/>
      </w:pPr>
    </w:lvl>
    <w:lvl w:ilvl="8" w:tentative="1" w:tplc="080A001B">
      <w:start w:val="1"/>
      <w:numFmt w:val="lowerRoman"/>
      <w:lvlText w:val="%9."/>
      <w:lvlJc w:val="right"/>
      <w:pPr>
        <w:ind w:hanging="180" w:left="7920"/>
      </w:pPr>
    </w:lvl>
  </w:abstractNum>
  <w:abstractNum w:abstractNumId="44">
    <w:nsid w:val="76DB703E"/>
    <w:multiLevelType w:val="hybridMultilevel"/>
    <w:tmpl w:val="99A602BE"/>
    <w:lvl w:ilvl="0" w:tplc="080A0019">
      <w:start w:val="1"/>
      <w:numFmt w:val="lowerLetter"/>
      <w:lvlText w:val="%1."/>
      <w:lvlJc w:val="left"/>
      <w:pPr>
        <w:ind w:hanging="360" w:left="1440"/>
      </w:pPr>
    </w:lvl>
    <w:lvl w:ilvl="1" w:tentative="1" w:tplc="080A0019">
      <w:start w:val="1"/>
      <w:numFmt w:val="lowerLetter"/>
      <w:lvlText w:val="%2."/>
      <w:lvlJc w:val="left"/>
      <w:pPr>
        <w:ind w:hanging="360" w:left="2160"/>
      </w:pPr>
    </w:lvl>
    <w:lvl w:ilvl="2" w:tentative="1" w:tplc="080A001B">
      <w:start w:val="1"/>
      <w:numFmt w:val="lowerRoman"/>
      <w:lvlText w:val="%3."/>
      <w:lvlJc w:val="right"/>
      <w:pPr>
        <w:ind w:hanging="180" w:left="2880"/>
      </w:pPr>
    </w:lvl>
    <w:lvl w:ilvl="3" w:tentative="1" w:tplc="080A000F">
      <w:start w:val="1"/>
      <w:numFmt w:val="decimal"/>
      <w:lvlText w:val="%4."/>
      <w:lvlJc w:val="left"/>
      <w:pPr>
        <w:ind w:hanging="360" w:left="3600"/>
      </w:pPr>
    </w:lvl>
    <w:lvl w:ilvl="4" w:tentative="1" w:tplc="080A0019">
      <w:start w:val="1"/>
      <w:numFmt w:val="lowerLetter"/>
      <w:lvlText w:val="%5."/>
      <w:lvlJc w:val="left"/>
      <w:pPr>
        <w:ind w:hanging="360" w:left="4320"/>
      </w:pPr>
    </w:lvl>
    <w:lvl w:ilvl="5" w:tentative="1" w:tplc="080A001B">
      <w:start w:val="1"/>
      <w:numFmt w:val="lowerRoman"/>
      <w:lvlText w:val="%6."/>
      <w:lvlJc w:val="right"/>
      <w:pPr>
        <w:ind w:hanging="180" w:left="5040"/>
      </w:pPr>
    </w:lvl>
    <w:lvl w:ilvl="6" w:tentative="1" w:tplc="080A000F">
      <w:start w:val="1"/>
      <w:numFmt w:val="decimal"/>
      <w:lvlText w:val="%7."/>
      <w:lvlJc w:val="left"/>
      <w:pPr>
        <w:ind w:hanging="360" w:left="5760"/>
      </w:pPr>
    </w:lvl>
    <w:lvl w:ilvl="7" w:tentative="1" w:tplc="080A0019">
      <w:start w:val="1"/>
      <w:numFmt w:val="lowerLetter"/>
      <w:lvlText w:val="%8."/>
      <w:lvlJc w:val="left"/>
      <w:pPr>
        <w:ind w:hanging="360" w:left="6480"/>
      </w:pPr>
    </w:lvl>
    <w:lvl w:ilvl="8" w:tentative="1" w:tplc="080A001B">
      <w:start w:val="1"/>
      <w:numFmt w:val="lowerRoman"/>
      <w:lvlText w:val="%9."/>
      <w:lvlJc w:val="right"/>
      <w:pPr>
        <w:ind w:hanging="180" w:left="7200"/>
      </w:pPr>
    </w:lvl>
  </w:abstractNum>
  <w:abstractNum w:abstractNumId="45">
    <w:nsid w:val="77BD71E4"/>
    <w:multiLevelType w:val="hybridMultilevel"/>
    <w:tmpl w:val="F9DE49DE"/>
    <w:lvl w:ilvl="0" w:tplc="080A0019">
      <w:start w:val="1"/>
      <w:numFmt w:val="lowerLetter"/>
      <w:lvlText w:val="%1."/>
      <w:lvlJc w:val="left"/>
      <w:pPr>
        <w:ind w:hanging="360" w:left="1440"/>
      </w:pPr>
    </w:lvl>
    <w:lvl w:ilvl="1" w:tentative="1" w:tplc="080A0019">
      <w:start w:val="1"/>
      <w:numFmt w:val="lowerLetter"/>
      <w:lvlText w:val="%2."/>
      <w:lvlJc w:val="left"/>
      <w:pPr>
        <w:ind w:hanging="360" w:left="2160"/>
      </w:pPr>
    </w:lvl>
    <w:lvl w:ilvl="2" w:tentative="1" w:tplc="080A001B">
      <w:start w:val="1"/>
      <w:numFmt w:val="lowerRoman"/>
      <w:lvlText w:val="%3."/>
      <w:lvlJc w:val="right"/>
      <w:pPr>
        <w:ind w:hanging="180" w:left="2880"/>
      </w:pPr>
    </w:lvl>
    <w:lvl w:ilvl="3" w:tentative="1" w:tplc="080A000F">
      <w:start w:val="1"/>
      <w:numFmt w:val="decimal"/>
      <w:lvlText w:val="%4."/>
      <w:lvlJc w:val="left"/>
      <w:pPr>
        <w:ind w:hanging="360" w:left="3600"/>
      </w:pPr>
    </w:lvl>
    <w:lvl w:ilvl="4" w:tentative="1" w:tplc="080A0019">
      <w:start w:val="1"/>
      <w:numFmt w:val="lowerLetter"/>
      <w:lvlText w:val="%5."/>
      <w:lvlJc w:val="left"/>
      <w:pPr>
        <w:ind w:hanging="360" w:left="4320"/>
      </w:pPr>
    </w:lvl>
    <w:lvl w:ilvl="5" w:tentative="1" w:tplc="080A001B">
      <w:start w:val="1"/>
      <w:numFmt w:val="lowerRoman"/>
      <w:lvlText w:val="%6."/>
      <w:lvlJc w:val="right"/>
      <w:pPr>
        <w:ind w:hanging="180" w:left="5040"/>
      </w:pPr>
    </w:lvl>
    <w:lvl w:ilvl="6" w:tentative="1" w:tplc="080A000F">
      <w:start w:val="1"/>
      <w:numFmt w:val="decimal"/>
      <w:lvlText w:val="%7."/>
      <w:lvlJc w:val="left"/>
      <w:pPr>
        <w:ind w:hanging="360" w:left="5760"/>
      </w:pPr>
    </w:lvl>
    <w:lvl w:ilvl="7" w:tentative="1" w:tplc="080A0019">
      <w:start w:val="1"/>
      <w:numFmt w:val="lowerLetter"/>
      <w:lvlText w:val="%8."/>
      <w:lvlJc w:val="left"/>
      <w:pPr>
        <w:ind w:hanging="360" w:left="6480"/>
      </w:pPr>
    </w:lvl>
    <w:lvl w:ilvl="8" w:tentative="1" w:tplc="080A001B">
      <w:start w:val="1"/>
      <w:numFmt w:val="lowerRoman"/>
      <w:lvlText w:val="%9."/>
      <w:lvlJc w:val="right"/>
      <w:pPr>
        <w:ind w:hanging="180" w:left="7200"/>
      </w:pPr>
    </w:lvl>
  </w:abstractNum>
  <w:abstractNum w:abstractNumId="46">
    <w:nsid w:val="77EE2721"/>
    <w:multiLevelType w:val="hybridMultilevel"/>
    <w:tmpl w:val="2B8C220E"/>
    <w:lvl w:ilvl="0" w:tplc="080A0017">
      <w:start w:val="1"/>
      <w:numFmt w:val="lowerLetter"/>
      <w:lvlText w:val="%1)"/>
      <w:lvlJc w:val="left"/>
      <w:pPr>
        <w:ind w:hanging="360" w:left="720"/>
      </w:pPr>
      <w:rPr>
        <w:rFonts w:hint="default"/>
      </w:rPr>
    </w:lvl>
    <w:lvl w:ilvl="1" w:tentative="1" w:tplc="080A0019">
      <w:start w:val="1"/>
      <w:numFmt w:val="lowerLetter"/>
      <w:lvlText w:val="%2."/>
      <w:lvlJc w:val="left"/>
      <w:pPr>
        <w:ind w:hanging="360" w:left="1440"/>
      </w:pPr>
    </w:lvl>
    <w:lvl w:ilvl="2" w:tentative="1" w:tplc="080A001B">
      <w:start w:val="1"/>
      <w:numFmt w:val="lowerRoman"/>
      <w:lvlText w:val="%3."/>
      <w:lvlJc w:val="right"/>
      <w:pPr>
        <w:ind w:hanging="180" w:left="2160"/>
      </w:pPr>
    </w:lvl>
    <w:lvl w:ilvl="3" w:tentative="1" w:tplc="080A000F">
      <w:start w:val="1"/>
      <w:numFmt w:val="decimal"/>
      <w:lvlText w:val="%4."/>
      <w:lvlJc w:val="left"/>
      <w:pPr>
        <w:ind w:hanging="360" w:left="2880"/>
      </w:pPr>
    </w:lvl>
    <w:lvl w:ilvl="4" w:tentative="1" w:tplc="080A0019">
      <w:start w:val="1"/>
      <w:numFmt w:val="lowerLetter"/>
      <w:lvlText w:val="%5."/>
      <w:lvlJc w:val="left"/>
      <w:pPr>
        <w:ind w:hanging="360" w:left="3600"/>
      </w:pPr>
    </w:lvl>
    <w:lvl w:ilvl="5" w:tentative="1" w:tplc="080A001B">
      <w:start w:val="1"/>
      <w:numFmt w:val="lowerRoman"/>
      <w:lvlText w:val="%6."/>
      <w:lvlJc w:val="right"/>
      <w:pPr>
        <w:ind w:hanging="180" w:left="4320"/>
      </w:pPr>
    </w:lvl>
    <w:lvl w:ilvl="6" w:tentative="1" w:tplc="080A000F">
      <w:start w:val="1"/>
      <w:numFmt w:val="decimal"/>
      <w:lvlText w:val="%7."/>
      <w:lvlJc w:val="left"/>
      <w:pPr>
        <w:ind w:hanging="360" w:left="5040"/>
      </w:pPr>
    </w:lvl>
    <w:lvl w:ilvl="7" w:tentative="1" w:tplc="080A0019">
      <w:start w:val="1"/>
      <w:numFmt w:val="lowerLetter"/>
      <w:lvlText w:val="%8."/>
      <w:lvlJc w:val="left"/>
      <w:pPr>
        <w:ind w:hanging="360" w:left="5760"/>
      </w:pPr>
    </w:lvl>
    <w:lvl w:ilvl="8" w:tentative="1" w:tplc="080A001B">
      <w:start w:val="1"/>
      <w:numFmt w:val="lowerRoman"/>
      <w:lvlText w:val="%9."/>
      <w:lvlJc w:val="right"/>
      <w:pPr>
        <w:ind w:hanging="180" w:left="6480"/>
      </w:pPr>
    </w:lvl>
  </w:abstractNum>
  <w:abstractNum w:abstractNumId="47">
    <w:nsid w:val="7A002AF3"/>
    <w:multiLevelType w:val="hybridMultilevel"/>
    <w:tmpl w:val="DE2E1D0E"/>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abstractNumId="48">
    <w:nsid w:val="7E456059"/>
    <w:multiLevelType w:val="hybridMultilevel"/>
    <w:tmpl w:val="F1E80866"/>
    <w:lvl w:ilvl="0" w:tplc="080A0019">
      <w:start w:val="1"/>
      <w:numFmt w:val="lowerLetter"/>
      <w:lvlText w:val="%1."/>
      <w:lvlJc w:val="left"/>
      <w:pPr>
        <w:ind w:hanging="360" w:left="1440"/>
      </w:pPr>
    </w:lvl>
    <w:lvl w:ilvl="1" w:tentative="1" w:tplc="080A0019">
      <w:start w:val="1"/>
      <w:numFmt w:val="lowerLetter"/>
      <w:lvlText w:val="%2."/>
      <w:lvlJc w:val="left"/>
      <w:pPr>
        <w:ind w:hanging="360" w:left="2160"/>
      </w:pPr>
    </w:lvl>
    <w:lvl w:ilvl="2" w:tentative="1" w:tplc="080A001B">
      <w:start w:val="1"/>
      <w:numFmt w:val="lowerRoman"/>
      <w:lvlText w:val="%3."/>
      <w:lvlJc w:val="right"/>
      <w:pPr>
        <w:ind w:hanging="180" w:left="2880"/>
      </w:pPr>
    </w:lvl>
    <w:lvl w:ilvl="3" w:tentative="1" w:tplc="080A000F">
      <w:start w:val="1"/>
      <w:numFmt w:val="decimal"/>
      <w:lvlText w:val="%4."/>
      <w:lvlJc w:val="left"/>
      <w:pPr>
        <w:ind w:hanging="360" w:left="3600"/>
      </w:pPr>
    </w:lvl>
    <w:lvl w:ilvl="4" w:tentative="1" w:tplc="080A0019">
      <w:start w:val="1"/>
      <w:numFmt w:val="lowerLetter"/>
      <w:lvlText w:val="%5."/>
      <w:lvlJc w:val="left"/>
      <w:pPr>
        <w:ind w:hanging="360" w:left="4320"/>
      </w:pPr>
    </w:lvl>
    <w:lvl w:ilvl="5" w:tentative="1" w:tplc="080A001B">
      <w:start w:val="1"/>
      <w:numFmt w:val="lowerRoman"/>
      <w:lvlText w:val="%6."/>
      <w:lvlJc w:val="right"/>
      <w:pPr>
        <w:ind w:hanging="180" w:left="5040"/>
      </w:pPr>
    </w:lvl>
    <w:lvl w:ilvl="6" w:tentative="1" w:tplc="080A000F">
      <w:start w:val="1"/>
      <w:numFmt w:val="decimal"/>
      <w:lvlText w:val="%7."/>
      <w:lvlJc w:val="left"/>
      <w:pPr>
        <w:ind w:hanging="360" w:left="5760"/>
      </w:pPr>
    </w:lvl>
    <w:lvl w:ilvl="7" w:tentative="1" w:tplc="080A0019">
      <w:start w:val="1"/>
      <w:numFmt w:val="lowerLetter"/>
      <w:lvlText w:val="%8."/>
      <w:lvlJc w:val="left"/>
      <w:pPr>
        <w:ind w:hanging="360" w:left="6480"/>
      </w:pPr>
    </w:lvl>
    <w:lvl w:ilvl="8" w:tentative="1" w:tplc="080A001B">
      <w:start w:val="1"/>
      <w:numFmt w:val="lowerRoman"/>
      <w:lvlText w:val="%9."/>
      <w:lvlJc w:val="right"/>
      <w:pPr>
        <w:ind w:hanging="180" w:left="7200"/>
      </w:pPr>
    </w:lvl>
  </w:abstractNum>
  <w:abstractNum w:abstractNumId="49">
    <w:nsid w:val="7F182330"/>
    <w:multiLevelType w:val="hybridMultilevel"/>
    <w:tmpl w:val="6890D2C2"/>
    <w:lvl w:ilvl="0" w:tplc="D276A24A">
      <w:start w:val="1"/>
      <w:numFmt w:val="decimal"/>
      <w:lvlText w:val="%1."/>
      <w:lvlJc w:val="left"/>
      <w:pPr>
        <w:ind w:hanging="360" w:left="720"/>
      </w:pPr>
      <w:rPr>
        <w:i w:val="0"/>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49"/>
  </w:num>
  <w:num w:numId="2">
    <w:abstractNumId w:val="26"/>
  </w:num>
  <w:num w:numId="3">
    <w:abstractNumId w:val="3"/>
  </w:num>
  <w:num w:numId="4">
    <w:abstractNumId w:val="7"/>
  </w:num>
  <w:num w:numId="5">
    <w:abstractNumId w:val="48"/>
  </w:num>
  <w:num w:numId="6">
    <w:abstractNumId w:val="8"/>
  </w:num>
  <w:num w:numId="7">
    <w:abstractNumId w:val="30"/>
  </w:num>
  <w:num w:numId="8">
    <w:abstractNumId w:val="44"/>
  </w:num>
  <w:num w:numId="9">
    <w:abstractNumId w:val="12"/>
  </w:num>
  <w:num w:numId="10">
    <w:abstractNumId w:val="39"/>
  </w:num>
  <w:num w:numId="11">
    <w:abstractNumId w:val="20"/>
  </w:num>
  <w:num w:numId="12">
    <w:abstractNumId w:val="36"/>
  </w:num>
  <w:num w:numId="13">
    <w:abstractNumId w:val="45"/>
  </w:num>
  <w:num w:numId="14">
    <w:abstractNumId w:val="10"/>
  </w:num>
  <w:num w:numId="15">
    <w:abstractNumId w:val="42"/>
  </w:num>
  <w:num w:numId="16">
    <w:abstractNumId w:val="43"/>
  </w:num>
  <w:num w:numId="17">
    <w:abstractNumId w:val="18"/>
  </w:num>
  <w:num w:numId="18">
    <w:abstractNumId w:val="22"/>
  </w:num>
  <w:num w:numId="19">
    <w:abstractNumId w:val="16"/>
  </w:num>
  <w:num w:numId="20">
    <w:abstractNumId w:val="21"/>
  </w:num>
  <w:num w:numId="21">
    <w:abstractNumId w:val="9"/>
  </w:num>
  <w:num w:numId="22">
    <w:abstractNumId w:val="34"/>
  </w:num>
  <w:num w:numId="23">
    <w:abstractNumId w:val="37"/>
  </w:num>
  <w:num w:numId="24">
    <w:abstractNumId w:val="1"/>
  </w:num>
  <w:num w:numId="25">
    <w:abstractNumId w:val="13"/>
  </w:num>
  <w:num w:numId="26">
    <w:abstractNumId w:val="33"/>
  </w:num>
  <w:num w:numId="27">
    <w:abstractNumId w:val="11"/>
  </w:num>
  <w:num w:numId="28">
    <w:abstractNumId w:val="15"/>
  </w:num>
  <w:num w:numId="29">
    <w:abstractNumId w:val="38"/>
  </w:num>
  <w:num w:numId="30">
    <w:abstractNumId w:val="31"/>
  </w:num>
  <w:num w:numId="31">
    <w:abstractNumId w:val="28"/>
  </w:num>
  <w:num w:numId="32">
    <w:abstractNumId w:val="41"/>
  </w:num>
  <w:num w:numId="33">
    <w:abstractNumId w:val="32"/>
  </w:num>
  <w:num w:numId="34">
    <w:abstractNumId w:val="35"/>
  </w:num>
  <w:num w:numId="35">
    <w:abstractNumId w:val="24"/>
  </w:num>
  <w:num w:numId="36">
    <w:abstractNumId w:val="40"/>
  </w:num>
  <w:num w:numId="37">
    <w:abstractNumId w:val="23"/>
  </w:num>
  <w:num w:numId="38">
    <w:abstractNumId w:val="27"/>
  </w:num>
  <w:num w:numId="39">
    <w:abstractNumId w:val="14"/>
  </w:num>
  <w:num w:numId="40">
    <w:abstractNumId w:val="2"/>
  </w:num>
  <w:num w:numId="41">
    <w:abstractNumId w:val="17"/>
  </w:num>
  <w:num w:numId="42">
    <w:abstractNumId w:val="19"/>
  </w:num>
  <w:num w:numId="43">
    <w:abstractNumId w:val="6"/>
  </w:num>
  <w:num w:numId="44">
    <w:abstractNumId w:val="25"/>
  </w:num>
  <w:num w:numId="45">
    <w:abstractNumId w:val="4"/>
  </w:num>
  <w:num w:numId="46">
    <w:abstractNumId w:val="47"/>
  </w:num>
  <w:num w:numId="47">
    <w:abstractNumId w:val="0"/>
  </w:num>
  <w:num w:numId="48">
    <w:abstractNumId w:val="5"/>
  </w:num>
  <w:num w:numId="49">
    <w:abstractNumId w:val="46"/>
  </w:num>
  <w:num w:numId="50">
    <w:abstractNumId w:val="29"/>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80"/>
  <w:embedSystemFonts/>
  <w:proofState w:grammar="clean" w:spelling="clean"/>
  <w:stylePaneFormatFilter w:val="0004"/>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3" v:ext="edit"/>
    <o:shapelayout v:ext="edit">
      <o:idmap data="2" v:ext="edit"/>
    </o:shapelayout>
  </w:hdrShapeDefaults>
  <w:compat/>
  <w:rsids>
    <w:rsidRoot w:val="00A37FDF"/>
    <w:rsid w:val="00007135"/>
    <w:rsid w:val="00013C0F"/>
    <w:rsid w:val="00015630"/>
    <w:rsid w:val="0002237F"/>
    <w:rsid w:val="00024262"/>
    <w:rsid w:val="000246C1"/>
    <w:rsid w:val="000409CC"/>
    <w:rsid w:val="000419AD"/>
    <w:rsid w:val="00053F20"/>
    <w:rsid w:val="000577DD"/>
    <w:rsid w:val="000661DB"/>
    <w:rsid w:val="00067BBB"/>
    <w:rsid w:val="00080A9A"/>
    <w:rsid w:val="00084A02"/>
    <w:rsid w:val="000A42E6"/>
    <w:rsid w:val="000B3EF4"/>
    <w:rsid w:val="000C185D"/>
    <w:rsid w:val="000E296B"/>
    <w:rsid w:val="000F2B0E"/>
    <w:rsid w:val="000F41AE"/>
    <w:rsid w:val="0010501D"/>
    <w:rsid w:val="00107F24"/>
    <w:rsid w:val="00111BDC"/>
    <w:rsid w:val="00133ECE"/>
    <w:rsid w:val="0013413E"/>
    <w:rsid w:val="00134151"/>
    <w:rsid w:val="00135307"/>
    <w:rsid w:val="00136C3A"/>
    <w:rsid w:val="00143459"/>
    <w:rsid w:val="00144F90"/>
    <w:rsid w:val="001459AF"/>
    <w:rsid w:val="00150E25"/>
    <w:rsid w:val="0015144C"/>
    <w:rsid w:val="00153B8D"/>
    <w:rsid w:val="00164A8E"/>
    <w:rsid w:val="0017557A"/>
    <w:rsid w:val="00176F02"/>
    <w:rsid w:val="00177C7F"/>
    <w:rsid w:val="00180C39"/>
    <w:rsid w:val="00193934"/>
    <w:rsid w:val="0019719B"/>
    <w:rsid w:val="001A2408"/>
    <w:rsid w:val="001A6903"/>
    <w:rsid w:val="001B222F"/>
    <w:rsid w:val="001C6F88"/>
    <w:rsid w:val="001D23A6"/>
    <w:rsid w:val="001E0792"/>
    <w:rsid w:val="002055DE"/>
    <w:rsid w:val="00205630"/>
    <w:rsid w:val="002105DF"/>
    <w:rsid w:val="00212FC3"/>
    <w:rsid w:val="002179EE"/>
    <w:rsid w:val="0022059D"/>
    <w:rsid w:val="00220D04"/>
    <w:rsid w:val="00223D0E"/>
    <w:rsid w:val="002274B9"/>
    <w:rsid w:val="00236E53"/>
    <w:rsid w:val="00250EB8"/>
    <w:rsid w:val="00252829"/>
    <w:rsid w:val="002600BC"/>
    <w:rsid w:val="0026302C"/>
    <w:rsid w:val="002747A3"/>
    <w:rsid w:val="00274B21"/>
    <w:rsid w:val="00277C5A"/>
    <w:rsid w:val="002845D7"/>
    <w:rsid w:val="0028666F"/>
    <w:rsid w:val="0029082E"/>
    <w:rsid w:val="0029657F"/>
    <w:rsid w:val="0029758D"/>
    <w:rsid w:val="00297C40"/>
    <w:rsid w:val="002A4EEE"/>
    <w:rsid w:val="002A53D7"/>
    <w:rsid w:val="002B199B"/>
    <w:rsid w:val="002B45E1"/>
    <w:rsid w:val="002C6153"/>
    <w:rsid w:val="002D4253"/>
    <w:rsid w:val="002D44CB"/>
    <w:rsid w:val="002D5888"/>
    <w:rsid w:val="002E0C9B"/>
    <w:rsid w:val="002E2AD0"/>
    <w:rsid w:val="002E42B1"/>
    <w:rsid w:val="002E514B"/>
    <w:rsid w:val="002F0536"/>
    <w:rsid w:val="002F5B56"/>
    <w:rsid w:val="00302EDB"/>
    <w:rsid w:val="00306EC5"/>
    <w:rsid w:val="0031106B"/>
    <w:rsid w:val="003232D8"/>
    <w:rsid w:val="003322A7"/>
    <w:rsid w:val="003327B8"/>
    <w:rsid w:val="00354C26"/>
    <w:rsid w:val="003550AE"/>
    <w:rsid w:val="00367889"/>
    <w:rsid w:val="00373DFA"/>
    <w:rsid w:val="00376D04"/>
    <w:rsid w:val="00380AAF"/>
    <w:rsid w:val="0039039E"/>
    <w:rsid w:val="00390E81"/>
    <w:rsid w:val="003A6FA8"/>
    <w:rsid w:val="003B12D5"/>
    <w:rsid w:val="003B20BD"/>
    <w:rsid w:val="003B6B67"/>
    <w:rsid w:val="003C0A2A"/>
    <w:rsid w:val="003C25F6"/>
    <w:rsid w:val="003D04F6"/>
    <w:rsid w:val="003D6751"/>
    <w:rsid w:val="003F072E"/>
    <w:rsid w:val="00404B68"/>
    <w:rsid w:val="00404F69"/>
    <w:rsid w:val="0040632E"/>
    <w:rsid w:val="0042190B"/>
    <w:rsid w:val="00424A8B"/>
    <w:rsid w:val="004323BF"/>
    <w:rsid w:val="00440962"/>
    <w:rsid w:val="00444354"/>
    <w:rsid w:val="00454B07"/>
    <w:rsid w:val="004552D1"/>
    <w:rsid w:val="00455334"/>
    <w:rsid w:val="00462D58"/>
    <w:rsid w:val="00464AD6"/>
    <w:rsid w:val="00467F21"/>
    <w:rsid w:val="00480978"/>
    <w:rsid w:val="00482B54"/>
    <w:rsid w:val="00490015"/>
    <w:rsid w:val="004A118E"/>
    <w:rsid w:val="004A1446"/>
    <w:rsid w:val="004A4E4C"/>
    <w:rsid w:val="004A55F3"/>
    <w:rsid w:val="004B10E0"/>
    <w:rsid w:val="004B5B67"/>
    <w:rsid w:val="004D3BC4"/>
    <w:rsid w:val="004E293A"/>
    <w:rsid w:val="004F05BC"/>
    <w:rsid w:val="004F6DB2"/>
    <w:rsid w:val="00504A99"/>
    <w:rsid w:val="00521EB2"/>
    <w:rsid w:val="005221FD"/>
    <w:rsid w:val="00522F66"/>
    <w:rsid w:val="00524C39"/>
    <w:rsid w:val="00530162"/>
    <w:rsid w:val="00533C11"/>
    <w:rsid w:val="00540535"/>
    <w:rsid w:val="00541107"/>
    <w:rsid w:val="005502B4"/>
    <w:rsid w:val="00557116"/>
    <w:rsid w:val="00567910"/>
    <w:rsid w:val="0057245C"/>
    <w:rsid w:val="005735E0"/>
    <w:rsid w:val="005744C8"/>
    <w:rsid w:val="005813F7"/>
    <w:rsid w:val="00587376"/>
    <w:rsid w:val="00596FCD"/>
    <w:rsid w:val="005A16CB"/>
    <w:rsid w:val="005A2357"/>
    <w:rsid w:val="005A5F2B"/>
    <w:rsid w:val="005C3E7F"/>
    <w:rsid w:val="005D0749"/>
    <w:rsid w:val="005D1ED1"/>
    <w:rsid w:val="005D73FA"/>
    <w:rsid w:val="005D7849"/>
    <w:rsid w:val="005E139F"/>
    <w:rsid w:val="005E6186"/>
    <w:rsid w:val="005E71CB"/>
    <w:rsid w:val="005E7D3F"/>
    <w:rsid w:val="005F2326"/>
    <w:rsid w:val="005F4926"/>
    <w:rsid w:val="00603240"/>
    <w:rsid w:val="00613918"/>
    <w:rsid w:val="006208A3"/>
    <w:rsid w:val="00622E4E"/>
    <w:rsid w:val="006368DB"/>
    <w:rsid w:val="00637ED1"/>
    <w:rsid w:val="00640DAC"/>
    <w:rsid w:val="0064629A"/>
    <w:rsid w:val="00661439"/>
    <w:rsid w:val="00661698"/>
    <w:rsid w:val="006716B5"/>
    <w:rsid w:val="00680590"/>
    <w:rsid w:val="00693BCA"/>
    <w:rsid w:val="006947F8"/>
    <w:rsid w:val="006C668A"/>
    <w:rsid w:val="006D597C"/>
    <w:rsid w:val="006E217C"/>
    <w:rsid w:val="006E6F55"/>
    <w:rsid w:val="006F0FF3"/>
    <w:rsid w:val="0070096E"/>
    <w:rsid w:val="00713681"/>
    <w:rsid w:val="00721000"/>
    <w:rsid w:val="007212C5"/>
    <w:rsid w:val="00725D00"/>
    <w:rsid w:val="00725D50"/>
    <w:rsid w:val="007331D8"/>
    <w:rsid w:val="0073489D"/>
    <w:rsid w:val="00743E2B"/>
    <w:rsid w:val="007444F9"/>
    <w:rsid w:val="00752823"/>
    <w:rsid w:val="00754D52"/>
    <w:rsid w:val="007606E8"/>
    <w:rsid w:val="00773AF2"/>
    <w:rsid w:val="0077776E"/>
    <w:rsid w:val="00781846"/>
    <w:rsid w:val="00785B94"/>
    <w:rsid w:val="00790153"/>
    <w:rsid w:val="007934B0"/>
    <w:rsid w:val="007A5E4E"/>
    <w:rsid w:val="007B774A"/>
    <w:rsid w:val="007C559D"/>
    <w:rsid w:val="007C6CB5"/>
    <w:rsid w:val="007C7D86"/>
    <w:rsid w:val="007F57D3"/>
    <w:rsid w:val="008005FD"/>
    <w:rsid w:val="00803E41"/>
    <w:rsid w:val="0082657F"/>
    <w:rsid w:val="00854729"/>
    <w:rsid w:val="00856773"/>
    <w:rsid w:val="008661D1"/>
    <w:rsid w:val="00871FCA"/>
    <w:rsid w:val="00874882"/>
    <w:rsid w:val="0088060C"/>
    <w:rsid w:val="0088479B"/>
    <w:rsid w:val="00893358"/>
    <w:rsid w:val="0089425C"/>
    <w:rsid w:val="008A0F09"/>
    <w:rsid w:val="008A3391"/>
    <w:rsid w:val="008B4F9D"/>
    <w:rsid w:val="008E51AD"/>
    <w:rsid w:val="008F0476"/>
    <w:rsid w:val="009033CA"/>
    <w:rsid w:val="009061BB"/>
    <w:rsid w:val="00927E31"/>
    <w:rsid w:val="009325FB"/>
    <w:rsid w:val="00937156"/>
    <w:rsid w:val="00941CB9"/>
    <w:rsid w:val="009420E9"/>
    <w:rsid w:val="00942E1E"/>
    <w:rsid w:val="00951D40"/>
    <w:rsid w:val="00952686"/>
    <w:rsid w:val="00963589"/>
    <w:rsid w:val="00967580"/>
    <w:rsid w:val="00976701"/>
    <w:rsid w:val="00990CB2"/>
    <w:rsid w:val="00993CBB"/>
    <w:rsid w:val="00995873"/>
    <w:rsid w:val="009A3A96"/>
    <w:rsid w:val="009A5F5F"/>
    <w:rsid w:val="009A7AFD"/>
    <w:rsid w:val="009B4945"/>
    <w:rsid w:val="009C50B3"/>
    <w:rsid w:val="009D0C66"/>
    <w:rsid w:val="009D6FFE"/>
    <w:rsid w:val="009D759B"/>
    <w:rsid w:val="009E6AEA"/>
    <w:rsid w:val="009F14E5"/>
    <w:rsid w:val="009F4998"/>
    <w:rsid w:val="00A06BCF"/>
    <w:rsid w:val="00A11E23"/>
    <w:rsid w:val="00A329E9"/>
    <w:rsid w:val="00A32D0A"/>
    <w:rsid w:val="00A37FDF"/>
    <w:rsid w:val="00A514A9"/>
    <w:rsid w:val="00A52B41"/>
    <w:rsid w:val="00A62C67"/>
    <w:rsid w:val="00A721B1"/>
    <w:rsid w:val="00A77558"/>
    <w:rsid w:val="00A803DC"/>
    <w:rsid w:val="00A83D7A"/>
    <w:rsid w:val="00A84CED"/>
    <w:rsid w:val="00A85CA4"/>
    <w:rsid w:val="00A90FD6"/>
    <w:rsid w:val="00AA3910"/>
    <w:rsid w:val="00AA7CC3"/>
    <w:rsid w:val="00AC0C56"/>
    <w:rsid w:val="00AC4B04"/>
    <w:rsid w:val="00AD2230"/>
    <w:rsid w:val="00AE0CE0"/>
    <w:rsid w:val="00AF058B"/>
    <w:rsid w:val="00B00D7A"/>
    <w:rsid w:val="00B11614"/>
    <w:rsid w:val="00B3535A"/>
    <w:rsid w:val="00B41811"/>
    <w:rsid w:val="00B778F6"/>
    <w:rsid w:val="00B84B3F"/>
    <w:rsid w:val="00B84E16"/>
    <w:rsid w:val="00B86F00"/>
    <w:rsid w:val="00B90FFD"/>
    <w:rsid w:val="00B94EFD"/>
    <w:rsid w:val="00BA7DE9"/>
    <w:rsid w:val="00BC7620"/>
    <w:rsid w:val="00BE13BC"/>
    <w:rsid w:val="00C029A1"/>
    <w:rsid w:val="00C038CB"/>
    <w:rsid w:val="00C17002"/>
    <w:rsid w:val="00C17A96"/>
    <w:rsid w:val="00C40258"/>
    <w:rsid w:val="00C41603"/>
    <w:rsid w:val="00C552D6"/>
    <w:rsid w:val="00C56546"/>
    <w:rsid w:val="00C60398"/>
    <w:rsid w:val="00C622CF"/>
    <w:rsid w:val="00C6285F"/>
    <w:rsid w:val="00C81FB6"/>
    <w:rsid w:val="00C82EBE"/>
    <w:rsid w:val="00C95A07"/>
    <w:rsid w:val="00C9720A"/>
    <w:rsid w:val="00CA316E"/>
    <w:rsid w:val="00CA32D4"/>
    <w:rsid w:val="00CC04AF"/>
    <w:rsid w:val="00CC0FFA"/>
    <w:rsid w:val="00CC2040"/>
    <w:rsid w:val="00CC22F4"/>
    <w:rsid w:val="00CD1770"/>
    <w:rsid w:val="00CE2ADB"/>
    <w:rsid w:val="00CE2CC4"/>
    <w:rsid w:val="00CE2D5C"/>
    <w:rsid w:val="00CE7882"/>
    <w:rsid w:val="00CE7D12"/>
    <w:rsid w:val="00CF20DA"/>
    <w:rsid w:val="00CF2FEB"/>
    <w:rsid w:val="00CF33F8"/>
    <w:rsid w:val="00D01BDD"/>
    <w:rsid w:val="00D06AD2"/>
    <w:rsid w:val="00D1500B"/>
    <w:rsid w:val="00D16E8C"/>
    <w:rsid w:val="00D20B47"/>
    <w:rsid w:val="00D215A4"/>
    <w:rsid w:val="00D23549"/>
    <w:rsid w:val="00D41DF5"/>
    <w:rsid w:val="00D43529"/>
    <w:rsid w:val="00D81A97"/>
    <w:rsid w:val="00D91087"/>
    <w:rsid w:val="00DB575F"/>
    <w:rsid w:val="00DB5B4F"/>
    <w:rsid w:val="00DC237F"/>
    <w:rsid w:val="00DC2659"/>
    <w:rsid w:val="00DC4B7A"/>
    <w:rsid w:val="00DD0622"/>
    <w:rsid w:val="00DD71E6"/>
    <w:rsid w:val="00DE2C89"/>
    <w:rsid w:val="00DE71AB"/>
    <w:rsid w:val="00E10924"/>
    <w:rsid w:val="00E240B0"/>
    <w:rsid w:val="00E256C0"/>
    <w:rsid w:val="00E26C76"/>
    <w:rsid w:val="00E3163B"/>
    <w:rsid w:val="00E32593"/>
    <w:rsid w:val="00E3773D"/>
    <w:rsid w:val="00E45F3E"/>
    <w:rsid w:val="00E50210"/>
    <w:rsid w:val="00E53516"/>
    <w:rsid w:val="00E620C3"/>
    <w:rsid w:val="00E8010D"/>
    <w:rsid w:val="00EA7A3C"/>
    <w:rsid w:val="00EB2188"/>
    <w:rsid w:val="00EB41A8"/>
    <w:rsid w:val="00EB64A9"/>
    <w:rsid w:val="00EC5B1F"/>
    <w:rsid w:val="00ED13AE"/>
    <w:rsid w:val="00EE3C6F"/>
    <w:rsid w:val="00EF158A"/>
    <w:rsid w:val="00EF41D5"/>
    <w:rsid w:val="00F039ED"/>
    <w:rsid w:val="00F12703"/>
    <w:rsid w:val="00F13916"/>
    <w:rsid w:val="00F20CBC"/>
    <w:rsid w:val="00F36011"/>
    <w:rsid w:val="00F3764E"/>
    <w:rsid w:val="00F37656"/>
    <w:rsid w:val="00F5265C"/>
    <w:rsid w:val="00F542C8"/>
    <w:rsid w:val="00F560D4"/>
    <w:rsid w:val="00F5677F"/>
    <w:rsid w:val="00F82C61"/>
    <w:rsid w:val="00F94D23"/>
    <w:rsid w:val="00FB0045"/>
    <w:rsid w:val="00FB1AF9"/>
    <w:rsid w:val="00FB5379"/>
    <w:rsid w:val="00FB6C23"/>
    <w:rsid w:val="00FC1E54"/>
    <w:rsid w:val="00FD2509"/>
    <w:rsid w:val="00FD3C1D"/>
    <w:rsid w:val="00FE02D0"/>
  </w:rsids>
  <w:themeFontLang w:val="es-ES"/>
  <w:clrSchemeMapping w:accent1="accent1" w:accent2="accent2" w:accent3="accent3" w:accent4="accent4" w:accent5="accent5" w:accent6="accent6" w:bg1="light1" w:bg2="light2" w:followedHyperlink="followedHyperlink" w:hyperlink="hyperlink" w:t1="dark1" w:t2="dark2"/>
  <w:shapeDefaults>
    <o:shapedefaults spidmax="2053" v:ext="edit"/>
    <o:shapelayout v:ext="edit">
      <o:idmap data="1" v:ext="edit"/>
    </o:shapelayout>
  </w:shapeDefaults>
  <w:decimalSymbol w:val=","/>
  <w:listSeparator w:val=";"/>
</w:settings>
</file>

<file path=word/styles.xml><?xml version="1.0" encoding="utf-8"?>
<w:styles xmlns:w="http://schemas.openxmlformats.org/wordprocessingml/2006/main">
  <w:docDefaults>
    <w:rPrDefault>
      <w:rPr>
        <w:rFonts w:ascii="Times New Roman" w:cstheme="minorBidi" w:eastAsiaTheme="minorHAnsi" w:hAnsi="Times New Roman"/>
        <w:sz w:val="24"/>
        <w:szCs w:val="22"/>
        <w:lang w:bidi="ar-SA" w:eastAsia="en-US" w:val="es"/>
      </w:rPr>
    </w:rPrDefault>
    <w:pPrDefault>
      <w:pPr>
        <w:spacing w:after="160" w:line="360" w:lineRule="auto"/>
        <w:jc w:val="both"/>
      </w:pPr>
    </w:pPrDefault>
  </w:docDefaults>
  <w:latentStyles w:count="267"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uiPriority="39"/>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4F6DB2"/>
    <w:rPr>
      <w:lang w:val="es-MX"/>
    </w:rPr>
    <w:pPr>
      <w:spacing w:line="360" w:lineRule="auto"/>
      <w:jc w:val="both"/>
    </w:pPr>
  </w:style>
  <w:style w:styleId="Ttulo1" w:type="paragraph">
    <w:name w:val="heading 1"/>
    <w:basedOn w:val="Normal"/>
    <w:next w:val="Normal"/>
    <w:link w:val="Ttulo1Car"/>
    <w:autoRedefine/>
    <w:uiPriority w:val="9"/>
    <w:qFormat/>
    <w:rsid w:val="00587376"/>
    <w:pPr>
      <w:keepNext/>
      <w:keepLines/>
      <w:spacing w:after="0" w:before="240" w:line="360" w:lineRule="auto"/>
      <w:jc w:val="both"/>
      <w:outlineLvl w:val="0"/>
    </w:pPr>
    <w:rPr>
      <w:rFonts w:cs="Times New Roman" w:eastAsia="Times New Roman"/>
      <w:b/>
      <w:sz w:val="28"/>
      <w:szCs w:val="24"/>
    </w:rPr>
  </w:style>
  <w:style w:styleId="Ttulo2" w:type="paragraph">
    <w:name w:val="heading 2"/>
    <w:basedOn w:val="Normal"/>
    <w:next w:val="Normal"/>
    <w:link w:val="Ttulo2Car"/>
    <w:autoRedefine/>
    <w:uiPriority w:val="9"/>
    <w:unhideWhenUsed/>
    <w:qFormat/>
    <w:rsid w:val="00302EDB"/>
    <w:pPr>
      <w:keepNext/>
      <w:keepLines/>
      <w:spacing w:after="0" w:before="40" w:line="360" w:lineRule="auto"/>
      <w:outlineLvl w:val="1"/>
      <w:jc w:val="both"/>
    </w:pPr>
    <w:rPr>
      <w:rFonts w:cs="Times New Roman" w:eastAsia="Times New Roman"/>
      <w:b/>
      <w:szCs w:val="26"/>
    </w:rPr>
  </w:style>
  <w:style w:styleId="Ttulo3" w:type="paragraph">
    <w:name w:val="heading 3"/>
    <w:basedOn w:val="Normal"/>
    <w:next w:val="Normal"/>
    <w:link w:val="Ttulo3Car"/>
    <w:uiPriority w:val="9"/>
    <w:unhideWhenUsed/>
    <w:qFormat/>
    <w:rsid w:val="00567910"/>
    <w:pPr>
      <w:keepNext/>
      <w:keepLines/>
      <w:spacing w:after="0" w:before="40" w:line="360" w:lineRule="auto"/>
      <w:outlineLvl w:val="2"/>
      <w:jc w:val="both"/>
    </w:pPr>
    <w:rPr>
      <w:rFonts w:cstheme="majorBidi" w:eastAsiaTheme="majorEastAsia"/>
      <w:b/>
      <w:i/>
      <w:szCs w:val="24"/>
    </w:rPr>
  </w:style>
  <w:style w:styleId="Ttulo4" w:type="paragraph">
    <w:name w:val="heading 4"/>
    <w:basedOn w:val="Normal"/>
    <w:next w:val="Normal"/>
    <w:link w:val="Ttulo4Car"/>
    <w:uiPriority w:val="9"/>
    <w:unhideWhenUsed/>
    <w:qFormat/>
    <w:rsid w:val="00AE0CE0"/>
    <w:pPr>
      <w:keepNext/>
      <w:keepLines/>
      <w:spacing w:after="0" w:before="40" w:line="360" w:lineRule="auto"/>
      <w:ind w:left="1440"/>
      <w:outlineLvl w:val="3"/>
      <w:jc w:val="both"/>
    </w:pPr>
    <w:rPr>
      <w:rFonts w:cstheme="majorBidi" w:eastAsiaTheme="majorEastAsia"/>
      <w:b/>
      <w:iCs/>
    </w:rPr>
  </w:style>
  <w:style w:styleId="Ttulo5" w:type="paragraph">
    <w:name w:val="heading 5"/>
    <w:basedOn w:val="Normal"/>
    <w:next w:val="Normal"/>
    <w:link w:val="Ttulo5Car"/>
    <w:uiPriority w:val="9"/>
    <w:unhideWhenUsed/>
    <w:qFormat/>
    <w:rsid w:val="004323BF"/>
    <w:pPr>
      <w:keepNext/>
      <w:keepLines/>
      <w:spacing w:after="0" w:before="40" w:line="360" w:lineRule="auto"/>
      <w:ind w:left="1440"/>
      <w:outlineLvl w:val="4"/>
      <w:jc w:val="both"/>
    </w:pPr>
    <w:rPr>
      <w:rFonts w:cstheme="majorBidi" w:eastAsiaTheme="majorEastAsia"/>
      <w:b/>
      <w:i/>
    </w:rPr>
  </w:style>
  <w:style w:default="1" w:styleId="Fuentedeprrafopredeter" w:type="character">
    <w:name w:val="Default Paragraph Font"/>
    <w:uiPriority w:val="1"/>
    <w:semiHidden/>
    <w:unhideWhenUsed/>
  </w:style>
  <w:style w:default="1" w:styleId="Tablanormal" w:type="table">
    <w:name w:val="Normal Table"/>
    <w:uiPriority w:val="99"/>
    <w:semiHidden/>
    <w:unhideWhenUsed/>
    <w:qFormat/>
    <w:tblPr>
      <w:tblInd w:type="dxa" w:w="0"/>
      <w:tblCellMar>
        <w:top w:type="dxa" w:w="0"/>
        <w:left w:type="dxa" w:w="108"/>
        <w:bottom w:type="dxa" w:w="0"/>
        <w:right w:type="dxa" w:w="108"/>
      </w:tblCellMar>
    </w:tblPr>
  </w:style>
  <w:style w:default="1" w:styleId="Sinlista" w:type="numbering">
    <w:name w:val="No List"/>
    <w:uiPriority w:val="99"/>
    <w:semiHidden/>
    <w:unhideWhenUsed/>
  </w:style>
  <w:style w:styleId="Textoindependiente" w:type="paragraph">
    <w:name w:val="Body Text"/>
    <w:basedOn w:val="Normal"/>
    <w:link w:val="TextoindependienteCar"/>
    <w:uiPriority w:val="99"/>
    <w:semiHidden/>
    <w:unhideWhenUsed/>
    <w:rsid w:val="00781846"/>
    <w:pPr>
      <w:spacing w:after="120" w:line="360" w:lineRule="auto"/>
      <w:jc w:val="both"/>
    </w:pPr>
  </w:style>
  <w:style w:customStyle="1" w:styleId="TextoindependienteCar" w:type="character">
    <w:name w:val="Texto independiente Car"/>
    <w:basedOn w:val="Fuentedeprrafopredeter"/>
    <w:link w:val="Textoindependiente"/>
    <w:uiPriority w:val="99"/>
    <w:semiHidden/>
    <w:rsid w:val="00781846"/>
  </w:style>
  <w:style w:styleId="Piedepgina" w:type="paragraph">
    <w:name w:val="footer"/>
    <w:basedOn w:val="Normal"/>
    <w:link w:val="PiedepginaCar"/>
    <w:uiPriority w:val="99"/>
    <w:unhideWhenUsed/>
    <w:rsid w:val="00781846"/>
    <w:pPr>
      <w:tabs>
        <w:tab w:pos="4680" w:val="center"/>
        <w:tab w:pos="9360" w:val="right"/>
      </w:tabs>
      <w:spacing w:after="0" w:line="360" w:lineRule="auto"/>
      <w:jc w:val="both"/>
    </w:pPr>
  </w:style>
  <w:style w:customStyle="1" w:styleId="PiedepginaCar" w:type="character">
    <w:name w:val="Pie de página Car"/>
    <w:basedOn w:val="Fuentedeprrafopredeter"/>
    <w:link w:val="Piedepgina"/>
    <w:uiPriority w:val="99"/>
    <w:rsid w:val="00781846"/>
  </w:style>
  <w:style w:styleId="Encabezado" w:type="paragraph">
    <w:name w:val="header"/>
    <w:basedOn w:val="Normal"/>
    <w:link w:val="EncabezadoCar"/>
    <w:uiPriority w:val="99"/>
    <w:unhideWhenUsed/>
    <w:rsid w:val="00781846"/>
    <w:pPr>
      <w:tabs>
        <w:tab w:pos="4680" w:val="center"/>
        <w:tab w:pos="9360" w:val="right"/>
      </w:tabs>
      <w:spacing w:after="0" w:line="360" w:lineRule="auto"/>
      <w:jc w:val="both"/>
    </w:pPr>
  </w:style>
  <w:style w:customStyle="1" w:styleId="EncabezadoCar" w:type="character">
    <w:name w:val="Encabezado Car"/>
    <w:basedOn w:val="Fuentedeprrafopredeter"/>
    <w:link w:val="Encabezado"/>
    <w:uiPriority w:val="99"/>
    <w:rsid w:val="00781846"/>
  </w:style>
  <w:style w:styleId="Textodeglobo" w:type="paragraph">
    <w:name w:val="Balloon Text"/>
    <w:basedOn w:val="Normal"/>
    <w:link w:val="TextodegloboCar"/>
    <w:uiPriority w:val="99"/>
    <w:semiHidden/>
    <w:unhideWhenUsed/>
    <w:rsid w:val="00D06AD2"/>
    <w:pPr>
      <w:spacing w:after="0" w:line="360" w:lineRule="auto"/>
      <w:jc w:val="both"/>
    </w:pPr>
    <w:rPr>
      <w:rFonts w:ascii="Segoe UI" w:cs="Segoe UI" w:hAnsi="Segoe UI"/>
      <w:sz w:val="18"/>
      <w:szCs w:val="18"/>
    </w:rPr>
  </w:style>
  <w:style w:customStyle="1" w:styleId="TextodegloboCar" w:type="character">
    <w:name w:val="Texto de globo Car"/>
    <w:basedOn w:val="Fuentedeprrafopredeter"/>
    <w:link w:val="Textodeglobo"/>
    <w:uiPriority w:val="99"/>
    <w:semiHidden/>
    <w:rsid w:val="00D06AD2"/>
    <w:rPr>
      <w:rFonts w:ascii="Segoe UI" w:cs="Segoe UI" w:hAnsi="Segoe UI"/>
      <w:sz w:val="18"/>
      <w:szCs w:val="18"/>
    </w:rPr>
  </w:style>
  <w:style w:styleId="Hipervnculo" w:type="character">
    <w:name w:val="Hyperlink"/>
    <w:basedOn w:val="Fuentedeprrafopredeter"/>
    <w:uiPriority w:val="99"/>
    <w:unhideWhenUsed/>
    <w:rsid w:val="00721000"/>
    <w:rPr>
      <w:color w:themeColor="hyperlink" w:val="0563C1"/>
      <w:u w:val="single"/>
    </w:rPr>
  </w:style>
  <w:style w:styleId="Prrafodelista" w:type="paragraph">
    <w:name w:val="List Paragraph"/>
    <w:basedOn w:val="Normal"/>
    <w:uiPriority w:val="34"/>
    <w:qFormat/>
    <w:rsid w:val="008E51AD"/>
    <w:pPr>
      <w:ind w:left="720"/>
      <w:contextualSpacing/>
      <w:spacing w:line="360" w:lineRule="auto"/>
      <w:jc w:val="both"/>
    </w:pPr>
  </w:style>
  <w:style w:styleId="Hipervnculovisitado" w:type="character">
    <w:name w:val="FollowedHyperlink"/>
    <w:basedOn w:val="Fuentedeprrafopredeter"/>
    <w:uiPriority w:val="99"/>
    <w:semiHidden/>
    <w:unhideWhenUsed/>
    <w:rsid w:val="00490015"/>
    <w:rPr>
      <w:color w:themeColor="followedHyperlink" w:val="954F72"/>
      <w:u w:val="single"/>
    </w:rPr>
  </w:style>
  <w:style w:styleId="Refdecomentario" w:type="character">
    <w:name w:val="annotation reference"/>
    <w:basedOn w:val="Fuentedeprrafopredeter"/>
    <w:uiPriority w:val="99"/>
    <w:semiHidden/>
    <w:unhideWhenUsed/>
    <w:rsid w:val="00CC0FFA"/>
    <w:rPr>
      <w:sz w:val="16"/>
      <w:szCs w:val="16"/>
    </w:rPr>
  </w:style>
  <w:style w:styleId="Textocomentario" w:type="paragraph">
    <w:name w:val="annotation text"/>
    <w:basedOn w:val="Normal"/>
    <w:link w:val="TextocomentarioCar"/>
    <w:uiPriority w:val="99"/>
    <w:semiHidden/>
    <w:unhideWhenUsed/>
    <w:rsid w:val="00CC0FFA"/>
    <w:pPr>
      <w:spacing w:line="360" w:lineRule="auto"/>
      <w:jc w:val="both"/>
    </w:pPr>
    <w:rPr>
      <w:sz w:val="20"/>
      <w:szCs w:val="20"/>
    </w:rPr>
  </w:style>
  <w:style w:customStyle="1" w:styleId="TextocomentarioCar" w:type="character">
    <w:name w:val="Texto comentario Car"/>
    <w:basedOn w:val="Fuentedeprrafopredeter"/>
    <w:link w:val="Textocomentario"/>
    <w:uiPriority w:val="99"/>
    <w:semiHidden/>
    <w:rsid w:val="00CC0FFA"/>
    <w:rPr>
      <w:sz w:val="20"/>
      <w:szCs w:val="20"/>
    </w:rPr>
  </w:style>
  <w:style w:styleId="Asuntodelcomentario" w:type="paragraph">
    <w:name w:val="annotation subject"/>
    <w:basedOn w:val="Textocomentario"/>
    <w:next w:val="Textocomentario"/>
    <w:link w:val="AsuntodelcomentarioCar"/>
    <w:uiPriority w:val="99"/>
    <w:semiHidden/>
    <w:unhideWhenUsed/>
    <w:rsid w:val="00CC0FFA"/>
    <w:rPr>
      <w:b/>
      <w:bCs/>
    </w:rPr>
    <w:pPr>
      <w:spacing w:line="360" w:lineRule="auto"/>
      <w:jc w:val="both"/>
    </w:pPr>
  </w:style>
  <w:style w:customStyle="1" w:styleId="AsuntodelcomentarioCar" w:type="character">
    <w:name w:val="Asunto del comentario Car"/>
    <w:basedOn w:val="TextocomentarioCar"/>
    <w:link w:val="Asuntodelcomentario"/>
    <w:uiPriority w:val="99"/>
    <w:semiHidden/>
    <w:rsid w:val="00CC0FFA"/>
    <w:rPr>
      <w:b/>
      <w:bCs/>
      <w:sz w:val="20"/>
      <w:szCs w:val="20"/>
    </w:rPr>
  </w:style>
  <w:style w:customStyle="1" w:styleId="TableNormal1" w:type="table">
    <w:name w:val="Table Normal1"/>
    <w:uiPriority w:val="2"/>
    <w:semiHidden/>
    <w:unhideWhenUsed/>
    <w:qFormat/>
    <w:rsid w:val="00967580"/>
    <w:pPr>
      <w:widowControl w:val="0"/>
      <w:spacing w:after="0" w:line="240" w:lineRule="auto"/>
    </w:pPr>
    <w:rPr>
      <w:rFonts w:ascii="Calibri" w:hAnsi="Calibri"/>
      <w:sz w:val="22"/>
    </w:rPr>
    <w:tblPr>
      <w:tblInd w:type="dxa" w:w="0"/>
      <w:tblCellMar>
        <w:top w:type="dxa" w:w="0"/>
        <w:left w:type="dxa" w:w="0"/>
        <w:bottom w:type="dxa" w:w="0"/>
        <w:right w:type="dxa" w:w="0"/>
      </w:tblCellMar>
    </w:tblPr>
  </w:style>
  <w:style w:customStyle="1" w:styleId="TableNormal10" w:type="table">
    <w:name w:val="Table Normal1"/>
    <w:uiPriority w:val="2"/>
    <w:semiHidden/>
    <w:unhideWhenUsed/>
    <w:qFormat/>
    <w:rsid w:val="00F82C61"/>
    <w:pPr>
      <w:widowControl w:val="0"/>
      <w:spacing w:after="0" w:line="240" w:lineRule="auto"/>
    </w:pPr>
    <w:rPr>
      <w:rFonts w:ascii="Calibri" w:hAnsi="Calibri"/>
      <w:sz w:val="22"/>
    </w:rPr>
    <w:tblPr>
      <w:tblInd w:type="dxa" w:w="0"/>
      <w:tblCellMar>
        <w:top w:type="dxa" w:w="0"/>
        <w:left w:type="dxa" w:w="0"/>
        <w:bottom w:type="dxa" w:w="0"/>
        <w:right w:type="dxa" w:w="0"/>
      </w:tblCellMar>
    </w:tblPr>
  </w:style>
  <w:style w:customStyle="1" w:styleId="Ttulo1Car" w:type="character">
    <w:name w:val="Título 1 Car"/>
    <w:basedOn w:val="Fuentedeprrafopredeter"/>
    <w:link w:val="Ttulo1"/>
    <w:uiPriority w:val="9"/>
    <w:rsid w:val="00587376"/>
    <w:rPr>
      <w:rFonts w:cs="Times New Roman" w:eastAsia="Times New Roman"/>
      <w:b/>
      <w:sz w:val="28"/>
      <w:szCs w:val="24"/>
      <w:lang w:val="es-MX"/>
    </w:rPr>
  </w:style>
  <w:style w:styleId="TtulodeTDC" w:type="paragraph">
    <w:name w:val="TOC Heading"/>
    <w:basedOn w:val="Ttulo1"/>
    <w:next w:val="Normal"/>
    <w:uiPriority w:val="39"/>
    <w:unhideWhenUsed/>
    <w:qFormat/>
    <w:rsid w:val="00A62C67"/>
    <w:pPr>
      <w:outlineLvl w:val="9"/>
      <w:spacing w:line="360" w:lineRule="auto"/>
      <w:jc w:val="both"/>
    </w:pPr>
    <w:rPr>
      <w:lang w:eastAsia="es-MX"/>
    </w:rPr>
  </w:style>
  <w:style w:styleId="TDC3" w:type="paragraph">
    <w:name w:val="toc 3"/>
    <w:basedOn w:val="Normal"/>
    <w:next w:val="Normal"/>
    <w:autoRedefine/>
    <w:uiPriority w:val="39"/>
    <w:unhideWhenUsed/>
    <w:rsid w:val="00302EDB"/>
    <w:pPr>
      <w:spacing w:after="100" w:line="360" w:lineRule="auto"/>
      <w:ind w:left="482"/>
      <w:jc w:val="both"/>
    </w:pPr>
  </w:style>
  <w:style w:styleId="TDC1" w:type="paragraph">
    <w:name w:val="toc 1"/>
    <w:basedOn w:val="Normal"/>
    <w:next w:val="Normal"/>
    <w:autoRedefine/>
    <w:uiPriority w:val="39"/>
    <w:unhideWhenUsed/>
    <w:rsid w:val="00302EDB"/>
    <w:pPr>
      <w:spacing w:after="100" w:line="360" w:lineRule="auto"/>
      <w:jc w:val="both"/>
    </w:pPr>
  </w:style>
  <w:style w:customStyle="1" w:styleId="Ttulo2Car" w:type="character">
    <w:name w:val="Título 2 Car"/>
    <w:basedOn w:val="Fuentedeprrafopredeter"/>
    <w:link w:val="Ttulo2"/>
    <w:uiPriority w:val="9"/>
    <w:rsid w:val="00302EDB"/>
    <w:rPr>
      <w:rFonts w:cs="Times New Roman" w:eastAsia="Times New Roman"/>
      <w:b/>
      <w:szCs w:val="26"/>
      <w:lang w:val="es-MX"/>
    </w:rPr>
  </w:style>
  <w:style w:styleId="TDC2" w:type="paragraph">
    <w:name w:val="toc 2"/>
    <w:basedOn w:val="Normal"/>
    <w:next w:val="Normal"/>
    <w:autoRedefine/>
    <w:uiPriority w:val="39"/>
    <w:unhideWhenUsed/>
    <w:rsid w:val="00302EDB"/>
    <w:pPr>
      <w:spacing w:after="100" w:line="360" w:lineRule="auto"/>
      <w:ind w:left="238"/>
      <w:jc w:val="both"/>
    </w:pPr>
  </w:style>
  <w:style w:customStyle="1" w:styleId="Ttulo3Car" w:type="character">
    <w:name w:val="Título 3 Car"/>
    <w:basedOn w:val="Fuentedeprrafopredeter"/>
    <w:link w:val="Ttulo3"/>
    <w:uiPriority w:val="9"/>
    <w:rsid w:val="00567910"/>
    <w:rPr>
      <w:rFonts w:cstheme="majorBidi" w:eastAsiaTheme="majorEastAsia"/>
      <w:b/>
      <w:i/>
      <w:szCs w:val="24"/>
      <w:lang w:val="es-MX"/>
    </w:rPr>
  </w:style>
  <w:style w:customStyle="1" w:styleId="Ttulo4Car" w:type="character">
    <w:name w:val="Título 4 Car"/>
    <w:basedOn w:val="Fuentedeprrafopredeter"/>
    <w:link w:val="Ttulo4"/>
    <w:uiPriority w:val="9"/>
    <w:rsid w:val="00AE0CE0"/>
    <w:rPr>
      <w:rFonts w:cstheme="majorBidi" w:eastAsiaTheme="majorEastAsia"/>
      <w:b/>
      <w:iCs/>
      <w:lang w:val="es-MX"/>
    </w:rPr>
  </w:style>
  <w:style w:customStyle="1" w:styleId="Ttulo5Car" w:type="character">
    <w:name w:val="Título 5 Car"/>
    <w:basedOn w:val="Fuentedeprrafopredeter"/>
    <w:link w:val="Ttulo5"/>
    <w:uiPriority w:val="9"/>
    <w:rsid w:val="004323BF"/>
    <w:rPr>
      <w:rFonts w:cstheme="majorBidi" w:eastAsiaTheme="majorEastAsia"/>
      <w:b/>
      <w:i/>
      <w:lang w:val="es-MX"/>
    </w:rPr>
  </w:style>
  <w:style w:styleId="Epgrafe" w:type="paragraph">
    <w:name w:val="caption"/>
    <w:basedOn w:val="Normal"/>
    <w:next w:val="Normal"/>
    <w:uiPriority w:val="35"/>
    <w:unhideWhenUsed/>
    <w:qFormat/>
    <w:rsid w:val="002105DF"/>
    <w:pPr>
      <w:spacing w:after="200" w:line="360" w:lineRule="auto"/>
      <w:jc w:val="both"/>
    </w:pPr>
    <w:rPr>
      <w:i/>
      <w:iCs/>
      <w:color w:themeColor="text2" w:val="44546A"/>
      <w:sz w:val="18"/>
      <w:szCs w:val="18"/>
    </w:rPr>
  </w:style>
  <w:style w:styleId="Tabladeilustraciones" w:type="paragraph">
    <w:name w:val="table of figures"/>
    <w:basedOn w:val="Normal"/>
    <w:next w:val="Normal"/>
    <w:uiPriority w:val="99"/>
    <w:unhideWhenUsed/>
    <w:rsid w:val="00302EDB"/>
    <w:pPr>
      <w:spacing w:after="0" w:line="360" w:lineRule="auto"/>
      <w:jc w:val="both"/>
    </w:pPr>
  </w:style>
  <w:style w:customStyle="1" w:styleId="APAReport" w:type="table">
    <w:name w:val="APA Report"/>
    <w:basedOn w:val="Tablanormal"/>
    <w:uiPriority w:val="99"/>
    <w:rsid w:val="00176F02"/>
    <w:pPr>
      <w:spacing w:after="0" w:line="240" w:lineRule="auto"/>
    </w:pPr>
    <w:rPr>
      <w:rFonts w:eastAsia="SimSun"/>
      <w:szCs w:val="24"/>
      <w:lang w:eastAsia="ja-JP"/>
    </w:rPr>
    <w:tblPr>
      <w:tblInd w:type="dxa" w:w="0"/>
      <w:tblBorders>
        <w:top w:color="auto" w:space="0" w:sz="12" w:val="single"/>
        <w:bottom w:color="auto" w:space="0" w:sz="12" w:val="single"/>
      </w:tblBorders>
      <w:tblCellMar>
        <w:top w:type="dxa" w:w="0"/>
        <w:left w:type="dxa" w:w="108"/>
        <w:bottom w:type="dxa" w:w="0"/>
        <w:right w:type="dxa" w:w="108"/>
      </w:tblCellMar>
    </w:tblPr>
    <w:tblStylePr w:type="firstRow">
      <w:rPr>
        <w:rFonts w:ascii="Times New Roman" w:hAnsi="Times New Roman"/>
      </w:rPr>
      <w:tblPr/>
      <w:trPr>
        <w:tblHeader/>
      </w:trPr>
      <w:tcPr>
        <w:tcBorders>
          <w:top w:color="auto" w:space="0" w:sz="12" w:val="single"/>
          <w:left w:val="nil"/>
          <w:bottom w:color="auto" w:space="0" w:sz="12" w:val="single"/>
          <w:right w:val="nil"/>
          <w:insideH w:val="nil"/>
          <w:insideV w:val="nil"/>
          <w:tl2br w:val="nil"/>
          <w:tr2bl w:val="nil"/>
        </w:tcBorders>
      </w:tcPr>
    </w:tblStylePr>
  </w:style>
  <w:style w:customStyle="1" w:styleId="Mencinsinresolver1" w:type="character">
    <w:name w:val="Mención sin resolver1"/>
    <w:basedOn w:val="Fuentedeprrafopredeter"/>
    <w:uiPriority w:val="99"/>
    <w:semiHidden/>
    <w:unhideWhenUsed/>
    <w:rsid w:val="002D5888"/>
    <w:rPr>
      <w:color w:val="605E5C"/>
      <w:shd w:color="auto" w:fill="E1DFDD" w:val="clear"/>
    </w:rPr>
  </w:style>
  <w:style w:styleId="TDC4" w:type="paragraph">
    <w:name w:val="toc 4"/>
    <w:basedOn w:val="Normal"/>
    <w:next w:val="Normal"/>
    <w:autoRedefine/>
    <w:uiPriority w:val="39"/>
    <w:unhideWhenUsed/>
    <w:rsid w:val="00302EDB"/>
    <w:pPr>
      <w:spacing w:after="100" w:line="360" w:lineRule="auto"/>
      <w:ind w:left="720"/>
      <w:jc w:val="both"/>
    </w:pPr>
  </w:style>
  <w:style w:styleId="TDC5" w:type="paragraph">
    <w:name w:val="toc 5"/>
    <w:basedOn w:val="Normal"/>
    <w:next w:val="Normal"/>
    <w:autoRedefine/>
    <w:uiPriority w:val="39"/>
    <w:unhideWhenUsed/>
    <w:rsid w:val="00302EDB"/>
    <w:pPr>
      <w:spacing w:after="100" w:line="360" w:lineRule="auto"/>
      <w:ind w:left="958"/>
      <w:jc w:val="both"/>
    </w:pPr>
  </w:style>
  <w:style w:customStyle="1" w:styleId="Default" w:type="paragraph">
    <w:name w:val="Default"/>
    <w:rsid w:val="003C25F6"/>
    <w:pPr>
      <w:autoSpaceDE w:val="0"/>
      <w:autoSpaceDN w:val="0"/>
      <w:adjustRightInd w:val="0"/>
      <w:spacing w:after="0" w:line="360" w:lineRule="auto"/>
      <w:jc w:val="both"/>
    </w:pPr>
    <w:rPr>
      <w:rFonts w:cs="Times New Roman"/>
      <w:color w:val="000000"/>
      <w:szCs w:val="24"/>
      <w:lang w:val="es-MX"/>
    </w:rPr>
  </w:style>
  <w:style w:customStyle="1" w:styleId="Encabezadoopiedepgina" w:type="character">
    <w:name w:val="Encabezado o pie de página_"/>
    <w:basedOn w:val="Fuentedeprrafopredeter"/>
    <w:link w:val="Encabezadoopiedepgina0"/>
    <w:rsid w:val="00FB6C23"/>
    <w:rPr>
      <w:rFonts w:cs="Times New Roman" w:eastAsia="Times New Roman"/>
      <w:shd w:color="auto" w:fill="FFFFFF" w:val="clear"/>
      <w:lang w:bidi="es-ES" w:eastAsia="es-ES" w:val="es-ES"/>
    </w:rPr>
  </w:style>
  <w:style w:customStyle="1" w:styleId="Encabezadoopiedepgina0" w:type="paragraph">
    <w:name w:val="Encabezado o pie de página"/>
    <w:basedOn w:val="Normal"/>
    <w:link w:val="Encabezadoopiedepgina"/>
    <w:rsid w:val="00FB6C23"/>
    <w:pPr>
      <w:widowControl w:val="0"/>
      <w:shd w:color="auto" w:fill="FFFFFF" w:val="clear"/>
      <w:spacing w:after="0" w:line="360" w:lineRule="auto"/>
      <w:jc w:val="both"/>
    </w:pPr>
    <w:rPr>
      <w:rFonts w:cs="Times New Roman" w:eastAsia="Times New Roman"/>
      <w:lang w:bidi="es-ES" w:eastAsia="es-ES" w:val="es-ES"/>
    </w:rPr>
  </w:style>
  <w:style w:styleId="Textodelmarcadordeposicin" w:type="character">
    <w:name w:val="Placeholder Text"/>
    <w:basedOn w:val="Fuentedeprrafopredeter"/>
    <w:uiPriority w:val="99"/>
    <w:semiHidden/>
    <w:rsid w:val="000F41AE"/>
    <w:rPr>
      <w:color w:val="808080"/>
    </w:rPr>
  </w:style>
  <w:style w:styleId="Tablaconcuadrcula" w:type="table">
    <w:name w:val="Table Grid"/>
    <w:basedOn w:val="Tablanormal"/>
    <w:uiPriority w:val="39"/>
    <w:rsid w:val="000F41AE"/>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type="paragraph" w:customStyle="1" w:styleId="SourceCode">
    <w:name w:val="Source Code"/>
    <w:basedOn w:val="Normal"/>
    <w:link w:val="VerbatimChar"/>
    <w:pPr>
      <w:wordWrap w:val="off"/>
      <w:shd w:val="clear" w:fill="f1f3f5"/>
      <w:spacing w:line="360" w:lineRule="auto"/>
      <w:jc w:val="both"/>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r="http://schemas.openxmlformats.org/officeDocument/2006/relationships" xmlns:w="http://schemas.openxmlformats.org/wordprocessingml/2006/main">
  <w:divs>
    <w:div w:id="227106799">
      <w:bodyDiv w:val="1"/>
      <w:marLeft w:val="0"/>
      <w:marRight w:val="0"/>
      <w:marTop w:val="0"/>
      <w:marBottom w:val="0"/>
      <w:divBdr>
        <w:top w:val="none" w:sz="0" w:space="0" w:color="auto"/>
        <w:left w:val="none" w:sz="0" w:space="0" w:color="auto"/>
        <w:bottom w:val="none" w:sz="0" w:space="0" w:color="auto"/>
        <w:right w:val="none" w:sz="0" w:space="0" w:color="auto"/>
      </w:divBdr>
    </w:div>
    <w:div w:id="563610252">
      <w:bodyDiv w:val="1"/>
      <w:marLeft w:val="0"/>
      <w:marRight w:val="0"/>
      <w:marTop w:val="0"/>
      <w:marBottom w:val="0"/>
      <w:divBdr>
        <w:top w:val="none" w:sz="0" w:space="0" w:color="auto"/>
        <w:left w:val="none" w:sz="0" w:space="0" w:color="auto"/>
        <w:bottom w:val="none" w:sz="0" w:space="0" w:color="auto"/>
        <w:right w:val="none" w:sz="0" w:space="0" w:color="auto"/>
      </w:divBdr>
      <w:divsChild>
        <w:div w:id="1067415486">
          <w:marLeft w:val="0"/>
          <w:marRight w:val="0"/>
          <w:marTop w:val="0"/>
          <w:marBottom w:val="0"/>
          <w:divBdr>
            <w:top w:val="none" w:sz="0" w:space="0" w:color="auto"/>
            <w:left w:val="none" w:sz="0" w:space="0" w:color="auto"/>
            <w:bottom w:val="none" w:sz="0" w:space="0" w:color="auto"/>
            <w:right w:val="none" w:sz="0" w:space="0" w:color="auto"/>
          </w:divBdr>
        </w:div>
        <w:div w:id="1409695189">
          <w:marLeft w:val="0"/>
          <w:marRight w:val="0"/>
          <w:marTop w:val="0"/>
          <w:marBottom w:val="0"/>
          <w:divBdr>
            <w:top w:val="none" w:sz="0" w:space="0" w:color="auto"/>
            <w:left w:val="none" w:sz="0" w:space="0" w:color="auto"/>
            <w:bottom w:val="none" w:sz="0" w:space="0" w:color="auto"/>
            <w:right w:val="none" w:sz="0" w:space="0" w:color="auto"/>
          </w:divBdr>
        </w:div>
        <w:div w:id="1024675801">
          <w:marLeft w:val="0"/>
          <w:marRight w:val="0"/>
          <w:marTop w:val="0"/>
          <w:marBottom w:val="0"/>
          <w:divBdr>
            <w:top w:val="none" w:sz="0" w:space="0" w:color="auto"/>
            <w:left w:val="none" w:sz="0" w:space="0" w:color="auto"/>
            <w:bottom w:val="none" w:sz="0" w:space="0" w:color="auto"/>
            <w:right w:val="none" w:sz="0" w:space="0" w:color="auto"/>
          </w:divBdr>
        </w:div>
        <w:div w:id="1420370925">
          <w:marLeft w:val="0"/>
          <w:marRight w:val="0"/>
          <w:marTop w:val="0"/>
          <w:marBottom w:val="0"/>
          <w:divBdr>
            <w:top w:val="none" w:sz="0" w:space="0" w:color="auto"/>
            <w:left w:val="none" w:sz="0" w:space="0" w:color="auto"/>
            <w:bottom w:val="none" w:sz="0" w:space="0" w:color="auto"/>
            <w:right w:val="none" w:sz="0" w:space="0" w:color="auto"/>
          </w:divBdr>
        </w:div>
        <w:div w:id="1080981968">
          <w:marLeft w:val="0"/>
          <w:marRight w:val="0"/>
          <w:marTop w:val="0"/>
          <w:marBottom w:val="0"/>
          <w:divBdr>
            <w:top w:val="none" w:sz="0" w:space="0" w:color="auto"/>
            <w:left w:val="none" w:sz="0" w:space="0" w:color="auto"/>
            <w:bottom w:val="none" w:sz="0" w:space="0" w:color="auto"/>
            <w:right w:val="none" w:sz="0" w:space="0" w:color="auto"/>
          </w:divBdr>
        </w:div>
        <w:div w:id="1454514833">
          <w:marLeft w:val="0"/>
          <w:marRight w:val="0"/>
          <w:marTop w:val="0"/>
          <w:marBottom w:val="0"/>
          <w:divBdr>
            <w:top w:val="none" w:sz="0" w:space="0" w:color="auto"/>
            <w:left w:val="none" w:sz="0" w:space="0" w:color="auto"/>
            <w:bottom w:val="none" w:sz="0" w:space="0" w:color="auto"/>
            <w:right w:val="none" w:sz="0" w:space="0" w:color="auto"/>
          </w:divBdr>
        </w:div>
        <w:div w:id="713384995">
          <w:marLeft w:val="0"/>
          <w:marRight w:val="0"/>
          <w:marTop w:val="0"/>
          <w:marBottom w:val="0"/>
          <w:divBdr>
            <w:top w:val="none" w:sz="0" w:space="0" w:color="auto"/>
            <w:left w:val="none" w:sz="0" w:space="0" w:color="auto"/>
            <w:bottom w:val="none" w:sz="0" w:space="0" w:color="auto"/>
            <w:right w:val="none" w:sz="0" w:space="0" w:color="auto"/>
          </w:divBdr>
        </w:div>
        <w:div w:id="687489495">
          <w:marLeft w:val="0"/>
          <w:marRight w:val="0"/>
          <w:marTop w:val="0"/>
          <w:marBottom w:val="0"/>
          <w:divBdr>
            <w:top w:val="none" w:sz="0" w:space="0" w:color="auto"/>
            <w:left w:val="none" w:sz="0" w:space="0" w:color="auto"/>
            <w:bottom w:val="none" w:sz="0" w:space="0" w:color="auto"/>
            <w:right w:val="none" w:sz="0" w:space="0" w:color="auto"/>
          </w:divBdr>
        </w:div>
        <w:div w:id="2048869229">
          <w:marLeft w:val="0"/>
          <w:marRight w:val="0"/>
          <w:marTop w:val="0"/>
          <w:marBottom w:val="0"/>
          <w:divBdr>
            <w:top w:val="none" w:sz="0" w:space="0" w:color="auto"/>
            <w:left w:val="none" w:sz="0" w:space="0" w:color="auto"/>
            <w:bottom w:val="none" w:sz="0" w:space="0" w:color="auto"/>
            <w:right w:val="none" w:sz="0" w:space="0" w:color="auto"/>
          </w:divBdr>
        </w:div>
        <w:div w:id="1532913656">
          <w:marLeft w:val="0"/>
          <w:marRight w:val="0"/>
          <w:marTop w:val="0"/>
          <w:marBottom w:val="0"/>
          <w:divBdr>
            <w:top w:val="none" w:sz="0" w:space="0" w:color="auto"/>
            <w:left w:val="none" w:sz="0" w:space="0" w:color="auto"/>
            <w:bottom w:val="none" w:sz="0" w:space="0" w:color="auto"/>
            <w:right w:val="none" w:sz="0" w:space="0" w:color="auto"/>
          </w:divBdr>
        </w:div>
        <w:div w:id="1289822737">
          <w:marLeft w:val="0"/>
          <w:marRight w:val="0"/>
          <w:marTop w:val="0"/>
          <w:marBottom w:val="0"/>
          <w:divBdr>
            <w:top w:val="none" w:sz="0" w:space="0" w:color="auto"/>
            <w:left w:val="none" w:sz="0" w:space="0" w:color="auto"/>
            <w:bottom w:val="none" w:sz="0" w:space="0" w:color="auto"/>
            <w:right w:val="none" w:sz="0" w:space="0" w:color="auto"/>
          </w:divBdr>
        </w:div>
        <w:div w:id="1771780617">
          <w:marLeft w:val="0"/>
          <w:marRight w:val="0"/>
          <w:marTop w:val="0"/>
          <w:marBottom w:val="0"/>
          <w:divBdr>
            <w:top w:val="none" w:sz="0" w:space="0" w:color="auto"/>
            <w:left w:val="none" w:sz="0" w:space="0" w:color="auto"/>
            <w:bottom w:val="none" w:sz="0" w:space="0" w:color="auto"/>
            <w:right w:val="none" w:sz="0" w:space="0" w:color="auto"/>
          </w:divBdr>
        </w:div>
        <w:div w:id="165024653">
          <w:marLeft w:val="0"/>
          <w:marRight w:val="0"/>
          <w:marTop w:val="0"/>
          <w:marBottom w:val="0"/>
          <w:divBdr>
            <w:top w:val="none" w:sz="0" w:space="0" w:color="auto"/>
            <w:left w:val="none" w:sz="0" w:space="0" w:color="auto"/>
            <w:bottom w:val="none" w:sz="0" w:space="0" w:color="auto"/>
            <w:right w:val="none" w:sz="0" w:space="0" w:color="auto"/>
          </w:divBdr>
        </w:div>
        <w:div w:id="397632563">
          <w:marLeft w:val="0"/>
          <w:marRight w:val="0"/>
          <w:marTop w:val="0"/>
          <w:marBottom w:val="0"/>
          <w:divBdr>
            <w:top w:val="none" w:sz="0" w:space="0" w:color="auto"/>
            <w:left w:val="none" w:sz="0" w:space="0" w:color="auto"/>
            <w:bottom w:val="none" w:sz="0" w:space="0" w:color="auto"/>
            <w:right w:val="none" w:sz="0" w:space="0" w:color="auto"/>
          </w:divBdr>
        </w:div>
        <w:div w:id="500125027">
          <w:marLeft w:val="0"/>
          <w:marRight w:val="0"/>
          <w:marTop w:val="0"/>
          <w:marBottom w:val="0"/>
          <w:divBdr>
            <w:top w:val="none" w:sz="0" w:space="0" w:color="auto"/>
            <w:left w:val="none" w:sz="0" w:space="0" w:color="auto"/>
            <w:bottom w:val="none" w:sz="0" w:space="0" w:color="auto"/>
            <w:right w:val="none" w:sz="0" w:space="0" w:color="auto"/>
          </w:divBdr>
        </w:div>
        <w:div w:id="1846360183">
          <w:marLeft w:val="0"/>
          <w:marRight w:val="0"/>
          <w:marTop w:val="0"/>
          <w:marBottom w:val="0"/>
          <w:divBdr>
            <w:top w:val="none" w:sz="0" w:space="0" w:color="auto"/>
            <w:left w:val="none" w:sz="0" w:space="0" w:color="auto"/>
            <w:bottom w:val="none" w:sz="0" w:space="0" w:color="auto"/>
            <w:right w:val="none" w:sz="0" w:space="0" w:color="auto"/>
          </w:divBdr>
        </w:div>
        <w:div w:id="916019648">
          <w:marLeft w:val="0"/>
          <w:marRight w:val="0"/>
          <w:marTop w:val="0"/>
          <w:marBottom w:val="0"/>
          <w:divBdr>
            <w:top w:val="none" w:sz="0" w:space="0" w:color="auto"/>
            <w:left w:val="none" w:sz="0" w:space="0" w:color="auto"/>
            <w:bottom w:val="none" w:sz="0" w:space="0" w:color="auto"/>
            <w:right w:val="none" w:sz="0" w:space="0" w:color="auto"/>
          </w:divBdr>
        </w:div>
        <w:div w:id="834301890">
          <w:marLeft w:val="0"/>
          <w:marRight w:val="0"/>
          <w:marTop w:val="0"/>
          <w:marBottom w:val="0"/>
          <w:divBdr>
            <w:top w:val="none" w:sz="0" w:space="0" w:color="auto"/>
            <w:left w:val="none" w:sz="0" w:space="0" w:color="auto"/>
            <w:bottom w:val="none" w:sz="0" w:space="0" w:color="auto"/>
            <w:right w:val="none" w:sz="0" w:space="0" w:color="auto"/>
          </w:divBdr>
        </w:div>
        <w:div w:id="504444357">
          <w:marLeft w:val="0"/>
          <w:marRight w:val="0"/>
          <w:marTop w:val="0"/>
          <w:marBottom w:val="0"/>
          <w:divBdr>
            <w:top w:val="none" w:sz="0" w:space="0" w:color="auto"/>
            <w:left w:val="none" w:sz="0" w:space="0" w:color="auto"/>
            <w:bottom w:val="none" w:sz="0" w:space="0" w:color="auto"/>
            <w:right w:val="none" w:sz="0" w:space="0" w:color="auto"/>
          </w:divBdr>
        </w:div>
        <w:div w:id="1838837027">
          <w:marLeft w:val="0"/>
          <w:marRight w:val="0"/>
          <w:marTop w:val="0"/>
          <w:marBottom w:val="0"/>
          <w:divBdr>
            <w:top w:val="none" w:sz="0" w:space="0" w:color="auto"/>
            <w:left w:val="none" w:sz="0" w:space="0" w:color="auto"/>
            <w:bottom w:val="none" w:sz="0" w:space="0" w:color="auto"/>
            <w:right w:val="none" w:sz="0" w:space="0" w:color="auto"/>
          </w:divBdr>
        </w:div>
        <w:div w:id="2062629338">
          <w:marLeft w:val="0"/>
          <w:marRight w:val="0"/>
          <w:marTop w:val="0"/>
          <w:marBottom w:val="0"/>
          <w:divBdr>
            <w:top w:val="none" w:sz="0" w:space="0" w:color="auto"/>
            <w:left w:val="none" w:sz="0" w:space="0" w:color="auto"/>
            <w:bottom w:val="none" w:sz="0" w:space="0" w:color="auto"/>
            <w:right w:val="none" w:sz="0" w:space="0" w:color="auto"/>
          </w:divBdr>
        </w:div>
        <w:div w:id="67728618">
          <w:marLeft w:val="0"/>
          <w:marRight w:val="0"/>
          <w:marTop w:val="0"/>
          <w:marBottom w:val="0"/>
          <w:divBdr>
            <w:top w:val="none" w:sz="0" w:space="0" w:color="auto"/>
            <w:left w:val="none" w:sz="0" w:space="0" w:color="auto"/>
            <w:bottom w:val="none" w:sz="0" w:space="0" w:color="auto"/>
            <w:right w:val="none" w:sz="0" w:space="0" w:color="auto"/>
          </w:divBdr>
        </w:div>
        <w:div w:id="1862280982">
          <w:marLeft w:val="0"/>
          <w:marRight w:val="0"/>
          <w:marTop w:val="0"/>
          <w:marBottom w:val="0"/>
          <w:divBdr>
            <w:top w:val="none" w:sz="0" w:space="0" w:color="auto"/>
            <w:left w:val="none" w:sz="0" w:space="0" w:color="auto"/>
            <w:bottom w:val="none" w:sz="0" w:space="0" w:color="auto"/>
            <w:right w:val="none" w:sz="0" w:space="0" w:color="auto"/>
          </w:divBdr>
        </w:div>
        <w:div w:id="2088577146">
          <w:marLeft w:val="0"/>
          <w:marRight w:val="0"/>
          <w:marTop w:val="0"/>
          <w:marBottom w:val="0"/>
          <w:divBdr>
            <w:top w:val="none" w:sz="0" w:space="0" w:color="auto"/>
            <w:left w:val="none" w:sz="0" w:space="0" w:color="auto"/>
            <w:bottom w:val="none" w:sz="0" w:space="0" w:color="auto"/>
            <w:right w:val="none" w:sz="0" w:space="0" w:color="auto"/>
          </w:divBdr>
        </w:div>
        <w:div w:id="1482772526">
          <w:marLeft w:val="0"/>
          <w:marRight w:val="0"/>
          <w:marTop w:val="0"/>
          <w:marBottom w:val="0"/>
          <w:divBdr>
            <w:top w:val="none" w:sz="0" w:space="0" w:color="auto"/>
            <w:left w:val="none" w:sz="0" w:space="0" w:color="auto"/>
            <w:bottom w:val="none" w:sz="0" w:space="0" w:color="auto"/>
            <w:right w:val="none" w:sz="0" w:space="0" w:color="auto"/>
          </w:divBdr>
        </w:div>
        <w:div w:id="629628805">
          <w:marLeft w:val="0"/>
          <w:marRight w:val="0"/>
          <w:marTop w:val="0"/>
          <w:marBottom w:val="0"/>
          <w:divBdr>
            <w:top w:val="none" w:sz="0" w:space="0" w:color="auto"/>
            <w:left w:val="none" w:sz="0" w:space="0" w:color="auto"/>
            <w:bottom w:val="none" w:sz="0" w:space="0" w:color="auto"/>
            <w:right w:val="none" w:sz="0" w:space="0" w:color="auto"/>
          </w:divBdr>
        </w:div>
        <w:div w:id="540826907">
          <w:marLeft w:val="0"/>
          <w:marRight w:val="0"/>
          <w:marTop w:val="0"/>
          <w:marBottom w:val="0"/>
          <w:divBdr>
            <w:top w:val="none" w:sz="0" w:space="0" w:color="auto"/>
            <w:left w:val="none" w:sz="0" w:space="0" w:color="auto"/>
            <w:bottom w:val="none" w:sz="0" w:space="0" w:color="auto"/>
            <w:right w:val="none" w:sz="0" w:space="0" w:color="auto"/>
          </w:divBdr>
        </w:div>
        <w:div w:id="95638737">
          <w:marLeft w:val="0"/>
          <w:marRight w:val="0"/>
          <w:marTop w:val="0"/>
          <w:marBottom w:val="0"/>
          <w:divBdr>
            <w:top w:val="none" w:sz="0" w:space="0" w:color="auto"/>
            <w:left w:val="none" w:sz="0" w:space="0" w:color="auto"/>
            <w:bottom w:val="none" w:sz="0" w:space="0" w:color="auto"/>
            <w:right w:val="none" w:sz="0" w:space="0" w:color="auto"/>
          </w:divBdr>
        </w:div>
        <w:div w:id="2117402992">
          <w:marLeft w:val="0"/>
          <w:marRight w:val="0"/>
          <w:marTop w:val="0"/>
          <w:marBottom w:val="0"/>
          <w:divBdr>
            <w:top w:val="none" w:sz="0" w:space="0" w:color="auto"/>
            <w:left w:val="none" w:sz="0" w:space="0" w:color="auto"/>
            <w:bottom w:val="none" w:sz="0" w:space="0" w:color="auto"/>
            <w:right w:val="none" w:sz="0" w:space="0" w:color="auto"/>
          </w:divBdr>
        </w:div>
        <w:div w:id="472331099">
          <w:marLeft w:val="0"/>
          <w:marRight w:val="0"/>
          <w:marTop w:val="0"/>
          <w:marBottom w:val="0"/>
          <w:divBdr>
            <w:top w:val="none" w:sz="0" w:space="0" w:color="auto"/>
            <w:left w:val="none" w:sz="0" w:space="0" w:color="auto"/>
            <w:bottom w:val="none" w:sz="0" w:space="0" w:color="auto"/>
            <w:right w:val="none" w:sz="0" w:space="0" w:color="auto"/>
          </w:divBdr>
        </w:div>
        <w:div w:id="1403332370">
          <w:marLeft w:val="0"/>
          <w:marRight w:val="0"/>
          <w:marTop w:val="0"/>
          <w:marBottom w:val="0"/>
          <w:divBdr>
            <w:top w:val="none" w:sz="0" w:space="0" w:color="auto"/>
            <w:left w:val="none" w:sz="0" w:space="0" w:color="auto"/>
            <w:bottom w:val="none" w:sz="0" w:space="0" w:color="auto"/>
            <w:right w:val="none" w:sz="0" w:space="0" w:color="auto"/>
          </w:divBdr>
        </w:div>
        <w:div w:id="1578244271">
          <w:marLeft w:val="0"/>
          <w:marRight w:val="0"/>
          <w:marTop w:val="0"/>
          <w:marBottom w:val="0"/>
          <w:divBdr>
            <w:top w:val="none" w:sz="0" w:space="0" w:color="auto"/>
            <w:left w:val="none" w:sz="0" w:space="0" w:color="auto"/>
            <w:bottom w:val="none" w:sz="0" w:space="0" w:color="auto"/>
            <w:right w:val="none" w:sz="0" w:space="0" w:color="auto"/>
          </w:divBdr>
        </w:div>
        <w:div w:id="2102600740">
          <w:marLeft w:val="0"/>
          <w:marRight w:val="0"/>
          <w:marTop w:val="0"/>
          <w:marBottom w:val="0"/>
          <w:divBdr>
            <w:top w:val="none" w:sz="0" w:space="0" w:color="auto"/>
            <w:left w:val="none" w:sz="0" w:space="0" w:color="auto"/>
            <w:bottom w:val="none" w:sz="0" w:space="0" w:color="auto"/>
            <w:right w:val="none" w:sz="0" w:space="0" w:color="auto"/>
          </w:divBdr>
        </w:div>
        <w:div w:id="212080021">
          <w:marLeft w:val="0"/>
          <w:marRight w:val="0"/>
          <w:marTop w:val="0"/>
          <w:marBottom w:val="0"/>
          <w:divBdr>
            <w:top w:val="none" w:sz="0" w:space="0" w:color="auto"/>
            <w:left w:val="none" w:sz="0" w:space="0" w:color="auto"/>
            <w:bottom w:val="none" w:sz="0" w:space="0" w:color="auto"/>
            <w:right w:val="none" w:sz="0" w:space="0" w:color="auto"/>
          </w:divBdr>
        </w:div>
        <w:div w:id="337776423">
          <w:marLeft w:val="0"/>
          <w:marRight w:val="0"/>
          <w:marTop w:val="0"/>
          <w:marBottom w:val="0"/>
          <w:divBdr>
            <w:top w:val="none" w:sz="0" w:space="0" w:color="auto"/>
            <w:left w:val="none" w:sz="0" w:space="0" w:color="auto"/>
            <w:bottom w:val="none" w:sz="0" w:space="0" w:color="auto"/>
            <w:right w:val="none" w:sz="0" w:space="0" w:color="auto"/>
          </w:divBdr>
        </w:div>
        <w:div w:id="1610045972">
          <w:marLeft w:val="0"/>
          <w:marRight w:val="0"/>
          <w:marTop w:val="0"/>
          <w:marBottom w:val="0"/>
          <w:divBdr>
            <w:top w:val="none" w:sz="0" w:space="0" w:color="auto"/>
            <w:left w:val="none" w:sz="0" w:space="0" w:color="auto"/>
            <w:bottom w:val="none" w:sz="0" w:space="0" w:color="auto"/>
            <w:right w:val="none" w:sz="0" w:space="0" w:color="auto"/>
          </w:divBdr>
        </w:div>
        <w:div w:id="1375957631">
          <w:marLeft w:val="0"/>
          <w:marRight w:val="0"/>
          <w:marTop w:val="0"/>
          <w:marBottom w:val="0"/>
          <w:divBdr>
            <w:top w:val="none" w:sz="0" w:space="0" w:color="auto"/>
            <w:left w:val="none" w:sz="0" w:space="0" w:color="auto"/>
            <w:bottom w:val="none" w:sz="0" w:space="0" w:color="auto"/>
            <w:right w:val="none" w:sz="0" w:space="0" w:color="auto"/>
          </w:divBdr>
        </w:div>
        <w:div w:id="495342607">
          <w:marLeft w:val="0"/>
          <w:marRight w:val="0"/>
          <w:marTop w:val="0"/>
          <w:marBottom w:val="0"/>
          <w:divBdr>
            <w:top w:val="none" w:sz="0" w:space="0" w:color="auto"/>
            <w:left w:val="none" w:sz="0" w:space="0" w:color="auto"/>
            <w:bottom w:val="none" w:sz="0" w:space="0" w:color="auto"/>
            <w:right w:val="none" w:sz="0" w:space="0" w:color="auto"/>
          </w:divBdr>
        </w:div>
        <w:div w:id="1920824876">
          <w:marLeft w:val="0"/>
          <w:marRight w:val="0"/>
          <w:marTop w:val="0"/>
          <w:marBottom w:val="0"/>
          <w:divBdr>
            <w:top w:val="none" w:sz="0" w:space="0" w:color="auto"/>
            <w:left w:val="none" w:sz="0" w:space="0" w:color="auto"/>
            <w:bottom w:val="none" w:sz="0" w:space="0" w:color="auto"/>
            <w:right w:val="none" w:sz="0" w:space="0" w:color="auto"/>
          </w:divBdr>
        </w:div>
        <w:div w:id="706218720">
          <w:marLeft w:val="0"/>
          <w:marRight w:val="0"/>
          <w:marTop w:val="0"/>
          <w:marBottom w:val="0"/>
          <w:divBdr>
            <w:top w:val="none" w:sz="0" w:space="0" w:color="auto"/>
            <w:left w:val="none" w:sz="0" w:space="0" w:color="auto"/>
            <w:bottom w:val="none" w:sz="0" w:space="0" w:color="auto"/>
            <w:right w:val="none" w:sz="0" w:space="0" w:color="auto"/>
          </w:divBdr>
        </w:div>
        <w:div w:id="932007393">
          <w:marLeft w:val="0"/>
          <w:marRight w:val="0"/>
          <w:marTop w:val="0"/>
          <w:marBottom w:val="0"/>
          <w:divBdr>
            <w:top w:val="none" w:sz="0" w:space="0" w:color="auto"/>
            <w:left w:val="none" w:sz="0" w:space="0" w:color="auto"/>
            <w:bottom w:val="none" w:sz="0" w:space="0" w:color="auto"/>
            <w:right w:val="none" w:sz="0" w:space="0" w:color="auto"/>
          </w:divBdr>
        </w:div>
        <w:div w:id="1367605435">
          <w:marLeft w:val="0"/>
          <w:marRight w:val="0"/>
          <w:marTop w:val="0"/>
          <w:marBottom w:val="0"/>
          <w:divBdr>
            <w:top w:val="none" w:sz="0" w:space="0" w:color="auto"/>
            <w:left w:val="none" w:sz="0" w:space="0" w:color="auto"/>
            <w:bottom w:val="none" w:sz="0" w:space="0" w:color="auto"/>
            <w:right w:val="none" w:sz="0" w:space="0" w:color="auto"/>
          </w:divBdr>
        </w:div>
        <w:div w:id="544679468">
          <w:marLeft w:val="0"/>
          <w:marRight w:val="0"/>
          <w:marTop w:val="0"/>
          <w:marBottom w:val="0"/>
          <w:divBdr>
            <w:top w:val="none" w:sz="0" w:space="0" w:color="auto"/>
            <w:left w:val="none" w:sz="0" w:space="0" w:color="auto"/>
            <w:bottom w:val="none" w:sz="0" w:space="0" w:color="auto"/>
            <w:right w:val="none" w:sz="0" w:space="0" w:color="auto"/>
          </w:divBdr>
        </w:div>
        <w:div w:id="2042778307">
          <w:marLeft w:val="0"/>
          <w:marRight w:val="0"/>
          <w:marTop w:val="0"/>
          <w:marBottom w:val="0"/>
          <w:divBdr>
            <w:top w:val="none" w:sz="0" w:space="0" w:color="auto"/>
            <w:left w:val="none" w:sz="0" w:space="0" w:color="auto"/>
            <w:bottom w:val="none" w:sz="0" w:space="0" w:color="auto"/>
            <w:right w:val="none" w:sz="0" w:space="0" w:color="auto"/>
          </w:divBdr>
        </w:div>
        <w:div w:id="282418450">
          <w:marLeft w:val="0"/>
          <w:marRight w:val="0"/>
          <w:marTop w:val="0"/>
          <w:marBottom w:val="0"/>
          <w:divBdr>
            <w:top w:val="none" w:sz="0" w:space="0" w:color="auto"/>
            <w:left w:val="none" w:sz="0" w:space="0" w:color="auto"/>
            <w:bottom w:val="none" w:sz="0" w:space="0" w:color="auto"/>
            <w:right w:val="none" w:sz="0" w:space="0" w:color="auto"/>
          </w:divBdr>
        </w:div>
        <w:div w:id="743458480">
          <w:marLeft w:val="0"/>
          <w:marRight w:val="0"/>
          <w:marTop w:val="0"/>
          <w:marBottom w:val="0"/>
          <w:divBdr>
            <w:top w:val="none" w:sz="0" w:space="0" w:color="auto"/>
            <w:left w:val="none" w:sz="0" w:space="0" w:color="auto"/>
            <w:bottom w:val="none" w:sz="0" w:space="0" w:color="auto"/>
            <w:right w:val="none" w:sz="0" w:space="0" w:color="auto"/>
          </w:divBdr>
        </w:div>
        <w:div w:id="1811247122">
          <w:marLeft w:val="0"/>
          <w:marRight w:val="0"/>
          <w:marTop w:val="0"/>
          <w:marBottom w:val="0"/>
          <w:divBdr>
            <w:top w:val="none" w:sz="0" w:space="0" w:color="auto"/>
            <w:left w:val="none" w:sz="0" w:space="0" w:color="auto"/>
            <w:bottom w:val="none" w:sz="0" w:space="0" w:color="auto"/>
            <w:right w:val="none" w:sz="0" w:space="0" w:color="auto"/>
          </w:divBdr>
        </w:div>
        <w:div w:id="455877780">
          <w:marLeft w:val="0"/>
          <w:marRight w:val="0"/>
          <w:marTop w:val="0"/>
          <w:marBottom w:val="0"/>
          <w:divBdr>
            <w:top w:val="none" w:sz="0" w:space="0" w:color="auto"/>
            <w:left w:val="none" w:sz="0" w:space="0" w:color="auto"/>
            <w:bottom w:val="none" w:sz="0" w:space="0" w:color="auto"/>
            <w:right w:val="none" w:sz="0" w:space="0" w:color="auto"/>
          </w:divBdr>
        </w:div>
        <w:div w:id="1297492586">
          <w:marLeft w:val="0"/>
          <w:marRight w:val="0"/>
          <w:marTop w:val="0"/>
          <w:marBottom w:val="0"/>
          <w:divBdr>
            <w:top w:val="none" w:sz="0" w:space="0" w:color="auto"/>
            <w:left w:val="none" w:sz="0" w:space="0" w:color="auto"/>
            <w:bottom w:val="none" w:sz="0" w:space="0" w:color="auto"/>
            <w:right w:val="none" w:sz="0" w:space="0" w:color="auto"/>
          </w:divBdr>
        </w:div>
        <w:div w:id="1103188170">
          <w:marLeft w:val="0"/>
          <w:marRight w:val="0"/>
          <w:marTop w:val="0"/>
          <w:marBottom w:val="0"/>
          <w:divBdr>
            <w:top w:val="none" w:sz="0" w:space="0" w:color="auto"/>
            <w:left w:val="none" w:sz="0" w:space="0" w:color="auto"/>
            <w:bottom w:val="none" w:sz="0" w:space="0" w:color="auto"/>
            <w:right w:val="none" w:sz="0" w:space="0" w:color="auto"/>
          </w:divBdr>
        </w:div>
        <w:div w:id="1867479598">
          <w:marLeft w:val="0"/>
          <w:marRight w:val="0"/>
          <w:marTop w:val="0"/>
          <w:marBottom w:val="0"/>
          <w:divBdr>
            <w:top w:val="none" w:sz="0" w:space="0" w:color="auto"/>
            <w:left w:val="none" w:sz="0" w:space="0" w:color="auto"/>
            <w:bottom w:val="none" w:sz="0" w:space="0" w:color="auto"/>
            <w:right w:val="none" w:sz="0" w:space="0" w:color="auto"/>
          </w:divBdr>
        </w:div>
        <w:div w:id="1642417812">
          <w:marLeft w:val="0"/>
          <w:marRight w:val="0"/>
          <w:marTop w:val="0"/>
          <w:marBottom w:val="0"/>
          <w:divBdr>
            <w:top w:val="none" w:sz="0" w:space="0" w:color="auto"/>
            <w:left w:val="none" w:sz="0" w:space="0" w:color="auto"/>
            <w:bottom w:val="none" w:sz="0" w:space="0" w:color="auto"/>
            <w:right w:val="none" w:sz="0" w:space="0" w:color="auto"/>
          </w:divBdr>
        </w:div>
        <w:div w:id="724648326">
          <w:marLeft w:val="0"/>
          <w:marRight w:val="0"/>
          <w:marTop w:val="0"/>
          <w:marBottom w:val="0"/>
          <w:divBdr>
            <w:top w:val="none" w:sz="0" w:space="0" w:color="auto"/>
            <w:left w:val="none" w:sz="0" w:space="0" w:color="auto"/>
            <w:bottom w:val="none" w:sz="0" w:space="0" w:color="auto"/>
            <w:right w:val="none" w:sz="0" w:space="0" w:color="auto"/>
          </w:divBdr>
        </w:div>
        <w:div w:id="1538196964">
          <w:marLeft w:val="0"/>
          <w:marRight w:val="0"/>
          <w:marTop w:val="0"/>
          <w:marBottom w:val="0"/>
          <w:divBdr>
            <w:top w:val="none" w:sz="0" w:space="0" w:color="auto"/>
            <w:left w:val="none" w:sz="0" w:space="0" w:color="auto"/>
            <w:bottom w:val="none" w:sz="0" w:space="0" w:color="auto"/>
            <w:right w:val="none" w:sz="0" w:space="0" w:color="auto"/>
          </w:divBdr>
        </w:div>
        <w:div w:id="117531955">
          <w:marLeft w:val="0"/>
          <w:marRight w:val="0"/>
          <w:marTop w:val="0"/>
          <w:marBottom w:val="0"/>
          <w:divBdr>
            <w:top w:val="none" w:sz="0" w:space="0" w:color="auto"/>
            <w:left w:val="none" w:sz="0" w:space="0" w:color="auto"/>
            <w:bottom w:val="none" w:sz="0" w:space="0" w:color="auto"/>
            <w:right w:val="none" w:sz="0" w:space="0" w:color="auto"/>
          </w:divBdr>
        </w:div>
        <w:div w:id="2093157126">
          <w:marLeft w:val="0"/>
          <w:marRight w:val="0"/>
          <w:marTop w:val="0"/>
          <w:marBottom w:val="0"/>
          <w:divBdr>
            <w:top w:val="none" w:sz="0" w:space="0" w:color="auto"/>
            <w:left w:val="none" w:sz="0" w:space="0" w:color="auto"/>
            <w:bottom w:val="none" w:sz="0" w:space="0" w:color="auto"/>
            <w:right w:val="none" w:sz="0" w:space="0" w:color="auto"/>
          </w:divBdr>
        </w:div>
        <w:div w:id="1776709213">
          <w:marLeft w:val="0"/>
          <w:marRight w:val="0"/>
          <w:marTop w:val="0"/>
          <w:marBottom w:val="0"/>
          <w:divBdr>
            <w:top w:val="none" w:sz="0" w:space="0" w:color="auto"/>
            <w:left w:val="none" w:sz="0" w:space="0" w:color="auto"/>
            <w:bottom w:val="none" w:sz="0" w:space="0" w:color="auto"/>
            <w:right w:val="none" w:sz="0" w:space="0" w:color="auto"/>
          </w:divBdr>
        </w:div>
        <w:div w:id="280764855">
          <w:marLeft w:val="0"/>
          <w:marRight w:val="0"/>
          <w:marTop w:val="0"/>
          <w:marBottom w:val="0"/>
          <w:divBdr>
            <w:top w:val="none" w:sz="0" w:space="0" w:color="auto"/>
            <w:left w:val="none" w:sz="0" w:space="0" w:color="auto"/>
            <w:bottom w:val="none" w:sz="0" w:space="0" w:color="auto"/>
            <w:right w:val="none" w:sz="0" w:space="0" w:color="auto"/>
          </w:divBdr>
        </w:div>
        <w:div w:id="2124222926">
          <w:marLeft w:val="0"/>
          <w:marRight w:val="0"/>
          <w:marTop w:val="0"/>
          <w:marBottom w:val="0"/>
          <w:divBdr>
            <w:top w:val="none" w:sz="0" w:space="0" w:color="auto"/>
            <w:left w:val="none" w:sz="0" w:space="0" w:color="auto"/>
            <w:bottom w:val="none" w:sz="0" w:space="0" w:color="auto"/>
            <w:right w:val="none" w:sz="0" w:space="0" w:color="auto"/>
          </w:divBdr>
        </w:div>
        <w:div w:id="165756829">
          <w:marLeft w:val="0"/>
          <w:marRight w:val="0"/>
          <w:marTop w:val="0"/>
          <w:marBottom w:val="0"/>
          <w:divBdr>
            <w:top w:val="none" w:sz="0" w:space="0" w:color="auto"/>
            <w:left w:val="none" w:sz="0" w:space="0" w:color="auto"/>
            <w:bottom w:val="none" w:sz="0" w:space="0" w:color="auto"/>
            <w:right w:val="none" w:sz="0" w:space="0" w:color="auto"/>
          </w:divBdr>
        </w:div>
        <w:div w:id="286352535">
          <w:marLeft w:val="0"/>
          <w:marRight w:val="0"/>
          <w:marTop w:val="0"/>
          <w:marBottom w:val="0"/>
          <w:divBdr>
            <w:top w:val="none" w:sz="0" w:space="0" w:color="auto"/>
            <w:left w:val="none" w:sz="0" w:space="0" w:color="auto"/>
            <w:bottom w:val="none" w:sz="0" w:space="0" w:color="auto"/>
            <w:right w:val="none" w:sz="0" w:space="0" w:color="auto"/>
          </w:divBdr>
        </w:div>
        <w:div w:id="427118617">
          <w:marLeft w:val="0"/>
          <w:marRight w:val="0"/>
          <w:marTop w:val="0"/>
          <w:marBottom w:val="0"/>
          <w:divBdr>
            <w:top w:val="none" w:sz="0" w:space="0" w:color="auto"/>
            <w:left w:val="none" w:sz="0" w:space="0" w:color="auto"/>
            <w:bottom w:val="none" w:sz="0" w:space="0" w:color="auto"/>
            <w:right w:val="none" w:sz="0" w:space="0" w:color="auto"/>
          </w:divBdr>
        </w:div>
        <w:div w:id="1938319738">
          <w:marLeft w:val="0"/>
          <w:marRight w:val="0"/>
          <w:marTop w:val="0"/>
          <w:marBottom w:val="0"/>
          <w:divBdr>
            <w:top w:val="none" w:sz="0" w:space="0" w:color="auto"/>
            <w:left w:val="none" w:sz="0" w:space="0" w:color="auto"/>
            <w:bottom w:val="none" w:sz="0" w:space="0" w:color="auto"/>
            <w:right w:val="none" w:sz="0" w:space="0" w:color="auto"/>
          </w:divBdr>
        </w:div>
        <w:div w:id="563638813">
          <w:marLeft w:val="0"/>
          <w:marRight w:val="0"/>
          <w:marTop w:val="0"/>
          <w:marBottom w:val="0"/>
          <w:divBdr>
            <w:top w:val="none" w:sz="0" w:space="0" w:color="auto"/>
            <w:left w:val="none" w:sz="0" w:space="0" w:color="auto"/>
            <w:bottom w:val="none" w:sz="0" w:space="0" w:color="auto"/>
            <w:right w:val="none" w:sz="0" w:space="0" w:color="auto"/>
          </w:divBdr>
        </w:div>
        <w:div w:id="1578631335">
          <w:marLeft w:val="0"/>
          <w:marRight w:val="0"/>
          <w:marTop w:val="0"/>
          <w:marBottom w:val="0"/>
          <w:divBdr>
            <w:top w:val="none" w:sz="0" w:space="0" w:color="auto"/>
            <w:left w:val="none" w:sz="0" w:space="0" w:color="auto"/>
            <w:bottom w:val="none" w:sz="0" w:space="0" w:color="auto"/>
            <w:right w:val="none" w:sz="0" w:space="0" w:color="auto"/>
          </w:divBdr>
        </w:div>
        <w:div w:id="73016266">
          <w:marLeft w:val="0"/>
          <w:marRight w:val="0"/>
          <w:marTop w:val="0"/>
          <w:marBottom w:val="0"/>
          <w:divBdr>
            <w:top w:val="none" w:sz="0" w:space="0" w:color="auto"/>
            <w:left w:val="none" w:sz="0" w:space="0" w:color="auto"/>
            <w:bottom w:val="none" w:sz="0" w:space="0" w:color="auto"/>
            <w:right w:val="none" w:sz="0" w:space="0" w:color="auto"/>
          </w:divBdr>
        </w:div>
        <w:div w:id="32116185">
          <w:marLeft w:val="0"/>
          <w:marRight w:val="0"/>
          <w:marTop w:val="0"/>
          <w:marBottom w:val="0"/>
          <w:divBdr>
            <w:top w:val="none" w:sz="0" w:space="0" w:color="auto"/>
            <w:left w:val="none" w:sz="0" w:space="0" w:color="auto"/>
            <w:bottom w:val="none" w:sz="0" w:space="0" w:color="auto"/>
            <w:right w:val="none" w:sz="0" w:space="0" w:color="auto"/>
          </w:divBdr>
        </w:div>
        <w:div w:id="1274551927">
          <w:marLeft w:val="0"/>
          <w:marRight w:val="0"/>
          <w:marTop w:val="0"/>
          <w:marBottom w:val="0"/>
          <w:divBdr>
            <w:top w:val="none" w:sz="0" w:space="0" w:color="auto"/>
            <w:left w:val="none" w:sz="0" w:space="0" w:color="auto"/>
            <w:bottom w:val="none" w:sz="0" w:space="0" w:color="auto"/>
            <w:right w:val="none" w:sz="0" w:space="0" w:color="auto"/>
          </w:divBdr>
        </w:div>
        <w:div w:id="1187909086">
          <w:marLeft w:val="0"/>
          <w:marRight w:val="0"/>
          <w:marTop w:val="0"/>
          <w:marBottom w:val="0"/>
          <w:divBdr>
            <w:top w:val="none" w:sz="0" w:space="0" w:color="auto"/>
            <w:left w:val="none" w:sz="0" w:space="0" w:color="auto"/>
            <w:bottom w:val="none" w:sz="0" w:space="0" w:color="auto"/>
            <w:right w:val="none" w:sz="0" w:space="0" w:color="auto"/>
          </w:divBdr>
        </w:div>
        <w:div w:id="2029328293">
          <w:marLeft w:val="0"/>
          <w:marRight w:val="0"/>
          <w:marTop w:val="0"/>
          <w:marBottom w:val="0"/>
          <w:divBdr>
            <w:top w:val="none" w:sz="0" w:space="0" w:color="auto"/>
            <w:left w:val="none" w:sz="0" w:space="0" w:color="auto"/>
            <w:bottom w:val="none" w:sz="0" w:space="0" w:color="auto"/>
            <w:right w:val="none" w:sz="0" w:space="0" w:color="auto"/>
          </w:divBdr>
        </w:div>
      </w:divsChild>
    </w:div>
    <w:div w:id="1377511553">
      <w:bodyDiv w:val="1"/>
      <w:marLeft w:val="0"/>
      <w:marRight w:val="0"/>
      <w:marTop w:val="0"/>
      <w:marBottom w:val="0"/>
      <w:divBdr>
        <w:top w:val="none" w:sz="0" w:space="0" w:color="auto"/>
        <w:left w:val="none" w:sz="0" w:space="0" w:color="auto"/>
        <w:bottom w:val="none" w:sz="0" w:space="0" w:color="auto"/>
        <w:right w:val="none" w:sz="0" w:space="0" w:color="auto"/>
      </w:divBdr>
    </w:div>
    <w:div w:id="1412891359">
      <w:bodyDiv w:val="1"/>
      <w:marLeft w:val="0"/>
      <w:marRight w:val="0"/>
      <w:marTop w:val="0"/>
      <w:marBottom w:val="0"/>
      <w:divBdr>
        <w:top w:val="none" w:sz="0" w:space="0" w:color="auto"/>
        <w:left w:val="none" w:sz="0" w:space="0" w:color="auto"/>
        <w:bottom w:val="none" w:sz="0" w:space="0" w:color="auto"/>
        <w:right w:val="none" w:sz="0" w:space="0" w:color="auto"/>
      </w:divBdr>
      <w:divsChild>
        <w:div w:id="1083719780">
          <w:marLeft w:val="0"/>
          <w:marRight w:val="0"/>
          <w:marTop w:val="0"/>
          <w:marBottom w:val="0"/>
          <w:divBdr>
            <w:top w:val="none" w:sz="0" w:space="0" w:color="auto"/>
            <w:left w:val="none" w:sz="0" w:space="0" w:color="auto"/>
            <w:bottom w:val="none" w:sz="0" w:space="0" w:color="auto"/>
            <w:right w:val="none" w:sz="0" w:space="0" w:color="auto"/>
          </w:divBdr>
        </w:div>
        <w:div w:id="1212614932">
          <w:marLeft w:val="0"/>
          <w:marRight w:val="0"/>
          <w:marTop w:val="0"/>
          <w:marBottom w:val="0"/>
          <w:divBdr>
            <w:top w:val="none" w:sz="0" w:space="0" w:color="auto"/>
            <w:left w:val="none" w:sz="0" w:space="0" w:color="auto"/>
            <w:bottom w:val="none" w:sz="0" w:space="0" w:color="auto"/>
            <w:right w:val="none" w:sz="0" w:space="0" w:color="auto"/>
          </w:divBdr>
        </w:div>
        <w:div w:id="1049261102">
          <w:marLeft w:val="0"/>
          <w:marRight w:val="0"/>
          <w:marTop w:val="0"/>
          <w:marBottom w:val="0"/>
          <w:divBdr>
            <w:top w:val="none" w:sz="0" w:space="0" w:color="auto"/>
            <w:left w:val="none" w:sz="0" w:space="0" w:color="auto"/>
            <w:bottom w:val="none" w:sz="0" w:space="0" w:color="auto"/>
            <w:right w:val="none" w:sz="0" w:space="0" w:color="auto"/>
          </w:divBdr>
        </w:div>
        <w:div w:id="1179126073">
          <w:marLeft w:val="0"/>
          <w:marRight w:val="0"/>
          <w:marTop w:val="0"/>
          <w:marBottom w:val="0"/>
          <w:divBdr>
            <w:top w:val="none" w:sz="0" w:space="0" w:color="auto"/>
            <w:left w:val="none" w:sz="0" w:space="0" w:color="auto"/>
            <w:bottom w:val="none" w:sz="0" w:space="0" w:color="auto"/>
            <w:right w:val="none" w:sz="0" w:space="0" w:color="auto"/>
          </w:divBdr>
        </w:div>
        <w:div w:id="1428773708">
          <w:marLeft w:val="0"/>
          <w:marRight w:val="0"/>
          <w:marTop w:val="0"/>
          <w:marBottom w:val="0"/>
          <w:divBdr>
            <w:top w:val="none" w:sz="0" w:space="0" w:color="auto"/>
            <w:left w:val="none" w:sz="0" w:space="0" w:color="auto"/>
            <w:bottom w:val="none" w:sz="0" w:space="0" w:color="auto"/>
            <w:right w:val="none" w:sz="0" w:space="0" w:color="auto"/>
          </w:divBdr>
        </w:div>
        <w:div w:id="641496028">
          <w:marLeft w:val="0"/>
          <w:marRight w:val="0"/>
          <w:marTop w:val="0"/>
          <w:marBottom w:val="0"/>
          <w:divBdr>
            <w:top w:val="none" w:sz="0" w:space="0" w:color="auto"/>
            <w:left w:val="none" w:sz="0" w:space="0" w:color="auto"/>
            <w:bottom w:val="none" w:sz="0" w:space="0" w:color="auto"/>
            <w:right w:val="none" w:sz="0" w:space="0" w:color="auto"/>
          </w:divBdr>
        </w:div>
        <w:div w:id="1616212700">
          <w:marLeft w:val="0"/>
          <w:marRight w:val="0"/>
          <w:marTop w:val="0"/>
          <w:marBottom w:val="0"/>
          <w:divBdr>
            <w:top w:val="none" w:sz="0" w:space="0" w:color="auto"/>
            <w:left w:val="none" w:sz="0" w:space="0" w:color="auto"/>
            <w:bottom w:val="none" w:sz="0" w:space="0" w:color="auto"/>
            <w:right w:val="none" w:sz="0" w:space="0" w:color="auto"/>
          </w:divBdr>
        </w:div>
        <w:div w:id="56519940">
          <w:marLeft w:val="0"/>
          <w:marRight w:val="0"/>
          <w:marTop w:val="0"/>
          <w:marBottom w:val="0"/>
          <w:divBdr>
            <w:top w:val="none" w:sz="0" w:space="0" w:color="auto"/>
            <w:left w:val="none" w:sz="0" w:space="0" w:color="auto"/>
            <w:bottom w:val="none" w:sz="0" w:space="0" w:color="auto"/>
            <w:right w:val="none" w:sz="0" w:space="0" w:color="auto"/>
          </w:divBdr>
        </w:div>
        <w:div w:id="1382441804">
          <w:marLeft w:val="0"/>
          <w:marRight w:val="0"/>
          <w:marTop w:val="0"/>
          <w:marBottom w:val="0"/>
          <w:divBdr>
            <w:top w:val="none" w:sz="0" w:space="0" w:color="auto"/>
            <w:left w:val="none" w:sz="0" w:space="0" w:color="auto"/>
            <w:bottom w:val="none" w:sz="0" w:space="0" w:color="auto"/>
            <w:right w:val="none" w:sz="0" w:space="0" w:color="auto"/>
          </w:divBdr>
        </w:div>
        <w:div w:id="259723959">
          <w:marLeft w:val="0"/>
          <w:marRight w:val="0"/>
          <w:marTop w:val="0"/>
          <w:marBottom w:val="0"/>
          <w:divBdr>
            <w:top w:val="none" w:sz="0" w:space="0" w:color="auto"/>
            <w:left w:val="none" w:sz="0" w:space="0" w:color="auto"/>
            <w:bottom w:val="none" w:sz="0" w:space="0" w:color="auto"/>
            <w:right w:val="none" w:sz="0" w:space="0" w:color="auto"/>
          </w:divBdr>
        </w:div>
        <w:div w:id="2068257646">
          <w:marLeft w:val="0"/>
          <w:marRight w:val="0"/>
          <w:marTop w:val="0"/>
          <w:marBottom w:val="0"/>
          <w:divBdr>
            <w:top w:val="none" w:sz="0" w:space="0" w:color="auto"/>
            <w:left w:val="none" w:sz="0" w:space="0" w:color="auto"/>
            <w:bottom w:val="none" w:sz="0" w:space="0" w:color="auto"/>
            <w:right w:val="none" w:sz="0" w:space="0" w:color="auto"/>
          </w:divBdr>
        </w:div>
        <w:div w:id="1667854174">
          <w:marLeft w:val="0"/>
          <w:marRight w:val="0"/>
          <w:marTop w:val="0"/>
          <w:marBottom w:val="0"/>
          <w:divBdr>
            <w:top w:val="none" w:sz="0" w:space="0" w:color="auto"/>
            <w:left w:val="none" w:sz="0" w:space="0" w:color="auto"/>
            <w:bottom w:val="none" w:sz="0" w:space="0" w:color="auto"/>
            <w:right w:val="none" w:sz="0" w:space="0" w:color="auto"/>
          </w:divBdr>
        </w:div>
        <w:div w:id="477964428">
          <w:marLeft w:val="0"/>
          <w:marRight w:val="0"/>
          <w:marTop w:val="0"/>
          <w:marBottom w:val="0"/>
          <w:divBdr>
            <w:top w:val="none" w:sz="0" w:space="0" w:color="auto"/>
            <w:left w:val="none" w:sz="0" w:space="0" w:color="auto"/>
            <w:bottom w:val="none" w:sz="0" w:space="0" w:color="auto"/>
            <w:right w:val="none" w:sz="0" w:space="0" w:color="auto"/>
          </w:divBdr>
        </w:div>
        <w:div w:id="122621202">
          <w:marLeft w:val="0"/>
          <w:marRight w:val="0"/>
          <w:marTop w:val="0"/>
          <w:marBottom w:val="0"/>
          <w:divBdr>
            <w:top w:val="none" w:sz="0" w:space="0" w:color="auto"/>
            <w:left w:val="none" w:sz="0" w:space="0" w:color="auto"/>
            <w:bottom w:val="none" w:sz="0" w:space="0" w:color="auto"/>
            <w:right w:val="none" w:sz="0" w:space="0" w:color="auto"/>
          </w:divBdr>
        </w:div>
        <w:div w:id="1847747359">
          <w:marLeft w:val="0"/>
          <w:marRight w:val="0"/>
          <w:marTop w:val="0"/>
          <w:marBottom w:val="0"/>
          <w:divBdr>
            <w:top w:val="none" w:sz="0" w:space="0" w:color="auto"/>
            <w:left w:val="none" w:sz="0" w:space="0" w:color="auto"/>
            <w:bottom w:val="none" w:sz="0" w:space="0" w:color="auto"/>
            <w:right w:val="none" w:sz="0" w:space="0" w:color="auto"/>
          </w:divBdr>
        </w:div>
        <w:div w:id="990866318">
          <w:marLeft w:val="0"/>
          <w:marRight w:val="0"/>
          <w:marTop w:val="0"/>
          <w:marBottom w:val="0"/>
          <w:divBdr>
            <w:top w:val="none" w:sz="0" w:space="0" w:color="auto"/>
            <w:left w:val="none" w:sz="0" w:space="0" w:color="auto"/>
            <w:bottom w:val="none" w:sz="0" w:space="0" w:color="auto"/>
            <w:right w:val="none" w:sz="0" w:space="0" w:color="auto"/>
          </w:divBdr>
        </w:div>
        <w:div w:id="1166286251">
          <w:marLeft w:val="0"/>
          <w:marRight w:val="0"/>
          <w:marTop w:val="0"/>
          <w:marBottom w:val="0"/>
          <w:divBdr>
            <w:top w:val="none" w:sz="0" w:space="0" w:color="auto"/>
            <w:left w:val="none" w:sz="0" w:space="0" w:color="auto"/>
            <w:bottom w:val="none" w:sz="0" w:space="0" w:color="auto"/>
            <w:right w:val="none" w:sz="0" w:space="0" w:color="auto"/>
          </w:divBdr>
        </w:div>
        <w:div w:id="1031300102">
          <w:marLeft w:val="0"/>
          <w:marRight w:val="0"/>
          <w:marTop w:val="0"/>
          <w:marBottom w:val="0"/>
          <w:divBdr>
            <w:top w:val="none" w:sz="0" w:space="0" w:color="auto"/>
            <w:left w:val="none" w:sz="0" w:space="0" w:color="auto"/>
            <w:bottom w:val="none" w:sz="0" w:space="0" w:color="auto"/>
            <w:right w:val="none" w:sz="0" w:space="0" w:color="auto"/>
          </w:divBdr>
        </w:div>
        <w:div w:id="1371414717">
          <w:marLeft w:val="0"/>
          <w:marRight w:val="0"/>
          <w:marTop w:val="0"/>
          <w:marBottom w:val="0"/>
          <w:divBdr>
            <w:top w:val="none" w:sz="0" w:space="0" w:color="auto"/>
            <w:left w:val="none" w:sz="0" w:space="0" w:color="auto"/>
            <w:bottom w:val="none" w:sz="0" w:space="0" w:color="auto"/>
            <w:right w:val="none" w:sz="0" w:space="0" w:color="auto"/>
          </w:divBdr>
        </w:div>
        <w:div w:id="1976568706">
          <w:marLeft w:val="0"/>
          <w:marRight w:val="0"/>
          <w:marTop w:val="0"/>
          <w:marBottom w:val="0"/>
          <w:divBdr>
            <w:top w:val="none" w:sz="0" w:space="0" w:color="auto"/>
            <w:left w:val="none" w:sz="0" w:space="0" w:color="auto"/>
            <w:bottom w:val="none" w:sz="0" w:space="0" w:color="auto"/>
            <w:right w:val="none" w:sz="0" w:space="0" w:color="auto"/>
          </w:divBdr>
        </w:div>
        <w:div w:id="242833551">
          <w:marLeft w:val="0"/>
          <w:marRight w:val="0"/>
          <w:marTop w:val="0"/>
          <w:marBottom w:val="0"/>
          <w:divBdr>
            <w:top w:val="none" w:sz="0" w:space="0" w:color="auto"/>
            <w:left w:val="none" w:sz="0" w:space="0" w:color="auto"/>
            <w:bottom w:val="none" w:sz="0" w:space="0" w:color="auto"/>
            <w:right w:val="none" w:sz="0" w:space="0" w:color="auto"/>
          </w:divBdr>
        </w:div>
        <w:div w:id="207880262">
          <w:marLeft w:val="0"/>
          <w:marRight w:val="0"/>
          <w:marTop w:val="0"/>
          <w:marBottom w:val="0"/>
          <w:divBdr>
            <w:top w:val="none" w:sz="0" w:space="0" w:color="auto"/>
            <w:left w:val="none" w:sz="0" w:space="0" w:color="auto"/>
            <w:bottom w:val="none" w:sz="0" w:space="0" w:color="auto"/>
            <w:right w:val="none" w:sz="0" w:space="0" w:color="auto"/>
          </w:divBdr>
        </w:div>
        <w:div w:id="1934166093">
          <w:marLeft w:val="0"/>
          <w:marRight w:val="0"/>
          <w:marTop w:val="0"/>
          <w:marBottom w:val="0"/>
          <w:divBdr>
            <w:top w:val="none" w:sz="0" w:space="0" w:color="auto"/>
            <w:left w:val="none" w:sz="0" w:space="0" w:color="auto"/>
            <w:bottom w:val="none" w:sz="0" w:space="0" w:color="auto"/>
            <w:right w:val="none" w:sz="0" w:space="0" w:color="auto"/>
          </w:divBdr>
        </w:div>
        <w:div w:id="136723570">
          <w:marLeft w:val="0"/>
          <w:marRight w:val="0"/>
          <w:marTop w:val="0"/>
          <w:marBottom w:val="0"/>
          <w:divBdr>
            <w:top w:val="none" w:sz="0" w:space="0" w:color="auto"/>
            <w:left w:val="none" w:sz="0" w:space="0" w:color="auto"/>
            <w:bottom w:val="none" w:sz="0" w:space="0" w:color="auto"/>
            <w:right w:val="none" w:sz="0" w:space="0" w:color="auto"/>
          </w:divBdr>
        </w:div>
        <w:div w:id="1968122472">
          <w:marLeft w:val="0"/>
          <w:marRight w:val="0"/>
          <w:marTop w:val="0"/>
          <w:marBottom w:val="0"/>
          <w:divBdr>
            <w:top w:val="none" w:sz="0" w:space="0" w:color="auto"/>
            <w:left w:val="none" w:sz="0" w:space="0" w:color="auto"/>
            <w:bottom w:val="none" w:sz="0" w:space="0" w:color="auto"/>
            <w:right w:val="none" w:sz="0" w:space="0" w:color="auto"/>
          </w:divBdr>
        </w:div>
        <w:div w:id="1528987323">
          <w:marLeft w:val="0"/>
          <w:marRight w:val="0"/>
          <w:marTop w:val="0"/>
          <w:marBottom w:val="0"/>
          <w:divBdr>
            <w:top w:val="none" w:sz="0" w:space="0" w:color="auto"/>
            <w:left w:val="none" w:sz="0" w:space="0" w:color="auto"/>
            <w:bottom w:val="none" w:sz="0" w:space="0" w:color="auto"/>
            <w:right w:val="none" w:sz="0" w:space="0" w:color="auto"/>
          </w:divBdr>
        </w:div>
        <w:div w:id="2057385743">
          <w:marLeft w:val="0"/>
          <w:marRight w:val="0"/>
          <w:marTop w:val="0"/>
          <w:marBottom w:val="0"/>
          <w:divBdr>
            <w:top w:val="none" w:sz="0" w:space="0" w:color="auto"/>
            <w:left w:val="none" w:sz="0" w:space="0" w:color="auto"/>
            <w:bottom w:val="none" w:sz="0" w:space="0" w:color="auto"/>
            <w:right w:val="none" w:sz="0" w:space="0" w:color="auto"/>
          </w:divBdr>
        </w:div>
        <w:div w:id="1089932327">
          <w:marLeft w:val="0"/>
          <w:marRight w:val="0"/>
          <w:marTop w:val="0"/>
          <w:marBottom w:val="0"/>
          <w:divBdr>
            <w:top w:val="none" w:sz="0" w:space="0" w:color="auto"/>
            <w:left w:val="none" w:sz="0" w:space="0" w:color="auto"/>
            <w:bottom w:val="none" w:sz="0" w:space="0" w:color="auto"/>
            <w:right w:val="none" w:sz="0" w:space="0" w:color="auto"/>
          </w:divBdr>
        </w:div>
        <w:div w:id="1251156391">
          <w:marLeft w:val="0"/>
          <w:marRight w:val="0"/>
          <w:marTop w:val="0"/>
          <w:marBottom w:val="0"/>
          <w:divBdr>
            <w:top w:val="none" w:sz="0" w:space="0" w:color="auto"/>
            <w:left w:val="none" w:sz="0" w:space="0" w:color="auto"/>
            <w:bottom w:val="none" w:sz="0" w:space="0" w:color="auto"/>
            <w:right w:val="none" w:sz="0" w:space="0" w:color="auto"/>
          </w:divBdr>
        </w:div>
        <w:div w:id="520244653">
          <w:marLeft w:val="0"/>
          <w:marRight w:val="0"/>
          <w:marTop w:val="0"/>
          <w:marBottom w:val="0"/>
          <w:divBdr>
            <w:top w:val="none" w:sz="0" w:space="0" w:color="auto"/>
            <w:left w:val="none" w:sz="0" w:space="0" w:color="auto"/>
            <w:bottom w:val="none" w:sz="0" w:space="0" w:color="auto"/>
            <w:right w:val="none" w:sz="0" w:space="0" w:color="auto"/>
          </w:divBdr>
        </w:div>
        <w:div w:id="381291112">
          <w:marLeft w:val="0"/>
          <w:marRight w:val="0"/>
          <w:marTop w:val="0"/>
          <w:marBottom w:val="0"/>
          <w:divBdr>
            <w:top w:val="none" w:sz="0" w:space="0" w:color="auto"/>
            <w:left w:val="none" w:sz="0" w:space="0" w:color="auto"/>
            <w:bottom w:val="none" w:sz="0" w:space="0" w:color="auto"/>
            <w:right w:val="none" w:sz="0" w:space="0" w:color="auto"/>
          </w:divBdr>
        </w:div>
        <w:div w:id="1358041136">
          <w:marLeft w:val="0"/>
          <w:marRight w:val="0"/>
          <w:marTop w:val="0"/>
          <w:marBottom w:val="0"/>
          <w:divBdr>
            <w:top w:val="none" w:sz="0" w:space="0" w:color="auto"/>
            <w:left w:val="none" w:sz="0" w:space="0" w:color="auto"/>
            <w:bottom w:val="none" w:sz="0" w:space="0" w:color="auto"/>
            <w:right w:val="none" w:sz="0" w:space="0" w:color="auto"/>
          </w:divBdr>
        </w:div>
        <w:div w:id="171603592">
          <w:marLeft w:val="0"/>
          <w:marRight w:val="0"/>
          <w:marTop w:val="0"/>
          <w:marBottom w:val="0"/>
          <w:divBdr>
            <w:top w:val="none" w:sz="0" w:space="0" w:color="auto"/>
            <w:left w:val="none" w:sz="0" w:space="0" w:color="auto"/>
            <w:bottom w:val="none" w:sz="0" w:space="0" w:color="auto"/>
            <w:right w:val="none" w:sz="0" w:space="0" w:color="auto"/>
          </w:divBdr>
        </w:div>
        <w:div w:id="2008286050">
          <w:marLeft w:val="0"/>
          <w:marRight w:val="0"/>
          <w:marTop w:val="0"/>
          <w:marBottom w:val="0"/>
          <w:divBdr>
            <w:top w:val="none" w:sz="0" w:space="0" w:color="auto"/>
            <w:left w:val="none" w:sz="0" w:space="0" w:color="auto"/>
            <w:bottom w:val="none" w:sz="0" w:space="0" w:color="auto"/>
            <w:right w:val="none" w:sz="0" w:space="0" w:color="auto"/>
          </w:divBdr>
        </w:div>
        <w:div w:id="1637904650">
          <w:marLeft w:val="0"/>
          <w:marRight w:val="0"/>
          <w:marTop w:val="0"/>
          <w:marBottom w:val="0"/>
          <w:divBdr>
            <w:top w:val="none" w:sz="0" w:space="0" w:color="auto"/>
            <w:left w:val="none" w:sz="0" w:space="0" w:color="auto"/>
            <w:bottom w:val="none" w:sz="0" w:space="0" w:color="auto"/>
            <w:right w:val="none" w:sz="0" w:space="0" w:color="auto"/>
          </w:divBdr>
        </w:div>
        <w:div w:id="1023677621">
          <w:marLeft w:val="0"/>
          <w:marRight w:val="0"/>
          <w:marTop w:val="0"/>
          <w:marBottom w:val="0"/>
          <w:divBdr>
            <w:top w:val="none" w:sz="0" w:space="0" w:color="auto"/>
            <w:left w:val="none" w:sz="0" w:space="0" w:color="auto"/>
            <w:bottom w:val="none" w:sz="0" w:space="0" w:color="auto"/>
            <w:right w:val="none" w:sz="0" w:space="0" w:color="auto"/>
          </w:divBdr>
        </w:div>
        <w:div w:id="1785730611">
          <w:marLeft w:val="0"/>
          <w:marRight w:val="0"/>
          <w:marTop w:val="0"/>
          <w:marBottom w:val="0"/>
          <w:divBdr>
            <w:top w:val="none" w:sz="0" w:space="0" w:color="auto"/>
            <w:left w:val="none" w:sz="0" w:space="0" w:color="auto"/>
            <w:bottom w:val="none" w:sz="0" w:space="0" w:color="auto"/>
            <w:right w:val="none" w:sz="0" w:space="0" w:color="auto"/>
          </w:divBdr>
        </w:div>
        <w:div w:id="966861834">
          <w:marLeft w:val="0"/>
          <w:marRight w:val="0"/>
          <w:marTop w:val="0"/>
          <w:marBottom w:val="0"/>
          <w:divBdr>
            <w:top w:val="none" w:sz="0" w:space="0" w:color="auto"/>
            <w:left w:val="none" w:sz="0" w:space="0" w:color="auto"/>
            <w:bottom w:val="none" w:sz="0" w:space="0" w:color="auto"/>
            <w:right w:val="none" w:sz="0" w:space="0" w:color="auto"/>
          </w:divBdr>
        </w:div>
        <w:div w:id="881092294">
          <w:marLeft w:val="0"/>
          <w:marRight w:val="0"/>
          <w:marTop w:val="0"/>
          <w:marBottom w:val="0"/>
          <w:divBdr>
            <w:top w:val="none" w:sz="0" w:space="0" w:color="auto"/>
            <w:left w:val="none" w:sz="0" w:space="0" w:color="auto"/>
            <w:bottom w:val="none" w:sz="0" w:space="0" w:color="auto"/>
            <w:right w:val="none" w:sz="0" w:space="0" w:color="auto"/>
          </w:divBdr>
        </w:div>
        <w:div w:id="1359772552">
          <w:marLeft w:val="0"/>
          <w:marRight w:val="0"/>
          <w:marTop w:val="0"/>
          <w:marBottom w:val="0"/>
          <w:divBdr>
            <w:top w:val="none" w:sz="0" w:space="0" w:color="auto"/>
            <w:left w:val="none" w:sz="0" w:space="0" w:color="auto"/>
            <w:bottom w:val="none" w:sz="0" w:space="0" w:color="auto"/>
            <w:right w:val="none" w:sz="0" w:space="0" w:color="auto"/>
          </w:divBdr>
        </w:div>
        <w:div w:id="925380889">
          <w:marLeft w:val="0"/>
          <w:marRight w:val="0"/>
          <w:marTop w:val="0"/>
          <w:marBottom w:val="0"/>
          <w:divBdr>
            <w:top w:val="none" w:sz="0" w:space="0" w:color="auto"/>
            <w:left w:val="none" w:sz="0" w:space="0" w:color="auto"/>
            <w:bottom w:val="none" w:sz="0" w:space="0" w:color="auto"/>
            <w:right w:val="none" w:sz="0" w:space="0" w:color="auto"/>
          </w:divBdr>
        </w:div>
        <w:div w:id="720593212">
          <w:marLeft w:val="0"/>
          <w:marRight w:val="0"/>
          <w:marTop w:val="0"/>
          <w:marBottom w:val="0"/>
          <w:divBdr>
            <w:top w:val="none" w:sz="0" w:space="0" w:color="auto"/>
            <w:left w:val="none" w:sz="0" w:space="0" w:color="auto"/>
            <w:bottom w:val="none" w:sz="0" w:space="0" w:color="auto"/>
            <w:right w:val="none" w:sz="0" w:space="0" w:color="auto"/>
          </w:divBdr>
        </w:div>
        <w:div w:id="1295405088">
          <w:marLeft w:val="0"/>
          <w:marRight w:val="0"/>
          <w:marTop w:val="0"/>
          <w:marBottom w:val="0"/>
          <w:divBdr>
            <w:top w:val="none" w:sz="0" w:space="0" w:color="auto"/>
            <w:left w:val="none" w:sz="0" w:space="0" w:color="auto"/>
            <w:bottom w:val="none" w:sz="0" w:space="0" w:color="auto"/>
            <w:right w:val="none" w:sz="0" w:space="0" w:color="auto"/>
          </w:divBdr>
        </w:div>
        <w:div w:id="180318066">
          <w:marLeft w:val="0"/>
          <w:marRight w:val="0"/>
          <w:marTop w:val="0"/>
          <w:marBottom w:val="0"/>
          <w:divBdr>
            <w:top w:val="none" w:sz="0" w:space="0" w:color="auto"/>
            <w:left w:val="none" w:sz="0" w:space="0" w:color="auto"/>
            <w:bottom w:val="none" w:sz="0" w:space="0" w:color="auto"/>
            <w:right w:val="none" w:sz="0" w:space="0" w:color="auto"/>
          </w:divBdr>
        </w:div>
        <w:div w:id="520631452">
          <w:marLeft w:val="0"/>
          <w:marRight w:val="0"/>
          <w:marTop w:val="0"/>
          <w:marBottom w:val="0"/>
          <w:divBdr>
            <w:top w:val="none" w:sz="0" w:space="0" w:color="auto"/>
            <w:left w:val="none" w:sz="0" w:space="0" w:color="auto"/>
            <w:bottom w:val="none" w:sz="0" w:space="0" w:color="auto"/>
            <w:right w:val="none" w:sz="0" w:space="0" w:color="auto"/>
          </w:divBdr>
        </w:div>
        <w:div w:id="1306622971">
          <w:marLeft w:val="0"/>
          <w:marRight w:val="0"/>
          <w:marTop w:val="0"/>
          <w:marBottom w:val="0"/>
          <w:divBdr>
            <w:top w:val="none" w:sz="0" w:space="0" w:color="auto"/>
            <w:left w:val="none" w:sz="0" w:space="0" w:color="auto"/>
            <w:bottom w:val="none" w:sz="0" w:space="0" w:color="auto"/>
            <w:right w:val="none" w:sz="0" w:space="0" w:color="auto"/>
          </w:divBdr>
        </w:div>
        <w:div w:id="1999839868">
          <w:marLeft w:val="0"/>
          <w:marRight w:val="0"/>
          <w:marTop w:val="0"/>
          <w:marBottom w:val="0"/>
          <w:divBdr>
            <w:top w:val="none" w:sz="0" w:space="0" w:color="auto"/>
            <w:left w:val="none" w:sz="0" w:space="0" w:color="auto"/>
            <w:bottom w:val="none" w:sz="0" w:space="0" w:color="auto"/>
            <w:right w:val="none" w:sz="0" w:space="0" w:color="auto"/>
          </w:divBdr>
        </w:div>
        <w:div w:id="201326849">
          <w:marLeft w:val="0"/>
          <w:marRight w:val="0"/>
          <w:marTop w:val="0"/>
          <w:marBottom w:val="0"/>
          <w:divBdr>
            <w:top w:val="none" w:sz="0" w:space="0" w:color="auto"/>
            <w:left w:val="none" w:sz="0" w:space="0" w:color="auto"/>
            <w:bottom w:val="none" w:sz="0" w:space="0" w:color="auto"/>
            <w:right w:val="none" w:sz="0" w:space="0" w:color="auto"/>
          </w:divBdr>
        </w:div>
        <w:div w:id="256259334">
          <w:marLeft w:val="0"/>
          <w:marRight w:val="0"/>
          <w:marTop w:val="0"/>
          <w:marBottom w:val="0"/>
          <w:divBdr>
            <w:top w:val="none" w:sz="0" w:space="0" w:color="auto"/>
            <w:left w:val="none" w:sz="0" w:space="0" w:color="auto"/>
            <w:bottom w:val="none" w:sz="0" w:space="0" w:color="auto"/>
            <w:right w:val="none" w:sz="0" w:space="0" w:color="auto"/>
          </w:divBdr>
        </w:div>
        <w:div w:id="758257997">
          <w:marLeft w:val="0"/>
          <w:marRight w:val="0"/>
          <w:marTop w:val="0"/>
          <w:marBottom w:val="0"/>
          <w:divBdr>
            <w:top w:val="none" w:sz="0" w:space="0" w:color="auto"/>
            <w:left w:val="none" w:sz="0" w:space="0" w:color="auto"/>
            <w:bottom w:val="none" w:sz="0" w:space="0" w:color="auto"/>
            <w:right w:val="none" w:sz="0" w:space="0" w:color="auto"/>
          </w:divBdr>
        </w:div>
        <w:div w:id="1071005430">
          <w:marLeft w:val="0"/>
          <w:marRight w:val="0"/>
          <w:marTop w:val="0"/>
          <w:marBottom w:val="0"/>
          <w:divBdr>
            <w:top w:val="none" w:sz="0" w:space="0" w:color="auto"/>
            <w:left w:val="none" w:sz="0" w:space="0" w:color="auto"/>
            <w:bottom w:val="none" w:sz="0" w:space="0" w:color="auto"/>
            <w:right w:val="none" w:sz="0" w:space="0" w:color="auto"/>
          </w:divBdr>
        </w:div>
        <w:div w:id="148636198">
          <w:marLeft w:val="0"/>
          <w:marRight w:val="0"/>
          <w:marTop w:val="0"/>
          <w:marBottom w:val="0"/>
          <w:divBdr>
            <w:top w:val="none" w:sz="0" w:space="0" w:color="auto"/>
            <w:left w:val="none" w:sz="0" w:space="0" w:color="auto"/>
            <w:bottom w:val="none" w:sz="0" w:space="0" w:color="auto"/>
            <w:right w:val="none" w:sz="0" w:space="0" w:color="auto"/>
          </w:divBdr>
        </w:div>
        <w:div w:id="1991865062">
          <w:marLeft w:val="0"/>
          <w:marRight w:val="0"/>
          <w:marTop w:val="0"/>
          <w:marBottom w:val="0"/>
          <w:divBdr>
            <w:top w:val="none" w:sz="0" w:space="0" w:color="auto"/>
            <w:left w:val="none" w:sz="0" w:space="0" w:color="auto"/>
            <w:bottom w:val="none" w:sz="0" w:space="0" w:color="auto"/>
            <w:right w:val="none" w:sz="0" w:space="0" w:color="auto"/>
          </w:divBdr>
        </w:div>
        <w:div w:id="387264132">
          <w:marLeft w:val="0"/>
          <w:marRight w:val="0"/>
          <w:marTop w:val="0"/>
          <w:marBottom w:val="0"/>
          <w:divBdr>
            <w:top w:val="none" w:sz="0" w:space="0" w:color="auto"/>
            <w:left w:val="none" w:sz="0" w:space="0" w:color="auto"/>
            <w:bottom w:val="none" w:sz="0" w:space="0" w:color="auto"/>
            <w:right w:val="none" w:sz="0" w:space="0" w:color="auto"/>
          </w:divBdr>
        </w:div>
        <w:div w:id="399864164">
          <w:marLeft w:val="0"/>
          <w:marRight w:val="0"/>
          <w:marTop w:val="0"/>
          <w:marBottom w:val="0"/>
          <w:divBdr>
            <w:top w:val="none" w:sz="0" w:space="0" w:color="auto"/>
            <w:left w:val="none" w:sz="0" w:space="0" w:color="auto"/>
            <w:bottom w:val="none" w:sz="0" w:space="0" w:color="auto"/>
            <w:right w:val="none" w:sz="0" w:space="0" w:color="auto"/>
          </w:divBdr>
        </w:div>
        <w:div w:id="1136949481">
          <w:marLeft w:val="0"/>
          <w:marRight w:val="0"/>
          <w:marTop w:val="0"/>
          <w:marBottom w:val="0"/>
          <w:divBdr>
            <w:top w:val="none" w:sz="0" w:space="0" w:color="auto"/>
            <w:left w:val="none" w:sz="0" w:space="0" w:color="auto"/>
            <w:bottom w:val="none" w:sz="0" w:space="0" w:color="auto"/>
            <w:right w:val="none" w:sz="0" w:space="0" w:color="auto"/>
          </w:divBdr>
        </w:div>
        <w:div w:id="711420090">
          <w:marLeft w:val="0"/>
          <w:marRight w:val="0"/>
          <w:marTop w:val="0"/>
          <w:marBottom w:val="0"/>
          <w:divBdr>
            <w:top w:val="none" w:sz="0" w:space="0" w:color="auto"/>
            <w:left w:val="none" w:sz="0" w:space="0" w:color="auto"/>
            <w:bottom w:val="none" w:sz="0" w:space="0" w:color="auto"/>
            <w:right w:val="none" w:sz="0" w:space="0" w:color="auto"/>
          </w:divBdr>
        </w:div>
        <w:div w:id="1313557143">
          <w:marLeft w:val="0"/>
          <w:marRight w:val="0"/>
          <w:marTop w:val="0"/>
          <w:marBottom w:val="0"/>
          <w:divBdr>
            <w:top w:val="none" w:sz="0" w:space="0" w:color="auto"/>
            <w:left w:val="none" w:sz="0" w:space="0" w:color="auto"/>
            <w:bottom w:val="none" w:sz="0" w:space="0" w:color="auto"/>
            <w:right w:val="none" w:sz="0" w:space="0" w:color="auto"/>
          </w:divBdr>
        </w:div>
        <w:div w:id="624585014">
          <w:marLeft w:val="0"/>
          <w:marRight w:val="0"/>
          <w:marTop w:val="0"/>
          <w:marBottom w:val="0"/>
          <w:divBdr>
            <w:top w:val="none" w:sz="0" w:space="0" w:color="auto"/>
            <w:left w:val="none" w:sz="0" w:space="0" w:color="auto"/>
            <w:bottom w:val="none" w:sz="0" w:space="0" w:color="auto"/>
            <w:right w:val="none" w:sz="0" w:space="0" w:color="auto"/>
          </w:divBdr>
        </w:div>
        <w:div w:id="1463694161">
          <w:marLeft w:val="0"/>
          <w:marRight w:val="0"/>
          <w:marTop w:val="0"/>
          <w:marBottom w:val="0"/>
          <w:divBdr>
            <w:top w:val="none" w:sz="0" w:space="0" w:color="auto"/>
            <w:left w:val="none" w:sz="0" w:space="0" w:color="auto"/>
            <w:bottom w:val="none" w:sz="0" w:space="0" w:color="auto"/>
            <w:right w:val="none" w:sz="0" w:space="0" w:color="auto"/>
          </w:divBdr>
        </w:div>
        <w:div w:id="1222450195">
          <w:marLeft w:val="0"/>
          <w:marRight w:val="0"/>
          <w:marTop w:val="0"/>
          <w:marBottom w:val="0"/>
          <w:divBdr>
            <w:top w:val="none" w:sz="0" w:space="0" w:color="auto"/>
            <w:left w:val="none" w:sz="0" w:space="0" w:color="auto"/>
            <w:bottom w:val="none" w:sz="0" w:space="0" w:color="auto"/>
            <w:right w:val="none" w:sz="0" w:space="0" w:color="auto"/>
          </w:divBdr>
        </w:div>
        <w:div w:id="476412981">
          <w:marLeft w:val="0"/>
          <w:marRight w:val="0"/>
          <w:marTop w:val="0"/>
          <w:marBottom w:val="0"/>
          <w:divBdr>
            <w:top w:val="none" w:sz="0" w:space="0" w:color="auto"/>
            <w:left w:val="none" w:sz="0" w:space="0" w:color="auto"/>
            <w:bottom w:val="none" w:sz="0" w:space="0" w:color="auto"/>
            <w:right w:val="none" w:sz="0" w:space="0" w:color="auto"/>
          </w:divBdr>
        </w:div>
        <w:div w:id="593631252">
          <w:marLeft w:val="0"/>
          <w:marRight w:val="0"/>
          <w:marTop w:val="0"/>
          <w:marBottom w:val="0"/>
          <w:divBdr>
            <w:top w:val="none" w:sz="0" w:space="0" w:color="auto"/>
            <w:left w:val="none" w:sz="0" w:space="0" w:color="auto"/>
            <w:bottom w:val="none" w:sz="0" w:space="0" w:color="auto"/>
            <w:right w:val="none" w:sz="0" w:space="0" w:color="auto"/>
          </w:divBdr>
        </w:div>
        <w:div w:id="1095370282">
          <w:marLeft w:val="0"/>
          <w:marRight w:val="0"/>
          <w:marTop w:val="0"/>
          <w:marBottom w:val="0"/>
          <w:divBdr>
            <w:top w:val="none" w:sz="0" w:space="0" w:color="auto"/>
            <w:left w:val="none" w:sz="0" w:space="0" w:color="auto"/>
            <w:bottom w:val="none" w:sz="0" w:space="0" w:color="auto"/>
            <w:right w:val="none" w:sz="0" w:space="0" w:color="auto"/>
          </w:divBdr>
        </w:div>
        <w:div w:id="2080518521">
          <w:marLeft w:val="0"/>
          <w:marRight w:val="0"/>
          <w:marTop w:val="0"/>
          <w:marBottom w:val="0"/>
          <w:divBdr>
            <w:top w:val="none" w:sz="0" w:space="0" w:color="auto"/>
            <w:left w:val="none" w:sz="0" w:space="0" w:color="auto"/>
            <w:bottom w:val="none" w:sz="0" w:space="0" w:color="auto"/>
            <w:right w:val="none" w:sz="0" w:space="0" w:color="auto"/>
          </w:divBdr>
        </w:div>
        <w:div w:id="2076584717">
          <w:marLeft w:val="0"/>
          <w:marRight w:val="0"/>
          <w:marTop w:val="0"/>
          <w:marBottom w:val="0"/>
          <w:divBdr>
            <w:top w:val="none" w:sz="0" w:space="0" w:color="auto"/>
            <w:left w:val="none" w:sz="0" w:space="0" w:color="auto"/>
            <w:bottom w:val="none" w:sz="0" w:space="0" w:color="auto"/>
            <w:right w:val="none" w:sz="0" w:space="0" w:color="auto"/>
          </w:divBdr>
        </w:div>
        <w:div w:id="591662599">
          <w:marLeft w:val="0"/>
          <w:marRight w:val="0"/>
          <w:marTop w:val="0"/>
          <w:marBottom w:val="0"/>
          <w:divBdr>
            <w:top w:val="none" w:sz="0" w:space="0" w:color="auto"/>
            <w:left w:val="none" w:sz="0" w:space="0" w:color="auto"/>
            <w:bottom w:val="none" w:sz="0" w:space="0" w:color="auto"/>
            <w:right w:val="none" w:sz="0" w:space="0" w:color="auto"/>
          </w:divBdr>
        </w:div>
        <w:div w:id="826288223">
          <w:marLeft w:val="0"/>
          <w:marRight w:val="0"/>
          <w:marTop w:val="0"/>
          <w:marBottom w:val="0"/>
          <w:divBdr>
            <w:top w:val="none" w:sz="0" w:space="0" w:color="auto"/>
            <w:left w:val="none" w:sz="0" w:space="0" w:color="auto"/>
            <w:bottom w:val="none" w:sz="0" w:space="0" w:color="auto"/>
            <w:right w:val="none" w:sz="0" w:space="0" w:color="auto"/>
          </w:divBdr>
        </w:div>
        <w:div w:id="1706366431">
          <w:marLeft w:val="0"/>
          <w:marRight w:val="0"/>
          <w:marTop w:val="0"/>
          <w:marBottom w:val="0"/>
          <w:divBdr>
            <w:top w:val="none" w:sz="0" w:space="0" w:color="auto"/>
            <w:left w:val="none" w:sz="0" w:space="0" w:color="auto"/>
            <w:bottom w:val="none" w:sz="0" w:space="0" w:color="auto"/>
            <w:right w:val="none" w:sz="0" w:space="0" w:color="auto"/>
          </w:divBdr>
        </w:div>
        <w:div w:id="48138624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24" Target="numbering.xml" /><Relationship Type="http://schemas.openxmlformats.org/officeDocument/2006/relationships/styles" Id="rId23" Target="styles.xml" /><Relationship Type="http://schemas.openxmlformats.org/officeDocument/2006/relationships/settings" Id="rId22" Target="settings.xml" /><Relationship Type="http://schemas.openxmlformats.org/officeDocument/2006/relationships/webSettings" Id="rId21" Target="webSettings.xml" /><Relationship Type="http://schemas.openxmlformats.org/officeDocument/2006/relationships/fontTable" Id="rId20" Target="fontTable.xml" /><Relationship Type="http://schemas.openxmlformats.org/officeDocument/2006/relationships/theme" Id="rId19" Target="theme/theme1.xml" /><Relationship Type="http://schemas.openxmlformats.org/officeDocument/2006/relationships/footnotes" Id="rId18" Target="footnotes.xml" /><Relationship Type="http://schemas.openxmlformats.org/officeDocument/2006/relationships/comments" Id="rId17" Target="comments.xml" /><Relationship Id="rId8" Target="media/image1.jpeg" Type="http://schemas.openxmlformats.org/officeDocument/2006/relationships/image" /><Relationship Id="rId16" Target="header4.xml" Type="http://schemas.openxmlformats.org/officeDocument/2006/relationships/header" /><Relationship Id="rId15" Target="header3.xml" Type="http://schemas.openxmlformats.org/officeDocument/2006/relationships/header" /><Relationship Id="rId10" Target="header2.xml" Type="http://schemas.openxmlformats.org/officeDocument/2006/relationships/header" /><Relationship Id="rId9" Target="header1.xml" Type="http://schemas.openxmlformats.org/officeDocument/2006/relationships/header" /><Relationship Type="http://schemas.openxmlformats.org/officeDocument/2006/relationships/image" Id="rId219" Target="media/rId219.png" /><Relationship Type="http://schemas.openxmlformats.org/officeDocument/2006/relationships/image" Id="rId215" Target="media/rId215.png" /><Relationship Type="http://schemas.openxmlformats.org/officeDocument/2006/relationships/image" Id="rId211" Target="media/rId211.png" /><Relationship Type="http://schemas.openxmlformats.org/officeDocument/2006/relationships/image" Id="rId207" Target="media/rId207.png" /><Relationship Type="http://schemas.openxmlformats.org/officeDocument/2006/relationships/image" Id="rId194" Target="media/rId194.png" /><Relationship Type="http://schemas.openxmlformats.org/officeDocument/2006/relationships/image" Id="rId75" Target="media/rId75.png" /><Relationship Type="http://schemas.openxmlformats.org/officeDocument/2006/relationships/image" Id="rId81" Target="media/rId81.png" /><Relationship Type="http://schemas.openxmlformats.org/officeDocument/2006/relationships/image" Id="rId61" Target="media/rId61.png" /><Relationship Type="http://schemas.openxmlformats.org/officeDocument/2006/relationships/image" Id="rId56" Target="media/rId56.png" /><Relationship Type="http://schemas.openxmlformats.org/officeDocument/2006/relationships/image" Id="rId52" Target="media/rId52.png" /><Relationship Type="http://schemas.openxmlformats.org/officeDocument/2006/relationships/image" Id="rId66" Target="media/rId66.png" /><Relationship Type="http://schemas.openxmlformats.org/officeDocument/2006/relationships/image" Id="rId87" Target="media/rId87.png" /><Relationship Type="http://schemas.openxmlformats.org/officeDocument/2006/relationships/image" Id="rId133" Target="media/rId133.png" /><Relationship Type="http://schemas.openxmlformats.org/officeDocument/2006/relationships/image" Id="rId137" Target="media/rId137.png" /><Relationship Type="http://schemas.openxmlformats.org/officeDocument/2006/relationships/image" Id="rId70" Target="media/rId70.png" /><Relationship Type="http://schemas.openxmlformats.org/officeDocument/2006/relationships/image" Id="rId223" Target="media/rId223.png" /><Relationship Type="http://schemas.openxmlformats.org/officeDocument/2006/relationships/image" Id="rId203" Target="media/rId203.png" /><Relationship Type="http://schemas.openxmlformats.org/officeDocument/2006/relationships/image" Id="rId252" Target="media/rId252.png" /><Relationship Type="http://schemas.openxmlformats.org/officeDocument/2006/relationships/image" Id="rId300" Target="media/rId300.png" /><Relationship Type="http://schemas.openxmlformats.org/officeDocument/2006/relationships/image" Id="rId35" Target="media/rId35.png" /><Relationship Type="http://schemas.openxmlformats.org/officeDocument/2006/relationships/image" Id="rId227" Target="media/rId227.png" /><Relationship Type="http://schemas.openxmlformats.org/officeDocument/2006/relationships/image" Id="rId258" Target="media/rId258.png" /><Relationship Type="http://schemas.openxmlformats.org/officeDocument/2006/relationships/image" Id="rId275" Target="media/rId275.png" /><Relationship Type="http://schemas.openxmlformats.org/officeDocument/2006/relationships/image" Id="rId265" Target="media/rId265.png" /><Relationship Type="http://schemas.openxmlformats.org/officeDocument/2006/relationships/image" Id="rId286" Target="media/rId286.png" /><Relationship Type="http://schemas.openxmlformats.org/officeDocument/2006/relationships/image" Id="rId269" Target="media/rId269.png" /><Relationship Type="http://schemas.openxmlformats.org/officeDocument/2006/relationships/image" Id="rId281" Target="media/rId281.png" /><Relationship Type="http://schemas.openxmlformats.org/officeDocument/2006/relationships/image" Id="rId243" Target="media/rId243.png" /><Relationship Type="http://schemas.openxmlformats.org/officeDocument/2006/relationships/image" Id="rId111" Target="media/rId111.png" /><Relationship Type="http://schemas.openxmlformats.org/officeDocument/2006/relationships/hyperlink" Id="rId382" Target="http://archive.ics.uci.edu/ml" TargetMode="External" /><Relationship Type="http://schemas.openxmlformats.org/officeDocument/2006/relationships/hyperlink" Id="rId445" Target="https://archive.ics.uci.edu/dataset/2/adult" TargetMode="External" /><Relationship Type="http://schemas.openxmlformats.org/officeDocument/2006/relationships/hyperlink" Id="rId336" Target="https://arxiv.org/abs/1806.08049" TargetMode="External" /><Relationship Type="http://schemas.openxmlformats.org/officeDocument/2006/relationships/hyperlink" Id="rId498" Target="https://catalog.princeton.edu/catalog/2081365" TargetMode="External" /><Relationship Type="http://schemas.openxmlformats.org/officeDocument/2006/relationships/hyperlink" Id="rId340" Target="https://doi.org/10.1002/widm.1424" TargetMode="External" /><Relationship Type="http://schemas.openxmlformats.org/officeDocument/2006/relationships/hyperlink" Id="rId471" Target="https://doi.org/10.1002/widm.1493" TargetMode="External" /><Relationship Type="http://schemas.openxmlformats.org/officeDocument/2006/relationships/hyperlink" Id="rId539" Target="https://doi.org/10.1007/978-3-030-28954-6" TargetMode="External" /><Relationship Type="http://schemas.openxmlformats.org/officeDocument/2006/relationships/hyperlink" Id="rId484" Target="https://doi.org/10.1007/978-3-030-65965-3_28" TargetMode="External" /><Relationship Type="http://schemas.openxmlformats.org/officeDocument/2006/relationships/hyperlink" Id="rId421" Target="https://doi.org/10.1007/978-3-031-04083-2_2" TargetMode="External" /><Relationship Type="http://schemas.openxmlformats.org/officeDocument/2006/relationships/hyperlink" Id="rId547" Target="https://doi.org/10.1007/978-3-031-63787-2_23" TargetMode="External" /><Relationship Type="http://schemas.openxmlformats.org/officeDocument/2006/relationships/hyperlink" Id="rId473" Target="https://doi.org/10.1007/978-3-031-75387-9_12" TargetMode="External" /><Relationship Type="http://schemas.openxmlformats.org/officeDocument/2006/relationships/hyperlink" Id="rId330" Target="https://doi.org/10.1007/978-3-032-06744-9_14" TargetMode="External" /><Relationship Type="http://schemas.openxmlformats.org/officeDocument/2006/relationships/hyperlink" Id="rId570" Target="https://doi.org/10.1007/978-3-319-57959-7" TargetMode="External" /><Relationship Type="http://schemas.openxmlformats.org/officeDocument/2006/relationships/hyperlink" Id="rId543" Target="https://doi.org/10.1007/s10618-022-00867-8" TargetMode="External" /><Relationship Type="http://schemas.openxmlformats.org/officeDocument/2006/relationships/hyperlink" Id="rId494" Target="https://doi.org/10.1007/s10676-024-09773-7" TargetMode="External" /><Relationship Type="http://schemas.openxmlformats.org/officeDocument/2006/relationships/hyperlink" Id="rId395" Target="https://doi.org/10.1007/s11023-018-9482-5" TargetMode="External" /><Relationship Type="http://schemas.openxmlformats.org/officeDocument/2006/relationships/hyperlink" Id="rId415" Target="https://doi.org/10.1007/s12559-023-10179-8" TargetMode="External" /><Relationship Type="http://schemas.openxmlformats.org/officeDocument/2006/relationships/hyperlink" Id="rId551" Target="https://doi.org/10.1007/s13218-020-00637-y" TargetMode="External" /><Relationship Type="http://schemas.openxmlformats.org/officeDocument/2006/relationships/hyperlink" Id="rId419" Target="https://doi.org/10.1007/s13218-023-00806-9" TargetMode="External" /><Relationship Type="http://schemas.openxmlformats.org/officeDocument/2006/relationships/hyperlink" Id="rId424" Target="https://doi.org/10.1016/j.array.2025.100399" TargetMode="External" /><Relationship Type="http://schemas.openxmlformats.org/officeDocument/2006/relationships/hyperlink" Id="rId475" Target="https://doi.org/10.1016/j.artint.2018.07.007" TargetMode="External" /><Relationship Type="http://schemas.openxmlformats.org/officeDocument/2006/relationships/hyperlink" Id="rId454" Target="https://doi.org/10.1016/j.artint.2021.103473" TargetMode="External" /><Relationship Type="http://schemas.openxmlformats.org/officeDocument/2006/relationships/hyperlink" Id="rId344" Target="https://doi.org/10.1016/j.inffus.2019.12.012" TargetMode="External" /><Relationship Type="http://schemas.openxmlformats.org/officeDocument/2006/relationships/hyperlink" Id="rId328" Target="https://doi.org/10.1016/j.inffus.2023.101805" TargetMode="External" /><Relationship Type="http://schemas.openxmlformats.org/officeDocument/2006/relationships/hyperlink" Id="rId465" Target="https://doi.org/10.1016/j.inffus.2024.102301" TargetMode="External" /><Relationship Type="http://schemas.openxmlformats.org/officeDocument/2006/relationships/hyperlink" Id="rId447" Target="https://doi.org/10.1016/j.jcm.2016.02.012" TargetMode="External" /><Relationship Type="http://schemas.openxmlformats.org/officeDocument/2006/relationships/hyperlink" Id="rId537" Target="https://doi.org/10.1016/j.knosys.2023.110273" TargetMode="External" /><Relationship Type="http://schemas.openxmlformats.org/officeDocument/2006/relationships/hyperlink" Id="rId509" Target="https://doi.org/10.1016/j.neucom.2024.128282" TargetMode="External" /><Relationship Type="http://schemas.openxmlformats.org/officeDocument/2006/relationships/hyperlink" Id="rId360" Target="https://doi.org/10.1023/a:1010933404324" TargetMode="External" /><Relationship Type="http://schemas.openxmlformats.org/officeDocument/2006/relationships/hyperlink" Id="rId506" Target="https://doi.org/10.1038/s41467-022-33417-3" TargetMode="External" /><Relationship Type="http://schemas.openxmlformats.org/officeDocument/2006/relationships/hyperlink" Id="rId325" Target="https://doi.org/10.1038/s41597-023-01974-x" TargetMode="External" /><Relationship Type="http://schemas.openxmlformats.org/officeDocument/2006/relationships/hyperlink" Id="rId533" Target="https://doi.org/10.1038/s42256-019-0048-x" TargetMode="External" /><Relationship Type="http://schemas.openxmlformats.org/officeDocument/2006/relationships/hyperlink" Id="rId492" Target="https://doi.org/10.1073/pnas.1900654116" TargetMode="External" /><Relationship Type="http://schemas.openxmlformats.org/officeDocument/2006/relationships/hyperlink" Id="rId519" Target="https://doi.org/10.1073/pnas.2426766122" TargetMode="External" /><Relationship Type="http://schemas.openxmlformats.org/officeDocument/2006/relationships/hyperlink" Id="rId401" Target="https://doi.org/10.1080/01621459.1937.10503522" TargetMode="External" /><Relationship Type="http://schemas.openxmlformats.org/officeDocument/2006/relationships/hyperlink" Id="rId407" Target="https://doi.org/10.1080/10618600.2014.907095" TargetMode="External" /><Relationship Type="http://schemas.openxmlformats.org/officeDocument/2006/relationships/hyperlink" Id="rId317" Target="https://doi.org/10.1109/INES59045.2023.1030000" TargetMode="External" /><Relationship Type="http://schemas.openxmlformats.org/officeDocument/2006/relationships/hyperlink" Id="rId555" Target="https://doi.org/10.1109/TNNLS.2020.3027314" TargetMode="External" /><Relationship Type="http://schemas.openxmlformats.org/officeDocument/2006/relationships/hyperlink" Id="rId529" Target="https://doi.org/10.1109/TPAMI.2023.3331846" TargetMode="External" /><Relationship Type="http://schemas.openxmlformats.org/officeDocument/2006/relationships/hyperlink" Id="rId321" Target="https://doi.org/10.1109/access.2018.2870052" TargetMode="External" /><Relationship Type="http://schemas.openxmlformats.org/officeDocument/2006/relationships/hyperlink" Id="rId433" Target="https://doi.org/10.1109/access.2025.3546681" TargetMode="External" /><Relationship Type="http://schemas.openxmlformats.org/officeDocument/2006/relationships/hyperlink" Id="rId405" Target="https://doi.org/10.1109/dsaa.2018.00018" TargetMode="External" /><Relationship Type="http://schemas.openxmlformats.org/officeDocument/2006/relationships/hyperlink" Id="rId342" Target="https://doi.org/10.1111/rssb.12377" TargetMode="External" /><Relationship Type="http://schemas.openxmlformats.org/officeDocument/2006/relationships/hyperlink" Id="rId426" Target="https://doi.org/10.1126/science.359.6377.725" TargetMode="External" /><Relationship Type="http://schemas.openxmlformats.org/officeDocument/2006/relationships/hyperlink" Id="rId521" Target="https://doi.org/10.1145/2939672.2939778" TargetMode="External" /><Relationship Type="http://schemas.openxmlformats.org/officeDocument/2006/relationships/hyperlink" Id="rId315" Target="https://doi.org/10.1145/3173574.3174156" TargetMode="External" /><Relationship Type="http://schemas.openxmlformats.org/officeDocument/2006/relationships/hyperlink" Id="rId411" Target="https://doi.org/10.1145/3236009" TargetMode="External" /><Relationship Type="http://schemas.openxmlformats.org/officeDocument/2006/relationships/hyperlink" Id="rId461" Target="https://doi.org/10.1145/3236386.3241340" TargetMode="External" /><Relationship Type="http://schemas.openxmlformats.org/officeDocument/2006/relationships/hyperlink" Id="rId480" Target="https://doi.org/10.1145/3287560.3287574" TargetMode="External" /><Relationship Type="http://schemas.openxmlformats.org/officeDocument/2006/relationships/hyperlink" Id="rId439" Target="https://doi.org/10.1145/3313831.3376219" TargetMode="External" /><Relationship Type="http://schemas.openxmlformats.org/officeDocument/2006/relationships/hyperlink" Id="rId488" Target="https://doi.org/10.1145/3351095.3372850" TargetMode="External" /><Relationship Type="http://schemas.openxmlformats.org/officeDocument/2006/relationships/hyperlink" Id="rId549" Target="https://doi.org/10.1145/3375627.3375830" TargetMode="External" /><Relationship Type="http://schemas.openxmlformats.org/officeDocument/2006/relationships/hyperlink" Id="rId515" Target="https://doi.org/10.1145/3375627.3375850" TargetMode="External" /><Relationship Type="http://schemas.openxmlformats.org/officeDocument/2006/relationships/hyperlink" Id="rId482" Target="https://doi.org/10.1145/3387166" TargetMode="External" /><Relationship Type="http://schemas.openxmlformats.org/officeDocument/2006/relationships/hyperlink" Id="rId435" Target="https://doi.org/10.1145/3527848" TargetMode="External" /><Relationship Type="http://schemas.openxmlformats.org/officeDocument/2006/relationships/hyperlink" Id="rId323" Target="https://doi.org/10.1145/3533381" TargetMode="External" /><Relationship Type="http://schemas.openxmlformats.org/officeDocument/2006/relationships/hyperlink" Id="rId388" Target="https://doi.org/10.1145/3544549.3573832" TargetMode="External" /><Relationship Type="http://schemas.openxmlformats.org/officeDocument/2006/relationships/hyperlink" Id="rId384" Target="https://doi.org/10.1145/3561048" TargetMode="External" /><Relationship Type="http://schemas.openxmlformats.org/officeDocument/2006/relationships/hyperlink" Id="rId430" Target="https://doi.org/10.1145/3571730" TargetMode="External" /><Relationship Type="http://schemas.openxmlformats.org/officeDocument/2006/relationships/hyperlink" Id="rId392" Target="https://doi.org/10.1145/3573900.3591114" TargetMode="External" /><Relationship Type="http://schemas.openxmlformats.org/officeDocument/2006/relationships/hyperlink" Id="rId553" Target="https://doi.org/10.1145/3580305.3599337" TargetMode="External" /><Relationship Type="http://schemas.openxmlformats.org/officeDocument/2006/relationships/hyperlink" Id="rId496" Target="https://doi.org/10.1145/3583558" TargetMode="External" /><Relationship Type="http://schemas.openxmlformats.org/officeDocument/2006/relationships/hyperlink" Id="rId450" Target="https://doi.org/10.1145/3592307.3592342" TargetMode="External" /><Relationship Type="http://schemas.openxmlformats.org/officeDocument/2006/relationships/hyperlink" Id="rId566" Target="https://doi.org/10.1145/3599974" TargetMode="External" /><Relationship Type="http://schemas.openxmlformats.org/officeDocument/2006/relationships/hyperlink" Id="rId409" Target="https://doi.org/10.1145/3605098.3636109" TargetMode="External" /><Relationship Type="http://schemas.openxmlformats.org/officeDocument/2006/relationships/hyperlink" Id="rId478" Target="https://doi.org/10.1145/3607947.3608059" TargetMode="External" /><Relationship Type="http://schemas.openxmlformats.org/officeDocument/2006/relationships/hyperlink" Id="rId486" Target="https://doi.org/10.1145/3610064" TargetMode="External" /><Relationship Type="http://schemas.openxmlformats.org/officeDocument/2006/relationships/hyperlink" Id="rId503" Target="https://doi.org/10.1145/3613904.3642352" TargetMode="External" /><Relationship Type="http://schemas.openxmlformats.org/officeDocument/2006/relationships/hyperlink" Id="rId442" Target="https://doi.org/10.1145/3613905.3638184" TargetMode="External" /><Relationship Type="http://schemas.openxmlformats.org/officeDocument/2006/relationships/hyperlink" Id="rId403" Target="https://doi.org/10.1145/3626203.3670522" TargetMode="External" /><Relationship Type="http://schemas.openxmlformats.org/officeDocument/2006/relationships/hyperlink" Id="rId356" Target="https://doi.org/10.1145/3631700.3664911" TargetMode="External" /><Relationship Type="http://schemas.openxmlformats.org/officeDocument/2006/relationships/hyperlink" Id="rId428" Target="https://doi.org/10.1145/3631908.3631925" TargetMode="External" /><Relationship Type="http://schemas.openxmlformats.org/officeDocument/2006/relationships/hyperlink" Id="rId374" Target="https://doi.org/10.1145/3638380.3638426" TargetMode="External" /><Relationship Type="http://schemas.openxmlformats.org/officeDocument/2006/relationships/hyperlink" Id="rId562" Target="https://doi.org/10.1145/3643491.3660292" TargetMode="External" /><Relationship Type="http://schemas.openxmlformats.org/officeDocument/2006/relationships/hyperlink" Id="rId354" Target="https://doi.org/10.1145/3643834.3660722" TargetMode="External" /><Relationship Type="http://schemas.openxmlformats.org/officeDocument/2006/relationships/hyperlink" Id="rId469" Target="https://doi.org/10.1145/3647444.3647912" TargetMode="External" /><Relationship Type="http://schemas.openxmlformats.org/officeDocument/2006/relationships/hyperlink" Id="rId346" Target="https://doi.org/10.1145/3649144" TargetMode="External" /><Relationship Type="http://schemas.openxmlformats.org/officeDocument/2006/relationships/hyperlink" Id="rId437" Target="https://doi.org/10.1145/3651593" TargetMode="External" /><Relationship Type="http://schemas.openxmlformats.org/officeDocument/2006/relationships/hyperlink" Id="rId352" Target="https://doi.org/10.1145/3670685" TargetMode="External" /><Relationship Type="http://schemas.openxmlformats.org/officeDocument/2006/relationships/hyperlink" Id="rId362" Target="https://doi.org/10.1145/3672359.3672363" TargetMode="External" /><Relationship Type="http://schemas.openxmlformats.org/officeDocument/2006/relationships/hyperlink" Id="rId541" Target="https://doi.org/10.1145/3677374" TargetMode="External" /><Relationship Type="http://schemas.openxmlformats.org/officeDocument/2006/relationships/hyperlink" Id="rId513" Target="https://doi.org/10.1145/3678884.3682046" TargetMode="External" /><Relationship Type="http://schemas.openxmlformats.org/officeDocument/2006/relationships/hyperlink" Id="rId386" Target="https://doi.org/10.1145/3686169.3686185" TargetMode="External" /><Relationship Type="http://schemas.openxmlformats.org/officeDocument/2006/relationships/hyperlink" Id="rId376" Target="https://doi.org/10.1145/3702038.3702093" TargetMode="External" /><Relationship Type="http://schemas.openxmlformats.org/officeDocument/2006/relationships/hyperlink" Id="rId490" Target="https://doi.org/10.1145/3704522.3704524" TargetMode="External" /><Relationship Type="http://schemas.openxmlformats.org/officeDocument/2006/relationships/hyperlink" Id="rId564" Target="https://doi.org/10.1145/3705724" TargetMode="External" /><Relationship Type="http://schemas.openxmlformats.org/officeDocument/2006/relationships/hyperlink" Id="rId500" Target="https://doi.org/10.1145/3711123" TargetMode="External" /><Relationship Type="http://schemas.openxmlformats.org/officeDocument/2006/relationships/hyperlink" Id="rId366" Target="https://doi.org/10.1145/3737445" TargetMode="External" /><Relationship Type="http://schemas.openxmlformats.org/officeDocument/2006/relationships/hyperlink" Id="rId332" Target="https://doi.org/10.1146/annurev-statistics-040120-030919" TargetMode="External" /><Relationship Type="http://schemas.openxmlformats.org/officeDocument/2006/relationships/hyperlink" Id="rId372" Target="https://doi.org/10.1177/001316446002000104" TargetMode="External" /><Relationship Type="http://schemas.openxmlformats.org/officeDocument/2006/relationships/hyperlink" Id="rId559" Target="https://doi.org/10.1201/9781003442509" TargetMode="External" /><Relationship Type="http://schemas.openxmlformats.org/officeDocument/2006/relationships/hyperlink" Id="rId397" Target="https://doi.org/10.1214/07-aoas148" TargetMode="External" /><Relationship Type="http://schemas.openxmlformats.org/officeDocument/2006/relationships/hyperlink" Id="rId531" Target="https://doi.org/10.1214/21-ss133" TargetMode="External" /><Relationship Type="http://schemas.openxmlformats.org/officeDocument/2006/relationships/hyperlink" Id="rId399" Target="https://doi.org/10.1214/aos/1013203451" TargetMode="External" /><Relationship Type="http://schemas.openxmlformats.org/officeDocument/2006/relationships/hyperlink" Id="rId523" Target="https://doi.org/10.1609/aaai.v32i1.11491" TargetMode="External" /><Relationship Type="http://schemas.openxmlformats.org/officeDocument/2006/relationships/hyperlink" Id="rId557" Target="https://doi.org/10.1609/aaai.v34i04.6064" TargetMode="External" /><Relationship Type="http://schemas.openxmlformats.org/officeDocument/2006/relationships/hyperlink" Id="rId338" Target="https://doi.org/10.1609/aimag.v35i4.2513" TargetMode="External" /><Relationship Type="http://schemas.openxmlformats.org/officeDocument/2006/relationships/hyperlink" Id="rId568" Target="https://doi.org/10.1613/jair.1.13283" TargetMode="External" /><Relationship Type="http://schemas.openxmlformats.org/officeDocument/2006/relationships/hyperlink" Id="rId511" Target="https://doi.org/10.1613/jair.1.14888" TargetMode="External" /><Relationship Type="http://schemas.openxmlformats.org/officeDocument/2006/relationships/hyperlink" Id="rId413" Target="https://doi.org/10.18653/v1/2020.acl-main.491" TargetMode="External" /><Relationship Type="http://schemas.openxmlformats.org/officeDocument/2006/relationships/hyperlink" Id="rId348" Target="https://doi.org/10.18653/v1/2020.blackboxnlp-1.14" TargetMode="External" /><Relationship Type="http://schemas.openxmlformats.org/officeDocument/2006/relationships/hyperlink" Id="rId364" Target="https://doi.org/10.18653/v1/2023.emnlp-main.792" TargetMode="External" /><Relationship Type="http://schemas.openxmlformats.org/officeDocument/2006/relationships/hyperlink" Id="rId572" Target="https://doi.org/10.2139/ssrn.3063289" TargetMode="External" /><Relationship Type="http://schemas.openxmlformats.org/officeDocument/2006/relationships/hyperlink" Id="rId319" Target="https://doi.org/10.2139/ssrn.4710037" TargetMode="External" /><Relationship Type="http://schemas.openxmlformats.org/officeDocument/2006/relationships/hyperlink" Id="rId370" Target="https://doi.org/10.2139/ssrn.5040613" TargetMode="External" /><Relationship Type="http://schemas.openxmlformats.org/officeDocument/2006/relationships/hyperlink" Id="rId390" Target="https://doi.org/10.2139/ssrn.6847479" TargetMode="External" /><Relationship Type="http://schemas.openxmlformats.org/officeDocument/2006/relationships/hyperlink" Id="rId575" Target="https://doi.org/10.2307/3001968" TargetMode="External" /><Relationship Type="http://schemas.openxmlformats.org/officeDocument/2006/relationships/hyperlink" Id="rId456" Target="https://doi.org/10.24963/ijcai.2019/388" TargetMode="External" /><Relationship Type="http://schemas.openxmlformats.org/officeDocument/2006/relationships/hyperlink" Id="rId350" Target="https://doi.org/10.3389/fdata.2021.688969" TargetMode="External" /><Relationship Type="http://schemas.openxmlformats.org/officeDocument/2006/relationships/hyperlink" Id="rId452" Target="https://doi.org/10.3389/fpsyg.2013.00863" TargetMode="External" /><Relationship Type="http://schemas.openxmlformats.org/officeDocument/2006/relationships/hyperlink" Id="rId535" Target="https://doi.org/10.3390/app14198884" TargetMode="External" /><Relationship Type="http://schemas.openxmlformats.org/officeDocument/2006/relationships/hyperlink" Id="rId459" Target="https://doi.org/10.3390/e23010018" TargetMode="External" /><Relationship Type="http://schemas.openxmlformats.org/officeDocument/2006/relationships/hyperlink" Id="rId358" Target="https://doi.org/10.3390/electronics13112198" TargetMode="External" /><Relationship Type="http://schemas.openxmlformats.org/officeDocument/2006/relationships/hyperlink" Id="rId368" Target="https://doi.org/10.3390/electronics8080832" TargetMode="External" /><Relationship Type="http://schemas.openxmlformats.org/officeDocument/2006/relationships/hyperlink" Id="rId334" Target="https://doi.org/10.3390/technologies13030093" TargetMode="External" /><Relationship Type="http://schemas.openxmlformats.org/officeDocument/2006/relationships/hyperlink" Id="rId380" Target="https://doi.org/10.48550/arxiv.1702.08608" TargetMode="External" /><Relationship Type="http://schemas.openxmlformats.org/officeDocument/2006/relationships/hyperlink" Id="rId467" Target="https://doi.org/10.48550/arxiv.1705.07874" TargetMode="External" /><Relationship Type="http://schemas.openxmlformats.org/officeDocument/2006/relationships/hyperlink" Id="rId525" Target="https://doi.org/10.65109/vllw9552" TargetMode="External" /><Relationship Type="http://schemas.openxmlformats.org/officeDocument/2006/relationships/hyperlink" Id="rId527" Target="https://proceedings.mlr.press/v162/rong22a.html" TargetMode="External" /><Relationship Type="http://schemas.openxmlformats.org/officeDocument/2006/relationships/hyperlink" Id="rId577" Target="https://trustai4s-lab.github.io/ffidelity" TargetMode="External" /><Relationship Type="http://schemas.openxmlformats.org/officeDocument/2006/relationships/hyperlink" Id="rId378" Target="https://www.jmlr.org/papers/v7/demsar06a.html" TargetMode="External" /><Relationship Type="http://schemas.openxmlformats.org/officeDocument/2006/relationships/hyperlink" Id="rId545" Target="https://www.rand.org/pubs/papers/P0295.html" TargetMode="External" /></Relationships>
</file>

<file path=word/_rels/footnotes.xml.rels><?xml version="1.0" encoding="UTF-8"?><Relationships xmlns="http://schemas.openxmlformats.org/package/2006/relationships"><Relationship Type="http://schemas.openxmlformats.org/officeDocument/2006/relationships/hyperlink" Id="rId382" Target="http://archive.ics.uci.edu/ml" TargetMode="External" /><Relationship Type="http://schemas.openxmlformats.org/officeDocument/2006/relationships/hyperlink" Id="rId445" Target="https://archive.ics.uci.edu/dataset/2/adult" TargetMode="External" /><Relationship Type="http://schemas.openxmlformats.org/officeDocument/2006/relationships/hyperlink" Id="rId336" Target="https://arxiv.org/abs/1806.08049" TargetMode="External" /><Relationship Type="http://schemas.openxmlformats.org/officeDocument/2006/relationships/hyperlink" Id="rId498" Target="https://catalog.princeton.edu/catalog/2081365" TargetMode="External" /><Relationship Type="http://schemas.openxmlformats.org/officeDocument/2006/relationships/hyperlink" Id="rId340" Target="https://doi.org/10.1002/widm.1424" TargetMode="External" /><Relationship Type="http://schemas.openxmlformats.org/officeDocument/2006/relationships/hyperlink" Id="rId471" Target="https://doi.org/10.1002/widm.1493" TargetMode="External" /><Relationship Type="http://schemas.openxmlformats.org/officeDocument/2006/relationships/hyperlink" Id="rId539" Target="https://doi.org/10.1007/978-3-030-28954-6" TargetMode="External" /><Relationship Type="http://schemas.openxmlformats.org/officeDocument/2006/relationships/hyperlink" Id="rId484" Target="https://doi.org/10.1007/978-3-030-65965-3_28" TargetMode="External" /><Relationship Type="http://schemas.openxmlformats.org/officeDocument/2006/relationships/hyperlink" Id="rId421" Target="https://doi.org/10.1007/978-3-031-04083-2_2" TargetMode="External" /><Relationship Type="http://schemas.openxmlformats.org/officeDocument/2006/relationships/hyperlink" Id="rId547" Target="https://doi.org/10.1007/978-3-031-63787-2_23" TargetMode="External" /><Relationship Type="http://schemas.openxmlformats.org/officeDocument/2006/relationships/hyperlink" Id="rId473" Target="https://doi.org/10.1007/978-3-031-75387-9_12" TargetMode="External" /><Relationship Type="http://schemas.openxmlformats.org/officeDocument/2006/relationships/hyperlink" Id="rId330" Target="https://doi.org/10.1007/978-3-032-06744-9_14" TargetMode="External" /><Relationship Type="http://schemas.openxmlformats.org/officeDocument/2006/relationships/hyperlink" Id="rId570" Target="https://doi.org/10.1007/978-3-319-57959-7" TargetMode="External" /><Relationship Type="http://schemas.openxmlformats.org/officeDocument/2006/relationships/hyperlink" Id="rId543" Target="https://doi.org/10.1007/s10618-022-00867-8" TargetMode="External" /><Relationship Type="http://schemas.openxmlformats.org/officeDocument/2006/relationships/hyperlink" Id="rId494" Target="https://doi.org/10.1007/s10676-024-09773-7" TargetMode="External" /><Relationship Type="http://schemas.openxmlformats.org/officeDocument/2006/relationships/hyperlink" Id="rId395" Target="https://doi.org/10.1007/s11023-018-9482-5" TargetMode="External" /><Relationship Type="http://schemas.openxmlformats.org/officeDocument/2006/relationships/hyperlink" Id="rId415" Target="https://doi.org/10.1007/s12559-023-10179-8" TargetMode="External" /><Relationship Type="http://schemas.openxmlformats.org/officeDocument/2006/relationships/hyperlink" Id="rId551" Target="https://doi.org/10.1007/s13218-020-00637-y" TargetMode="External" /><Relationship Type="http://schemas.openxmlformats.org/officeDocument/2006/relationships/hyperlink" Id="rId419" Target="https://doi.org/10.1007/s13218-023-00806-9" TargetMode="External" /><Relationship Type="http://schemas.openxmlformats.org/officeDocument/2006/relationships/hyperlink" Id="rId424" Target="https://doi.org/10.1016/j.array.2025.100399" TargetMode="External" /><Relationship Type="http://schemas.openxmlformats.org/officeDocument/2006/relationships/hyperlink" Id="rId475" Target="https://doi.org/10.1016/j.artint.2018.07.007" TargetMode="External" /><Relationship Type="http://schemas.openxmlformats.org/officeDocument/2006/relationships/hyperlink" Id="rId454" Target="https://doi.org/10.1016/j.artint.2021.103473" TargetMode="External" /><Relationship Type="http://schemas.openxmlformats.org/officeDocument/2006/relationships/hyperlink" Id="rId344" Target="https://doi.org/10.1016/j.inffus.2019.12.012" TargetMode="External" /><Relationship Type="http://schemas.openxmlformats.org/officeDocument/2006/relationships/hyperlink" Id="rId328" Target="https://doi.org/10.1016/j.inffus.2023.101805" TargetMode="External" /><Relationship Type="http://schemas.openxmlformats.org/officeDocument/2006/relationships/hyperlink" Id="rId465" Target="https://doi.org/10.1016/j.inffus.2024.102301" TargetMode="External" /><Relationship Type="http://schemas.openxmlformats.org/officeDocument/2006/relationships/hyperlink" Id="rId447" Target="https://doi.org/10.1016/j.jcm.2016.02.012" TargetMode="External" /><Relationship Type="http://schemas.openxmlformats.org/officeDocument/2006/relationships/hyperlink" Id="rId537" Target="https://doi.org/10.1016/j.knosys.2023.110273" TargetMode="External" /><Relationship Type="http://schemas.openxmlformats.org/officeDocument/2006/relationships/hyperlink" Id="rId509" Target="https://doi.org/10.1016/j.neucom.2024.128282" TargetMode="External" /><Relationship Type="http://schemas.openxmlformats.org/officeDocument/2006/relationships/hyperlink" Id="rId360" Target="https://doi.org/10.1023/a:1010933404324" TargetMode="External" /><Relationship Type="http://schemas.openxmlformats.org/officeDocument/2006/relationships/hyperlink" Id="rId506" Target="https://doi.org/10.1038/s41467-022-33417-3" TargetMode="External" /><Relationship Type="http://schemas.openxmlformats.org/officeDocument/2006/relationships/hyperlink" Id="rId325" Target="https://doi.org/10.1038/s41597-023-01974-x" TargetMode="External" /><Relationship Type="http://schemas.openxmlformats.org/officeDocument/2006/relationships/hyperlink" Id="rId533" Target="https://doi.org/10.1038/s42256-019-0048-x" TargetMode="External" /><Relationship Type="http://schemas.openxmlformats.org/officeDocument/2006/relationships/hyperlink" Id="rId492" Target="https://doi.org/10.1073/pnas.1900654116" TargetMode="External" /><Relationship Type="http://schemas.openxmlformats.org/officeDocument/2006/relationships/hyperlink" Id="rId519" Target="https://doi.org/10.1073/pnas.2426766122" TargetMode="External" /><Relationship Type="http://schemas.openxmlformats.org/officeDocument/2006/relationships/hyperlink" Id="rId401" Target="https://doi.org/10.1080/01621459.1937.10503522" TargetMode="External" /><Relationship Type="http://schemas.openxmlformats.org/officeDocument/2006/relationships/hyperlink" Id="rId407" Target="https://doi.org/10.1080/10618600.2014.907095" TargetMode="External" /><Relationship Type="http://schemas.openxmlformats.org/officeDocument/2006/relationships/hyperlink" Id="rId317" Target="https://doi.org/10.1109/INES59045.2023.1030000" TargetMode="External" /><Relationship Type="http://schemas.openxmlformats.org/officeDocument/2006/relationships/hyperlink" Id="rId555" Target="https://doi.org/10.1109/TNNLS.2020.3027314" TargetMode="External" /><Relationship Type="http://schemas.openxmlformats.org/officeDocument/2006/relationships/hyperlink" Id="rId529" Target="https://doi.org/10.1109/TPAMI.2023.3331846" TargetMode="External" /><Relationship Type="http://schemas.openxmlformats.org/officeDocument/2006/relationships/hyperlink" Id="rId321" Target="https://doi.org/10.1109/access.2018.2870052" TargetMode="External" /><Relationship Type="http://schemas.openxmlformats.org/officeDocument/2006/relationships/hyperlink" Id="rId433" Target="https://doi.org/10.1109/access.2025.3546681" TargetMode="External" /><Relationship Type="http://schemas.openxmlformats.org/officeDocument/2006/relationships/hyperlink" Id="rId405" Target="https://doi.org/10.1109/dsaa.2018.00018" TargetMode="External" /><Relationship Type="http://schemas.openxmlformats.org/officeDocument/2006/relationships/hyperlink" Id="rId342" Target="https://doi.org/10.1111/rssb.12377" TargetMode="External" /><Relationship Type="http://schemas.openxmlformats.org/officeDocument/2006/relationships/hyperlink" Id="rId426" Target="https://doi.org/10.1126/science.359.6377.725" TargetMode="External" /><Relationship Type="http://schemas.openxmlformats.org/officeDocument/2006/relationships/hyperlink" Id="rId521" Target="https://doi.org/10.1145/2939672.2939778" TargetMode="External" /><Relationship Type="http://schemas.openxmlformats.org/officeDocument/2006/relationships/hyperlink" Id="rId315" Target="https://doi.org/10.1145/3173574.3174156" TargetMode="External" /><Relationship Type="http://schemas.openxmlformats.org/officeDocument/2006/relationships/hyperlink" Id="rId411" Target="https://doi.org/10.1145/3236009" TargetMode="External" /><Relationship Type="http://schemas.openxmlformats.org/officeDocument/2006/relationships/hyperlink" Id="rId461" Target="https://doi.org/10.1145/3236386.3241340" TargetMode="External" /><Relationship Type="http://schemas.openxmlformats.org/officeDocument/2006/relationships/hyperlink" Id="rId480" Target="https://doi.org/10.1145/3287560.3287574" TargetMode="External" /><Relationship Type="http://schemas.openxmlformats.org/officeDocument/2006/relationships/hyperlink" Id="rId439" Target="https://doi.org/10.1145/3313831.3376219" TargetMode="External" /><Relationship Type="http://schemas.openxmlformats.org/officeDocument/2006/relationships/hyperlink" Id="rId488" Target="https://doi.org/10.1145/3351095.3372850" TargetMode="External" /><Relationship Type="http://schemas.openxmlformats.org/officeDocument/2006/relationships/hyperlink" Id="rId549" Target="https://doi.org/10.1145/3375627.3375830" TargetMode="External" /><Relationship Type="http://schemas.openxmlformats.org/officeDocument/2006/relationships/hyperlink" Id="rId515" Target="https://doi.org/10.1145/3375627.3375850" TargetMode="External" /><Relationship Type="http://schemas.openxmlformats.org/officeDocument/2006/relationships/hyperlink" Id="rId482" Target="https://doi.org/10.1145/3387166" TargetMode="External" /><Relationship Type="http://schemas.openxmlformats.org/officeDocument/2006/relationships/hyperlink" Id="rId435" Target="https://doi.org/10.1145/3527848" TargetMode="External" /><Relationship Type="http://schemas.openxmlformats.org/officeDocument/2006/relationships/hyperlink" Id="rId323" Target="https://doi.org/10.1145/3533381" TargetMode="External" /><Relationship Type="http://schemas.openxmlformats.org/officeDocument/2006/relationships/hyperlink" Id="rId388" Target="https://doi.org/10.1145/3544549.3573832" TargetMode="External" /><Relationship Type="http://schemas.openxmlformats.org/officeDocument/2006/relationships/hyperlink" Id="rId384" Target="https://doi.org/10.1145/3561048" TargetMode="External" /><Relationship Type="http://schemas.openxmlformats.org/officeDocument/2006/relationships/hyperlink" Id="rId430" Target="https://doi.org/10.1145/3571730" TargetMode="External" /><Relationship Type="http://schemas.openxmlformats.org/officeDocument/2006/relationships/hyperlink" Id="rId392" Target="https://doi.org/10.1145/3573900.3591114" TargetMode="External" /><Relationship Type="http://schemas.openxmlformats.org/officeDocument/2006/relationships/hyperlink" Id="rId553" Target="https://doi.org/10.1145/3580305.3599337" TargetMode="External" /><Relationship Type="http://schemas.openxmlformats.org/officeDocument/2006/relationships/hyperlink" Id="rId496" Target="https://doi.org/10.1145/3583558" TargetMode="External" /><Relationship Type="http://schemas.openxmlformats.org/officeDocument/2006/relationships/hyperlink" Id="rId450" Target="https://doi.org/10.1145/3592307.3592342" TargetMode="External" /><Relationship Type="http://schemas.openxmlformats.org/officeDocument/2006/relationships/hyperlink" Id="rId566" Target="https://doi.org/10.1145/3599974" TargetMode="External" /><Relationship Type="http://schemas.openxmlformats.org/officeDocument/2006/relationships/hyperlink" Id="rId409" Target="https://doi.org/10.1145/3605098.3636109" TargetMode="External" /><Relationship Type="http://schemas.openxmlformats.org/officeDocument/2006/relationships/hyperlink" Id="rId478" Target="https://doi.org/10.1145/3607947.3608059" TargetMode="External" /><Relationship Type="http://schemas.openxmlformats.org/officeDocument/2006/relationships/hyperlink" Id="rId486" Target="https://doi.org/10.1145/3610064" TargetMode="External" /><Relationship Type="http://schemas.openxmlformats.org/officeDocument/2006/relationships/hyperlink" Id="rId503" Target="https://doi.org/10.1145/3613904.3642352" TargetMode="External" /><Relationship Type="http://schemas.openxmlformats.org/officeDocument/2006/relationships/hyperlink" Id="rId442" Target="https://doi.org/10.1145/3613905.3638184" TargetMode="External" /><Relationship Type="http://schemas.openxmlformats.org/officeDocument/2006/relationships/hyperlink" Id="rId403" Target="https://doi.org/10.1145/3626203.3670522" TargetMode="External" /><Relationship Type="http://schemas.openxmlformats.org/officeDocument/2006/relationships/hyperlink" Id="rId356" Target="https://doi.org/10.1145/3631700.3664911" TargetMode="External" /><Relationship Type="http://schemas.openxmlformats.org/officeDocument/2006/relationships/hyperlink" Id="rId428" Target="https://doi.org/10.1145/3631908.3631925" TargetMode="External" /><Relationship Type="http://schemas.openxmlformats.org/officeDocument/2006/relationships/hyperlink" Id="rId374" Target="https://doi.org/10.1145/3638380.3638426" TargetMode="External" /><Relationship Type="http://schemas.openxmlformats.org/officeDocument/2006/relationships/hyperlink" Id="rId562" Target="https://doi.org/10.1145/3643491.3660292" TargetMode="External" /><Relationship Type="http://schemas.openxmlformats.org/officeDocument/2006/relationships/hyperlink" Id="rId354" Target="https://doi.org/10.1145/3643834.3660722" TargetMode="External" /><Relationship Type="http://schemas.openxmlformats.org/officeDocument/2006/relationships/hyperlink" Id="rId469" Target="https://doi.org/10.1145/3647444.3647912" TargetMode="External" /><Relationship Type="http://schemas.openxmlformats.org/officeDocument/2006/relationships/hyperlink" Id="rId346" Target="https://doi.org/10.1145/3649144" TargetMode="External" /><Relationship Type="http://schemas.openxmlformats.org/officeDocument/2006/relationships/hyperlink" Id="rId437" Target="https://doi.org/10.1145/3651593" TargetMode="External" /><Relationship Type="http://schemas.openxmlformats.org/officeDocument/2006/relationships/hyperlink" Id="rId352" Target="https://doi.org/10.1145/3670685" TargetMode="External" /><Relationship Type="http://schemas.openxmlformats.org/officeDocument/2006/relationships/hyperlink" Id="rId362" Target="https://doi.org/10.1145/3672359.3672363" TargetMode="External" /><Relationship Type="http://schemas.openxmlformats.org/officeDocument/2006/relationships/hyperlink" Id="rId541" Target="https://doi.org/10.1145/3677374" TargetMode="External" /><Relationship Type="http://schemas.openxmlformats.org/officeDocument/2006/relationships/hyperlink" Id="rId513" Target="https://doi.org/10.1145/3678884.3682046" TargetMode="External" /><Relationship Type="http://schemas.openxmlformats.org/officeDocument/2006/relationships/hyperlink" Id="rId386" Target="https://doi.org/10.1145/3686169.3686185" TargetMode="External" /><Relationship Type="http://schemas.openxmlformats.org/officeDocument/2006/relationships/hyperlink" Id="rId376" Target="https://doi.org/10.1145/3702038.3702093" TargetMode="External" /><Relationship Type="http://schemas.openxmlformats.org/officeDocument/2006/relationships/hyperlink" Id="rId490" Target="https://doi.org/10.1145/3704522.3704524" TargetMode="External" /><Relationship Type="http://schemas.openxmlformats.org/officeDocument/2006/relationships/hyperlink" Id="rId564" Target="https://doi.org/10.1145/3705724" TargetMode="External" /><Relationship Type="http://schemas.openxmlformats.org/officeDocument/2006/relationships/hyperlink" Id="rId500" Target="https://doi.org/10.1145/3711123" TargetMode="External" /><Relationship Type="http://schemas.openxmlformats.org/officeDocument/2006/relationships/hyperlink" Id="rId366" Target="https://doi.org/10.1145/3737445" TargetMode="External" /><Relationship Type="http://schemas.openxmlformats.org/officeDocument/2006/relationships/hyperlink" Id="rId332" Target="https://doi.org/10.1146/annurev-statistics-040120-030919" TargetMode="External" /><Relationship Type="http://schemas.openxmlformats.org/officeDocument/2006/relationships/hyperlink" Id="rId372" Target="https://doi.org/10.1177/001316446002000104" TargetMode="External" /><Relationship Type="http://schemas.openxmlformats.org/officeDocument/2006/relationships/hyperlink" Id="rId559" Target="https://doi.org/10.1201/9781003442509" TargetMode="External" /><Relationship Type="http://schemas.openxmlformats.org/officeDocument/2006/relationships/hyperlink" Id="rId397" Target="https://doi.org/10.1214/07-aoas148" TargetMode="External" /><Relationship Type="http://schemas.openxmlformats.org/officeDocument/2006/relationships/hyperlink" Id="rId531" Target="https://doi.org/10.1214/21-ss133" TargetMode="External" /><Relationship Type="http://schemas.openxmlformats.org/officeDocument/2006/relationships/hyperlink" Id="rId399" Target="https://doi.org/10.1214/aos/1013203451" TargetMode="External" /><Relationship Type="http://schemas.openxmlformats.org/officeDocument/2006/relationships/hyperlink" Id="rId523" Target="https://doi.org/10.1609/aaai.v32i1.11491" TargetMode="External" /><Relationship Type="http://schemas.openxmlformats.org/officeDocument/2006/relationships/hyperlink" Id="rId557" Target="https://doi.org/10.1609/aaai.v34i04.6064" TargetMode="External" /><Relationship Type="http://schemas.openxmlformats.org/officeDocument/2006/relationships/hyperlink" Id="rId338" Target="https://doi.org/10.1609/aimag.v35i4.2513" TargetMode="External" /><Relationship Type="http://schemas.openxmlformats.org/officeDocument/2006/relationships/hyperlink" Id="rId568" Target="https://doi.org/10.1613/jair.1.13283" TargetMode="External" /><Relationship Type="http://schemas.openxmlformats.org/officeDocument/2006/relationships/hyperlink" Id="rId511" Target="https://doi.org/10.1613/jair.1.14888" TargetMode="External" /><Relationship Type="http://schemas.openxmlformats.org/officeDocument/2006/relationships/hyperlink" Id="rId413" Target="https://doi.org/10.18653/v1/2020.acl-main.491" TargetMode="External" /><Relationship Type="http://schemas.openxmlformats.org/officeDocument/2006/relationships/hyperlink" Id="rId348" Target="https://doi.org/10.18653/v1/2020.blackboxnlp-1.14" TargetMode="External" /><Relationship Type="http://schemas.openxmlformats.org/officeDocument/2006/relationships/hyperlink" Id="rId364" Target="https://doi.org/10.18653/v1/2023.emnlp-main.792" TargetMode="External" /><Relationship Type="http://schemas.openxmlformats.org/officeDocument/2006/relationships/hyperlink" Id="rId572" Target="https://doi.org/10.2139/ssrn.3063289" TargetMode="External" /><Relationship Type="http://schemas.openxmlformats.org/officeDocument/2006/relationships/hyperlink" Id="rId319" Target="https://doi.org/10.2139/ssrn.4710037" TargetMode="External" /><Relationship Type="http://schemas.openxmlformats.org/officeDocument/2006/relationships/hyperlink" Id="rId370" Target="https://doi.org/10.2139/ssrn.5040613" TargetMode="External" /><Relationship Type="http://schemas.openxmlformats.org/officeDocument/2006/relationships/hyperlink" Id="rId390" Target="https://doi.org/10.2139/ssrn.6847479" TargetMode="External" /><Relationship Type="http://schemas.openxmlformats.org/officeDocument/2006/relationships/hyperlink" Id="rId575" Target="https://doi.org/10.2307/3001968" TargetMode="External" /><Relationship Type="http://schemas.openxmlformats.org/officeDocument/2006/relationships/hyperlink" Id="rId456" Target="https://doi.org/10.24963/ijcai.2019/388" TargetMode="External" /><Relationship Type="http://schemas.openxmlformats.org/officeDocument/2006/relationships/hyperlink" Id="rId350" Target="https://doi.org/10.3389/fdata.2021.688969" TargetMode="External" /><Relationship Type="http://schemas.openxmlformats.org/officeDocument/2006/relationships/hyperlink" Id="rId452" Target="https://doi.org/10.3389/fpsyg.2013.00863" TargetMode="External" /><Relationship Type="http://schemas.openxmlformats.org/officeDocument/2006/relationships/hyperlink" Id="rId535" Target="https://doi.org/10.3390/app14198884" TargetMode="External" /><Relationship Type="http://schemas.openxmlformats.org/officeDocument/2006/relationships/hyperlink" Id="rId459" Target="https://doi.org/10.3390/e23010018" TargetMode="External" /><Relationship Type="http://schemas.openxmlformats.org/officeDocument/2006/relationships/hyperlink" Id="rId358" Target="https://doi.org/10.3390/electronics13112198" TargetMode="External" /><Relationship Type="http://schemas.openxmlformats.org/officeDocument/2006/relationships/hyperlink" Id="rId368" Target="https://doi.org/10.3390/electronics8080832" TargetMode="External" /><Relationship Type="http://schemas.openxmlformats.org/officeDocument/2006/relationships/hyperlink" Id="rId334" Target="https://doi.org/10.3390/technologies13030093" TargetMode="External" /><Relationship Type="http://schemas.openxmlformats.org/officeDocument/2006/relationships/hyperlink" Id="rId380" Target="https://doi.org/10.48550/arxiv.1702.08608" TargetMode="External" /><Relationship Type="http://schemas.openxmlformats.org/officeDocument/2006/relationships/hyperlink" Id="rId467" Target="https://doi.org/10.48550/arxiv.1705.07874" TargetMode="External" /><Relationship Type="http://schemas.openxmlformats.org/officeDocument/2006/relationships/hyperlink" Id="rId525" Target="https://doi.org/10.65109/vllw9552" TargetMode="External" /><Relationship Type="http://schemas.openxmlformats.org/officeDocument/2006/relationships/hyperlink" Id="rId527" Target="https://proceedings.mlr.press/v162/rong22a.html" TargetMode="External" /><Relationship Type="http://schemas.openxmlformats.org/officeDocument/2006/relationships/hyperlink" Id="rId577" Target="https://trustai4s-lab.github.io/ffidelity" TargetMode="External" /><Relationship Type="http://schemas.openxmlformats.org/officeDocument/2006/relationships/hyperlink" Id="rId378" Target="https://www.jmlr.org/papers/v7/demsar06a.html" TargetMode="External" /><Relationship Type="http://schemas.openxmlformats.org/officeDocument/2006/relationships/hyperlink" Id="rId545" Target="https://www.rand.org/pubs/papers/P0295.html" TargetMode="External" /></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82</TotalTime>
  <Pages>37</Pages>
  <Words>4983</Words>
  <Characters>27410</Characters>
  <Application>Microsoft Office Word</Application>
  <DocSecurity>0</DocSecurity>
  <Lines>228</Lines>
  <Paragraphs>64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32329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Arquitectura Agnóstica para la Interpretabilidad de Modelos de Inteligencia Artificial de Caja Negra</dc:title>
  <dc:creator>J. Herrera</dc:creator>
  <dc:language>es</dc:language>
  <cp:keywords/>
  <dcterms:created xsi:type="dcterms:W3CDTF">2026-10-13T15:28:53Z</dcterms:created>
  <dcterms:modified xsi:type="dcterms:W3CDTF">2026-10-13T15:28:53Z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
  </property>
  <property fmtid="{D5CDD505-2E9C-101B-9397-08002B2CF9AE}" pid="5" name="book">
    <vt:lpwstr/>
  </property>
  <property fmtid="{D5CDD505-2E9C-101B-9397-08002B2CF9AE}" pid="6" name="by-author">
    <vt:lpwstr/>
  </property>
  <property fmtid="{D5CDD505-2E9C-101B-9397-08002B2CF9AE}" pid="7" name="crossref">
    <vt:lpwstr/>
  </property>
  <property fmtid="{D5CDD505-2E9C-101B-9397-08002B2CF9AE}" pid="8" name="date">
    <vt:lpwstr>2026-04-19</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subtitle">
    <vt:lpwstr>Integración de Benchmarking Técnico, Protocolo Reproducible (FOM-7) y Taxonomía de Métricas</vt:lpwstr>
  </property>
  <property fmtid="{D5CDD505-2E9C-101B-9397-08002B2CF9AE}" pid="14" name="template-partials">
    <vt:lpwstr/>
  </property>
  <property fmtid="{D5CDD505-2E9C-101B-9397-08002B2CF9AE}" pid="15" name="toc-title">
    <vt:lpwstr>Tabla de contenidos</vt:lpwstr>
  </property>
</Properties>
</file>