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Marco para la Evaluación Multinivel de la Explicabilidad en IA</w:t>
      </w:r>
    </w:p>
    <w:p>
      <w:pPr>
        <w:pStyle w:val="Subtitle"/>
      </w:pPr>
      <w:r>
        <w:t xml:space="preserve">Integración de Benchmarking Técnico, Protocolo Reproducible (FOM-7) y Taxonomía de Métricas</w:t>
      </w:r>
    </w:p>
    <w:p>
      <w:pPr>
        <w:pStyle w:val="Author"/>
      </w:pPr>
      <w:r>
        <w:t xml:space="preserve">J. Herrera</w:t>
      </w:r>
    </w:p>
    <w:p>
      <w:pPr>
        <w:pStyle w:val="Date"/>
      </w:pPr>
      <w:r>
        <w:t xml:space="preserve">2026-04-19</w:t>
      </w:r>
    </w:p>
    <w:sdt>
      <w:sdtPr>
        <w:docPartObj>
          <w:docPartGallery w:val="Table of Contents"/>
          <w:docPartUnique/>
        </w:docPartObj>
      </w:sdtPr>
      <w:sdtContent>
        <w:p>
          <w:pPr>
            <w:pStyle w:val="TtulodeTDC"/>
          </w:pPr>
          <w:r>
            <w:t xml:space="preserve">Table of contents</w:t>
          </w:r>
        </w:p>
        <w:p>
          <w:r>
            <w:fldChar w:fldCharType="begin" w:dirty="true"/>
            <w:instrText xml:space="preserve">TOC \o "1-3" \h \z \u</w:instrText>
            <w:fldChar w:fldCharType="separate"/>
            <w:fldChar w:fldCharType="end"/>
          </w:r>
        </w:p>
      </w:sdtContent>
    </w:sdt>
    <w:bookmarkStart w:id="25" w:name="X9879de00516a950326abd0572f192803626eb50"/>
    <w:p>
      <w:pPr>
        <w:pStyle w:val="Ttulo1"/>
      </w:pPr>
      <w:r>
        <w:t xml:space="preserve">Marco para la Evaluación Multinivel de la Explicabilidad en IA</w:t>
      </w:r>
    </w:p>
    <w:p>
      <w:pPr>
        <w:pStyle w:val="FirstParagraph"/>
      </w:pPr>
      <w:r>
        <w:t xml:space="preserve">Integración de Benchmarking Técnico, Protocolo Reproducible (FOM-7) y</w:t>
      </w:r>
      <w:r>
        <w:t xml:space="preserve"> </w:t>
      </w:r>
      <w:r>
        <w:t xml:space="preserve">Taxonomía de Métricas</w:t>
      </w:r>
    </w:p>
    <w:p>
      <w:pPr>
        <w:pStyle w:val="Textoindependiente"/>
      </w:pPr>
      <w:r>
        <w:br/>
      </w:r>
    </w:p>
    <w:bookmarkEnd w:id="25"/>
    <w:bookmarkStart w:id="26" w:name="resumen"/>
    <w:p>
      <w:pPr>
        <w:pStyle w:val="Ttulo1"/>
      </w:pPr>
      <w:r>
        <w:t xml:space="preserve">Resumen</w:t>
      </w:r>
    </w:p>
    <w:p>
      <w:pPr>
        <w:pStyle w:val="FirstParagrap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pPr>
      <w:r>
        <w:t xml:space="preserve">Abstract</w:t>
      </w:r>
    </w:p>
    <w:p>
      <w:pPr>
        <w:pStyle w:val="FirstParagrap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pPr>
      <w:r>
        <w:t xml:space="preserve">Introducción</w:t>
      </w:r>
    </w:p>
    <w:p>
      <w:pPr>
        <w:pStyle w:val="FirstParagrap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han</w:t>
      </w:r>
      <w:r>
        <w:t xml:space="preserve"> </w:t>
      </w:r>
      <w:r>
        <w:t xml:space="preserve">ganado protagonismo al intentar proporcionar explicaciones</w:t>
      </w:r>
      <w:r>
        <w:t xml:space="preserve"> </w:t>
      </w:r>
      <w:r>
        <w:rPr>
          <w:i/>
          <w:iCs/>
        </w:rPr>
        <w:t xml:space="preserve">post-hoc</w:t>
      </w:r>
      <w:r>
        <w:t xml:space="preserve"> </w:t>
      </w:r>
      <w:r>
        <w:t xml:space="preserve">sin</w:t>
      </w:r>
      <w:r>
        <w:t xml:space="preserve"> </w:t>
      </w:r>
      <w:r>
        <w:t xml:space="preserve">necesidad de alterar los componentes internos del modelo, facilitando así la</w:t>
      </w:r>
      <w:r>
        <w:t xml:space="preserve"> </w:t>
      </w:r>
      <w:r>
        <w:t xml:space="preserve">detección de sesgos y la validación de resultados en aplicaciones críticas.</w:t>
      </w:r>
    </w:p>
    <w:p>
      <w:pPr>
        <w:pStyle w:val="Textoindependiente"/>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 puntaciones</w:t>
      </w:r>
      <w:r>
        <w:t xml:space="preserve"> </w:t>
      </w:r>
      <w:r>
        <w:t xml:space="preserve">de fiabilidad resultantes</w:t>
      </w:r>
      <w:r>
        <w:t xml:space="preserve"> </w:t>
      </w:r>
      <w:r>
        <w:t xml:space="preserve">(Zheng et al. 2025)</w:t>
      </w:r>
      <w:r>
        <w:t xml:space="preserve">. Si bien han surgido ecosistemas de</w:t>
      </w:r>
      <w:r>
        <w:t xml:space="preserve"> </w:t>
      </w:r>
      <w:r>
        <w:t xml:space="preserve">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 significativa en la</w:t>
      </w:r>
      <w:r>
        <w:t xml:space="preserve"> </w:t>
      </w:r>
      <w:r>
        <w:t xml:space="preserve">evaluación de la coherencia multidimensional, que debe abarcar tanto la precisión</w:t>
      </w:r>
      <w:r>
        <w:t xml:space="preserve"> </w:t>
      </w:r>
      <w:r>
        <w:t xml:space="preserve">técnica como la utilidad percibida por el usuario</w:t>
      </w:r>
      <w:r>
        <w:t xml:space="preserve"> </w:t>
      </w:r>
      <w:r>
        <w:t xml:space="preserve">(Bhattacharya and Verbert 2024)</w:t>
      </w:r>
      <w:r>
        <w:t xml:space="preserve">.</w:t>
      </w:r>
    </w:p>
    <w:p>
      <w:pPr>
        <w:pStyle w:val="Textoindependiente"/>
      </w:pPr>
      <w:r>
        <w:t xml:space="preserve">Bajo esta premisa, la presente investigación busca cerrar esta brecha mediante</w:t>
      </w:r>
      <w:r>
        <w:t xml:space="preserve"> </w:t>
      </w:r>
      <w:r>
        <w:t xml:space="preserve">el desarrollo y la comparación de métodos de explicación agnósticos que sean</w:t>
      </w:r>
      <w:r>
        <w:t xml:space="preserve"> </w:t>
      </w:r>
      <w:r>
        <w:t xml:space="preserve">simultáneamente fiables, interpretables y computacionalmente eficientes. El</w:t>
      </w:r>
      <w:r>
        <w:t xml:space="preserve"> </w:t>
      </w:r>
      <w:r>
        <w:t xml:space="preserve">estudio se propone introducir un marco de evaluación multinivel que trascienda</w:t>
      </w:r>
      <w:r>
        <w:t xml:space="preserve"> </w:t>
      </w:r>
      <w:r>
        <w:t xml:space="preserve">las métricas tradicionales, integrando dimensiones de alineación causal y</w:t>
      </w:r>
      <w:r>
        <w:t xml:space="preserve"> </w:t>
      </w:r>
      <w:r>
        <w:t xml:space="preserve">medidas de robustez para proporcionar una comprensión más holística de la</w:t>
      </w:r>
      <w:r>
        <w:t xml:space="preserve"> </w:t>
      </w:r>
      <w:r>
        <w:t xml:space="preserve">calidad de la explicabilidad. Esta propuesta es de alta relevancia tanto para la</w:t>
      </w:r>
      <w:r>
        <w:t xml:space="preserve"> </w:t>
      </w:r>
      <w:r>
        <w:t xml:space="preserve">academia como para la industria, pues se alinea con las crecientes exigencias</w:t>
      </w:r>
      <w:r>
        <w:t xml:space="preserve"> </w:t>
      </w:r>
      <w:r>
        <w:t xml:space="preserve">regulatorias y éticas que demandan una gobernanza de la IA más transparente y</w:t>
      </w:r>
      <w:r>
        <w:t xml:space="preserve"> </w:t>
      </w:r>
      <w:r>
        <w:t xml:space="preserve">auditable. El objetivo final es contribuir al campo de la IA explicable (XAI)</w:t>
      </w:r>
      <w:r>
        <w:t xml:space="preserve"> </w:t>
      </w:r>
      <w:r>
        <w:t xml:space="preserve">mediante un enfoque escalable y adaptativo, asegurando que los modelos de IA no</w:t>
      </w:r>
      <w:r>
        <w:t xml:space="preserve"> </w:t>
      </w:r>
      <w:r>
        <w:t xml:space="preserve">solo alcancen niveles de precisión sobresalientes, sino que sean también</w:t>
      </w:r>
      <w:r>
        <w:t xml:space="preserve"> </w:t>
      </w:r>
      <w:r>
        <w:t xml:space="preserve">profundamente confiables y plenamente comprendidos por sus usuarios.</w:t>
      </w:r>
    </w:p>
    <w:p>
      <w:pPr>
        <w:pStyle w:val="Textoindependiente"/>
      </w:pPr>
      <w:r>
        <w:t xml:space="preserve">Para alcanzar estos objetivos, el documento se estructura de manera lógica a</w:t>
      </w:r>
      <w:r>
        <w:t xml:space="preserve"> </w:t>
      </w:r>
      <w:r>
        <w:t xml:space="preserve">través de cinco capítulos fundamentales. Tras esta introducción, el</w:t>
      </w:r>
      <w:r>
        <w:t xml:space="preserve"> </w:t>
      </w:r>
      <w:r>
        <w:rPr>
          <w:b/>
          <w:bCs/>
        </w:rPr>
        <w:t xml:space="preserve">Capítulo</w:t>
      </w:r>
      <w:r>
        <w:rPr>
          <w:b/>
          <w:bCs/>
        </w:rPr>
        <w:t xml:space="preserve"> </w:t>
      </w:r>
      <w:r>
        <w:rPr>
          <w:b/>
          <w:bCs/>
        </w:rPr>
        <w:t xml:space="preserve">1</w:t>
      </w:r>
      <w:r>
        <w:t xml:space="preserve"> </w:t>
      </w:r>
      <w:r>
        <w:t xml:space="preserve">establece el marco metodológico y las hipótesis de trabajo. El</w:t>
      </w:r>
      <w:r>
        <w:t xml:space="preserve"> </w:t>
      </w:r>
      <w:r>
        <w:rPr>
          <w:b/>
          <w:bCs/>
        </w:rPr>
        <w:t xml:space="preserve">Capítulo 2</w:t>
      </w:r>
      <w:r>
        <w:t xml:space="preserve"> </w:t>
      </w:r>
      <w:r>
        <w:t xml:space="preserve">detalla los fundamentos conceptuales y el estado del arte de las técnicas</w:t>
      </w:r>
      <w:r>
        <w:t xml:space="preserve"> </w:t>
      </w:r>
      <w:r>
        <w:t xml:space="preserve">agnósticas. El</w:t>
      </w:r>
      <w:r>
        <w:t xml:space="preserve"> </w:t>
      </w:r>
      <w:r>
        <w:rPr>
          <w:b/>
          <w:bCs/>
        </w:rPr>
        <w:t xml:space="preserve">Capítulo 3</w:t>
      </w:r>
      <w:r>
        <w:t xml:space="preserve"> </w:t>
      </w:r>
      <w:r>
        <w:t xml:space="preserve">detalla el diseño experimental de las fases de</w:t>
      </w:r>
      <w:r>
        <w:t xml:space="preserve"> </w:t>
      </w:r>
      <w:r>
        <w:t xml:space="preserve">benchmarking y validación. El</w:t>
      </w:r>
      <w:r>
        <w:t xml:space="preserve"> </w:t>
      </w:r>
      <w:r>
        <w:rPr>
          <w:b/>
          <w:bCs/>
        </w:rPr>
        <w:t xml:space="preserve">Capítulo 4</w:t>
      </w:r>
      <w:r>
        <w:t xml:space="preserve"> </w:t>
      </w:r>
      <w:r>
        <w:t xml:space="preserve">expone y discute los resultados</w:t>
      </w:r>
      <w:r>
        <w:t xml:space="preserve"> </w:t>
      </w:r>
      <w:r>
        <w:t xml:space="preserve">obtenidos, mientras que el</w:t>
      </w:r>
      <w:r>
        <w:t xml:space="preserve"> </w:t>
      </w:r>
      <w:r>
        <w:rPr>
          <w:b/>
          <w:bCs/>
        </w:rPr>
        <w:t xml:space="preserve">Capítulo 5</w:t>
      </w:r>
      <w:r>
        <w:t xml:space="preserve"> </w:t>
      </w:r>
      <w:r>
        <w:t xml:space="preserve">sintetiza las conclusiones generales,</w:t>
      </w:r>
      <w:r>
        <w:t xml:space="preserve"> </w:t>
      </w:r>
      <w:r>
        <w:t xml:space="preserve">las contribuciones al área y las futuras líneas de investigación que se derivan</w:t>
      </w:r>
      <w:r>
        <w:t xml:space="preserve"> </w:t>
      </w:r>
      <w:r>
        <w:t xml:space="preserve">de este estudio.</w:t>
      </w:r>
    </w:p>
    <w:bookmarkEnd w:id="28"/>
    <w:bookmarkStart w:id="43" w:name="marco-metodológico"/>
    <w:p>
      <w:pPr>
        <w:pStyle w:val="Ttulo1"/>
      </w:pPr>
      <w:r>
        <w:t xml:space="preserve">Marco Metodológico</w:t>
      </w:r>
    </w:p>
    <w:p>
      <w:pPr>
        <w:pStyle w:val="FirstParagrap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pPr>
      <w:r>
        <w:t xml:space="preserve">Problema de investigación</w:t>
      </w:r>
    </w:p>
    <w:p>
      <w:pPr>
        <w:pStyle w:val="FirstParagrap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(n.d.;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pPr>
      <w:r>
        <w:t xml:space="preserve">Justificación científica y práctica</w:t>
      </w:r>
    </w:p>
    <w:p>
      <w:pPr>
        <w:pStyle w:val="FirstParagrap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pPr>
      <w:r>
        <w:t xml:space="preserve">Objetivos e hipótesis</w:t>
      </w:r>
    </w:p>
    <w:bookmarkStart w:id="31" w:name="objetivo-general"/>
    <w:p>
      <w:pPr>
        <w:pStyle w:val="Ttulo3"/>
      </w:pPr>
      <w:r>
        <w:t xml:space="preserve">Objetivo general</w:t>
      </w:r>
    </w:p>
    <w:p>
      <w:pPr>
        <w:pStyle w:val="FirstParagrap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pPr>
      <w:r>
        <w:t xml:space="preserve">Objetivos específicos</w:t>
      </w:r>
    </w:p>
    <w:p>
      <w:pPr>
        <w:numPr>
          <w:ilvl w:val="0"/>
          <w:numId w:val="1001"/>
        </w:numPr>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pPr>
      <w:r>
        <w:t xml:space="preserve">Cuantificar las diferencias en el trade-off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pPr>
      <w:r>
        <w:t xml:space="preserve">Hipótesis o proposiciones de trabajo</w:t>
      </w:r>
    </w:p>
    <w:p>
      <w:pPr>
        <w:pStyle w:val="FirstParagraph"/>
      </w:pPr>
      <w:r>
        <w:t xml:space="preserve">Las hipótesis estadísticas formales se estructuran en torno a los tres ejes</w:t>
      </w:r>
      <w:r>
        <w:t xml:space="preserve"> </w:t>
      </w:r>
      <w:r>
        <w:t xml:space="preserve">confirmatorios de la investigación empírica.</w:t>
      </w:r>
    </w:p>
    <w:p>
      <w:pPr>
        <w:pStyle w:val="Textoindependiente"/>
      </w:pPr>
      <w:r>
        <w:rPr>
          <w:b/>
          <w:bCs/>
        </w:rPr>
        <w:t xml:space="preserve">H1 — Diferencias globales entre métodos (fidelidad)</w:t>
      </w:r>
    </w:p>
    <w:p>
      <w:pPr>
        <w:pStyle w:val="Textoindependiente"/>
      </w:pPr>
      <m:oMath>
        <m:sSub>
          <m:e>
            <m:r>
              <m:t>H</m:t>
            </m:r>
          </m:e>
          <m:sub>
            <m:r>
              <m:t>0</m:t>
            </m:r>
            <m:r>
              <m:rPr>
                <m:sty m:val="p"/>
              </m:rPr>
              <m:t>,</m:t>
            </m:r>
            <m:r>
              <m:t>1</m:t>
            </m:r>
          </m:sub>
        </m:sSub>
      </m:oMath>
      <w:r>
        <w:t xml:space="preserve">: No existen diferencias significativas entre los métodos XAI en la</w:t>
      </w:r>
      <w:r>
        <w:t xml:space="preserve"> </w:t>
      </w:r>
      <w:r>
        <w:t xml:space="preserve">métrica de fidelidad bajo el diseño de bloques emparejados.</w:t>
      </w:r>
    </w:p>
    <w:p>
      <w:pPr>
        <w:pStyle w:val="Textoindependiente"/>
      </w:pPr>
      <m:oMath>
        <m:sSub>
          <m:e>
            <m:r>
              <m:t>H</m:t>
            </m:r>
          </m:e>
          <m:sub>
            <m:r>
              <m:t>1</m:t>
            </m:r>
            <m:r>
              <m:rPr>
                <m:sty m:val="p"/>
              </m:rPr>
              <m:t>,</m:t>
            </m:r>
            <m:r>
              <m:t>1</m:t>
            </m:r>
          </m:sub>
        </m:sSub>
      </m:oMath>
      <w:r>
        <w:t xml:space="preserve">: Al menos un par de métodos difiere significativamente en fidelidad.</w:t>
      </w:r>
    </w:p>
    <w:p>
      <w:pPr>
        <w:pStyle w:val="Textoindependiente"/>
      </w:pPr>
      <w:r>
        <w:rPr>
          <w:b/>
          <w:bCs/>
        </w:rPr>
        <w:t xml:space="preserve">H2 — Diferencias globales entre métodos (estabilidad)</w:t>
      </w:r>
    </w:p>
    <w:p>
      <w:pPr>
        <w:pStyle w:val="Textoindependiente"/>
      </w:pPr>
      <m:oMath>
        <m:sSub>
          <m:e>
            <m:r>
              <m:t>H</m:t>
            </m:r>
          </m:e>
          <m:sub>
            <m:r>
              <m:t>0</m:t>
            </m:r>
            <m:r>
              <m:rPr>
                <m:sty m:val="p"/>
              </m:rPr>
              <m:t>,</m:t>
            </m:r>
            <m:r>
              <m:t>2</m:t>
            </m:r>
          </m:sub>
        </m:sSub>
      </m:oMath>
      <w:r>
        <w:t xml:space="preserve">: No existen diferencias significativas entre los métodos XAI en la</w:t>
      </w:r>
      <w:r>
        <w:t xml:space="preserve"> </w:t>
      </w:r>
      <w:r>
        <w:t xml:space="preserve">métrica de estabilidad bajo el diseño de bloques emparejados.</w:t>
      </w:r>
    </w:p>
    <w:p>
      <w:pPr>
        <w:pStyle w:val="Textoindependiente"/>
      </w:pPr>
      <m:oMath>
        <m:sSub>
          <m:e>
            <m:r>
              <m:t>H</m:t>
            </m:r>
          </m:e>
          <m:sub>
            <m:r>
              <m:t>1</m:t>
            </m:r>
            <m:r>
              <m:rPr>
                <m:sty m:val="p"/>
              </m:rPr>
              <m:t>,</m:t>
            </m:r>
            <m:r>
              <m:t>2</m:t>
            </m:r>
          </m:sub>
        </m:sSub>
      </m:oMath>
      <w:r>
        <w:t xml:space="preserve">: Al menos un par de métodos difiere significativamente en estabilidad.</w:t>
      </w:r>
    </w:p>
    <w:p>
      <w:pPr>
        <w:pStyle w:val="Textoindependiente"/>
      </w:pPr>
      <w:r>
        <w:rPr>
          <w:b/>
          <w:bCs/>
        </w:rPr>
        <w:t xml:space="preserve">H3 — Trade-off calidad-coste SHAP vs. LIME</w:t>
      </w:r>
    </w:p>
    <w:p>
      <w:pPr>
        <w:pStyle w:val="Textoindependiente"/>
      </w:pPr>
      <m:oMath>
        <m:sSub>
          <m:e>
            <m:r>
              <m:t>H</m:t>
            </m:r>
          </m:e>
          <m:sub>
            <m:r>
              <m:t>0</m:t>
            </m:r>
            <m:r>
              <m:rPr>
                <m:sty m:val="p"/>
              </m:rPr>
              <m:t>,</m:t>
            </m:r>
            <m:r>
              <m:t>3</m:t>
            </m:r>
          </m:sub>
        </m:sSub>
      </m:oMath>
      <w:r>
        <w:t xml:space="preserve">: SHAP y LIME no difieren en las métricas de calidad ni en el coste</w:t>
      </w:r>
      <w:r>
        <w:t xml:space="preserve"> </w:t>
      </w:r>
      <w:r>
        <w:t xml:space="preserve">computacional sobre celdas pareadas.</w:t>
      </w:r>
    </w:p>
    <w:p>
      <w:pPr>
        <w:pStyle w:val="Textoindependiente"/>
      </w:pPr>
      <m:oMath>
        <m:sSub>
          <m:e>
            <m:r>
              <m:t>H</m:t>
            </m:r>
          </m:e>
          <m:sub>
            <m:r>
              <m:t>1</m:t>
            </m:r>
            <m:r>
              <m:rPr>
                <m:sty m:val="p"/>
              </m:rPr>
              <m:t>,</m:t>
            </m:r>
            <m:r>
              <m:t>3</m:t>
            </m:r>
          </m:sub>
        </m:sSub>
      </m:oMath>
      <w:r>
        <w:t xml:space="preserve">: SHAP y LIME difieren significativamente en al menos una métrica de</w:t>
      </w:r>
      <w:r>
        <w:t xml:space="preserve"> </w:t>
      </w:r>
      <w:r>
        <w:t xml:space="preserve">calidad o en el coste computacional sobre celdas pareadas.</w:t>
      </w:r>
    </w:p>
    <w:p>
      <w:pPr>
        <w:pStyle w:val="Textoindependiente"/>
      </w:pPr>
      <w:r>
        <w:rPr>
          <w:b/>
          <w:bCs/>
        </w:rPr>
        <w:t xml:space="preserve">P1 — Reproducibilidad del protocolo (proposición)</w:t>
      </w:r>
    </w:p>
    <w:p>
      <w:pPr>
        <w:pStyle w:val="Textoindependiente"/>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pPr>
      <w:r>
        <w:t xml:space="preserve">Las hipótesis H1 y H2 se contrastan mediante la prueba de Friedman con bloques</w:t>
      </w:r>
      <w:r>
        <w:t xml:space="preserve"> </w:t>
      </w:r>
      <m:oMath>
        <m:r>
          <m:rPr>
            <m:sty m:val="p"/>
          </m:rPr>
          <m:t>(</m:t>
        </m:r>
        <m:r>
          <m:t>g</m:t>
        </m:r>
        <m:r>
          <m:rPr>
            <m:sty m:val="p"/>
          </m:rPr>
          <m:t>,</m:t>
        </m:r>
        <m:r>
          <m:t>n</m:t>
        </m:r>
        <m:r>
          <m:rPr>
            <m:sty m:val="p"/>
          </m:rPr>
          <m:t>)</m:t>
        </m:r>
      </m: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pPr>
      <w:r>
        <w:t xml:space="preserve">Metodología general de la investigación</w:t>
      </w:r>
    </w:p>
    <w:bookmarkStart w:id="35" w:name="enfoque"/>
    <w:p>
      <w:pPr>
        <w:pStyle w:val="Ttulo3"/>
      </w:pPr>
      <w:r>
        <w:t xml:space="preserve">Enfoque</w:t>
      </w:r>
    </w:p>
    <w:p>
      <w:pPr>
        <w:pStyle w:val="FirstParagrap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pPr>
      <w:r>
        <w:t xml:space="preserve">Tipo de investigación</w:t>
      </w:r>
    </w:p>
    <w:p>
      <w:pPr>
        <w:pStyle w:val="FirstParagrap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pPr>
      <w:r>
        <w:t xml:space="preserve">Universo y contexto experimental</w:t>
      </w:r>
    </w:p>
    <w:p>
      <w:pPr>
        <w:pStyle w:val="FirstParagrap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pPr>
      <w:r>
        <w:t xml:space="preserve">Muestra de datasets, modelos y métodos XAI</w:t>
      </w:r>
    </w:p>
    <w:p>
      <w:pPr>
        <w:pStyle w:val="FirstParagrap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m:oMath>
        <m:r>
          <m:t>N</m:t>
        </m:r>
        <m:r>
          <m:rPr>
            <m:sty m:val="p"/>
          </m:rPr>
          <m:t>∈</m:t>
        </m:r>
        <m:r>
          <m:rPr>
            <m:sty m:val="p"/>
          </m:rPr>
          <m:t>{</m:t>
        </m:r>
        <m:r>
          <m:t>50</m:t>
        </m:r>
        <m:r>
          <m:rPr>
            <m:sty m:val="p"/>
          </m:rPr>
          <m:t>,</m:t>
        </m:r>
        <m:r>
          <m:t>100</m:t>
        </m:r>
        <m:r>
          <m:rPr>
            <m:sty m:val="p"/>
          </m:rPr>
          <m:t>,</m:t>
        </m:r>
        <m:r>
          <m:t>200</m:t>
        </m:r>
        <m:r>
          <m:rPr>
            <m:sty m:val="p"/>
          </m:rPr>
          <m:t>}</m:t>
        </m:r>
      </m:oMath>
      <w:r>
        <w:t xml:space="preserve">. Cada celda del diseño se replica con cinco semillas de</w:t>
      </w:r>
      <w:r>
        <w:t xml:space="preserve"> </w:t>
      </w:r>
      <w:r>
        <w:t xml:space="preserve">aleatoriedad: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El tamaño planificado del</w:t>
      </w:r>
      <w:r>
        <w:t xml:space="preserve"> </w:t>
      </w:r>
      <w:r>
        <w:t xml:space="preserve">benchmark primario (Estudio A) es</w:t>
      </w:r>
      <w:r>
        <w:t xml:space="preserve"> </w:t>
      </w:r>
      <m:oMath>
        <m:r>
          <m:t>5</m:t>
        </m:r>
        <m:r>
          <m:rPr>
            <m:sty m:val="p"/>
          </m:rPr>
          <m:t>×</m:t>
        </m:r>
        <m:r>
          <m:t>4</m:t>
        </m:r>
        <m:r>
          <m:rPr>
            <m:sty m:val="p"/>
          </m:rPr>
          <m:t>×</m:t>
        </m:r>
        <m:r>
          <m:t>5</m:t>
        </m:r>
        <m:r>
          <m:rPr>
            <m:sty m:val="p"/>
          </m:rPr>
          <m:t>×</m:t>
        </m:r>
        <m:r>
          <m:t>3</m:t>
        </m:r>
        <m:r>
          <m:rPr>
            <m:sty m:val="p"/>
          </m:rPr>
          <m:t>=</m:t>
        </m:r>
        <m:r>
          <m:t>300</m:t>
        </m:r>
      </m: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pPr>
      <w:r>
        <w:t xml:space="preserve">Criterios de inclusión y exclusión</w:t>
      </w:r>
    </w:p>
    <w:p>
      <w:pPr>
        <w:pStyle w:val="FirstParagraph"/>
      </w:pPr>
      <w:r>
        <w:rPr>
          <w:b/>
          <w:bCs/>
        </w:rPr>
        <w:t xml:space="preserve">Criterios de inclusión:</w:t>
      </w:r>
    </w:p>
    <w:p>
      <w:pPr>
        <w:pStyle w:val="Compact"/>
        <w:numPr>
          <w:ilvl w:val="0"/>
          <w:numId w:val="1002"/>
        </w:numPr>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pPr>
      <w:r>
        <w:t xml:space="preserve">Celdas para las que existen artefactos en ambos métodos comparados (SHAP y</w:t>
      </w:r>
      <w:r>
        <w:t xml:space="preserve"> </w:t>
      </w:r>
      <w:r>
        <w:t xml:space="preserve">LIME) para el análisis pareado del Estudio B.</w:t>
      </w:r>
    </w:p>
    <w:p>
      <w:pPr>
        <w:pStyle w:val="FirstParagraph"/>
      </w:pPr>
      <w:r>
        <w:rPr>
          <w:b/>
          <w:bCs/>
        </w:rPr>
        <w:t xml:space="preserve">Criterios de exclusión:</w:t>
      </w:r>
    </w:p>
    <w:p>
      <w:pPr>
        <w:pStyle w:val="Compact"/>
        <w:numPr>
          <w:ilvl w:val="0"/>
          <w:numId w:val="1003"/>
        </w:numPr>
      </w:pPr>
      <w:r>
        <w:t xml:space="preserve">Artefactos vacíos o con esquema incompatible detectados en la auditoría de</w:t>
      </w:r>
      <w:r>
        <w:t xml:space="preserve"> </w:t>
      </w:r>
      <w:r>
        <w:t xml:space="preserve">integridad (puerta 3 del protocolo FOM-7).</w:t>
      </w:r>
    </w:p>
    <w:p>
      <w:pPr>
        <w:pStyle w:val="Compact"/>
        <w:numPr>
          <w:ilvl w:val="0"/>
          <w:numId w:val="1003"/>
        </w:numPr>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pPr>
      <w:r>
        <w:t xml:space="preserve">Variables, dimensiones y métricas</w:t>
      </w:r>
    </w:p>
    <w:p>
      <w:pPr>
        <w:pStyle w:val="FirstParagraph"/>
      </w:pPr>
      <w:r>
        <w:t xml:space="preserve">Las</w:t>
      </w:r>
      <w:r>
        <w:t xml:space="preserve"> </w:t>
      </w:r>
      <w:r>
        <w:rPr>
          <w:b/>
          <w:bCs/>
        </w:rPr>
        <w:t xml:space="preserve">variables independientes</w:t>
      </w:r>
      <w:r>
        <w:t xml:space="preserve"> </w:t>
      </w:r>
      <w:r>
        <w:t xml:space="preserve">del diseño son: familia de modelo (</w:t>
      </w:r>
      <m:oMath>
        <m:r>
          <m:t>g</m:t>
        </m:r>
      </m:oMath>
      <w:r>
        <w:t xml:space="preserve">), método</w:t>
      </w:r>
      <w:r>
        <w:t xml:space="preserve"> </w:t>
      </w:r>
      <w:r>
        <w:t xml:space="preserve">XAI (</w:t>
      </w:r>
      <m:oMath>
        <m:r>
          <m:t>k</m:t>
        </m:r>
      </m:oMath>
      <w:r>
        <w:t xml:space="preserve">), semilla de aleatoriedad (</w:t>
      </w:r>
      <m:oMath>
        <m:r>
          <m:t>s</m:t>
        </m:r>
      </m:oMath>
      <w:r>
        <w:t xml:space="preserve">) y tamaño de muestra por estrato (</w:t>
      </w:r>
      <m:oMath>
        <m:r>
          <m:t>n</m:t>
        </m:r>
      </m: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pPr>
      <w:r>
        <w:rPr>
          <w:b/>
          <w:bCs/>
        </w:rPr>
        <w:t xml:space="preserve">Coste computacional</w:t>
      </w:r>
      <w:r>
        <w:t xml:space="preserve">: tiempo de ejecución en milisegundos por instancia</w:t>
      </w:r>
      <w:r>
        <w:t xml:space="preserve"> </w:t>
      </w:r>
      <w:r>
        <w:t xml:space="preserve">(dirección: menor es mejor).</w:t>
      </w:r>
    </w:p>
    <w:p>
      <w:pPr>
        <w:pStyle w:val="FirstParagraph"/>
      </w:pPr>
      <w:r>
        <w:t xml:space="preserve">La unidad de análisis inferencial es la ejecución agregada a nivel de bloque</w:t>
      </w:r>
      <w:r>
        <w:t xml:space="preserve"> </w:t>
      </w:r>
      <m:oMath>
        <m:r>
          <m:rPr>
            <m:sty m:val="p"/>
          </m:rPr>
          <m:t>(</m:t>
        </m:r>
        <m:r>
          <m:t>g</m:t>
        </m:r>
        <m:r>
          <m:rPr>
            <m:sty m:val="p"/>
          </m:rPr>
          <m:t>,</m:t>
        </m:r>
        <m:r>
          <m:t>n</m:t>
        </m:r>
        <m:r>
          <m:rPr>
            <m:sty m:val="p"/>
          </m:rPr>
          <m:t>)</m:t>
        </m:r>
      </m:oMath>
      <w:r>
        <w:t xml:space="preserve">, evitando la pseudorreplicación a nivel de instancia.</w:t>
      </w:r>
    </w:p>
    <w:p>
      <w:pPr>
        <w:pStyle w:val="Textoindependiente"/>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pPr>
      <w:r>
        <w:t xml:space="preserve">Estrategia procedimental</w:t>
      </w:r>
    </w:p>
    <w:p>
      <w:pPr>
        <w:pStyle w:val="FirstParagrap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pPr>
      <w:r>
        <w:t xml:space="preserve">Las siete puertas secuenciales son:</w:t>
      </w:r>
    </w:p>
    <w:p>
      <w:pPr>
        <w:pStyle w:val="Compact"/>
        <w:numPr>
          <w:ilvl w:val="0"/>
          <w:numId w:val="1005"/>
        </w:numPr>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6" w:name="X391af6286db32023574829270090171ed2940ee"/>
    <w:p>
      <w:pPr>
        <w:pStyle w:val="Ttulo1"/>
      </w:pPr>
      <w:r>
        <w:t xml:space="preserve">Marco teorico especifico / fundamentos conceptuales</w:t>
      </w:r>
    </w:p>
    <w:bookmarkStart w:id="44" w:name="proposito-del-capitulo"/>
    <w:p>
      <w:pPr>
        <w:pStyle w:val="Ttulo2"/>
      </w:pPr>
      <w:r>
        <w:t xml:space="preserve">Proposito del capitulo</w:t>
      </w:r>
    </w:p>
    <w:p>
      <w:pPr>
        <w:pStyle w:val="FirstParagraph"/>
      </w:pPr>
      <w:r>
        <w:t xml:space="preserve">Este capitulo establece el marco conceptual especifico que sostiene la</w:t>
      </w:r>
      <w:r>
        <w:t xml:space="preserve"> </w:t>
      </w:r>
      <w:r>
        <w:t xml:space="preserve">propuesta FOM-7. Su funcion no es solamente definir la Inteligencia Artificial</w:t>
      </w:r>
      <w:r>
        <w:t xml:space="preserve"> </w:t>
      </w:r>
      <w:r>
        <w:t xml:space="preserve">Explicable (XAI), sino mostrar por que la evaluacion de explicaciones requiere</w:t>
      </w:r>
      <w:r>
        <w:t xml:space="preserve"> </w:t>
      </w:r>
      <w:r>
        <w:t xml:space="preserve">un protocolo operativo que conecte diseno experimental, calificacion de</w:t>
      </w:r>
      <w:r>
        <w:t xml:space="preserve"> </w:t>
      </w:r>
      <w:r>
        <w:t xml:space="preserve">artefactos, seleccion de metricas, admisibilidad estadistica, reproducibilidad y</w:t>
      </w:r>
      <w:r>
        <w:t xml:space="preserve"> </w:t>
      </w:r>
      <w:r>
        <w:t xml:space="preserve">trazabilidad de afirmaciones. La tesis parte de una observacion central: la</w:t>
      </w:r>
      <w:r>
        <w:t xml:space="preserve"> </w:t>
      </w:r>
      <w:r>
        <w:t xml:space="preserve">literatura dispone de metodos de explicacion maduros y de toolkits de</w:t>
      </w:r>
      <w:r>
        <w:t xml:space="preserve"> </w:t>
      </w:r>
      <w:r>
        <w:t xml:space="preserve">evaluacion cada vez mas sofisticados, pero aun persiste una brecha entre la</w:t>
      </w:r>
      <w:r>
        <w:t xml:space="preserve"> </w:t>
      </w:r>
      <w:r>
        <w:t xml:space="preserve">existencia de metricas y la construccion de evidencia doctoralmente defendible.</w:t>
      </w:r>
    </w:p>
    <w:p>
      <w:pPr>
        <w:pStyle w:val="Textoindependiente"/>
      </w:pPr>
      <w:r>
        <w:t xml:space="preserve">En este sentido, el capitulo organiza la revision en siete ejes. Primero,</w:t>
      </w:r>
      <w:r>
        <w:t xml:space="preserve"> </w:t>
      </w:r>
      <w:r>
        <w:t xml:space="preserve">reconstruye el desarrollo historico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metodos evaluados en esta tesis: LIME, SHAP, Anchors y DiCE. Cuarto,</w:t>
      </w:r>
      <w:r>
        <w:t xml:space="preserve"> </w:t>
      </w:r>
      <w:r>
        <w:t xml:space="preserve">analiza marcos de evaluacion como Quantus, OpenXAI y la taxonomia de</w:t>
      </w:r>
      <w:r>
        <w:t xml:space="preserve"> </w:t>
      </w:r>
      <w:r>
        <w:t xml:space="preserve">evaluacion propuesta por</w:t>
      </w:r>
      <w:r>
        <w:t xml:space="preserve"> </w:t>
      </w:r>
      <w:r>
        <w:t xml:space="preserve">Doshi-Velez (2017)</w:t>
      </w:r>
      <w:r>
        <w:t xml:space="preserve">. Quinto, sintetiza familias de</w:t>
      </w:r>
      <w:r>
        <w:t xml:space="preserve"> </w:t>
      </w:r>
      <w:r>
        <w:t xml:space="preserve">metricas y brechas de constructo. Sexto, vincula reproducibilidad y trazabilidad</w:t>
      </w:r>
      <w:r>
        <w:t xml:space="preserve"> </w:t>
      </w:r>
      <w:r>
        <w:t xml:space="preserve">con benchmarking XAI. Finalmente, formula la brecha critica que justifica</w:t>
      </w:r>
      <w:r>
        <w:t xml:space="preserve"> </w:t>
      </w:r>
      <w:r>
        <w:t xml:space="preserve">FOM-7.</w:t>
      </w:r>
    </w:p>
    <w:bookmarkEnd w:id="44"/>
    <w:bookmarkStart w:id="45" w:name="X8047ea1594a002898769af2d30298091faff7c5"/>
    <w:p>
      <w:pPr>
        <w:pStyle w:val="Ttulo2"/>
      </w:pPr>
      <w:r>
        <w:t xml:space="preserve">Desarrollo historico de la interpretabilidad y la XAI</w:t>
      </w:r>
    </w:p>
    <w:p>
      <w:pPr>
        <w:pStyle w:val="FirstParagraph"/>
      </w:pPr>
      <w:r>
        <w:t xml:space="preserve">La interpretabilidad en aprendizaje automatico no surge como una preocupacion</w:t>
      </w:r>
      <w:r>
        <w:t xml:space="preserve"> </w:t>
      </w:r>
      <w:r>
        <w:t xml:space="preserve">posterior a los modelos modernos, sino como una condicion historica de muchos</w:t>
      </w:r>
      <w:r>
        <w:t xml:space="preserve"> </w:t>
      </w:r>
      <w:r>
        <w:t xml:space="preserve">modelos estadisticos y simbolicos. La regresion lineal, los arboles de decision</w:t>
      </w:r>
      <w:r>
        <w:t xml:space="preserve"> </w:t>
      </w:r>
      <w:r>
        <w:t xml:space="preserve">pequenos, los sistemas basados en reglas y algunos modelos aditivos permiten</w:t>
      </w:r>
      <w:r>
        <w:t xml:space="preserve"> </w:t>
      </w:r>
      <w:r>
        <w:t xml:space="preserve">inspeccionar directamente los parametros, reglas o relaciones que conducen a una</w:t>
      </w:r>
      <w:r>
        <w:t xml:space="preserve"> </w:t>
      </w:r>
      <w:r>
        <w:t xml:space="preserve">prediccion.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tradicion se asocia con modelos</w:t>
      </w:r>
      <w:r>
        <w:t xml:space="preserve"> </w:t>
      </w:r>
      <w:r>
        <w:t xml:space="preserve">intrinsecamente interpretables.</w:t>
      </w:r>
    </w:p>
    <w:p>
      <w:pPr>
        <w:pStyle w:val="Textoindependiente"/>
      </w:pPr>
      <w:r>
        <w:t xml:space="preserve">El punto doctoralmente relevante es que la interpretabilidad inicial estaba</w:t>
      </w:r>
      <w:r>
        <w:t xml:space="preserve"> </w:t>
      </w:r>
      <w:r>
        <w:t xml:space="preserve">ligada a una relacion directa entre representacion, inferencia y comunicacion.</w:t>
      </w:r>
      <w:r>
        <w:t xml:space="preserve"> </w:t>
      </w:r>
      <w:r>
        <w:t xml:space="preserve">Cuando un modelo lineal asigna coeficientes a variables observables, la</w:t>
      </w:r>
      <w:r>
        <w:t xml:space="preserve"> </w:t>
      </w:r>
      <w:r>
        <w:t xml:space="preserve">explicacion puede apoyarse en el mismo lenguaje que el modelo utiliza para</w:t>
      </w:r>
      <w:r>
        <w:t xml:space="preserve"> </w:t>
      </w:r>
      <w:r>
        <w:t xml:space="preserve">predecir. Cuando un arbol de decision pequeno separa casos mediante reglas, el</w:t>
      </w:r>
      <w:r>
        <w:t xml:space="preserve"> </w:t>
      </w:r>
      <w:r>
        <w:t xml:space="preserve">camino desde la raiz hasta una hoja puede funcionar como una narracion de la</w:t>
      </w:r>
      <w:r>
        <w:t xml:space="preserve"> </w:t>
      </w:r>
      <w:r>
        <w:t xml:space="preserve">decision. Esta cercania entre mecanismo y explicacion reduce la necesidad de un</w:t>
      </w:r>
      <w:r>
        <w:t xml:space="preserve"> </w:t>
      </w:r>
      <w:r>
        <w:t xml:space="preserve">segundo artefacto interpretativo. Sin embargo, tambien limita la clase de</w:t>
      </w:r>
      <w:r>
        <w:t xml:space="preserve"> </w:t>
      </w:r>
      <w:r>
        <w:t xml:space="preserve">patrones que el modelo puede capturar. La historia de la XAI se entiende mejor</w:t>
      </w:r>
      <w:r>
        <w:t xml:space="preserve"> </w:t>
      </w:r>
      <w:r>
        <w:t xml:space="preserve">como una tension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pPr>
      <w:r>
        <w:t xml:space="preserve">El desplazamiento hacia modelos de mayor capacidad predictiva modifico este</w:t>
      </w:r>
      <w:r>
        <w:t xml:space="preserve"> </w:t>
      </w:r>
      <w:r>
        <w:t xml:space="preserve">equilibrio. Los ensambles, los metodos kernel, las redes neuronales profundas y</w:t>
      </w:r>
      <w:r>
        <w:t xml:space="preserve"> </w:t>
      </w:r>
      <w:r>
        <w:t xml:space="preserve">otros modelos de alta dimensionalidad aumentaron la precision en tareas</w:t>
      </w:r>
      <w:r>
        <w:t xml:space="preserve"> </w:t>
      </w:r>
      <w:r>
        <w:t xml:space="preserve">complejas, pero hicieron menos accesible la logica interna de decision.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tension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pPr>
      <w:r>
        <w:t xml:space="preserve">Este desplazamiento no debe interpretarse como una oposicion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critica ha mostrado que la interpretabilidad es una nocion plural: puede</w:t>
      </w:r>
      <w:r>
        <w:t xml:space="preserve"> </w:t>
      </w:r>
      <w:r>
        <w:t xml:space="preserve">referirse a simulabilidad, descomponibilidad, transparencia algoritmica,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analisis y un criterio de exito. Esta</w:t>
      </w:r>
      <w:r>
        <w:t xml:space="preserve"> </w:t>
      </w:r>
      <w:r>
        <w:t xml:space="preserve">observacion sera importante para FOM-7, porque impide convertir la evaluacion</w:t>
      </w:r>
      <w:r>
        <w:t xml:space="preserve"> </w:t>
      </w:r>
      <w:r>
        <w:t xml:space="preserve">XAI en una competencia unica donde todos los metodos se ordenan bajo una misma</w:t>
      </w:r>
      <w:r>
        <w:t xml:space="preserve"> </w:t>
      </w:r>
      <w:r>
        <w:t xml:space="preserve">nocion de calidad.</w:t>
      </w:r>
    </w:p>
    <w:p>
      <w:pPr>
        <w:pStyle w:val="Textoindependiente"/>
      </w:pPr>
      <w:r>
        <w:t xml:space="preserve">La expansion de modelos de caja negra tambien modifico la forma en que se</w:t>
      </w:r>
      <w:r>
        <w:t xml:space="preserve"> </w:t>
      </w:r>
      <w:r>
        <w:t xml:space="preserve">construyen responsabilidades epistemicas. En un modelo transparente, el analista</w:t>
      </w:r>
      <w:r>
        <w:t xml:space="preserve"> </w:t>
      </w:r>
      <w:r>
        <w:t xml:space="preserve">puede examinar directamente parte del mecanismo. En un modelo de caja negra, la</w:t>
      </w:r>
      <w:r>
        <w:t xml:space="preserve"> </w:t>
      </w:r>
      <w:r>
        <w:t xml:space="preserve">explicacion se vuelve mediada: depende de consultas, perturbaciones, gradientes,</w:t>
      </w:r>
      <w:r>
        <w:t xml:space="preserve"> </w:t>
      </w:r>
      <w:r>
        <w:t xml:space="preserve">aproximaciones locales, reglas inducidas o contrafactuales generados. Esa</w:t>
      </w:r>
      <w:r>
        <w:t xml:space="preserve"> </w:t>
      </w:r>
      <w:r>
        <w:t xml:space="preserve">mediacion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separacion entre modelo predictivo y artefacto explicativo</w:t>
      </w:r>
      <w:r>
        <w:t xml:space="preserve"> </w:t>
      </w:r>
      <w:r>
        <w:t xml:space="preserve">(Linardatos 2020; Doshi-Velez 2017)</w:t>
      </w:r>
      <w:r>
        <w:t xml:space="preserve">.</w:t>
      </w:r>
    </w:p>
    <w:p>
      <w:pPr>
        <w:pStyle w:val="Textoindependiente"/>
      </w:pPr>
      <w:r>
        <w:t xml:space="preserve">La respuesta metodologica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decision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precision que buscan condiciones suficientes para una prediccion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permitirian obtener una decision</w:t>
      </w:r>
      <w:r>
        <w:t xml:space="preserve"> </w:t>
      </w:r>
      <w:r>
        <w:t xml:space="preserve">diferente</w:t>
      </w:r>
      <w:r>
        <w:t xml:space="preserve"> </w:t>
      </w:r>
      <w:r>
        <w:t xml:space="preserve">(Mothilal 2020)</w:t>
      </w:r>
      <w:r>
        <w:t xml:space="preserve">. Estos metodos no explican el modelo en el mismo</w:t>
      </w:r>
      <w:r>
        <w:t xml:space="preserve"> </w:t>
      </w:r>
      <w:r>
        <w:t xml:space="preserve">sentido; producen objetos explicativos distintos, con supuestos y criterios de</w:t>
      </w:r>
      <w:r>
        <w:t xml:space="preserve"> </w:t>
      </w:r>
      <w:r>
        <w:t xml:space="preserve">evaluacion diferentes.</w:t>
      </w:r>
    </w:p>
    <w:p>
      <w:pPr>
        <w:pStyle w:val="Textoindependiente"/>
      </w:pPr>
      <w:r>
        <w:t xml:space="preserve">La categoria post-hoc, sin embargo, cubre familias heterogeneas. Las</w:t>
      </w:r>
      <w:r>
        <w:t xml:space="preserve"> </w:t>
      </w:r>
      <w:r>
        <w:t xml:space="preserve">atribuciones asignan importancia a caracteristicas;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cambiarian una decision; las visualizaciones</w:t>
      </w:r>
      <w:r>
        <w:t xml:space="preserve"> </w:t>
      </w:r>
      <w:r>
        <w:t xml:space="preserve">representan patrones agregados o activaciones. Esta pluralidad es una fortaleza</w:t>
      </w:r>
      <w:r>
        <w:t xml:space="preserve"> </w:t>
      </w:r>
      <w:r>
        <w:t xml:space="preserve">del campo, porque permite adaptar la explicacion a objetivos distintos. Pero</w:t>
      </w:r>
      <w:r>
        <w:t xml:space="preserve"> </w:t>
      </w:r>
      <w:r>
        <w:t xml:space="preserve">tambien es una fuente de dificultad evaluativa: una metrica apropiada para</w:t>
      </w:r>
      <w:r>
        <w:t xml:space="preserve"> </w:t>
      </w:r>
      <w:r>
        <w:t xml:space="preserve">atribuciones no necesariamente evalua bien reglas, y una metrica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pPr>
      <w:r>
        <w:t xml:space="preserve">La literatura tambien distingue metodos agnosticos y especificos del modelo</w:t>
      </w:r>
      <w:r>
        <w:t xml:space="preserve"> </w:t>
      </w:r>
      <w:r>
        <w:t xml:space="preserve">(Arrieta 2019a; Linardatos 2020)</w:t>
      </w:r>
      <w:r>
        <w:t xml:space="preserve">. Los metodos agnosticos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metodos</w:t>
      </w:r>
      <w:r>
        <w:t xml:space="preserve"> </w:t>
      </w:r>
      <w:r>
        <w:t xml:space="preserve">especificos aprovechan propiedades internas de familias concretas de modelos,</w:t>
      </w:r>
      <w:r>
        <w:t xml:space="preserve"> </w:t>
      </w:r>
      <w:r>
        <w:t xml:space="preserve">por ejemplo estructuras de arboles o gradientes en redes neuronales. La tension</w:t>
      </w:r>
      <w:r>
        <w:t xml:space="preserve"> </w:t>
      </w:r>
      <w:r>
        <w:t xml:space="preserve">entre generalidad y fidelidad es una de las razones por las que la evaluacion</w:t>
      </w:r>
      <w:r>
        <w:t xml:space="preserve"> </w:t>
      </w:r>
      <w:r>
        <w:t xml:space="preserve">XAI no puede reducirse a una sola metrica</w:t>
      </w:r>
      <w:r>
        <w:t xml:space="preserve"> </w:t>
      </w:r>
      <w:r>
        <w:t xml:space="preserve">(Doshi-Velez 2017; Hedström et al. 2023)</w:t>
      </w:r>
      <w:r>
        <w:t xml:space="preserve">.</w:t>
      </w:r>
    </w:p>
    <w:p>
      <w:pPr>
        <w:pStyle w:val="Textoindependiente"/>
      </w:pPr>
      <w:r>
        <w:t xml:space="preserve">Esta distincion historica es especialmente importante para la tesis porque los</w:t>
      </w:r>
      <w:r>
        <w:t xml:space="preserve"> </w:t>
      </w:r>
      <w:r>
        <w:t xml:space="preserve">metodos agnosticos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metodos especificos pueden</w:t>
      </w:r>
      <w:r>
        <w:t xml:space="preserve"> </w:t>
      </w:r>
      <w:r>
        <w:t xml:space="preserve">explotar informacion interna para mejorar eficiencia o precision, aunque pagan</w:t>
      </w:r>
      <w:r>
        <w:t xml:space="preserve"> </w:t>
      </w:r>
      <w:r>
        <w:t xml:space="preserve">el precio de una menor generalidad. FOM-7 debe mantener visible este trade-off:</w:t>
      </w:r>
      <w:r>
        <w:t xml:space="preserve"> </w:t>
      </w:r>
      <w:r>
        <w:t xml:space="preserve">no comparar solamente valores metricos, sino interpretar esos valores segun el</w:t>
      </w:r>
      <w:r>
        <w:t xml:space="preserve"> </w:t>
      </w:r>
      <w:r>
        <w:t xml:space="preserve">tipo de acceso que cada explicador tiene al modelo.</w:t>
      </w:r>
    </w:p>
    <w:p>
      <w:pPr>
        <w:pStyle w:val="Textoindependiente"/>
      </w:pPr>
      <w:r>
        <w:t xml:space="preserve">Otra distincion historica relevante es la diferencia entre explicaciones</w:t>
      </w:r>
      <w:r>
        <w:t xml:space="preserve"> </w:t>
      </w:r>
      <w:r>
        <w:t xml:space="preserve">locales y globales</w:t>
      </w:r>
      <w:r>
        <w:t xml:space="preserve"> </w:t>
      </w:r>
      <w:r>
        <w:t xml:space="preserve">(Arrieta 2019a; Linardatos 2020)</w:t>
      </w:r>
      <w:r>
        <w:t xml:space="preserve">. Una explicacion local</w:t>
      </w:r>
      <w:r>
        <w:t xml:space="preserve"> </w:t>
      </w:r>
      <w:r>
        <w:t xml:space="preserve">describe el comportamiento del modelo alrededor de una instancia o decision</w:t>
      </w:r>
      <w:r>
        <w:t xml:space="preserve"> </w:t>
      </w:r>
      <w:r>
        <w:t xml:space="preserve">particular. Una explicacion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resumenes globales</w:t>
      </w:r>
      <w:r>
        <w:t xml:space="preserve"> </w:t>
      </w:r>
      <w:r>
        <w:t xml:space="preserve">(Ribeiro 2016, 2018; Lundberg 2017)</w:t>
      </w:r>
      <w:r>
        <w:t xml:space="preserve">. Esta agregacion, sin embargo, no elimina el problema conceptual:</w:t>
      </w:r>
      <w:r>
        <w:t xml:space="preserve"> </w:t>
      </w:r>
      <w:r>
        <w:t xml:space="preserve">una coleccion de explicaciones locales no equivale automaticamente a una teoria</w:t>
      </w:r>
      <w:r>
        <w:t xml:space="preserve"> </w:t>
      </w:r>
      <w:r>
        <w:t xml:space="preserve">global del modelo.</w:t>
      </w:r>
    </w:p>
    <w:p>
      <w:pPr>
        <w:pStyle w:val="Textoindependiente"/>
      </w:pPr>
      <w:r>
        <w:t xml:space="preserve">El nivel local resulta atractivo porque muchas decisiones de alto impacto se</w:t>
      </w:r>
      <w:r>
        <w:t xml:space="preserve"> </w:t>
      </w:r>
      <w:r>
        <w:t xml:space="preserve">formulan caso por caso: por que se rechazo una solicitud, por que una instancia</w:t>
      </w:r>
      <w:r>
        <w:t xml:space="preserve"> </w:t>
      </w:r>
      <w:r>
        <w:t xml:space="preserve">fue clasificada como riesgosa, por que un modelo asigno una etiqueta. Sin</w:t>
      </w:r>
      <w:r>
        <w:t xml:space="preserve"> </w:t>
      </w:r>
      <w:r>
        <w:t xml:space="preserve">embargo, una explicacion local tiene un alcance limitado por definicion. Puede</w:t>
      </w:r>
      <w:r>
        <w:t xml:space="preserve"> </w:t>
      </w:r>
      <w:r>
        <w:t xml:space="preserve">ser valida alrededor de una instancia y no describir otras regiones del espacio</w:t>
      </w:r>
      <w:r>
        <w:t xml:space="preserve"> </w:t>
      </w:r>
      <w:r>
        <w:t xml:space="preserve">de datos. La explicacion global, por su parte, promete una vision mas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afirmacion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pPr>
      <w:r>
        <w:t xml:space="preserve">Finalmente, el campo ha incorporado una orientacion human-centered. La pregunta</w:t>
      </w:r>
      <w:r>
        <w:t xml:space="preserve"> </w:t>
      </w:r>
      <w:r>
        <w:t xml:space="preserve">ya no es solo si una explicacion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calibracion de confianza y utilidad para la toma de decisiones</w:t>
      </w:r>
      <w:r>
        <w:t xml:space="preserve"> </w:t>
      </w:r>
      <w:r>
        <w:t xml:space="preserve">(Hoffman et al. 2023; Mohseni et al. 2021)</w:t>
      </w:r>
      <w:r>
        <w:t xml:space="preserve">. Para esta tesis, esta evolucion historica es clave: FOM-7 no se</w:t>
      </w:r>
      <w:r>
        <w:t xml:space="preserve"> </w:t>
      </w:r>
      <w:r>
        <w:t xml:space="preserve">justifica por la ausencia de explicaciones, sino por la necesidad de evaluar</w:t>
      </w:r>
      <w:r>
        <w:t xml:space="preserve"> </w:t>
      </w:r>
      <w:r>
        <w:t xml:space="preserve">explicaciones como artefactos tecnicos, estadisticos y comunicables.</w:t>
      </w:r>
    </w:p>
    <w:p>
      <w:pPr>
        <w:pStyle w:val="Textoindependiente"/>
      </w:pPr>
      <w:r>
        <w:t xml:space="preserve">La orientacion human-centered introduce una correccion necesaria al entusiasmo</w:t>
      </w:r>
      <w:r>
        <w:t xml:space="preserve"> </w:t>
      </w:r>
      <w:r>
        <w:t xml:space="preserve">puramente algoritmico. Una explicacion no circula en el vacio: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diseno y la</w:t>
      </w:r>
      <w:r>
        <w:t xml:space="preserve"> </w:t>
      </w:r>
      <w:r>
        <w:t xml:space="preserve">evaluacion de XAI como una relacion entre objetivos, grupos de usuarios y</w:t>
      </w:r>
      <w:r>
        <w:t xml:space="preserve"> </w:t>
      </w:r>
      <w:r>
        <w:t xml:space="preserve">metodos de evaluacion.</w:t>
      </w:r>
      <w:r>
        <w:t xml:space="preserve"> </w:t>
      </w:r>
      <w:r>
        <w:t xml:space="preserve">Hoffman et al. (2023)</w:t>
      </w:r>
      <w:r>
        <w:t xml:space="preserve">, desde una perspectiva psicologica,</w:t>
      </w:r>
      <w:r>
        <w:t xml:space="preserve"> </w:t>
      </w:r>
      <w:r>
        <w:t xml:space="preserve">insisten en que el valor de una explicacion depende de como apoya comprension,</w:t>
      </w:r>
      <w:r>
        <w:t xml:space="preserve"> </w:t>
      </w:r>
      <w:r>
        <w:t xml:space="preserve">calibracion y accion. Esto no convierte a la presente tesis en un estudio de</w:t>
      </w:r>
      <w:r>
        <w:t xml:space="preserve"> </w:t>
      </w:r>
      <w:r>
        <w:t xml:space="preserve">usuarios, pero si obliga a delimitar el tipo de evidencia producida: FOM-7</w:t>
      </w:r>
      <w:r>
        <w:t xml:space="preserve"> </w:t>
      </w:r>
      <w:r>
        <w:t xml:space="preserve">evalua propiedades tecnicas y reproducibles de explicaciones post-hoc, y deja</w:t>
      </w:r>
      <w:r>
        <w:t xml:space="preserve"> </w:t>
      </w:r>
      <w:r>
        <w:t xml:space="preserve">claros los limites de inferir utilidad humana directa a partir de metricas</w:t>
      </w:r>
      <w:r>
        <w:t xml:space="preserve"> </w:t>
      </w:r>
      <w:r>
        <w:t xml:space="preserve">computacionales.</w:t>
      </w:r>
    </w:p>
    <w:p>
      <w:pPr>
        <w:pStyle w:val="Textoindependiente"/>
      </w:pPr>
      <w:r>
        <w:t xml:space="preserve">Asi, el desarrollo historico de la XAI puede leerse como una serie de</w:t>
      </w:r>
      <w:r>
        <w:t xml:space="preserve"> </w:t>
      </w:r>
      <w:r>
        <w:t xml:space="preserve">desplazamientos: de transparencia intrinseca a explicacion post-hoc; de modelos</w:t>
      </w:r>
      <w:r>
        <w:t xml:space="preserve"> </w:t>
      </w:r>
      <w:r>
        <w:t xml:space="preserve">simples a modelos de alta capacidad; de descripciones globales a explicaciones</w:t>
      </w:r>
      <w:r>
        <w:t xml:space="preserve"> </w:t>
      </w:r>
      <w:r>
        <w:t xml:space="preserve">locales; de evaluaciones cualitativas a toolkits metricos; y de una mirada</w:t>
      </w:r>
      <w:r>
        <w:t xml:space="preserve"> </w:t>
      </w:r>
      <w:r>
        <w:t xml:space="preserve">centrada en el algoritmo a una mirada que incluye usuarios, contexto y</w:t>
      </w:r>
      <w:r>
        <w:t xml:space="preserve"> </w:t>
      </w:r>
      <w:r>
        <w:t xml:space="preserve">responsabilidad. La contribucion de FOM-7 se ubica despues de esos</w:t>
      </w:r>
      <w:r>
        <w:t xml:space="preserve"> </w:t>
      </w:r>
      <w:r>
        <w:t xml:space="preserve">desplazamientos. No regresa nostalgicamente a modelos simples ni promete una</w:t>
      </w:r>
      <w:r>
        <w:t xml:space="preserve"> </w:t>
      </w:r>
      <w:r>
        <w:t xml:space="preserve">explicacion universal. Propone gobernar la evaluacion de explicaciones en un</w:t>
      </w:r>
      <w:r>
        <w:t xml:space="preserve"> </w:t>
      </w:r>
      <w:r>
        <w:t xml:space="preserve">escenario donde los objetos explicativos son plurales, los criterios son</w:t>
      </w:r>
      <w:r>
        <w:t xml:space="preserve"> </w:t>
      </w:r>
      <w:r>
        <w:t xml:space="preserve">multidimensionales y las conclusiones deben ser rastreables.</w:t>
      </w:r>
    </w:p>
    <w:bookmarkEnd w:id="45"/>
    <w:bookmarkStart w:id="46" w:name="distinciones-conceptuales-fundamentales"/>
    <w:p>
      <w:pPr>
        <w:pStyle w:val="Ttulo2"/>
      </w:pPr>
      <w:r>
        <w:t xml:space="preserve">Distinciones conceptuales fundamentales</w:t>
      </w:r>
    </w:p>
    <w:p>
      <w:pPr>
        <w:pStyle w:val="FirstParagraph"/>
      </w:pPr>
      <w:r>
        <w:t xml:space="preserve">La literatura XAI utiliza con frecuencia terminos cercanos como</w:t>
      </w:r>
      <w:r>
        <w:t xml:space="preserve"> </w:t>
      </w:r>
      <w:r>
        <w:t xml:space="preserve">interpretabilidad, explicabilidad, transparencia, fidelidad, plausibilidad,</w:t>
      </w:r>
      <w:r>
        <w:t xml:space="preserve"> </w:t>
      </w:r>
      <w:r>
        <w:t xml:space="preserve">robustez y utilidad. Sin una delimitacion conceptual, estos terminos pueden</w:t>
      </w:r>
      <w:r>
        <w:t xml:space="preserve"> </w:t>
      </w:r>
      <w:r>
        <w:t xml:space="preserve">producir inferencias demasiado amplias. Un resultado alto en una metrica de</w:t>
      </w:r>
      <w:r>
        <w:t xml:space="preserve"> </w:t>
      </w:r>
      <w:r>
        <w:t xml:space="preserve">estabilidad, por ejemplo, no prueba que una explicacion sea causalmente correcta</w:t>
      </w:r>
      <w:r>
        <w:t xml:space="preserve"> </w:t>
      </w:r>
      <w:r>
        <w:t xml:space="preserve">ni que sea util para un usuario experto. Por ello, la tesis adopta distinciones</w:t>
      </w:r>
      <w:r>
        <w:t xml:space="preserve"> </w:t>
      </w:r>
      <w:r>
        <w:t xml:space="preserve">operativas que protegen la validez de las afirmaciones.</w:t>
      </w:r>
    </w:p>
    <w:p>
      <w:pPr>
        <w:pStyle w:val="Textoindependiente"/>
      </w:pPr>
      <w:r>
        <w:t xml:space="preserve">Estas distinciones cumplen una funcion metodologica, no solamente terminologica.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que propiedad: fidelidad, estabilidad, robustez, complejidad, coste,</w:t>
      </w:r>
      <w:r>
        <w:t xml:space="preserve"> </w:t>
      </w:r>
      <w:r>
        <w:t xml:space="preserve">accionabilidad o utilidad para un usuario. Si se afirma que una explicacion es</w:t>
      </w:r>
      <w:r>
        <w:t xml:space="preserve"> </w:t>
      </w:r>
      <w:r>
        <w:t xml:space="preserve">“correcta”</w:t>
      </w:r>
      <w:r>
        <w:t xml:space="preserve">, debe aclararse si la correccion se refiere al comportamiento</w:t>
      </w:r>
      <w:r>
        <w:t xml:space="preserve"> </w:t>
      </w:r>
      <w:r>
        <w:t xml:space="preserve">observable del modelo, a una estructura causal del dominio, a la aceptabilidad</w:t>
      </w:r>
      <w:r>
        <w:t xml:space="preserve"> </w:t>
      </w:r>
      <w:r>
        <w:t xml:space="preserve">humana de la narrativa o a la consistencia con una metrica. El valor de estas</w:t>
      </w:r>
      <w:r>
        <w:t xml:space="preserve"> </w:t>
      </w:r>
      <w:r>
        <w:t xml:space="preserve">distinciones es evitar que un resultado empirico local se transforme en una</w:t>
      </w:r>
      <w:r>
        <w:t xml:space="preserve"> </w:t>
      </w:r>
      <w:r>
        <w:t xml:space="preserve">afirmacion teorica excesiva</w:t>
      </w:r>
      <w:r>
        <w:t xml:space="preserve"> </w:t>
      </w:r>
      <w:r>
        <w:t xml:space="preserve">(Doshi-Velez 2017; Lipton 2018)</w:t>
      </w:r>
      <w:r>
        <w:t xml:space="preserve">.</w:t>
      </w:r>
    </w:p>
    <w:p>
      <w:pPr>
        <w:pStyle w:val="Textoindependiente"/>
      </w:pPr>
      <w:r>
        <w:t xml:space="preserve">La primera distincion separa interpretabilidad y explicabilidad. La</w:t>
      </w:r>
      <w:r>
        <w:t xml:space="preserve"> </w:t>
      </w:r>
      <w:r>
        <w:t xml:space="preserve">interpretabilidad se asocia con la posibilidad de comprender la estructura o</w:t>
      </w:r>
      <w:r>
        <w:t xml:space="preserve"> </w:t>
      </w:r>
      <w:r>
        <w:t xml:space="preserve">mecanica de un modelo. En modelos transparentes, esta comprension puede</w:t>
      </w:r>
      <w:r>
        <w:t xml:space="preserve"> </w:t>
      </w:r>
      <w:r>
        <w:t xml:space="preserve">derivarse directamente del objeto predictivo. La explicabilidad, en cambio,</w:t>
      </w:r>
      <w:r>
        <w:t xml:space="preserve"> </w:t>
      </w:r>
      <w:r>
        <w:t xml:space="preserve">puede entenderse como la produccion de razones, artefactos o representaciones</w:t>
      </w:r>
      <w:r>
        <w:t xml:space="preserve"> </w:t>
      </w:r>
      <w:r>
        <w:t xml:space="preserve">que hacen comprensible una prediccion para un destinatario.</w:t>
      </w:r>
      <w:r>
        <w:t xml:space="preserve"> </w:t>
      </w:r>
      <w:r>
        <w:t xml:space="preserve">Linardatos (2020)</w:t>
      </w:r>
      <w:r>
        <w:t xml:space="preserve"> </w:t>
      </w:r>
      <w:r>
        <w:t xml:space="preserve">presentan esta diferencia como parte del vocabulario central de los metodos de</w:t>
      </w:r>
      <w:r>
        <w:t xml:space="preserve"> </w:t>
      </w:r>
      <w:r>
        <w:t xml:space="preserve">interpretabilidad en aprendizaje automatico. Para esta tesis, la distincion</w:t>
      </w:r>
      <w:r>
        <w:t xml:space="preserve"> </w:t>
      </w:r>
      <w:r>
        <w:t xml:space="preserve">permite evaluar explicadores post-hoc sin tratarlos como si fueran equivalentes</w:t>
      </w:r>
      <w:r>
        <w:t xml:space="preserve"> </w:t>
      </w:r>
      <w:r>
        <w:t xml:space="preserve">a modelos transparentes.</w:t>
      </w:r>
    </w:p>
    <w:p>
      <w:pPr>
        <w:pStyle w:val="Textoindependiente"/>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criticas</w:t>
      </w:r>
      <w:r>
        <w:t xml:space="preserve"> </w:t>
      </w:r>
      <w:r>
        <w:t xml:space="preserve">de la literatura: el termino</w:t>
      </w:r>
      <w:r>
        <w:t xml:space="preserve"> </w:t>
      </w:r>
      <w:r>
        <w:t xml:space="preserve">“interpretable”</w:t>
      </w:r>
      <w:r>
        <w:t xml:space="preserve"> </w:t>
      </w:r>
      <w:r>
        <w:t xml:space="preserve">puede volverse ambiguo si no se</w:t>
      </w:r>
      <w:r>
        <w:t xml:space="preserve"> </w:t>
      </w:r>
      <w:r>
        <w:t xml:space="preserve">explicita que aspecto del sistema se vuelve comprensible</w:t>
      </w:r>
      <w:r>
        <w:t xml:space="preserve"> </w:t>
      </w:r>
      <w:r>
        <w:t xml:space="preserve">(Lipton 2018)</w:t>
      </w:r>
      <w:r>
        <w:t xml:space="preserve">. La</w:t>
      </w:r>
      <w:r>
        <w:t xml:space="preserve"> </w:t>
      </w:r>
      <w:r>
        <w:t xml:space="preserve">explicabilidad, en cambio, suele remitir al proceso de producir una explicacion</w:t>
      </w:r>
      <w:r>
        <w:t xml:space="preserve"> </w:t>
      </w:r>
      <w:r>
        <w:t xml:space="preserve">utilizable. Esta tesis adopta una posicion operacional: evalua artefactos</w:t>
      </w:r>
      <w:r>
        <w:t xml:space="preserve"> </w:t>
      </w:r>
      <w:r>
        <w:t xml:space="preserve">explicativos generados por metodos concretos, no la interpretabilidad total del</w:t>
      </w:r>
      <w:r>
        <w:t xml:space="preserve"> </w:t>
      </w:r>
      <w:r>
        <w:t xml:space="preserve">sistema sociotecnico. Esa delimitacion es deliberada y evita prometer mas de lo</w:t>
      </w:r>
      <w:r>
        <w:t xml:space="preserve"> </w:t>
      </w:r>
      <w:r>
        <w:t xml:space="preserve">que el experimento puede sostener.</w:t>
      </w:r>
    </w:p>
    <w:p>
      <w:pPr>
        <w:pStyle w:val="Textoindependiente"/>
      </w:pPr>
      <w:r>
        <w:t xml:space="preserve">La segunda distincion separa transparencia y explicacion. Un modelo transparente</w:t>
      </w:r>
      <w:r>
        <w:t xml:space="preserve"> </w:t>
      </w:r>
      <w:r>
        <w:t xml:space="preserve">expone su logica interna de forma relativamente directa; una explicacion puede</w:t>
      </w:r>
      <w:r>
        <w:t xml:space="preserve"> </w:t>
      </w:r>
      <w:r>
        <w:t xml:space="preserve">ser una aproximacion, simplificacion, regla local, atribucion o contrafactual</w:t>
      </w:r>
      <w:r>
        <w:t xml:space="preserve"> </w:t>
      </w:r>
      <w:r>
        <w:t xml:space="preserve">generado despues de entrenar el modelo. La transparencia pertenece al modelo; la</w:t>
      </w:r>
      <w:r>
        <w:t xml:space="preserve"> </w:t>
      </w:r>
      <w:r>
        <w:t xml:space="preserve">explicacion pertenece al ecosistema de interpretacion. Esta diferencia es</w:t>
      </w:r>
      <w:r>
        <w:t xml:space="preserve"> </w:t>
      </w:r>
      <w:r>
        <w:t xml:space="preserve">importante porque una explicacion puede ser comprensible y aun asi no reflejar</w:t>
      </w:r>
      <w:r>
        <w:t xml:space="preserve"> </w:t>
      </w:r>
      <w:r>
        <w:t xml:space="preserve">con precision el mecanismo decisional.</w:t>
      </w:r>
    </w:p>
    <w:p>
      <w:pPr>
        <w:pStyle w:val="Textoindependiente"/>
      </w:pPr>
      <w:r>
        <w:t xml:space="preserve">La transparencia tampoco es un valor absoluto. Un modelo puede ser transparente</w:t>
      </w:r>
      <w:r>
        <w:t xml:space="preserve"> </w:t>
      </w:r>
      <w:r>
        <w:t xml:space="preserve">en su forma matematica y aun asi dificil de comprender si contiene miles de</w:t>
      </w:r>
      <w:r>
        <w:t xml:space="preserve"> </w:t>
      </w:r>
      <w:r>
        <w:t xml:space="preserve">variables, interacciones o reglas. De forma inversa, una explicacion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explicacion se refiere al artefacto construido para hacerlo inteligible. Esta</w:t>
      </w:r>
      <w:r>
        <w:t xml:space="preserve"> </w:t>
      </w:r>
      <w:r>
        <w:t xml:space="preserve">diferencia tiene consecuencias para el benchmarking: no se debe evaluar una</w:t>
      </w:r>
      <w:r>
        <w:t xml:space="preserve"> </w:t>
      </w:r>
      <w:r>
        <w:t xml:space="preserve">explicacion post-hoc como si ofreciera acceso directo al interior del modelo,</w:t>
      </w:r>
      <w:r>
        <w:t xml:space="preserve"> </w:t>
      </w:r>
      <w:r>
        <w:t xml:space="preserve">sino como una representacion cuya fidelidad y estabilidad deben probarse bajo</w:t>
      </w:r>
      <w:r>
        <w:t xml:space="preserve"> </w:t>
      </w:r>
      <w:r>
        <w:t xml:space="preserve">condiciones especificas</w:t>
      </w:r>
      <w:r>
        <w:t xml:space="preserve"> </w:t>
      </w:r>
      <w:r>
        <w:t xml:space="preserve">(Arrieta 2019a; Linardatos 2020)</w:t>
      </w:r>
      <w:r>
        <w:t xml:space="preserve">.</w:t>
      </w:r>
    </w:p>
    <w:p>
      <w:pPr>
        <w:pStyle w:val="Textoindependiente"/>
      </w:pPr>
      <w:r>
        <w:t xml:space="preserve">La tercera distincion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mas fuerte: que la</w:t>
      </w:r>
      <w:r>
        <w:t xml:space="preserve"> </w:t>
      </w:r>
      <w:r>
        <w:t xml:space="preserve">explicacion represente aspectos relevantes del verdadero proceso decisional. Una</w:t>
      </w:r>
      <w:r>
        <w:t xml:space="preserve"> </w:t>
      </w:r>
      <w:r>
        <w:t xml:space="preserve">explicacion puede tener alta fidelidad local en un vecindario muestreado y aun</w:t>
      </w:r>
      <w:r>
        <w:t xml:space="preserve"> </w:t>
      </w:r>
      <w:r>
        <w:t xml:space="preserve">asi no capturar la logica que el modelo utiliza en regiones no observadas o ante</w:t>
      </w:r>
      <w:r>
        <w:t xml:space="preserve"> </w:t>
      </w:r>
      <w:r>
        <w:t xml:space="preserve">perturbaciones fuera de distribucion</w:t>
      </w:r>
      <w:r>
        <w:t xml:space="preserve"> </w:t>
      </w:r>
      <w:r>
        <w:t xml:space="preserve">(Zheng et al. 2025)</w:t>
      </w:r>
      <w:r>
        <w:t xml:space="preserve">.</w:t>
      </w:r>
    </w:p>
    <w:p>
      <w:pPr>
        <w:pStyle w:val="Textoindependiente"/>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mas profunda entre la</w:t>
      </w:r>
      <w:r>
        <w:t xml:space="preserve"> </w:t>
      </w:r>
      <w:r>
        <w:t xml:space="preserve">explicacion y los factores que realmente gobiernan la decision. En modelos</w:t>
      </w:r>
      <w:r>
        <w:t xml:space="preserve"> </w:t>
      </w:r>
      <w:r>
        <w:t xml:space="preserve">complejos, esta correspondencia suele ser dificil de demostrar de forma directa.</w:t>
      </w:r>
      <w:r>
        <w:t xml:space="preserve"> </w:t>
      </w:r>
      <w:r>
        <w:t xml:space="preserve">Por ello, FOM-7 trata la fidelidad como un constructo medible y la faithfulness</w:t>
      </w:r>
      <w:r>
        <w:t xml:space="preserve"> </w:t>
      </w:r>
      <w:r>
        <w:t xml:space="preserve">como una aspiracion interpretativa que requiere cautela. El protocolo no debe</w:t>
      </w:r>
      <w:r>
        <w:t xml:space="preserve"> </w:t>
      </w:r>
      <w:r>
        <w:t xml:space="preserve">convertir una metrica de acuerdo en una afirmacion fuerte sobre verdad causal.</w:t>
      </w:r>
    </w:p>
    <w:p>
      <w:pPr>
        <w:pStyle w:val="Textoindependiente"/>
      </w:pPr>
      <w:r>
        <w:t xml:space="preserve">La cuarta distincion separa plausibilidad y correccion. Una explicacion</w:t>
      </w:r>
      <w:r>
        <w:t xml:space="preserve"> </w:t>
      </w:r>
      <w:r>
        <w:t xml:space="preserve">plausible coincide con expectativas humanas, conocimiento de dominio o patrones</w:t>
      </w:r>
      <w:r>
        <w:t xml:space="preserve"> </w:t>
      </w:r>
      <w:r>
        <w:t xml:space="preserve">narrativamente convincentes. Pero la plausibilidad no garantiza correccion. Esta</w:t>
      </w:r>
      <w:r>
        <w:t xml:space="preserve"> </w:t>
      </w:r>
      <w:r>
        <w:t xml:space="preserve">distincion es especialmente delicada en XAI porque explicaciones persuasivas</w:t>
      </w:r>
      <w:r>
        <w:t xml:space="preserve"> </w:t>
      </w:r>
      <w:r>
        <w:t xml:space="preserve">pueden aumentar confianza aun cuando no sean tecnicamente adecuadas. La</w:t>
      </w:r>
      <w:r>
        <w:t xml:space="preserve"> </w:t>
      </w:r>
      <w:r>
        <w:t xml:space="preserve">literatura critica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pPr>
      <w:r>
        <w:t xml:space="preserve">Esta distincion protege especialmente contra explicaciones persuasivas. En</w:t>
      </w:r>
      <w:r>
        <w:t xml:space="preserve"> </w:t>
      </w:r>
      <w:r>
        <w:t xml:space="preserve">entornos de decision, una explicacion que</w:t>
      </w:r>
      <w:r>
        <w:t xml:space="preserve"> </w:t>
      </w:r>
      <w:r>
        <w:t xml:space="preserve">“suena razonable”</w:t>
      </w:r>
      <w:r>
        <w:t xml:space="preserve"> </w:t>
      </w:r>
      <w:r>
        <w:t xml:space="preserve">puede aumentar la</w:t>
      </w:r>
      <w:r>
        <w:t xml:space="preserve"> </w:t>
      </w:r>
      <w:r>
        <w:t xml:space="preserve">confianza del usuario, incluso si el modelo uso patrones espurios o si el</w:t>
      </w:r>
      <w:r>
        <w:t xml:space="preserve"> </w:t>
      </w:r>
      <w:r>
        <w:t xml:space="preserve">explicador produjo una aproximacion inestable. La plausibilidad pertenece al</w:t>
      </w:r>
      <w:r>
        <w:t xml:space="preserve"> </w:t>
      </w:r>
      <w:r>
        <w:t xml:space="preserve">encuentro entre explicacion y expectativas humanas; la correccion pertenece a la</w:t>
      </w:r>
      <w:r>
        <w:t xml:space="preserve"> </w:t>
      </w:r>
      <w:r>
        <w:t xml:space="preserve">relacion entre explicacion, modelo y dominio. Ambas propiedades pueden coincidir,</w:t>
      </w:r>
      <w:r>
        <w:t xml:space="preserve"> </w:t>
      </w:r>
      <w:r>
        <w:t xml:space="preserve">pero no deben fusionarse. En la practica, esta tesis puede medir propiedades</w:t>
      </w:r>
      <w:r>
        <w:t xml:space="preserve"> </w:t>
      </w:r>
      <w:r>
        <w:t xml:space="preserve">computacionales y discutir plausibilidad semantica con cautela, pero no puede</w:t>
      </w:r>
      <w:r>
        <w:t xml:space="preserve"> </w:t>
      </w:r>
      <w:r>
        <w:t xml:space="preserve">afirmar correccion humana o causal sin evidencia especifica de ese tipo</w:t>
      </w:r>
      <w:r>
        <w:t xml:space="preserve"> </w:t>
      </w:r>
      <w:r>
        <w:t xml:space="preserve">(Mohseni et al. 2021; Hoffman et al. 2023)</w:t>
      </w:r>
      <w:r>
        <w:t xml:space="preserve">.</w:t>
      </w:r>
    </w:p>
    <w:p>
      <w:pPr>
        <w:pStyle w:val="Textoindependiente"/>
      </w:pPr>
      <w:r>
        <w:t xml:space="preserve">La quinta distincion separa robustez y estabilidad. La estabilidad evalua si</w:t>
      </w:r>
      <w:r>
        <w:t xml:space="preserve"> </w:t>
      </w:r>
      <w:r>
        <w:t xml:space="preserve">pequenos cambios en la entrada, que no modifican la prediccion, producen</w:t>
      </w:r>
      <w:r>
        <w:t xml:space="preserve"> </w:t>
      </w:r>
      <w:r>
        <w:t xml:space="preserve">explicaciones similares. La robustez evalua la resistencia del explicador ante</w:t>
      </w:r>
      <w:r>
        <w:t xml:space="preserve"> </w:t>
      </w:r>
      <w:r>
        <w:t xml:space="preserve">cambios mas agresivos, distribuciones atipicas, ataques o condiciones de</w:t>
      </w:r>
      <w:r>
        <w:t xml:space="preserve"> </w:t>
      </w:r>
      <w:r>
        <w:t xml:space="preserve">despliegue no ideales. Esta tesis usa ambas nociones como constructos</w:t>
      </w:r>
      <w:r>
        <w:t xml:space="preserve"> </w:t>
      </w:r>
      <w:r>
        <w:t xml:space="preserve">relacionados pero no intercambiables. Una explicacion puede ser estable ante</w:t>
      </w:r>
      <w:r>
        <w:t xml:space="preserve"> </w:t>
      </w:r>
      <w:r>
        <w:t xml:space="preserve">ruido leve y fragil ante casos fuera de distribucion.</w:t>
      </w:r>
    </w:p>
    <w:p>
      <w:pPr>
        <w:pStyle w:val="Textoindependiente"/>
      </w:pPr>
      <w:r>
        <w:t xml:space="preserve">La estabilidad es especialmente importante para comparaciones locales. Si dos</w:t>
      </w:r>
      <w:r>
        <w:t xml:space="preserve"> </w:t>
      </w:r>
      <w:r>
        <w:t xml:space="preserve">instancias casi identicas reciben explicaciones radicalmente distintas, el</w:t>
      </w:r>
      <w:r>
        <w:t xml:space="preserve"> </w:t>
      </w:r>
      <w:r>
        <w:t xml:space="preserve">explicador puede fallar como instrumento de analisis, aunque el modelo predictivo</w:t>
      </w:r>
      <w:r>
        <w:t xml:space="preserve"> </w:t>
      </w:r>
      <w:r>
        <w:t xml:space="preserve">sea estable. La robustez amplia el foco hacia condiciones mas exigentes: cambios</w:t>
      </w:r>
      <w:r>
        <w:t xml:space="preserve"> </w:t>
      </w:r>
      <w:r>
        <w:t xml:space="preserve">de distribucion, perturbaciones adversarias, datos atipicos o supuestos</w:t>
      </w:r>
      <w:r>
        <w:t xml:space="preserve"> </w:t>
      </w:r>
      <w:r>
        <w:t xml:space="preserve">violados. La evaluacion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metodo.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pPr>
      <w:r>
        <w:t xml:space="preserve">La sexta distincion separa utilidad de la explicacion y verdad de la</w:t>
      </w:r>
      <w:r>
        <w:t xml:space="preserve"> </w:t>
      </w:r>
      <w:r>
        <w:t xml:space="preserve">explicacion. Una explicacion puede ser util para depurar, comunicar o seleccionar</w:t>
      </w:r>
      <w:r>
        <w:t xml:space="preserve"> </w:t>
      </w:r>
      <w:r>
        <w:t xml:space="preserve">instancias sin demostrar que captura causalmente el funcionamiento del modelo.</w:t>
      </w:r>
      <w:r>
        <w:t xml:space="preserve"> </w:t>
      </w:r>
      <w:r>
        <w:t xml:space="preserve">De forma inversa, una explicacion tecnicamente rigurosa puede no ser util para</w:t>
      </w:r>
      <w:r>
        <w:t xml:space="preserve"> </w:t>
      </w:r>
      <w:r>
        <w:t xml:space="preserve">un usuario no experto si excede su contexto cognitivo. Esta separacion permite</w:t>
      </w:r>
      <w:r>
        <w:t xml:space="preserve"> </w:t>
      </w:r>
      <w:r>
        <w:t xml:space="preserve">ubicar las metricas de FOM-7: no pretenden agotar la verdad semantica de una</w:t>
      </w:r>
      <w:r>
        <w:t xml:space="preserve"> </w:t>
      </w:r>
      <w:r>
        <w:t xml:space="preserve">explicacion, sino establecer evidencia operacional sobre propiedades medibles y</w:t>
      </w:r>
      <w:r>
        <w:t xml:space="preserve"> </w:t>
      </w:r>
      <w:r>
        <w:t xml:space="preserve">trazables.</w:t>
      </w:r>
    </w:p>
    <w:p>
      <w:pPr>
        <w:pStyle w:val="Textoindependiente"/>
      </w:pPr>
      <w:r>
        <w:t xml:space="preserve">La utilidad depende del uso. Un cientifico de datos puede necesitar una</w:t>
      </w:r>
      <w:r>
        <w:t xml:space="preserve"> </w:t>
      </w:r>
      <w:r>
        <w:t xml:space="preserve">explicacion para depurar variables, un experto de dominio para contrastar una</w:t>
      </w:r>
      <w:r>
        <w:t xml:space="preserve"> </w:t>
      </w:r>
      <w:r>
        <w:t xml:space="preserve">hipotesis, un regulador para auditar una decision y un usuario final para</w:t>
      </w:r>
      <w:r>
        <w:t xml:space="preserve"> </w:t>
      </w:r>
      <w:r>
        <w:t xml:space="preserve">comprender opciones. La misma explicacion puede ser adecuada para un grupo y</w:t>
      </w:r>
      <w:r>
        <w:t xml:space="preserve"> </w:t>
      </w:r>
      <w:r>
        <w:t xml:space="preserve">deficiente para otro. Esta es una de las razones por las que la literatura</w:t>
      </w:r>
      <w:r>
        <w:t xml:space="preserve"> </w:t>
      </w:r>
      <w:r>
        <w:t xml:space="preserve">human-centered insiste en conectar objetivos, usuarios y metodos de evaluacion</w:t>
      </w:r>
      <w:r>
        <w:t xml:space="preserve"> </w:t>
      </w:r>
      <w:r>
        <w:t xml:space="preserve">(Mohseni et al. 2021; Hoffman et al. 2023)</w:t>
      </w:r>
      <w:r>
        <w:t xml:space="preserve">. En esta tesis, la utilidad se interpreta de forma</w:t>
      </w:r>
      <w:r>
        <w:t xml:space="preserve"> </w:t>
      </w:r>
      <w:r>
        <w:t xml:space="preserve">limitada: una explicacion es util para el protocolo si permite construir</w:t>
      </w:r>
      <w:r>
        <w:t xml:space="preserve"> </w:t>
      </w:r>
      <w:r>
        <w:t xml:space="preserve">evidencia comparativa, reproducible y trazable sobre metodos post-hoc. Otras</w:t>
      </w:r>
      <w:r>
        <w:t xml:space="preserve"> </w:t>
      </w:r>
      <w:r>
        <w:t xml:space="preserve">formas de utilidad, como satisfaccion de usuario o mejora de decisiones humanas,</w:t>
      </w:r>
      <w:r>
        <w:t xml:space="preserve"> </w:t>
      </w:r>
      <w:r>
        <w:t xml:space="preserve">quedan fuera del alcance empirico principal.</w:t>
      </w:r>
    </w:p>
    <w:p>
      <w:pPr>
        <w:pStyle w:val="Textoindependiente"/>
      </w:pPr>
      <w:r>
        <w:t xml:space="preserve">En conjunto, estas distinciones convierten el marco teorico en una defensa de</w:t>
      </w:r>
      <w:r>
        <w:t xml:space="preserve"> </w:t>
      </w:r>
      <w:r>
        <w:t xml:space="preserve">la prudencia inferencial. La tesis no busca demostrar que un explicador es</w:t>
      </w:r>
      <w:r>
        <w:t xml:space="preserve"> </w:t>
      </w:r>
      <w:r>
        <w:t xml:space="preserve">universalmente superior, ni que una metrica representa la verdad completa de una</w:t>
      </w:r>
      <w:r>
        <w:t xml:space="preserve"> </w:t>
      </w:r>
      <w:r>
        <w:t xml:space="preserve">explicacion. Busca producir afirmaciones condicionadas: bajo este diseno, con</w:t>
      </w:r>
      <w:r>
        <w:t xml:space="preserve"> </w:t>
      </w:r>
      <w:r>
        <w:t xml:space="preserve">estos artefactos, estas metricas y estos criterios estadisticos, se observan</w:t>
      </w:r>
      <w:r>
        <w:t xml:space="preserve"> </w:t>
      </w:r>
      <w:r>
        <w:t xml:space="preserve">determinadas propiedades comparativas. Esta forma de razonamiento es menos</w:t>
      </w:r>
      <w:r>
        <w:t xml:space="preserve"> </w:t>
      </w:r>
      <w:r>
        <w:t xml:space="preserve">espectacular que un ranking absoluto, pero es mucho mas defendible al nivel de</w:t>
      </w:r>
      <w:r>
        <w:t xml:space="preserve"> </w:t>
      </w:r>
      <w:r>
        <w:t xml:space="preserve">un doctorado. Precisamente por eso la arquitectura FOM-7 exige trazabilidad de</w:t>
      </w:r>
      <w:r>
        <w:t xml:space="preserve"> </w:t>
      </w:r>
      <w:r>
        <w:t xml:space="preserve">claims: cada conclusion debe indicar que constructo evalua, que evidencia la</w:t>
      </w:r>
      <w:r>
        <w:t xml:space="preserve"> </w:t>
      </w:r>
      <w:r>
        <w:t xml:space="preserve">sostiene y que limites conserva.</w:t>
      </w:r>
    </w:p>
    <w:bookmarkEnd w:id="46"/>
    <w:bookmarkStart w:id="51" w:name="Xa783339c6fb58d3d396535bd80fb2565b3e8e56"/>
    <w:p>
      <w:pPr>
        <w:pStyle w:val="Ttulo2"/>
      </w:pPr>
      <w:r>
        <w:t xml:space="preserve">Metodos de explicacion evaluados en esta tesis</w:t>
      </w:r>
    </w:p>
    <w:bookmarkStart w:id="47" w:name="Xbbcfa782e2d35f160f8750f56befcd9ee8cf14e"/>
    <w:p>
      <w:pPr>
        <w:pStyle w:val="Ttulo3"/>
      </w:pPr>
      <w:r>
        <w:t xml:space="preserve">LIME: sustitutos locales, muestreo e inestabilidad</w:t>
      </w:r>
    </w:p>
    <w:p>
      <w:pPr>
        <w:pStyle w:val="FirstParagrap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intuicion es poderosa: aunque el modelo global sea complejo, una region cercana</w:t>
      </w:r>
      <w:r>
        <w:t xml:space="preserve"> </w:t>
      </w:r>
      <w:r>
        <w:t xml:space="preserve">a una instancia puede ser aproximada por una frontera mas simple. Para construir</w:t>
      </w:r>
      <w:r>
        <w:t xml:space="preserve"> </w:t>
      </w:r>
      <w:r>
        <w:t xml:space="preserve">esta aproximacion, el metodo genera perturbaciones alrededor de la instancia,</w:t>
      </w:r>
      <w:r>
        <w:t xml:space="preserve"> </w:t>
      </w:r>
      <w:r>
        <w:t xml:space="preserve">consulta el modelo original y ajusta un sustituto ponderado por proximidad. La</w:t>
      </w:r>
      <w:r>
        <w:t xml:space="preserve"> </w:t>
      </w:r>
      <w:r>
        <w:t xml:space="preserve">explicacion resultante identifica caracteristicas con mayor influencia local.</w:t>
      </w:r>
    </w:p>
    <w:p>
      <w:pPr>
        <w:pStyle w:val="Textoindependiente"/>
      </w:pPr>
      <w:r>
        <w:t xml:space="preserve">Esta logica convierte a LIME en un metodo flexible y agnostico. Puede aplicarse</w:t>
      </w:r>
      <w:r>
        <w:t xml:space="preserve"> </w:t>
      </w:r>
      <w:r>
        <w:t xml:space="preserve">a clasificadores diversos y produce salidas comprensibles para usuarios</w:t>
      </w:r>
      <w:r>
        <w:t xml:space="preserve"> </w:t>
      </w:r>
      <w:r>
        <w:t xml:space="preserve">tecnicos. Sin embargo, su fuerza tambien es una fuente de riesgo. La explicacion</w:t>
      </w:r>
      <w:r>
        <w:t xml:space="preserve"> </w:t>
      </w:r>
      <w:r>
        <w:t xml:space="preserve">depende del esquema de muestreo, de la definicion de vecindario, del kernel de</w:t>
      </w:r>
      <w:r>
        <w:t xml:space="preserve"> </w:t>
      </w:r>
      <w:r>
        <w:t xml:space="preserve">proximidad, del numero de perturbaciones y del modelo interpretable elegido. Si</w:t>
      </w:r>
      <w:r>
        <w:t xml:space="preserve"> </w:t>
      </w:r>
      <w:r>
        <w:t xml:space="preserve">estos elementos cambian, la explicacion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pPr>
      <w:r>
        <w:t xml:space="preserve">En el marco de esta tesis, LIME representa la familia de explicaciones por</w:t>
      </w:r>
      <w:r>
        <w:t xml:space="preserve"> </w:t>
      </w:r>
      <w:r>
        <w:t xml:space="preserve">sustitucion local. Su evaluacion debe considerar fidelidad local, estabilidad,</w:t>
      </w:r>
      <w:r>
        <w:t xml:space="preserve"> </w:t>
      </w:r>
      <w:r>
        <w:t xml:space="preserve">coste computacional y sensibilidad al muestreo. No es suficiente afirmar que una</w:t>
      </w:r>
      <w:r>
        <w:t xml:space="preserve"> </w:t>
      </w:r>
      <w:r>
        <w:t xml:space="preserve">explicacion LIME es interpretable porque sea lineal; debe demostrarse que el</w:t>
      </w:r>
      <w:r>
        <w:t xml:space="preserve"> </w:t>
      </w:r>
      <w:r>
        <w:t xml:space="preserve">sustituto es una aproximacion adecuada bajo condiciones experimentales</w:t>
      </w:r>
      <w:r>
        <w:t xml:space="preserve"> </w:t>
      </w:r>
      <w:r>
        <w:t xml:space="preserve">controladas.</w:t>
      </w:r>
    </w:p>
    <w:p>
      <w:pPr>
        <w:pStyle w:val="Textoindependiente"/>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terminos de evaluacion, esto significa que el experimento no solo compara</w:t>
      </w:r>
      <w:r>
        <w:t xml:space="preserve"> </w:t>
      </w:r>
      <w:r>
        <w:t xml:space="preserve">“LIME”</w:t>
      </w:r>
      <w:r>
        <w:t xml:space="preserve"> </w:t>
      </w:r>
      <w:r>
        <w:t xml:space="preserve">como etiqueta, sino una configuracion concreta de LIME: estrategia de</w:t>
      </w:r>
      <w:r>
        <w:t xml:space="preserve"> </w:t>
      </w:r>
      <w:r>
        <w:t xml:space="preserve">perturbacion, kernel, numero de muestras, seleccion de variables y modelo</w:t>
      </w:r>
      <w:r>
        <w:t xml:space="preserve"> </w:t>
      </w:r>
      <w:r>
        <w:t xml:space="preserve">sustituto. Si esos elementos no se congelan y documentan, la explicacion deja de</w:t>
      </w:r>
      <w:r>
        <w:t xml:space="preserve"> </w:t>
      </w:r>
      <w:r>
        <w:t xml:space="preserve">ser un artefacto reproducible y se convierte en una realizacion contingente del</w:t>
      </w:r>
      <w:r>
        <w:t xml:space="preserve"> </w:t>
      </w:r>
      <w:r>
        <w:t xml:space="preserve">pipeline. Este punto conecta con la critica mas amplia a las explicaciones</w:t>
      </w:r>
      <w:r>
        <w:t xml:space="preserve"> </w:t>
      </w:r>
      <w:r>
        <w:t xml:space="preserve">post-hoc: su aparente simplicidad puede ocultar supuestos fuertes sobre la</w:t>
      </w:r>
      <w:r>
        <w:t xml:space="preserve"> </w:t>
      </w:r>
      <w:r>
        <w:t xml:space="preserve">region local que se esta aproximando</w:t>
      </w:r>
      <w:r>
        <w:t xml:space="preserve"> </w:t>
      </w:r>
      <w:r>
        <w:t xml:space="preserve">(Guidotti et al. 2018; Carvalho et al. 2019)</w:t>
      </w:r>
      <w:r>
        <w:t xml:space="preserve">.</w:t>
      </w:r>
    </w:p>
    <w:p>
      <w:pPr>
        <w:pStyle w:val="Textoindependiente"/>
      </w:pPr>
      <w:r>
        <w:t xml:space="preserve">Ademas, la estabilidad de LIME no debe confundirse con su plausibilidad visual.</w:t>
      </w:r>
      <w:r>
        <w:t xml:space="preserve"> </w:t>
      </w:r>
      <w:r>
        <w:t xml:space="preserve">Una explicacion puede seleccionar variables intuitivas y aun asi variar ante</w:t>
      </w:r>
      <w:r>
        <w:t xml:space="preserve"> </w:t>
      </w:r>
      <w:r>
        <w:t xml:space="preserve">perturbaciones pequenas, cambios de semilla o modificaciones en la muestra de</w:t>
      </w:r>
      <w:r>
        <w:t xml:space="preserve"> </w:t>
      </w:r>
      <w:r>
        <w:t xml:space="preserve">consulta. Estudios sobre confiabilidad de LIME y ataques a explicadores</w:t>
      </w:r>
      <w:r>
        <w:t xml:space="preserve"> </w:t>
      </w:r>
      <w:r>
        <w:t xml:space="preserve">post-hoc muestran que la fragilidad puede tener consecuencias epistemicas</w:t>
      </w:r>
      <w:r>
        <w:t xml:space="preserve"> </w:t>
      </w:r>
      <w:r>
        <w:t xml:space="preserve">importantes: el usuario puede recibir una narrativa convincente sin saber que</w:t>
      </w:r>
      <w:r>
        <w:t xml:space="preserve"> </w:t>
      </w:r>
      <w:r>
        <w:t xml:space="preserve">otra ejecucion razonable produciria una narrativa distinta</w:t>
      </w:r>
      <w:r>
        <w:t xml:space="preserve"> </w:t>
      </w:r>
      <w:r>
        <w:t xml:space="preserve">(Burger et al. 2023; Slack et al. 2020)</w:t>
      </w:r>
      <w:r>
        <w:t xml:space="preserve">. Por ello, FOM-7 debe tratar LIME como un caso ejemplar de metodo</w:t>
      </w:r>
      <w:r>
        <w:t xml:space="preserve"> </w:t>
      </w:r>
      <w:r>
        <w:t xml:space="preserve">agnostico con alta utilidad comunicativa, pero que requiere controles de</w:t>
      </w:r>
      <w:r>
        <w:t xml:space="preserve"> </w:t>
      </w:r>
      <w:r>
        <w:t xml:space="preserve">estabilidad, trazabilidad de parametros y delimitacion estricta del alcance</w:t>
      </w:r>
      <w:r>
        <w:t xml:space="preserve"> </w:t>
      </w:r>
      <w:r>
        <w:t xml:space="preserve">local.</w:t>
      </w:r>
    </w:p>
    <w:bookmarkEnd w:id="47"/>
    <w:bookmarkStart w:id="48" w:name="Xb12c60f9892422fc2645c3176146db42fe0fb49"/>
    <w:p>
      <w:pPr>
        <w:pStyle w:val="Ttulo3"/>
      </w:pPr>
      <w:r>
        <w:t xml:space="preserve">SHAP: valores de Shapley y atribucion aditiva</w:t>
      </w:r>
    </w:p>
    <w:p>
      <w:pPr>
        <w:pStyle w:val="FirstParagraph"/>
      </w:pPr>
      <w:r>
        <w:t xml:space="preserve">SHAP conecta metodos de atribucion de caracteristicas con fundamentos de teoria</w:t>
      </w:r>
      <w:r>
        <w:t xml:space="preserve"> </w:t>
      </w:r>
      <w:r>
        <w:t xml:space="preserve">de juegos, especialmente el valor de Shapley</w:t>
      </w:r>
      <w:r>
        <w:t xml:space="preserve"> </w:t>
      </w:r>
      <w:r>
        <w:t xml:space="preserve">(Lundberg 2017)</w:t>
      </w:r>
      <w:r>
        <w:t xml:space="preserve">. La prediccion se</w:t>
      </w:r>
      <w:r>
        <w:t xml:space="preserve"> </w:t>
      </w:r>
      <w:r>
        <w:t xml:space="preserve">expresa como una suma de contribuciones atribuibles a cada caracteristica, bajo</w:t>
      </w:r>
      <w:r>
        <w:t xml:space="preserve"> </w:t>
      </w:r>
      <w:r>
        <w:t xml:space="preserve">un conjunto de propiedades deseables para explicaciones aditivas. Esta base</w:t>
      </w:r>
      <w:r>
        <w:t xml:space="preserve"> </w:t>
      </w:r>
      <w:r>
        <w:t xml:space="preserve">formal ha convertido a SHAP en uno de los enfoques mas influyentes para</w:t>
      </w:r>
      <w:r>
        <w:t xml:space="preserve"> </w:t>
      </w:r>
      <w:r>
        <w:t xml:space="preserve">interpretar modelos complejos.</w:t>
      </w:r>
    </w:p>
    <w:p>
      <w:pPr>
        <w:pStyle w:val="Textoindependiente"/>
      </w:pPr>
      <w:r>
        <w:t xml:space="preserve">La fortaleza de SHAP esta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arboles para</w:t>
      </w:r>
      <w:r>
        <w:t xml:space="preserve"> </w:t>
      </w:r>
      <w:r>
        <w:t xml:space="preserve">calcular atribuciones de forma mas eficiente. KernelSHAP, en cambio, opera de</w:t>
      </w:r>
      <w:r>
        <w:t xml:space="preserve"> </w:t>
      </w:r>
      <w:r>
        <w:t xml:space="preserve">manera mas general pero puede requerir numerosas evaluaciones del modelo,</w:t>
      </w:r>
      <w:r>
        <w:t xml:space="preserve"> </w:t>
      </w:r>
      <w:r>
        <w:t xml:space="preserve">generando costes computacionales elevados. Esta diferencia ilustra una tension</w:t>
      </w:r>
      <w:r>
        <w:t xml:space="preserve"> </w:t>
      </w:r>
      <w:r>
        <w:t xml:space="preserve">recurrente: mayor generalidad suele implicar mayor coste o dependencia de</w:t>
      </w:r>
      <w:r>
        <w:t xml:space="preserve"> </w:t>
      </w:r>
      <w:r>
        <w:t xml:space="preserve">aproximaciones.</w:t>
      </w:r>
    </w:p>
    <w:p>
      <w:pPr>
        <w:pStyle w:val="Textoindependiente"/>
      </w:pPr>
      <w:r>
        <w:t xml:space="preserve">SHAP tambien exige decisiones metodologicas que afectan la interpretacion: el</w:t>
      </w:r>
      <w:r>
        <w:t xml:space="preserve"> </w:t>
      </w:r>
      <w:r>
        <w:t xml:space="preserve">conjunto de referencia, el tratamiento de dependencias entre caracteristicas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metricas de fidelidad,</w:t>
      </w:r>
      <w:r>
        <w:t xml:space="preserve"> </w:t>
      </w:r>
      <w:r>
        <w:t xml:space="preserve">estabilidad, complejidad y coste.</w:t>
      </w:r>
    </w:p>
    <w:p>
      <w:pPr>
        <w:pStyle w:val="Textoindependiente"/>
      </w:pPr>
      <w:r>
        <w:t xml:space="preserve">El caracter formal de SHAP puede inducir una lectura excesivamente fuerte si no</w:t>
      </w:r>
      <w:r>
        <w:t xml:space="preserve"> </w:t>
      </w:r>
      <w:r>
        <w:t xml:space="preserve">se separa fundamento matematico de uso empirico. El valor de Shapley aporta una</w:t>
      </w:r>
      <w:r>
        <w:t xml:space="preserve"> </w:t>
      </w:r>
      <w:r>
        <w:t xml:space="preserve">justificacion axiomatica para repartir una contribucion entre jugadores o</w:t>
      </w:r>
      <w:r>
        <w:t xml:space="preserve"> </w:t>
      </w:r>
      <w:r>
        <w:t xml:space="preserve">caracteristicas, pero la aplicacion a modelos predictivos requiere definir una</w:t>
      </w:r>
      <w:r>
        <w:t xml:space="preserve"> </w:t>
      </w:r>
      <w:r>
        <w:t xml:space="preserve">distribucion de referencia y una forma de simular presencia o ausencia de</w:t>
      </w:r>
      <w:r>
        <w:t xml:space="preserve"> </w:t>
      </w:r>
      <w:r>
        <w:t xml:space="preserve">caracteristicas. En datos reales, especialmente cuando existen dependencias</w:t>
      </w:r>
      <w:r>
        <w:t xml:space="preserve"> </w:t>
      </w:r>
      <w:r>
        <w:t xml:space="preserve">entre variables, estas decisiones afectan el significado de la atribucion. Por</w:t>
      </w:r>
      <w:r>
        <w:t xml:space="preserve"> </w:t>
      </w:r>
      <w:r>
        <w:t xml:space="preserve">eso, una tabla de valores SHAP no debe presentarse como una descomposicion</w:t>
      </w:r>
      <w:r>
        <w:t xml:space="preserve"> </w:t>
      </w:r>
      <w:r>
        <w:t xml:space="preserve">causal directa de la prediccion; debe presentarse como una atribucion bajo</w:t>
      </w:r>
      <w:r>
        <w:t xml:space="preserve"> </w:t>
      </w:r>
      <w:r>
        <w:t xml:space="preserve">supuestos operacionales especificos</w:t>
      </w:r>
      <w:r>
        <w:t xml:space="preserve"> </w:t>
      </w:r>
      <w:r>
        <w:t xml:space="preserve">(Lundberg 2017; Carvalho et al. 2019)</w:t>
      </w:r>
      <w:r>
        <w:t xml:space="preserve">.</w:t>
      </w:r>
    </w:p>
    <w:p>
      <w:pPr>
        <w:pStyle w:val="Textoindependiente"/>
      </w:pPr>
      <w:r>
        <w:t xml:space="preserve">La diferencia entre KernelSHAP y TreeSHAP tambien es relevante para el diseno</w:t>
      </w:r>
      <w:r>
        <w:t xml:space="preserve"> </w:t>
      </w:r>
      <w:r>
        <w:t xml:space="preserve">experimental. KernelSHAP conserva una orientacion agnostica, pero puede exigir</w:t>
      </w:r>
      <w:r>
        <w:t xml:space="preserve"> </w:t>
      </w:r>
      <w:r>
        <w:t xml:space="preserve">un numero elevado de consultas al modelo. TreeSHAP aprovecha la estructura de</w:t>
      </w:r>
      <w:r>
        <w:t xml:space="preserve"> </w:t>
      </w:r>
      <w:r>
        <w:t xml:space="preserve">arboles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si mismo una</w:t>
      </w:r>
      <w:r>
        <w:t xml:space="preserve"> </w:t>
      </w:r>
      <w:r>
        <w:t xml:space="preserve">condicion experimental suficiente. Se debe especificar variante, modelo base,</w:t>
      </w:r>
      <w:r>
        <w:t xml:space="preserve"> </w:t>
      </w:r>
      <w:r>
        <w:t xml:space="preserve">conjunto de referencia, estrategia de aproximacion y coste de computo. La</w:t>
      </w:r>
      <w:r>
        <w:t xml:space="preserve"> </w:t>
      </w:r>
      <w:r>
        <w:t xml:space="preserve">literatura teorica sobre la tractabilidad de SHAP refuerza esta precaucion:</w:t>
      </w:r>
      <w:r>
        <w:t xml:space="preserve"> </w:t>
      </w:r>
      <w:r>
        <w:t xml:space="preserve">calcular explicaciones exactas puede ser dificil o inviable en clases amplias de</w:t>
      </w:r>
      <w:r>
        <w:t xml:space="preserve"> </w:t>
      </w:r>
      <w:r>
        <w:t xml:space="preserve">modelos, por lo que la evaluacion debe registrar cuando se trabaja con</w:t>
      </w:r>
      <w:r>
        <w:t xml:space="preserve"> </w:t>
      </w:r>
      <w:r>
        <w:t xml:space="preserve">aproximaciones y que trade-offs introducen</w:t>
      </w:r>
      <w:r>
        <w:t xml:space="preserve"> </w:t>
      </w:r>
      <w:r>
        <w:t xml:space="preserve">(Van den Broeck et al. 2022)</w:t>
      </w:r>
      <w:r>
        <w:t xml:space="preserve">.</w:t>
      </w:r>
    </w:p>
    <w:p>
      <w:pPr>
        <w:pStyle w:val="Textoindependiente"/>
      </w:pPr>
      <w:r>
        <w:t xml:space="preserve">SHAP ocupa asi una posicion doble en la tesis. Por un lado, es un referente</w:t>
      </w:r>
      <w:r>
        <w:t xml:space="preserve"> </w:t>
      </w:r>
      <w:r>
        <w:t xml:space="preserve">indispensable por su formalizacion de la atribucion aditiva y su adopcion en</w:t>
      </w:r>
      <w:r>
        <w:t xml:space="preserve"> </w:t>
      </w:r>
      <w:r>
        <w:t xml:space="preserve">investigacion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asignacion de contribuciones; en LIME, una</w:t>
      </w:r>
      <w:r>
        <w:t xml:space="preserve"> </w:t>
      </w:r>
      <w:r>
        <w:t xml:space="preserve">aproximacion local; en Anchors, una regla; en DiCE, una alternativa</w:t>
      </w:r>
      <w:r>
        <w:t xml:space="preserve"> </w:t>
      </w:r>
      <w:r>
        <w:t xml:space="preserve">contrafactual. Esta heterogeneidad exige metricas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7e43a7066b6775848e600357cc2faff75ad27e6"/>
    <w:p>
      <w:pPr>
        <w:pStyle w:val="Ttulo3"/>
      </w:pPr>
      <w:r>
        <w:t xml:space="preserve">Anchors: reglas de alta precision y limites de cobertura</w:t>
      </w:r>
    </w:p>
    <w:p>
      <w:pPr>
        <w:pStyle w:val="FirstParagraph"/>
      </w:pPr>
      <w:r>
        <w:t xml:space="preserve">Anchors propone explicaciones en forma de reglas locales de alta precision</w:t>
      </w:r>
      <w:r>
        <w:t xml:space="preserve"> </w:t>
      </w:r>
      <w:r>
        <w:t xml:space="preserve">(Ribeiro 2018)</w:t>
      </w:r>
      <w:r>
        <w:t xml:space="preserve">. En vez de asignar pesos a caracteristicas, busca condiciones</w:t>
      </w:r>
      <w:r>
        <w:t xml:space="preserve"> </w:t>
      </w:r>
      <w:r>
        <w:t xml:space="preserve">que, cuando se cumplen, hacen que el modelo mantenga una prediccion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prediccion se mantiene”</w:t>
      </w:r>
      <w:r>
        <w:t xml:space="preserve"> </w:t>
      </w:r>
      <w:r>
        <w:t xml:space="preserve">puede ser mas accionable</w:t>
      </w:r>
      <w:r>
        <w:t xml:space="preserve"> </w:t>
      </w:r>
      <w:r>
        <w:t xml:space="preserve">que una lista de pesos.</w:t>
      </w:r>
    </w:p>
    <w:p>
      <w:pPr>
        <w:pStyle w:val="Textoindependiente"/>
      </w:pPr>
      <w:r>
        <w:t xml:space="preserve">La precision de una regla, sin embargo, debe interpretarse junto con su</w:t>
      </w:r>
      <w:r>
        <w:t xml:space="preserve"> </w:t>
      </w:r>
      <w:r>
        <w:t xml:space="preserve">cobertura. Una regla extremadamente especifica puede alcanzar alta precision</w:t>
      </w:r>
      <w:r>
        <w:t xml:space="preserve"> </w:t>
      </w:r>
      <w:r>
        <w:t xml:space="preserve">porque aplica a muy pocos casos. Una regla mas general puede cubrir una region</w:t>
      </w:r>
      <w:r>
        <w:t xml:space="preserve"> </w:t>
      </w:r>
      <w:r>
        <w:t xml:space="preserve">amplia, pero perder precision. Esta tension convierte a Anchors en un caso</w:t>
      </w:r>
      <w:r>
        <w:t xml:space="preserve"> </w:t>
      </w:r>
      <w:r>
        <w:t xml:space="preserve">fundamental para la evaluacion multinivel: una metrica aislada puede favorecer</w:t>
      </w:r>
      <w:r>
        <w:t xml:space="preserve"> </w:t>
      </w:r>
      <w:r>
        <w:t xml:space="preserve">reglas aparentemente excelentes que no son utiles fuera de un subconjunto</w:t>
      </w:r>
      <w:r>
        <w:t xml:space="preserve"> </w:t>
      </w:r>
      <w:r>
        <w:t xml:space="preserve">limitado.</w:t>
      </w:r>
    </w:p>
    <w:p>
      <w:pPr>
        <w:pStyle w:val="Textoindependiente"/>
      </w:pPr>
      <w:r>
        <w:t xml:space="preserve">Para FOM-7, Anchors representa explicaciones basadas en condiciones suficientes</w:t>
      </w:r>
      <w:r>
        <w:t xml:space="preserve"> </w:t>
      </w:r>
      <w:r>
        <w:t xml:space="preserve">aproximadas. Su evaluacion debe separar precision local, cobertura,</w:t>
      </w:r>
      <w:r>
        <w:t xml:space="preserve"> </w:t>
      </w:r>
      <w:r>
        <w:t xml:space="preserve">complejidad de regla y reproducibilidad. Esta separacion evita comparar Anchors</w:t>
      </w:r>
      <w:r>
        <w:t xml:space="preserve"> </w:t>
      </w:r>
      <w:r>
        <w:t xml:space="preserve">con LIME o SHAP como si todos produjeran el mismo tipo de evidencia.</w:t>
      </w:r>
    </w:p>
    <w:p>
      <w:pPr>
        <w:pStyle w:val="Textoindependiente"/>
      </w:pPr>
      <w:r>
        <w:t xml:space="preserve">La contribucion conceptual de Anchors es introducir una forma de explicacion que</w:t>
      </w:r>
      <w:r>
        <w:t xml:space="preserve"> </w:t>
      </w:r>
      <w:r>
        <w:t xml:space="preserve">se aproxima al razonamiento por condiciones: una prediccion se mantiene cuando</w:t>
      </w:r>
      <w:r>
        <w:t xml:space="preserve"> </w:t>
      </w:r>
      <w:r>
        <w:t xml:space="preserve">ciertas premisas se conservan. Esta estructura puede ser mas legible que una</w:t>
      </w:r>
      <w:r>
        <w:t xml:space="preserve"> </w:t>
      </w:r>
      <w:r>
        <w:t xml:space="preserve">lista de pesos, especialmente cuando la explicacion se comunica a personas que</w:t>
      </w:r>
      <w:r>
        <w:t xml:space="preserve"> </w:t>
      </w:r>
      <w:r>
        <w:t xml:space="preserve">razonan mediante reglas o excepciones. Sin embargo, la legibilidad no resuelve</w:t>
      </w:r>
      <w:r>
        <w:t xml:space="preserve"> </w:t>
      </w:r>
      <w:r>
        <w:t xml:space="preserve">el problema de validez. Una regla de alta precision puede estar anclada en una</w:t>
      </w:r>
      <w:r>
        <w:t xml:space="preserve"> </w:t>
      </w:r>
      <w:r>
        <w:t xml:space="preserve">region pequena del espacio de datos; una regla de mayor cobertura puede perder</w:t>
      </w:r>
      <w:r>
        <w:t xml:space="preserve"> </w:t>
      </w:r>
      <w:r>
        <w:t xml:space="preserve">garantias locales. Por tanto, precision y cobertura deben reportarse juntas, y</w:t>
      </w:r>
      <w:r>
        <w:t xml:space="preserve"> </w:t>
      </w:r>
      <w:r>
        <w:t xml:space="preserve">ninguna debe convertirse por si sola en sinonimo de calidad explicativa</w:t>
      </w:r>
      <w:r>
        <w:t xml:space="preserve"> </w:t>
      </w:r>
      <w:r>
        <w:t xml:space="preserve">(Ribeiro 2018; Guidotti et al. 2018)</w:t>
      </w:r>
      <w:r>
        <w:t xml:space="preserve">.</w:t>
      </w:r>
    </w:p>
    <w:p>
      <w:pPr>
        <w:pStyle w:val="Textoindependiente"/>
      </w:pPr>
      <w:r>
        <w:t xml:space="preserve">Anchors tambien muestra por que la evaluacion debe atender al formato de salida.</w:t>
      </w:r>
      <w:r>
        <w:t xml:space="preserve"> </w:t>
      </w:r>
      <w:r>
        <w:t xml:space="preserve">Una regla tiene cardinalidad, condiciones, umbrales y cobertura; una atribucion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mas la conveniencia de la metrica que la calidad del metodo. Para FOM-7,</w:t>
      </w:r>
      <w:r>
        <w:t xml:space="preserve"> </w:t>
      </w:r>
      <w:r>
        <w:t xml:space="preserve">Anchors cumple entonces una funcion teorica: obliga a reconocer que las metricas</w:t>
      </w:r>
      <w:r>
        <w:t xml:space="preserve"> </w:t>
      </w:r>
      <w:r>
        <w:t xml:space="preserve">deben estar alineadas con el tipo de explicacion. La tesis no debe preguntar</w:t>
      </w:r>
      <w:r>
        <w:t xml:space="preserve"> </w:t>
      </w:r>
      <w:r>
        <w:t xml:space="preserve">solo</w:t>
      </w:r>
      <w:r>
        <w:t xml:space="preserve"> </w:t>
      </w:r>
      <w:r>
        <w:t xml:space="preserve">“que metodo gana”</w:t>
      </w:r>
      <w:r>
        <w:t xml:space="preserve">, sino</w:t>
      </w:r>
      <w:r>
        <w:t xml:space="preserve"> </w:t>
      </w:r>
      <w:r>
        <w:t xml:space="preserve">“que propiedad de que objeto explicativo se esta</w:t>
      </w:r>
      <w:r>
        <w:t xml:space="preserve"> </w:t>
      </w:r>
      <w:r>
        <w:t xml:space="preserve">evaluando bajo que condiciones”</w:t>
      </w:r>
      <w:r>
        <w:t xml:space="preserve"> </w:t>
      </w:r>
      <w:r>
        <w:t xml:space="preserve">(Carvalho et al. 2019; Nauta et al. 2023)</w:t>
      </w:r>
      <w:r>
        <w:t xml:space="preserve">.</w:t>
      </w:r>
    </w:p>
    <w:bookmarkEnd w:id="49"/>
    <w:bookmarkStart w:id="50" w:name="Xd196f32f12fd1cc1850af93995e5a1615dfcb83"/>
    <w:p>
      <w:pPr>
        <w:pStyle w:val="Ttulo3"/>
      </w:pPr>
      <w:r>
        <w:t xml:space="preserve">DiCE: contrafactuales, accionabilidad y validez</w:t>
      </w:r>
    </w:p>
    <w:p>
      <w:pPr>
        <w:pStyle w:val="FirstParagraph"/>
      </w:pPr>
      <w:r>
        <w:t xml:space="preserve">DiCE introduce explicaciones contrafactuales diversas, orientadas a mostrar</w:t>
      </w:r>
      <w:r>
        <w:t xml:space="preserve"> </w:t>
      </w:r>
      <w:r>
        <w:t xml:space="preserve">cambios plausibles que podrian alterar la decision de un modelo</w:t>
      </w:r>
      <w:r>
        <w:t xml:space="preserve"> </w:t>
      </w:r>
      <w:r>
        <w:t xml:space="preserve">(Mothilal 2020)</w:t>
      </w:r>
      <w:r>
        <w:t xml:space="preserve">.</w:t>
      </w:r>
      <w:r>
        <w:t xml:space="preserve"> </w:t>
      </w:r>
      <w:r>
        <w:t xml:space="preserve">Su pregunta no es</w:t>
      </w:r>
      <w:r>
        <w:t xml:space="preserve"> </w:t>
      </w:r>
      <w:r>
        <w:t xml:space="preserve">“que caracteristicas contribuyeron mas a esta prediccion”</w:t>
      </w:r>
      <w:r>
        <w:t xml:space="preserve">,</w:t>
      </w:r>
      <w:r>
        <w:t xml:space="preserve"> </w:t>
      </w:r>
      <w:r>
        <w:t xml:space="preserve">sino</w:t>
      </w:r>
      <w:r>
        <w:t xml:space="preserve"> </w:t>
      </w:r>
      <w:r>
        <w:t xml:space="preserve">“que tendria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accion.</w:t>
      </w:r>
    </w:p>
    <w:p>
      <w:pPr>
        <w:pStyle w:val="Textoindependiente"/>
      </w:pPr>
      <w:r>
        <w:t xml:space="preserve">La evaluacion de contrafactuales exige criterios adicionales. Un contrafactual</w:t>
      </w:r>
      <w:r>
        <w:t xml:space="preserve"> </w:t>
      </w:r>
      <w:r>
        <w:t xml:space="preserve">debe ser valido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semanticas: no todas las caracteristicas</w:t>
      </w:r>
      <w:r>
        <w:t xml:space="preserve"> </w:t>
      </w:r>
      <w:r>
        <w:t xml:space="preserve">pueden modificarse, y no todos los cambios matematicamente cercanos son</w:t>
      </w:r>
      <w:r>
        <w:t xml:space="preserve"> </w:t>
      </w:r>
      <w:r>
        <w:t xml:space="preserve">realistas. Por ello, una metrica de fidelidad tradicional puede ser insuficiente</w:t>
      </w:r>
      <w:r>
        <w:t xml:space="preserve"> </w:t>
      </w:r>
      <w:r>
        <w:t xml:space="preserve">para evaluar DiCE si no se acompana de criterios de plausibilidad,</w:t>
      </w:r>
      <w:r>
        <w:t xml:space="preserve"> </w:t>
      </w:r>
      <w:r>
        <w:t xml:space="preserve">factibilidad y coherencia con el dominio.</w:t>
      </w:r>
    </w:p>
    <w:p>
      <w:pPr>
        <w:pStyle w:val="Textoindependiente"/>
      </w:pPr>
      <w:r>
        <w:t xml:space="preserve">En esta tesis, DiCE permite mostrar que FOM-7 no debe forzar una metrica unica</w:t>
      </w:r>
      <w:r>
        <w:t xml:space="preserve"> </w:t>
      </w:r>
      <w:r>
        <w:t xml:space="preserve">sobre objetos explicativos heterogeneos.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pPr>
      <w:r>
        <w:t xml:space="preserve">La familia contrafactual amplia la XAI hacia preguntas de recourse y accion.</w:t>
      </w:r>
      <w:r>
        <w:t xml:space="preserve"> </w:t>
      </w:r>
      <w:r>
        <w:t xml:space="preserve">Mientras LIME o SHAP suelen describir por que una decision fue tomada en</w:t>
      </w:r>
      <w:r>
        <w:t xml:space="preserve"> </w:t>
      </w:r>
      <w:r>
        <w:t xml:space="preserve">terminos de contribuciones o aproximaciones, el contrafactual pregunta que</w:t>
      </w:r>
      <w:r>
        <w:t xml:space="preserve"> </w:t>
      </w:r>
      <w:r>
        <w:t xml:space="preserve">alternativas podrian cambiar el resultado. Esta orientacion es atractiva en</w:t>
      </w:r>
      <w:r>
        <w:t xml:space="preserve"> </w:t>
      </w:r>
      <w:r>
        <w:t xml:space="preserve">dominios de decision porque conecta explicacion con posibilidad de intervencion.</w:t>
      </w:r>
      <w:r>
        <w:t xml:space="preserve"> </w:t>
      </w:r>
      <w:r>
        <w:t xml:space="preserve">Sin embargo, tambien introduce exigencias mas fuertes: los cambios sugeridos</w:t>
      </w:r>
      <w:r>
        <w:t xml:space="preserve"> </w:t>
      </w:r>
      <w:r>
        <w:t xml:space="preserve">deben ser posibles, coherentes con restricciones del dominio y no meramente</w:t>
      </w:r>
      <w:r>
        <w:t xml:space="preserve"> </w:t>
      </w:r>
      <w:r>
        <w:t xml:space="preserve">artefactos matematicos cercanos en el espacio de variables. La literatura sobre</w:t>
      </w:r>
      <w:r>
        <w:t xml:space="preserve"> </w:t>
      </w:r>
      <w:r>
        <w:t xml:space="preserve">recourse enfatiza precisamente que una recomendacion consecuencial debe evaluar</w:t>
      </w:r>
      <w:r>
        <w:t xml:space="preserve"> </w:t>
      </w:r>
      <w:r>
        <w:t xml:space="preserve">factibilidad, accionabilidad y consecuencias, no solo inversion de etiqueta</w:t>
      </w:r>
      <w:r>
        <w:t xml:space="preserve"> </w:t>
      </w:r>
      <w:r>
        <w:t xml:space="preserve">(Karimi et al. 2022)</w:t>
      </w:r>
      <w:r>
        <w:t xml:space="preserve">.</w:t>
      </w:r>
    </w:p>
    <w:p>
      <w:pPr>
        <w:pStyle w:val="Textoindependiente"/>
      </w:pPr>
      <w:r>
        <w:t xml:space="preserve">DiCE aporta diversidad de alternativas contrafactuales, pero diversidad no</w:t>
      </w:r>
      <w:r>
        <w:t xml:space="preserve"> </w:t>
      </w:r>
      <w:r>
        <w:t xml:space="preserve">equivale automaticamente a accionabilidad. Un conjunto de contrafactuales puede</w:t>
      </w:r>
      <w:r>
        <w:t xml:space="preserve"> </w:t>
      </w:r>
      <w:r>
        <w:t xml:space="preserve">ser diverso en distancia matematica y aun asi incluir cambios imposibles para</w:t>
      </w:r>
      <w:r>
        <w:t xml:space="preserve"> </w:t>
      </w:r>
      <w:r>
        <w:t xml:space="preserve">una persona o incoherentes con relaciones del dominio. FACE aborda esta</w:t>
      </w:r>
      <w:r>
        <w:t xml:space="preserve"> </w:t>
      </w:r>
      <w:r>
        <w:t xml:space="preserve">preocupacion al enfatizar contrafactuales factibles y accionables en regiones</w:t>
      </w:r>
      <w:r>
        <w:t xml:space="preserve"> </w:t>
      </w:r>
      <w:r>
        <w:t xml:space="preserve">conectadas por datos observados</w:t>
      </w:r>
      <w:r>
        <w:t xml:space="preserve"> </w:t>
      </w:r>
      <w:r>
        <w:t xml:space="preserve">(Poyiadzi et al. 2020)</w:t>
      </w:r>
      <w:r>
        <w:t xml:space="preserve">. A la vez, las criticas sobre</w:t>
      </w:r>
      <w:r>
        <w:t xml:space="preserve"> </w:t>
      </w:r>
      <w:r>
        <w:t xml:space="preserve">contrafactuales post-hoc advierten que una explicacion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tension exige que DiCE sea evaluado</w:t>
      </w:r>
      <w:r>
        <w:t xml:space="preserve"> </w:t>
      </w:r>
      <w:r>
        <w:t xml:space="preserve">con criterios propios: validez de cambio de salida, proximidad, diversidad,</w:t>
      </w:r>
      <w:r>
        <w:t xml:space="preserve"> </w:t>
      </w:r>
      <w:r>
        <w:t xml:space="preserve">factibilidad, accionabilidad y limites de inferencia.</w:t>
      </w:r>
    </w:p>
    <w:p>
      <w:pPr>
        <w:pStyle w:val="Textoindependiente"/>
      </w:pPr>
      <w:r>
        <w:t xml:space="preserve">El papel de los contrafactuales en la tesis no es demostrar que el usuario</w:t>
      </w:r>
      <w:r>
        <w:t xml:space="preserve"> </w:t>
      </w:r>
      <w:r>
        <w:t xml:space="preserve">puede ejecutar realmente la accion sugerida en cualquier dominio. El alcance es</w:t>
      </w:r>
      <w:r>
        <w:t xml:space="preserve"> </w:t>
      </w:r>
      <w:r>
        <w:t xml:space="preserve">mas prudente: examinar si el metodo produce artefactos que cumplen criterios</w:t>
      </w:r>
      <w:r>
        <w:t xml:space="preserve"> </w:t>
      </w:r>
      <w:r>
        <w:t xml:space="preserve">operacionales definidos y si esos criterios son trazables. Esta distincion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revision</w:t>
      </w:r>
      <w:r>
        <w:t xml:space="preserve"> </w:t>
      </w:r>
      <w:r>
        <w:t xml:space="preserve">doctoral debe hacer visible</w:t>
      </w:r>
      <w:r>
        <w:t xml:space="preserve"> </w:t>
      </w:r>
      <w:r>
        <w:t xml:space="preserve">(Langer et al. 2021; Karimi et al. 2022)</w:t>
      </w:r>
      <w:r>
        <w:t xml:space="preserve">.</w:t>
      </w:r>
    </w:p>
    <w:bookmarkEnd w:id="50"/>
    <w:bookmarkEnd w:id="51"/>
    <w:bookmarkStart w:id="52" w:name="marcos-y-protocolos-de-evaluacion-xai"/>
    <w:p>
      <w:pPr>
        <w:pStyle w:val="Ttulo2"/>
      </w:pPr>
      <w:r>
        <w:t xml:space="preserve">Marcos y protocolos de evaluacion XAI</w:t>
      </w:r>
    </w:p>
    <w:p>
      <w:pPr>
        <w:pStyle w:val="FirstParagraph"/>
      </w:pPr>
      <w:r>
        <w:t xml:space="preserve">La evaluacion de interpretabilidad requiere distinguir niveles de evidencia.</w:t>
      </w:r>
      <w:r>
        <w:t xml:space="preserve"> </w:t>
      </w:r>
      <w:r>
        <w:t xml:space="preserve">Doshi-Velez (2017)</w:t>
      </w:r>
      <w:r>
        <w:t xml:space="preserve"> </w:t>
      </w:r>
      <w:r>
        <w:t xml:space="preserve">proponen una taxonomia influyente: evaluacion</w:t>
      </w:r>
      <w:r>
        <w:t xml:space="preserve"> </w:t>
      </w:r>
      <w:r>
        <w:t xml:space="preserve">application-grounded, human-grounded y functionally-grounded. La primera evalua</w:t>
      </w:r>
      <w:r>
        <w:t xml:space="preserve"> </w:t>
      </w:r>
      <w:r>
        <w:t xml:space="preserve">explicaciones en tareas reales con usuarios y dominios especificos. La segunda</w:t>
      </w:r>
      <w:r>
        <w:t xml:space="preserve"> </w:t>
      </w:r>
      <w:r>
        <w:t xml:space="preserve">usa tareas simplificadas con humanos para estudiar propiedades generales de la</w:t>
      </w:r>
      <w:r>
        <w:t xml:space="preserve"> </w:t>
      </w:r>
      <w:r>
        <w:t xml:space="preserve">explicacion. La tercera reemplaza la evaluacion humana por proxies formales o</w:t>
      </w:r>
      <w:r>
        <w:t xml:space="preserve"> </w:t>
      </w:r>
      <w:r>
        <w:t xml:space="preserve">computacionales cuando existe una razon teorica para hacerlo. Esta distincion</w:t>
      </w:r>
      <w:r>
        <w:t xml:space="preserve"> </w:t>
      </w:r>
      <w:r>
        <w:t xml:space="preserve">es esencial para FOM-7, porque la presente tesis se ubica principalmente en una</w:t>
      </w:r>
      <w:r>
        <w:t xml:space="preserve"> </w:t>
      </w:r>
      <w:r>
        <w:t xml:space="preserve">evaluacion functionally-grounded con aspiraciones de trazabilidad hacia</w:t>
      </w:r>
      <w:r>
        <w:t xml:space="preserve"> </w:t>
      </w:r>
      <w:r>
        <w:t xml:space="preserve">afirmaciones tecnicas.</w:t>
      </w:r>
    </w:p>
    <w:p>
      <w:pPr>
        <w:pStyle w:val="Textoindependiente"/>
      </w:pPr>
      <w:r>
        <w:t xml:space="preserve">La distincion entre estos niveles evita una confusion frecuente: evaluar una</w:t>
      </w:r>
      <w:r>
        <w:t xml:space="preserve"> </w:t>
      </w:r>
      <w:r>
        <w:t xml:space="preserve">explicacion con una metrica computacional no equivale a demostrar que mejora la</w:t>
      </w:r>
      <w:r>
        <w:t xml:space="preserve"> </w:t>
      </w:r>
      <w:r>
        <w:t xml:space="preserve">decision humana. Los estudios human-grounded muestran que la relacion entre</w:t>
      </w:r>
      <w:r>
        <w:t xml:space="preserve"> </w:t>
      </w:r>
      <w:r>
        <w:t xml:space="preserve">formato explicativo y comportamiento del usuario es empirica, no deducible solo</w:t>
      </w:r>
      <w:r>
        <w:t xml:space="preserve"> </w:t>
      </w:r>
      <w:r>
        <w:t xml:space="preserve">de la elegancia del metodo.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cientificos de datos muestran que las herramientas</w:t>
      </w:r>
      <w:r>
        <w:t xml:space="preserve"> </w:t>
      </w:r>
      <w:r>
        <w:t xml:space="preserve">de interpretabilidad se insertan en practicas de depuracion, validacion y</w:t>
      </w:r>
      <w:r>
        <w:t xml:space="preserve"> </w:t>
      </w:r>
      <w:r>
        <w:t xml:space="preserve">comunicacion que no se reducen a una puntuacion unica</w:t>
      </w:r>
      <w:r>
        <w:t xml:space="preserve"> </w:t>
      </w:r>
      <w:r>
        <w:t xml:space="preserve">(Kaur et al. 2020)</w:t>
      </w:r>
      <w:r>
        <w:t xml:space="preserve">. Por ello,</w:t>
      </w:r>
      <w:r>
        <w:t xml:space="preserve"> </w:t>
      </w:r>
      <w:r>
        <w:t xml:space="preserve">FOM-7 debe afirmar con precision que produce evidencia functionally-grounded y</w:t>
      </w:r>
      <w:r>
        <w:t xml:space="preserve"> </w:t>
      </w:r>
      <w:r>
        <w:t xml:space="preserve">no evidencia application-grounded.</w:t>
      </w:r>
    </w:p>
    <w:p>
      <w:pPr>
        <w:pStyle w:val="Textoindependiente"/>
      </w:pPr>
      <w:r>
        <w:t xml:space="preserve">Quantus responde a la necesidad de evaluar explicaciones mediante un toolkit</w:t>
      </w:r>
      <w:r>
        <w:t xml:space="preserve"> </w:t>
      </w:r>
      <w:r>
        <w:t xml:space="preserve">que agrupa metricas y facilita comparaciones sistematicas</w:t>
      </w:r>
      <w:r>
        <w:t xml:space="preserve"> </w:t>
      </w:r>
      <w:r>
        <w:t xml:space="preserve">(Hedström et al. 2023)</w:t>
      </w:r>
      <w:r>
        <w:t xml:space="preserve">.</w:t>
      </w:r>
      <w:r>
        <w:t xml:space="preserve"> </w:t>
      </w:r>
      <w:r>
        <w:t xml:space="preserve">Su contribucion es importante porque reduce friccion tecnica, ordena familias de</w:t>
      </w:r>
      <w:r>
        <w:t xml:space="preserve"> </w:t>
      </w:r>
      <w:r>
        <w:t xml:space="preserve">metricas y promueve evaluaciones mas reproducibles. No obstante, un toolkit no</w:t>
      </w:r>
      <w:r>
        <w:t xml:space="preserve"> </w:t>
      </w:r>
      <w:r>
        <w:t xml:space="preserve">resuelve por si solo el problema de gobernanza del protocolo. Antes de ejecutar</w:t>
      </w:r>
      <w:r>
        <w:t xml:space="preserve"> </w:t>
      </w:r>
      <w:r>
        <w:t xml:space="preserve">metricas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pPr>
      <w:r>
        <w:t xml:space="preserve">OpenXAI avanza en una direccion complementaria al proponer una plataforma de</w:t>
      </w:r>
      <w:r>
        <w:t xml:space="preserve"> </w:t>
      </w:r>
      <w:r>
        <w:t xml:space="preserve">evaluacion transparente para explicaciones post-hoc</w:t>
      </w:r>
      <w:r>
        <w:t xml:space="preserve"> </w:t>
      </w:r>
      <w:r>
        <w:t xml:space="preserve">(Agarwal et al. 2022)</w:t>
      </w:r>
      <w:r>
        <w:t xml:space="preserve">. Su aporte</w:t>
      </w:r>
      <w:r>
        <w:t xml:space="preserve"> </w:t>
      </w:r>
      <w:r>
        <w:t xml:space="preserve">esta en hacer comparables metodos y condiciones de benchmarking. Para esta</w:t>
      </w:r>
      <w:r>
        <w:t xml:space="preserve"> </w:t>
      </w:r>
      <w:r>
        <w:t xml:space="preserve">tesis, OpenXAI funciona como referente directo: confirma que el problema de</w:t>
      </w:r>
      <w:r>
        <w:t xml:space="preserve"> </w:t>
      </w:r>
      <w:r>
        <w:t xml:space="preserve">estandarizacion es reconocido por la comunidad, pero tambien permite delimitar</w:t>
      </w:r>
      <w:r>
        <w:t xml:space="preserve"> </w:t>
      </w:r>
      <w:r>
        <w:t xml:space="preserve">la contribucion de FOM-7. FOM-7 no pretende reemplazar estos marcos; busca</w:t>
      </w:r>
      <w:r>
        <w:t xml:space="preserve"> </w:t>
      </w:r>
      <w:r>
        <w:t xml:space="preserve">operacionalizar el camino desde el diseno experimental hasta la trazabilidad de</w:t>
      </w:r>
      <w:r>
        <w:t xml:space="preserve"> </w:t>
      </w:r>
      <w:r>
        <w:t xml:space="preserve">conclusiones en el contexto empirico de la tesis.</w:t>
      </w:r>
    </w:p>
    <w:p>
      <w:pPr>
        <w:pStyle w:val="Textoindependiente"/>
      </w:pPr>
      <w:r>
        <w:t xml:space="preserve">La revision sistematica de evaluacion XAI refuerza este posicionamiento.</w:t>
      </w:r>
      <w:r>
        <w:t xml:space="preserve"> </w:t>
      </w:r>
      <w:r>
        <w:t xml:space="preserve">Nauta et al. (2023)</w:t>
      </w:r>
      <w:r>
        <w:t xml:space="preserve"> </w:t>
      </w:r>
      <w:r>
        <w:t xml:space="preserve">describen un desplazamiento necesario desde evidencia anecdotica</w:t>
      </w:r>
      <w:r>
        <w:t xml:space="preserve"> </w:t>
      </w:r>
      <w:r>
        <w:t xml:space="preserve">hacia metodos cuantitativos de evaluacion, pero ese desplazamiento no resuelve</w:t>
      </w:r>
      <w:r>
        <w:t xml:space="preserve"> </w:t>
      </w:r>
      <w:r>
        <w:t xml:space="preserve">por si solo la relacion entre metrica, constructo y claim. La evaluacion puede</w:t>
      </w:r>
      <w:r>
        <w:t xml:space="preserve"> </w:t>
      </w:r>
      <w:r>
        <w:t xml:space="preserve">ser cuantitativa y aun asi estar mal alineada si la metrica mide una propiedad</w:t>
      </w:r>
      <w:r>
        <w:t xml:space="preserve"> </w:t>
      </w:r>
      <w:r>
        <w:t xml:space="preserve">distinta a la afirmacion. Los sanity checks para metricas de saliencia apuntan a</w:t>
      </w:r>
      <w:r>
        <w:t xml:space="preserve"> </w:t>
      </w:r>
      <w:r>
        <w:t xml:space="preserve">un problema similar: no basta con evaluar explicaciones; tambien deben</w:t>
      </w:r>
      <w:r>
        <w:t xml:space="preserve"> </w:t>
      </w:r>
      <w:r>
        <w:t xml:space="preserve">examinarse las metricas usadas para evaluarlas</w:t>
      </w:r>
      <w:r>
        <w:t xml:space="preserve"> </w:t>
      </w:r>
      <w:r>
        <w:t xml:space="preserve">(Tomsett et al. 2020)</w:t>
      </w:r>
      <w:r>
        <w:t xml:space="preserve">. Esta idea es</w:t>
      </w:r>
      <w:r>
        <w:t xml:space="preserve"> </w:t>
      </w:r>
      <w:r>
        <w:t xml:space="preserve">central para FOM-7, porque la tesis no puede tratar las metricas como</w:t>
      </w:r>
      <w:r>
        <w:t xml:space="preserve"> </w:t>
      </w:r>
      <w:r>
        <w:t xml:space="preserve">instrumentos neutrales. Debe documentar que mide cada metrica, bajo que</w:t>
      </w:r>
      <w:r>
        <w:t xml:space="preserve"> </w:t>
      </w:r>
      <w:r>
        <w:t xml:space="preserve">supuestos, y que afirmaciones permite sostener.</w:t>
      </w:r>
    </w:p>
    <w:p>
      <w:pPr>
        <w:pStyle w:val="Textoindependiente"/>
      </w:pPr>
      <w:r>
        <w:t xml:space="preserve">Los marcos existentes ofrecen piezas importantes del problema. Quantus facilita</w:t>
      </w:r>
      <w:r>
        <w:t xml:space="preserve"> </w:t>
      </w:r>
      <w:r>
        <w:t xml:space="preserve">la implementacion sistematica de metricas; OpenXAI promueve comparabilidad y</w:t>
      </w:r>
      <w:r>
        <w:t xml:space="preserve"> </w:t>
      </w:r>
      <w:r>
        <w:t xml:space="preserve">transparencia de benchmark; las taxonomias de evaluacion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integracion</w:t>
      </w:r>
      <w:r>
        <w:t xml:space="preserve"> </w:t>
      </w:r>
      <w:r>
        <w:t xml:space="preserve">operativa. Su pregunta no es solamente</w:t>
      </w:r>
      <w:r>
        <w:t xml:space="preserve"> </w:t>
      </w:r>
      <w:r>
        <w:t xml:space="preserve">“que metrica ejecutar”</w:t>
      </w:r>
      <w:r>
        <w:t xml:space="preserve">, sino como</w:t>
      </w:r>
      <w:r>
        <w:t xml:space="preserve"> </w:t>
      </w:r>
      <w:r>
        <w:t xml:space="preserve">asegurar que cada resultado metricamente calculado pueda transformarse en una</w:t>
      </w:r>
      <w:r>
        <w:t xml:space="preserve"> </w:t>
      </w:r>
      <w:r>
        <w:t xml:space="preserve">afirmacion doctoralmente admisible, con artefactos calificados y limites de</w:t>
      </w:r>
      <w:r>
        <w:t xml:space="preserve"> </w:t>
      </w:r>
      <w:r>
        <w:t xml:space="preserve">alcance explicitos.</w:t>
      </w:r>
    </w:p>
    <w:p>
      <w:pPr>
        <w:pStyle w:val="Textoindependiente"/>
      </w:pPr>
      <w:r>
        <w:t xml:space="preserve">En dominios de alta responsabilidad, como salud, esta distincion se vuelve aun</w:t>
      </w:r>
      <w:r>
        <w:t xml:space="preserve"> </w:t>
      </w:r>
      <w:r>
        <w:t xml:space="preserve">mas visible: las revisiones de XAI medico muestran que la explicabilidad debe</w:t>
      </w:r>
      <w:r>
        <w:t xml:space="preserve"> </w:t>
      </w:r>
      <w:r>
        <w:t xml:space="preserve">relacionarse con confianza, validacion, responsabilidad y restricciones del</w:t>
      </w:r>
      <w:r>
        <w:t xml:space="preserve"> </w:t>
      </w:r>
      <w:r>
        <w:t xml:space="preserve">contexto de uso, no solo con la disponibilidad de una visualizacion o una lista</w:t>
      </w:r>
      <w:r>
        <w:t xml:space="preserve"> </w:t>
      </w:r>
      <w:r>
        <w:t xml:space="preserve">de importancias</w:t>
      </w:r>
      <w:r>
        <w:t xml:space="preserve"> </w:t>
      </w:r>
      <w:r>
        <w:t xml:space="preserve">(Tjoa and Guan 2021)</w:t>
      </w:r>
      <w:r>
        <w:t xml:space="preserve">. Aunque esta tesis no se limita al dominio medico,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pPr>
      <w:r>
        <w:t xml:space="preserve">La literatura reciente sobre metricas XAI insiste en que la evaluacion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metodo puede ser rapido y estable, pero poco fiel; otro puede ser</w:t>
      </w:r>
      <w:r>
        <w:t xml:space="preserve"> </w:t>
      </w:r>
      <w:r>
        <w:t xml:space="preserve">fiel y costoso; otro puede ser comprensible pero fragil ante perturbaciones. La</w:t>
      </w:r>
      <w:r>
        <w:t xml:space="preserve"> </w:t>
      </w:r>
      <w:r>
        <w:t xml:space="preserve">consecuencia metodologica es clara: la tesis debe reportar perfiles de</w:t>
      </w:r>
      <w:r>
        <w:t xml:space="preserve"> </w:t>
      </w:r>
      <w:r>
        <w:t xml:space="preserve">desempeno, no rankings absolutos simplificados.</w:t>
      </w:r>
    </w:p>
    <w:p>
      <w:pPr>
        <w:pStyle w:val="Textoindependiente"/>
      </w:pPr>
      <w:r>
        <w:t xml:space="preserve">La perspectiva human-centered refuerza la misma conclusion desde otro angulo.</w:t>
      </w:r>
      <w:r>
        <w:t xml:space="preserve"> </w:t>
      </w:r>
      <w:r>
        <w:t xml:space="preserve">No hay una explicacion universalmente adecuada para todos los usuarios, tareas y</w:t>
      </w:r>
      <w:r>
        <w:t xml:space="preserve"> </w:t>
      </w:r>
      <w:r>
        <w:t xml:space="preserve">contextos. Las revisiones y estudios de usuarios muestran que la explicacion</w:t>
      </w:r>
      <w:r>
        <w:t xml:space="preserve"> </w:t>
      </w:r>
      <w:r>
        <w:t xml:space="preserve">puede servir para depurar modelos, justificar decisiones, calibrar confianza,</w:t>
      </w:r>
      <w:r>
        <w:t xml:space="preserve"> </w:t>
      </w:r>
      <w:r>
        <w:t xml:space="preserve">enseñar comportamiento del sistema, identificar errores o apoyar accion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perturbacion definida, menor coste computacional, mayor cobertura de regla o</w:t>
      </w:r>
      <w:r>
        <w:t xml:space="preserve"> </w:t>
      </w:r>
      <w:r>
        <w:t xml:space="preserve">mayor satisfaccion de un criterio contrafactual. Esta disciplina semantica es</w:t>
      </w:r>
      <w:r>
        <w:t xml:space="preserve"> </w:t>
      </w:r>
      <w:r>
        <w:t xml:space="preserve">parte del aporte teorico del protocolo.</w:t>
      </w:r>
    </w:p>
    <w:bookmarkEnd w:id="52"/>
    <w:bookmarkStart w:id="53" w:name="X82a78c653c89601e302dace09db1852d2686d17"/>
    <w:p>
      <w:pPr>
        <w:pStyle w:val="Ttulo2"/>
      </w:pPr>
      <w:r>
        <w:t xml:space="preserve">Taxonomias de metricas y brechas de constructo</w:t>
      </w:r>
    </w:p>
    <w:p>
      <w:pPr>
        <w:pStyle w:val="FirstParagraph"/>
      </w:pPr>
      <w:r>
        <w:t xml:space="preserve">La fidelidad mide hasta que punto una explicacion aproxima el comportamiento</w:t>
      </w:r>
      <w:r>
        <w:t xml:space="preserve"> </w:t>
      </w:r>
      <w:r>
        <w:t xml:space="preserve">observable del modelo. En metodos de sustitucion local, puede operacionalizarse</w:t>
      </w:r>
      <w:r>
        <w:t xml:space="preserve"> </w:t>
      </w:r>
      <w:r>
        <w:t xml:space="preserve">como acuerdo entre el modelo de caja negra y el sustituto en un vecindario</w:t>
      </w:r>
      <w:r>
        <w:t xml:space="preserve"> </w:t>
      </w:r>
      <w:r>
        <w:t xml:space="preserve">definido. Sin embargo, la fidelidad depende de como se construye ese</w:t>
      </w:r>
      <w:r>
        <w:t xml:space="preserve"> </w:t>
      </w:r>
      <w:r>
        <w:t xml:space="preserve">vecindario, de que instancias se consultan y de que diferencia se considera</w:t>
      </w:r>
      <w:r>
        <w:t xml:space="preserve"> </w:t>
      </w:r>
      <w:r>
        <w:t xml:space="preserve">relevante. Por ello, FOM-7 trata la fidelidad como un resultado condicionado por</w:t>
      </w:r>
      <w:r>
        <w:t xml:space="preserve"> </w:t>
      </w:r>
      <w:r>
        <w:t xml:space="preserve">decisiones experimentales, no como propiedad absoluta del metodo.</w:t>
      </w:r>
    </w:p>
    <w:p>
      <w:pPr>
        <w:pStyle w:val="Textoindependiente"/>
      </w:pPr>
      <w:r>
        <w:t xml:space="preserve">La fidelidad debe leerse como una relacion entre tres elementos: el modelo que</w:t>
      </w:r>
      <w:r>
        <w:t xml:space="preserve"> </w:t>
      </w:r>
      <w:r>
        <w:t xml:space="preserve">se explica, el artefacto explicativo y el dominio de comparacion.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atribucion aditiva bajo supuestos de referencia. En</w:t>
      </w:r>
      <w:r>
        <w:t xml:space="preserve"> </w:t>
      </w:r>
      <w:r>
        <w:t xml:space="preserve">Anchors, la fidelidad no aparece como peso continuo sino como precision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homogenea entre</w:t>
      </w:r>
      <w:r>
        <w:t xml:space="preserve"> </w:t>
      </w:r>
      <w:r>
        <w:t xml:space="preserve">familias explicativas; debe operacionalizarse segun el objeto que cada metodo</w:t>
      </w:r>
      <w:r>
        <w:t xml:space="preserve"> </w:t>
      </w:r>
      <w:r>
        <w:t xml:space="preserve">produce</w:t>
      </w:r>
      <w:r>
        <w:t xml:space="preserve"> </w:t>
      </w:r>
      <w:r>
        <w:t xml:space="preserve">(Guidotti et al. 2018; Carvalho et al. 2019; Nauta et al. 2023)</w:t>
      </w:r>
      <w:r>
        <w:t xml:space="preserve">.</w:t>
      </w:r>
    </w:p>
    <w:p>
      <w:pPr>
        <w:pStyle w:val="Textoindependiente"/>
      </w:pPr>
      <w:r>
        <w:t xml:space="preserve">La estabilidad evalua la consistencia de explicaciones ante variaciones</w:t>
      </w:r>
      <w:r>
        <w:t xml:space="preserve"> </w:t>
      </w:r>
      <w:r>
        <w:t xml:space="preserve">pequenas. Esta propiedad es central porque un usuario puede perder confianza si</w:t>
      </w:r>
      <w:r>
        <w:t xml:space="preserve"> </w:t>
      </w:r>
      <w:r>
        <w:t xml:space="preserve">instancias casi identicas reciben explicaciones incompatibles. Sin embargo, una</w:t>
      </w:r>
      <w:r>
        <w:t xml:space="preserve"> </w:t>
      </w:r>
      <w:r>
        <w:t xml:space="preserve">explicacion estable no es necesariamente correcta; puede repetir de forma</w:t>
      </w:r>
      <w:r>
        <w:t xml:space="preserve"> </w:t>
      </w:r>
      <w:r>
        <w:t xml:space="preserve">consistente una aproximacion pobre. La estabilidad debe leerse junto con</w:t>
      </w:r>
      <w:r>
        <w:t xml:space="preserve"> </w:t>
      </w:r>
      <w:r>
        <w:t xml:space="preserve">fidelidad, robustez y alcance del experimento.</w:t>
      </w:r>
    </w:p>
    <w:p>
      <w:pPr>
        <w:pStyle w:val="Textoindependiente"/>
      </w:pPr>
      <w:r>
        <w:t xml:space="preserve">En FOM-7, la estabilidad funciona como un control de sensibilidad. Su pregunta</w:t>
      </w:r>
      <w:r>
        <w:t xml:space="preserve"> </w:t>
      </w:r>
      <w:r>
        <w:t xml:space="preserve">no es si la explicacion es verdadera, sino si el explicador responde de forma</w:t>
      </w:r>
      <w:r>
        <w:t xml:space="preserve"> </w:t>
      </w:r>
      <w:r>
        <w:t xml:space="preserve">coherente ante variaciones que no deberian alterar sustancialmente la</w:t>
      </w:r>
      <w:r>
        <w:t xml:space="preserve"> </w:t>
      </w:r>
      <w:r>
        <w:t xml:space="preserve">interpretacion. Esta distincion es relevante porque algunos explicadores</w:t>
      </w:r>
      <w:r>
        <w:t xml:space="preserve"> </w:t>
      </w:r>
      <w:r>
        <w:t xml:space="preserve">post-hoc pueden variar por razones tecnicas ajenas al fenomeno que se desea</w:t>
      </w:r>
      <w:r>
        <w:t xml:space="preserve"> </w:t>
      </w:r>
      <w:r>
        <w:t xml:space="preserve">explicar, como el muestreo, la seleccion de caracteristicas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pPr>
      <w:r>
        <w:t xml:space="preserve">La robustez amplia el analisis hacia perturbaciones mayores, ataques o</w:t>
      </w:r>
      <w:r>
        <w:t xml:space="preserve"> </w:t>
      </w:r>
      <w:r>
        <w:t xml:space="preserve">condiciones fuera de distribucion. En evaluacion XAI, esto es especialmente</w:t>
      </w:r>
      <w:r>
        <w:t xml:space="preserve"> </w:t>
      </w:r>
      <w:r>
        <w:t xml:space="preserve">problematico porque muchas metricas operan alterando entradas. Si las entradas</w:t>
      </w:r>
      <w:r>
        <w:t xml:space="preserve"> </w:t>
      </w:r>
      <w:r>
        <w:t xml:space="preserve">alteradas dejan de representar casos plausibles del dominio, la metrica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pPr>
      <w:r>
        <w:t xml:space="preserve">La complejidad o sparsity evalua el tamano cognitivo del artefacto explicativo.</w:t>
      </w:r>
      <w:r>
        <w:t xml:space="preserve"> </w:t>
      </w:r>
      <w:r>
        <w:t xml:space="preserve">Explicaciones mas breves pueden ser mas comprensibles, pero la parquedad no</w:t>
      </w:r>
      <w:r>
        <w:t xml:space="preserve"> </w:t>
      </w:r>
      <w:r>
        <w:t xml:space="preserve">garantiza calidad. Una explicacion demasiado simple puede omitir factores</w:t>
      </w:r>
      <w:r>
        <w:t xml:space="preserve"> </w:t>
      </w:r>
      <w:r>
        <w:t xml:space="preserve">necesarios; una demasiado extensa puede ser tecnicamente rica pero inutil para</w:t>
      </w:r>
      <w:r>
        <w:t xml:space="preserve"> </w:t>
      </w:r>
      <w:r>
        <w:t xml:space="preserve">un usuario. FOM-7 usa complejidad como una dimension de perfil, no como criterio</w:t>
      </w:r>
      <w:r>
        <w:t xml:space="preserve"> </w:t>
      </w:r>
      <w:r>
        <w:t xml:space="preserve">supremo.</w:t>
      </w:r>
    </w:p>
    <w:p>
      <w:pPr>
        <w:pStyle w:val="Textoindependiente"/>
      </w:pPr>
      <w:r>
        <w:t xml:space="preserve">El coste computacional incorpora una dimension practica. Explicaciones que</w:t>
      </w:r>
      <w:r>
        <w:t xml:space="preserve"> </w:t>
      </w:r>
      <w:r>
        <w:t xml:space="preserve">requieren miles de consultas al modelo pueden ser aceptables en investigacion</w:t>
      </w:r>
      <w:r>
        <w:t xml:space="preserve"> </w:t>
      </w:r>
      <w:r>
        <w:t xml:space="preserve">offline, pero inadecuadas para sistemas interactivos o despliegues con</w:t>
      </w:r>
      <w:r>
        <w:t xml:space="preserve"> </w:t>
      </w:r>
      <w:r>
        <w:t xml:space="preserve">restricciones de latencia. La comparacion entre KernelSHAP y aproximaciones mas</w:t>
      </w:r>
      <w:r>
        <w:t xml:space="preserve"> </w:t>
      </w:r>
      <w:r>
        <w:t xml:space="preserve">rapidas muestra que la evaluacion debe incluir trade-offs de factibilidad.</w:t>
      </w:r>
    </w:p>
    <w:p>
      <w:pPr>
        <w:pStyle w:val="Textoindependiente"/>
      </w:pPr>
      <w:r>
        <w:t xml:space="preserve">El coste no es solamente una medida de eficiencia; tambien condiciona que</w:t>
      </w:r>
      <w:r>
        <w:t xml:space="preserve"> </w:t>
      </w:r>
      <w:r>
        <w:t xml:space="preserve">preguntas pueden contestarse dentro de un benchmark. Un metodo costoso puede</w:t>
      </w:r>
      <w:r>
        <w:t xml:space="preserve"> </w:t>
      </w:r>
      <w:r>
        <w:t xml:space="preserve">limitar el numero de instancias evaluadas, reducir la cantidad de semillas,</w:t>
      </w:r>
      <w:r>
        <w:t xml:space="preserve"> </w:t>
      </w:r>
      <w:r>
        <w:t xml:space="preserve">impedir analisis de sensibilidad o forzar aproximaciones. La literatura sobre</w:t>
      </w:r>
      <w:r>
        <w:t xml:space="preserve"> </w:t>
      </w:r>
      <w:r>
        <w:t xml:space="preserve">tractabilidad de SHAP ilustra que la complejidad computacional no es un detalle</w:t>
      </w:r>
      <w:r>
        <w:t xml:space="preserve"> </w:t>
      </w:r>
      <w:r>
        <w:t xml:space="preserve">de implementacion, sino una propiedad que afecta la admisibilidad experimental</w:t>
      </w:r>
      <w:r>
        <w:t xml:space="preserve"> </w:t>
      </w:r>
      <w:r>
        <w:t xml:space="preserve">(Van den Broeck et al. 2022)</w:t>
      </w:r>
      <w:r>
        <w:t xml:space="preserve">. FOM-7 incorpora el coste para evitar que la comparacion</w:t>
      </w:r>
      <w:r>
        <w:t xml:space="preserve"> </w:t>
      </w:r>
      <w:r>
        <w:t xml:space="preserve">privilegie explicaciones teoricamente atractivas pero impracticables bajo</w:t>
      </w:r>
      <w:r>
        <w:t xml:space="preserve"> </w:t>
      </w:r>
      <w:r>
        <w:t xml:space="preserve">restricciones reales.</w:t>
      </w:r>
    </w:p>
    <w:p>
      <w:pPr>
        <w:pStyle w:val="Textoindependiente"/>
      </w:pPr>
      <w:r>
        <w:t xml:space="preserve">La utilidad y la plausibilidad introducen una capa distinta. Una explicacion</w:t>
      </w:r>
      <w:r>
        <w:t xml:space="preserve"> </w:t>
      </w:r>
      <w:r>
        <w:t xml:space="preserve">puede ser util para un cientifico de datos que busca depurar un pipeline, para</w:t>
      </w:r>
      <w:r>
        <w:t xml:space="preserve"> </w:t>
      </w:r>
      <w:r>
        <w:t xml:space="preserve">un experto de dominio que evalua coherencia sustantiva o para un usuario que</w:t>
      </w:r>
      <w:r>
        <w:t xml:space="preserve"> </w:t>
      </w:r>
      <w:r>
        <w:t xml:space="preserve">necesita entender una decision. Sin embargo, esos usos no se derivan</w:t>
      </w:r>
      <w:r>
        <w:t xml:space="preserve"> </w:t>
      </w:r>
      <w:r>
        <w:t xml:space="preserve">automaticamente de las metricas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pPr>
      <w:r>
        <w:t xml:space="preserve">La brecha de constructo aparece cuando una metrica mide una propiedad cercana</w:t>
      </w:r>
      <w:r>
        <w:t xml:space="preserve"> </w:t>
      </w:r>
      <w:r>
        <w:t xml:space="preserve">pero no identica a la afirmacion que se desea hacer. Por ejemplo, una metrica de</w:t>
      </w:r>
      <w:r>
        <w:t xml:space="preserve"> </w:t>
      </w:r>
      <w:r>
        <w:t xml:space="preserve">fidelidad local no autoriza automaticamente afirmar utilidad humana; una metrica</w:t>
      </w:r>
      <w:r>
        <w:t xml:space="preserve"> </w:t>
      </w:r>
      <w:r>
        <w:t xml:space="preserve">de estabilidad no prueba causalidad; una regla Anchor precisa no garantiza</w:t>
      </w:r>
      <w:r>
        <w:t xml:space="preserve"> </w:t>
      </w:r>
      <w:r>
        <w:t xml:space="preserve">cobertura amplia; un contrafactual valido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pPr>
      <w:r>
        <w:t xml:space="preserve">El problema se agrava cuando la metrica produce una cifra facil de comparar. La</w:t>
      </w:r>
      <w:r>
        <w:t xml:space="preserve"> </w:t>
      </w:r>
      <w:r>
        <w:t xml:space="preserve">forma tabular puede sugerir una objetividad mayor que la realmente disponible.</w:t>
      </w:r>
      <w:r>
        <w:t xml:space="preserve"> </w:t>
      </w:r>
      <w:r>
        <w:t xml:space="preserve">Una diferencia numerica entre dos explicadores solo es significativa si la</w:t>
      </w:r>
      <w:r>
        <w:t xml:space="preserve"> </w:t>
      </w:r>
      <w:r>
        <w:t xml:space="preserve">metrica es valida para el constructo, si la variabilidad fue estimada, si el</w:t>
      </w:r>
      <w:r>
        <w:t xml:space="preserve"> </w:t>
      </w:r>
      <w:r>
        <w:t xml:space="preserve">procedimiento es reproducible y si la afirmacion resultante respeta el alcance</w:t>
      </w:r>
      <w:r>
        <w:t xml:space="preserve"> </w:t>
      </w:r>
      <w:r>
        <w:t xml:space="preserve">del experimento. Las revisiones de metodos y metricas insisten en la necesidad</w:t>
      </w:r>
      <w:r>
        <w:t xml:space="preserve"> </w:t>
      </w:r>
      <w:r>
        <w:t xml:space="preserve">de interpretar la evaluacion XAI como un conjunto de dimensiones relacionadas,</w:t>
      </w:r>
      <w:r>
        <w:t xml:space="preserve"> </w:t>
      </w:r>
      <w:r>
        <w:t xml:space="preserve">no como un unico eje de optimizacion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metodo, metrica, constructo, condicion experimental y claim.</w:t>
      </w:r>
    </w:p>
    <w:p>
      <w:pPr>
        <w:pStyle w:val="Textoindependiente"/>
      </w:pPr>
      <w:r>
        <w:t xml:space="preserve">La siguiente matriz resume esta alineacion entre metodos, objetos explicativos y</w:t>
      </w:r>
      <w:r>
        <w:t xml:space="preserve"> </w:t>
      </w:r>
      <w:r>
        <w:t xml:space="preserve">constructos de evaluacion. Su funcion no es sustituir el analisis empirico, sino</w:t>
      </w:r>
      <w:r>
        <w:t xml:space="preserve"> </w:t>
      </w:r>
      <w:r>
        <w:t xml:space="preserve">hacer explicita la razon por la cual FOM-7 evalua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Metodo</w:t>
            </w:r>
          </w:p>
        </w:tc>
        <w:tc>
          <w:tcPr/>
          <w:p>
            <w:pPr>
              <w:pStyle w:val="Compact"/>
            </w:pPr>
            <w:r>
              <w:t xml:space="preserve">Objeto explicativo principal</w:t>
            </w:r>
          </w:p>
        </w:tc>
        <w:tc>
          <w:tcPr/>
          <w:p>
            <w:pPr>
              <w:pStyle w:val="Compact"/>
            </w:pPr>
            <w:r>
              <w:t xml:space="preserve">Constructos naturalmente alineados</w:t>
            </w:r>
          </w:p>
        </w:tc>
        <w:tc>
          <w:tcPr/>
          <w:p>
            <w:pPr>
              <w:pStyle w:val="Compact"/>
            </w:pPr>
            <w:r>
              <w:t xml:space="preserve">Riesgos de evaluacion</w:t>
            </w:r>
          </w:p>
        </w:tc>
        <w:tc>
          <w:tcPr/>
          <w:p>
            <w:pPr>
              <w:pStyle w:val="Compact"/>
            </w:pPr>
            <w:r>
              <w:t xml:space="preserve">Lectura dentro de FOM-7</w:t>
            </w:r>
          </w:p>
        </w:tc>
      </w:tr>
      <w:tr>
        <w:tc>
          <w:tcPr/>
          <w:p>
            <w:pPr>
              <w:pStyle w:val="Compact"/>
            </w:pPr>
            <w:r>
              <w:t xml:space="preserve">LIME</w:t>
            </w:r>
          </w:p>
        </w:tc>
        <w:tc>
          <w:tcPr/>
          <w:p>
            <w:pPr>
              <w:pStyle w:val="Compact"/>
            </w:pPr>
            <w:r>
              <w:t xml:space="preserve">Sustituto local interpretable</w:t>
            </w:r>
          </w:p>
        </w:tc>
        <w:tc>
          <w:tcPr/>
          <w:p>
            <w:pPr>
              <w:pStyle w:val="Compact"/>
            </w:pPr>
            <w:r>
              <w:t xml:space="preserve">Fidelidad local, estabilidad, complejidad, coste</w:t>
            </w:r>
          </w:p>
        </w:tc>
        <w:tc>
          <w:tcPr/>
          <w:p>
            <w:pPr>
              <w:pStyle w:val="Compact"/>
            </w:pPr>
            <w:r>
              <w:t xml:space="preserve">Sensibilidad al muestreo, vecindarios artificiales, manipulabilidad post-hoc</w:t>
            </w:r>
          </w:p>
        </w:tc>
        <w:tc>
          <w:tcPr/>
          <w:p>
            <w:pPr>
              <w:pStyle w:val="Compact"/>
            </w:pPr>
            <w:r>
              <w:t xml:space="preserve">Valido como aproximacion local condicionada por parametros documentados</w:t>
            </w:r>
          </w:p>
        </w:tc>
      </w:tr>
      <w:tr>
        <w:tc>
          <w:tcPr/>
          <w:p>
            <w:pPr>
              <w:pStyle w:val="Compact"/>
            </w:pPr>
            <w:r>
              <w:t xml:space="preserve">SHAP</w:t>
            </w:r>
          </w:p>
        </w:tc>
        <w:tc>
          <w:tcPr/>
          <w:p>
            <w:pPr>
              <w:pStyle w:val="Compact"/>
            </w:pPr>
            <w:r>
              <w:t xml:space="preserve">Atribucion aditiva de caracteristicas</w:t>
            </w:r>
          </w:p>
        </w:tc>
        <w:tc>
          <w:tcPr/>
          <w:p>
            <w:pPr>
              <w:pStyle w:val="Compact"/>
            </w:pPr>
            <w:r>
              <w:t xml:space="preserve">Consistencia atributiva, coste, estabilidad, sensibilidad al conjunto de referencia</w:t>
            </w:r>
          </w:p>
        </w:tc>
        <w:tc>
          <w:tcPr/>
          <w:p>
            <w:pPr>
              <w:pStyle w:val="Compact"/>
            </w:pPr>
            <w:r>
              <w:t xml:space="preserve">Coste elevado, supuestos sobre ausencia/presencia de variables, lectura causal indebida</w:t>
            </w:r>
          </w:p>
        </w:tc>
        <w:tc>
          <w:tcPr/>
          <w:p>
            <w:pPr>
              <w:pStyle w:val="Compact"/>
            </w:pPr>
            <w:r>
              <w:t xml:space="preserve">Valido como perfil de atribucion bajo variante y referencia especificadas</w:t>
            </w:r>
          </w:p>
        </w:tc>
      </w:tr>
      <w:tr>
        <w:tc>
          <w:tcPr/>
          <w:p>
            <w:pPr>
              <w:pStyle w:val="Compact"/>
            </w:pPr>
            <w:r>
              <w:t xml:space="preserve">Anchors</w:t>
            </w:r>
          </w:p>
        </w:tc>
        <w:tc>
          <w:tcPr/>
          <w:p>
            <w:pPr>
              <w:pStyle w:val="Compact"/>
            </w:pPr>
            <w:r>
              <w:t xml:space="preserve">Regla local de alta precision</w:t>
            </w:r>
          </w:p>
        </w:tc>
        <w:tc>
          <w:tcPr/>
          <w:p>
            <w:pPr>
              <w:pStyle w:val="Compact"/>
            </w:pPr>
            <w:r>
              <w:t xml:space="preserve">Precision, cobertura, complejidad de regla, reproducibilidad</w:t>
            </w:r>
          </w:p>
        </w:tc>
        <w:tc>
          <w:tcPr/>
          <w:p>
            <w:pPr>
              <w:pStyle w:val="Compact"/>
            </w:pPr>
            <w:r>
              <w:t xml:space="preserve">Reglas demasiado estrechas, cobertura limitada, comparacion dificil con atribuciones</w:t>
            </w:r>
          </w:p>
        </w:tc>
        <w:tc>
          <w:tcPr/>
          <w:p>
            <w:pPr>
              <w:pStyle w:val="Compact"/>
            </w:pPr>
            <w:r>
              <w:t xml:space="preserve">Valido como evidencia condicional cuando precision y cobertura se reportan juntas</w:t>
            </w:r>
          </w:p>
        </w:tc>
      </w:tr>
      <w:tr>
        <w:tc>
          <w:tcPr/>
          <w:p>
            <w:pPr>
              <w:pStyle w:val="Compact"/>
            </w:pPr>
            <w:r>
              <w:t xml:space="preserve">DiCE</w:t>
            </w:r>
          </w:p>
        </w:tc>
        <w:tc>
          <w:tcPr/>
          <w:p>
            <w:pPr>
              <w:pStyle w:val="Compact"/>
            </w:pPr>
            <w:r>
              <w:t xml:space="preserve">Conjunto de contrafactuales diversos</w:t>
            </w:r>
          </w:p>
        </w:tc>
        <w:tc>
          <w:tcPr/>
          <w:p>
            <w:pPr>
              <w:pStyle w:val="Compact"/>
            </w:pPr>
            <w:r>
              <w:t xml:space="preserve">Validez, proximidad, diversidad, factibilidad, accionabilidad</w:t>
            </w:r>
          </w:p>
        </w:tc>
        <w:tc>
          <w:tcPr/>
          <w:p>
            <w:pPr>
              <w:pStyle w:val="Compact"/>
            </w:pPr>
            <w:r>
              <w:t xml:space="preserve">Cambios imposibles, recourse no garantizado, confundir cambio de etiqueta con accion real</w:t>
            </w:r>
          </w:p>
        </w:tc>
        <w:tc>
          <w:tcPr/>
          <w:p>
            <w:pPr>
              <w:pStyle w:val="Compact"/>
            </w:pPr>
            <w:r>
              <w:t xml:space="preserve">Valido como evidencia contrafactual bajo restricciones de factibilidad explicitadas</w:t>
            </w:r>
          </w:p>
        </w:tc>
      </w:tr>
    </w:tbl>
    <w:p>
      <w:pPr>
        <w:pStyle w:val="Textoindependiente"/>
      </w:pPr>
      <w:r>
        <w:t xml:space="preserve">La matriz tambien muestra que la comparacion entre metodos es necesariamente</w:t>
      </w:r>
      <w:r>
        <w:t xml:space="preserve"> </w:t>
      </w:r>
      <w:r>
        <w:t xml:space="preserve">asimetrica. LIME y SHAP pueden compararse parcialmente en terminos de</w:t>
      </w:r>
      <w:r>
        <w:t xml:space="preserve"> </w:t>
      </w:r>
      <w:r>
        <w:t xml:space="preserve">atribucion o fidelidad local, pero Anchors introduce cobertura de regla y DiCE</w:t>
      </w:r>
      <w:r>
        <w:t xml:space="preserve"> </w:t>
      </w:r>
      <w:r>
        <w:t xml:space="preserve">introduce accionabilidad contrafactual. Si el protocolo fuerza una escala unica,</w:t>
      </w:r>
      <w:r>
        <w:t xml:space="preserve"> </w:t>
      </w:r>
      <w:r>
        <w:t xml:space="preserve">puede castigar a un metodo por no producir el tipo de artefacto que la metrica</w:t>
      </w:r>
      <w:r>
        <w:t xml:space="preserve"> </w:t>
      </w:r>
      <w:r>
        <w:t xml:space="preserve">espera. FOM-7 evita ese error al requerir que cada conclusion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3"/>
    <w:bookmarkStart w:id="54" w:name="X56f8700cbeeed185eff27b2505360753d99a361"/>
    <w:p>
      <w:pPr>
        <w:pStyle w:val="Ttulo2"/>
      </w:pPr>
      <w:r>
        <w:t xml:space="preserve">Reproducibilidad y trazabilidad en benchmarking XAI</w:t>
      </w:r>
    </w:p>
    <w:p>
      <w:pPr>
        <w:pStyle w:val="FirstParagraph"/>
      </w:pPr>
      <w:r>
        <w:t xml:space="preserve">La reproducibilidad en XAI no se limita a publicar codigo. Un benchmark de</w:t>
      </w:r>
      <w:r>
        <w:t xml:space="preserve"> </w:t>
      </w:r>
      <w:r>
        <w:t xml:space="preserve">explicaciones depende de versiones de datos, modelos, semillas, hiperparametros,</w:t>
      </w:r>
      <w:r>
        <w:t xml:space="preserve"> </w:t>
      </w:r>
      <w:r>
        <w:t xml:space="preserve">metodos de perturbacion, parametros de explicadores, definiciones de metricas y</w:t>
      </w:r>
      <w:r>
        <w:t xml:space="preserve"> </w:t>
      </w:r>
      <w:r>
        <w:t xml:space="preserve">reglas de agregacion. Si estos elementos no se registran, dos estudios pueden</w:t>
      </w:r>
      <w:r>
        <w:t xml:space="preserve"> </w:t>
      </w:r>
      <w:r>
        <w:t xml:space="preserve">usar el mismo nombre de metodo y producir evidencia no comparable. La</w:t>
      </w:r>
      <w:r>
        <w:t xml:space="preserve"> </w:t>
      </w:r>
      <w:r>
        <w:t xml:space="preserve">reproducibilidad requiere entonces una descripcion del pipeline completo.</w:t>
      </w:r>
    </w:p>
    <w:p>
      <w:pPr>
        <w:pStyle w:val="Textoindependiente"/>
      </w:pPr>
      <w:r>
        <w:t xml:space="preserve">La literatura de evaluacion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metodo aunque en realidad sea una propiedad de una configuracion concreta.</w:t>
      </w:r>
      <w:r>
        <w:t xml:space="preserve"> </w:t>
      </w:r>
      <w:r>
        <w:t xml:space="preserve">Por eso, el paso desde evaluacion anecdotica hacia evaluacion cuantitativa debe</w:t>
      </w:r>
      <w:r>
        <w:t xml:space="preserve"> </w:t>
      </w:r>
      <w:r>
        <w:t xml:space="preserve">acompanarse de una disciplina de trazabilidad: no basta con que una metrica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pPr>
      <w:r>
        <w:t xml:space="preserve">FOM-7 incorpora esta preocupacion mediante una secuencia de control: congelar el</w:t>
      </w:r>
      <w:r>
        <w:t xml:space="preserve"> </w:t>
      </w:r>
      <w:r>
        <w:t xml:space="preserve">diseno experimental, calificar artefactos, ejecutar metricas armonizadas,</w:t>
      </w:r>
      <w:r>
        <w:t xml:space="preserve"> </w:t>
      </w:r>
      <w:r>
        <w:t xml:space="preserve">aplicar criterios estadisticos,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pPr>
      <w:r>
        <w:t xml:space="preserve">Esta secuencia tambien protege contra un problema frecuente en revisiones</w:t>
      </w:r>
      <w:r>
        <w:t xml:space="preserve"> </w:t>
      </w:r>
      <w:r>
        <w:t xml:space="preserve">comparativas: la conversion de resultados de herramienta en conclusiones de</w:t>
      </w:r>
      <w:r>
        <w:t xml:space="preserve"> </w:t>
      </w:r>
      <w:r>
        <w:t xml:space="preserve">teoria. Un toolkit puede calcular metricas correctamente y, aun asi, el estudio</w:t>
      </w:r>
      <w:r>
        <w:t xml:space="preserve"> </w:t>
      </w:r>
      <w:r>
        <w:t xml:space="preserve">puede sobreinterpretar el resultado si no distingue entre constructo medido,</w:t>
      </w:r>
      <w:r>
        <w:t xml:space="preserve"> </w:t>
      </w:r>
      <w:r>
        <w:t xml:space="preserve">objeto explicativo y alcance del dataset. Los sanity checks de metricas y las</w:t>
      </w:r>
      <w:r>
        <w:t xml:space="preserve"> </w:t>
      </w:r>
      <w:r>
        <w:t xml:space="preserve">criticas a explicaciones post-hoc muestran que tanto los explicadores como los</w:t>
      </w:r>
      <w:r>
        <w:t xml:space="preserve"> </w:t>
      </w:r>
      <w:r>
        <w:t xml:space="preserve">instrumentos de evaluacion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calificacion del artefacto y la admisibilidad del claim sean pasos explicitos,</w:t>
      </w:r>
      <w:r>
        <w:t xml:space="preserve"> </w:t>
      </w:r>
      <w:r>
        <w:t xml:space="preserve">no inferencias dejadas al lector.</w:t>
      </w:r>
    </w:p>
    <w:p>
      <w:pPr>
        <w:pStyle w:val="Textoindependiente"/>
      </w:pPr>
      <w:r>
        <w:t xml:space="preserve">La trazabilidad de afirmaciones es especialmente relevante para una tesis</w:t>
      </w:r>
      <w:r>
        <w:t xml:space="preserve"> </w:t>
      </w:r>
      <w:r>
        <w:t xml:space="preserve">doctoral. Cada afirmacion fuerte debe poder regresar a una tabla, figura,</w:t>
      </w:r>
      <w:r>
        <w:t xml:space="preserve"> </w:t>
      </w:r>
      <w:r>
        <w:t xml:space="preserve">metrica, prueba estadistica o decision metodologica. Si se afirma que un metodo</w:t>
      </w:r>
      <w:r>
        <w:t xml:space="preserve"> </w:t>
      </w:r>
      <w:r>
        <w:t xml:space="preserve">es mas estable, debe quedar claro en que dataset, modelo, configuracion,</w:t>
      </w:r>
      <w:r>
        <w:t xml:space="preserve"> </w:t>
      </w:r>
      <w:r>
        <w:t xml:space="preserve">vecindario, semilla y metrica se observo esa estabilidad. Si se afirma que un</w:t>
      </w:r>
      <w:r>
        <w:t xml:space="preserve"> </w:t>
      </w:r>
      <w:r>
        <w:t xml:space="preserve">metodo es preferible, debe especificarse preferible respecto a que criterio y</w:t>
      </w:r>
      <w:r>
        <w:t xml:space="preserve"> </w:t>
      </w:r>
      <w:r>
        <w:t xml:space="preserve">bajo que restricciones.</w:t>
      </w:r>
    </w:p>
    <w:p>
      <w:pPr>
        <w:pStyle w:val="Textoindependiente"/>
      </w:pPr>
      <w:r>
        <w:t xml:space="preserve">Esta disciplina tambien protege contra sobreclaiming. FOM-7 no convierte la</w:t>
      </w:r>
      <w:r>
        <w:t xml:space="preserve"> </w:t>
      </w:r>
      <w:r>
        <w:t xml:space="preserve">evaluacion functionally-grounded en evidencia application-grounded. Tampoco</w:t>
      </w:r>
      <w:r>
        <w:t xml:space="preserve"> </w:t>
      </w:r>
      <w:r>
        <w:t xml:space="preserve">pretende resolver todos los problemas human-centered de la XAI. Su contribucion</w:t>
      </w:r>
      <w:r>
        <w:t xml:space="preserve"> </w:t>
      </w:r>
      <w:r>
        <w:t xml:space="preserve">es mas precisa: construir un protocolo operacional para producir evidencia</w:t>
      </w:r>
      <w:r>
        <w:t xml:space="preserve"> </w:t>
      </w:r>
      <w:r>
        <w:t xml:space="preserve">multinivel, reproducible y trazable en un benchmark de explicaciones post-hoc.</w:t>
      </w:r>
    </w:p>
    <w:p>
      <w:pPr>
        <w:pStyle w:val="Textoindependiente"/>
      </w:pPr>
      <w:r>
        <w:t xml:space="preserve">La consecuencia practica es que cada tabla de resultados debe leerse como una</w:t>
      </w:r>
      <w:r>
        <w:t xml:space="preserve"> </w:t>
      </w:r>
      <w:r>
        <w:t xml:space="preserve">tabla de evidencia condicionada. Un valor de fidelidad pertenece a una</w:t>
      </w:r>
      <w:r>
        <w:t xml:space="preserve"> </w:t>
      </w:r>
      <w:r>
        <w:t xml:space="preserve">combinacion de modelo, dataset, explicador, perturbacion y criterio de</w:t>
      </w:r>
      <w:r>
        <w:t xml:space="preserve"> </w:t>
      </w:r>
      <w:r>
        <w:t xml:space="preserve">agregacion. Un valor de estabilidad pertenece a una definicion de vecindario y</w:t>
      </w:r>
      <w:r>
        <w:t xml:space="preserve"> </w:t>
      </w:r>
      <w:r>
        <w:t xml:space="preserve">a una clase de variacion. Una medicion de coste pertenece a una configuracion de</w:t>
      </w:r>
      <w:r>
        <w:t xml:space="preserve"> </w:t>
      </w:r>
      <w:r>
        <w:t xml:space="preserve">hardware, implementacion y parametros. Sin esta informacion, la comparacion</w:t>
      </w:r>
      <w:r>
        <w:t xml:space="preserve"> </w:t>
      </w:r>
      <w:r>
        <w:t xml:space="preserve">puede ser util como orientacion preliminar, pero debil como evidencia doctoral.</w:t>
      </w:r>
      <w:r>
        <w:t xml:space="preserve"> </w:t>
      </w:r>
      <w:r>
        <w:t xml:space="preserve">Con esta informacion,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medicion”</w:t>
      </w:r>
      <w:r>
        <w:t xml:space="preserve">. Ese cambio de lenguaje es una parte sustantiva de la contribucion</w:t>
      </w:r>
      <w:r>
        <w:t xml:space="preserve"> </w:t>
      </w:r>
      <w:r>
        <w:t xml:space="preserve">metodologica.</w:t>
      </w:r>
    </w:p>
    <w:bookmarkEnd w:id="54"/>
    <w:bookmarkStart w:id="55" w:name="sintesis-critica-justificacion-de-fom-7"/>
    <w:p>
      <w:pPr>
        <w:pStyle w:val="Ttulo2"/>
      </w:pPr>
      <w:r>
        <w:t xml:space="preserve">Sintesis critica: justificacion de FOM-7</w:t>
      </w:r>
    </w:p>
    <w:p>
      <w:pPr>
        <w:pStyle w:val="FirstParagraph"/>
      </w:pPr>
      <w:r>
        <w:t xml:space="preserve">La revision permite formular la brecha central de la tesis. La literatura ofrece</w:t>
      </w:r>
      <w:r>
        <w:t xml:space="preserve"> </w:t>
      </w:r>
      <w:r>
        <w:t xml:space="preserve">metodos de explicacion influyentes, como LIME, SHAP, Anchors y DiCE. Tambien</w:t>
      </w:r>
      <w:r>
        <w:t xml:space="preserve"> </w:t>
      </w:r>
      <w:r>
        <w:t xml:space="preserve">ofrece marcos de evaluacion y toolkits, como Quantus y OpenXAI. Ademas,</w:t>
      </w:r>
      <w:r>
        <w:t xml:space="preserve"> </w:t>
      </w:r>
      <w:r>
        <w:t xml:space="preserve">dispone de taxonomias conceptuales que distinguen tipos de evaluacion,</w:t>
      </w:r>
      <w:r>
        <w:t xml:space="preserve"> </w:t>
      </w:r>
      <w:r>
        <w:t xml:space="preserve">constructos metricos y niveles de participacion humana. El problema, por tanto,</w:t>
      </w:r>
      <w:r>
        <w:t xml:space="preserve"> </w:t>
      </w:r>
      <w:r>
        <w:t xml:space="preserve">no es la ausencia total de recursos teoricos o tecnicos.</w:t>
      </w:r>
    </w:p>
    <w:p>
      <w:pPr>
        <w:pStyle w:val="Textoindependiente"/>
      </w:pPr>
      <w:r>
        <w:t xml:space="preserve">La brecha reside en la integracion operacional. En la practica, evaluar XAI para</w:t>
      </w:r>
      <w:r>
        <w:t xml:space="preserve"> </w:t>
      </w:r>
      <w:r>
        <w:t xml:space="preserve">fines comparativos exige responder preguntas encadenadas: que artefactos son</w:t>
      </w:r>
      <w:r>
        <w:t xml:space="preserve"> </w:t>
      </w:r>
      <w:r>
        <w:t xml:space="preserve">admisibles, que metodos se comparan, bajo que datasets y modelos, con que</w:t>
      </w:r>
      <w:r>
        <w:t xml:space="preserve"> </w:t>
      </w:r>
      <w:r>
        <w:t xml:space="preserve">parametros, mediante que metricas, con que controles estadisticos, bajo que</w:t>
      </w:r>
      <w:r>
        <w:t xml:space="preserve"> </w:t>
      </w:r>
      <w:r>
        <w:t xml:space="preserve">criterios de reproducibilidad y con que limites de interpretacion. Cuando estas</w:t>
      </w:r>
      <w:r>
        <w:t xml:space="preserve"> </w:t>
      </w:r>
      <w:r>
        <w:t xml:space="preserve">decisiones no se integran en un protocolo, la evaluacion puede producir tablas</w:t>
      </w:r>
      <w:r>
        <w:t xml:space="preserve"> </w:t>
      </w:r>
      <w:r>
        <w:t xml:space="preserve">aparentemente rigurosas pero debiles como evidencia cientifica.</w:t>
      </w:r>
    </w:p>
    <w:p>
      <w:pPr>
        <w:pStyle w:val="Textoindependiente"/>
      </w:pPr>
      <w:r>
        <w:t xml:space="preserve">Esta brecha no debe formularse como una descalificacion de los marcos</w:t>
      </w:r>
      <w:r>
        <w:t xml:space="preserve"> </w:t>
      </w:r>
      <w:r>
        <w:t xml:space="preserve">existentes. Quantus, OpenXAI y las revisiones sistematicas recientes representan</w:t>
      </w:r>
      <w:r>
        <w:t xml:space="preserve"> </w:t>
      </w:r>
      <w:r>
        <w:t xml:space="preserve">avances reales hacia la estandarizacion, la comparabilidad y la cuantificacion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terminos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metricas; un protocolo doctoral debe decir cuando esas metricas son admisibles,</w:t>
      </w:r>
      <w:r>
        <w:t xml:space="preserve"> </w:t>
      </w:r>
      <w:r>
        <w:t xml:space="preserve">como se documentan, como se comparan, que inferencias permiten y que limites</w:t>
      </w:r>
      <w:r>
        <w:t xml:space="preserve"> </w:t>
      </w:r>
      <w:r>
        <w:t xml:space="preserve">conservan.</w:t>
      </w:r>
    </w:p>
    <w:p>
      <w:pPr>
        <w:pStyle w:val="Textoindependiente"/>
      </w:pPr>
      <w:r>
        <w:t xml:space="preserve">La revision tambien muestra que las familias de explicacion no comparten una</w:t>
      </w:r>
      <w:r>
        <w:t xml:space="preserve"> </w:t>
      </w:r>
      <w:r>
        <w:t xml:space="preserve">ontologia unica.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comparacion debe ser multinivel porque cada metodo se relaciona</w:t>
      </w:r>
      <w:r>
        <w:t xml:space="preserve"> </w:t>
      </w:r>
      <w:r>
        <w:t xml:space="preserve">de manera distinta con fidelidad, estabilidad, coste, cobertura, accionabilidad</w:t>
      </w:r>
      <w:r>
        <w:t xml:space="preserve"> </w:t>
      </w:r>
      <w:r>
        <w:t xml:space="preserve">y utilidad. La matriz anterior formaliza esta asimetria y convierte una</w:t>
      </w:r>
      <w:r>
        <w:t xml:space="preserve"> </w:t>
      </w:r>
      <w:r>
        <w:t xml:space="preserve">observacion teorica en una regla metodologica: ninguna conclusion comparativa</w:t>
      </w:r>
      <w:r>
        <w:t xml:space="preserve"> </w:t>
      </w:r>
      <w:r>
        <w:t xml:space="preserve">puede separarse del tipo de objeto explicativo que la sostiene.</w:t>
      </w:r>
    </w:p>
    <w:p>
      <w:pPr>
        <w:pStyle w:val="Textoindependiente"/>
      </w:pPr>
      <w:r>
        <w:t xml:space="preserve">El tercer elemento de la brecha es la admisibilidad estadistica. Una diferencia</w:t>
      </w:r>
      <w:r>
        <w:t xml:space="preserve"> </w:t>
      </w:r>
      <w:r>
        <w:t xml:space="preserve">observada entre metodos no basta para sostener una afirmacion doctoral si no se</w:t>
      </w:r>
      <w:r>
        <w:t xml:space="preserve"> </w:t>
      </w:r>
      <w:r>
        <w:t xml:space="preserve">acompaña de controles sobre variabilidad, repeticion, comparabilidad y alcance.</w:t>
      </w:r>
      <w:r>
        <w:t xml:space="preserve"> </w:t>
      </w:r>
      <w:r>
        <w:t xml:space="preserve">La literatura de benchmarking XAI ha avanzado al ofrecer metricas y esquemas de</w:t>
      </w:r>
      <w:r>
        <w:t xml:space="preserve"> </w:t>
      </w:r>
      <w:r>
        <w:t xml:space="preserve">evaluacion, pero el paso desde resultado numerico hasta claim requiere una capa</w:t>
      </w:r>
      <w:r>
        <w:t xml:space="preserve"> </w:t>
      </w:r>
      <w:r>
        <w:t xml:space="preserve">de decision metodologica.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estadistica es apropiada, si los artefactos</w:t>
      </w:r>
      <w:r>
        <w:t xml:space="preserve"> </w:t>
      </w:r>
      <w:r>
        <w:t xml:space="preserve">son comparables y si la conclusion respeta el constructo evaluado.</w:t>
      </w:r>
    </w:p>
    <w:p>
      <w:pPr>
        <w:pStyle w:val="Textoindependiente"/>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afirmacion hasta sus condiciones de produccion. Esta trazabilidad</w:t>
      </w:r>
      <w:r>
        <w:t xml:space="preserve"> </w:t>
      </w:r>
      <w:r>
        <w:t xml:space="preserve">incluye referencias bibliograficas, definiciones conceptuales, decisiones de</w:t>
      </w:r>
      <w:r>
        <w:t xml:space="preserve"> </w:t>
      </w:r>
      <w:r>
        <w:t xml:space="preserve">diseno, configuraciones experimentales, metricas, pruebas estadisticas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Asi,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pPr>
      <w:r>
        <w:t xml:space="preserve">FOM-7 se justifica como respuesta a esa brecha. Su aporte no es proponer una</w:t>
      </w:r>
      <w:r>
        <w:t xml:space="preserve"> </w:t>
      </w:r>
      <w:r>
        <w:t xml:space="preserve">metrica aislada ni afirmar que un metodo de explicacion domina universalmente a</w:t>
      </w:r>
      <w:r>
        <w:t xml:space="preserve"> </w:t>
      </w:r>
      <w:r>
        <w:t xml:space="preserve">los demas. Su aporte es estructurar un proceso de evaluacion multinivel que</w:t>
      </w:r>
      <w:r>
        <w:t xml:space="preserve"> </w:t>
      </w:r>
      <w:r>
        <w:t xml:space="preserve">conecta diseno experimental, calificacion de artefactos, medicion,</w:t>
      </w:r>
      <w:r>
        <w:t xml:space="preserve"> </w:t>
      </w:r>
      <w:r>
        <w:t xml:space="preserve">admisibilidad estadistica, reproducibilidad y trazabilidad de claims. Esta</w:t>
      </w:r>
      <w:r>
        <w:t xml:space="preserve"> </w:t>
      </w:r>
      <w:r>
        <w:t xml:space="preserve">conexion permite que las conclusiones de la tesis sean evaluables, replicables y</w:t>
      </w:r>
      <w:r>
        <w:t xml:space="preserve"> </w:t>
      </w:r>
      <w:r>
        <w:t xml:space="preserve">delimitadas.</w:t>
      </w:r>
    </w:p>
    <w:p>
      <w:pPr>
        <w:pStyle w:val="Textoindependiente"/>
      </w:pPr>
      <w:r>
        <w:t xml:space="preserve">En consecuencia, FOM-7 puede describirse como una contribucion de gobernanza</w:t>
      </w:r>
      <w:r>
        <w:t xml:space="preserve"> </w:t>
      </w:r>
      <w:r>
        <w:t xml:space="preserve">metodologica para evaluacion XAI. No compite con LIME, SHAP, Anchors o DiCE,</w:t>
      </w:r>
      <w:r>
        <w:t xml:space="preserve"> </w:t>
      </w:r>
      <w:r>
        <w:t xml:space="preserve">porque no es un explicador. No compite con Quantus u OpenXAI como libreria de</w:t>
      </w:r>
      <w:r>
        <w:t xml:space="preserve"> </w:t>
      </w:r>
      <w:r>
        <w:t xml:space="preserve">metricas, porque su foco no es ampliar el catalogo de implementaciones. Su</w:t>
      </w:r>
      <w:r>
        <w:t xml:space="preserve"> </w:t>
      </w:r>
      <w:r>
        <w:t xml:space="preserve">espacio propio esta en coordinar los pasos que permiten convertir explicaciones</w:t>
      </w:r>
      <w:r>
        <w:t xml:space="preserve"> </w:t>
      </w:r>
      <w:r>
        <w:t xml:space="preserve">y metricas en evidencia cientifica: seleccion de artefactos, congelamiento de</w:t>
      </w:r>
      <w:r>
        <w:t xml:space="preserve"> </w:t>
      </w:r>
      <w:r>
        <w:t xml:space="preserve">condiciones, ejecucion comparable, analisis estadistico, perfil reproducible y</w:t>
      </w:r>
      <w:r>
        <w:t xml:space="preserve"> </w:t>
      </w:r>
      <w:r>
        <w:t xml:space="preserve">claim trazable. Esta posicion hace que la contribucion sea defendible sin</w:t>
      </w:r>
      <w:r>
        <w:t xml:space="preserve"> </w:t>
      </w:r>
      <w:r>
        <w:t xml:space="preserve">sobreclaiming.</w:t>
      </w:r>
    </w:p>
    <w:p>
      <w:pPr>
        <w:pStyle w:val="Textoindependiente"/>
      </w:pPr>
      <w:r>
        <w:t xml:space="preserve">El capitulo tambien delimita lo que FOM-7 no demuestra. No demuestra utilidad</w:t>
      </w:r>
      <w:r>
        <w:t xml:space="preserve"> </w:t>
      </w:r>
      <w:r>
        <w:t xml:space="preserve">humana directa, porque esa afirmacion requeriria estudios human-grounded o</w:t>
      </w:r>
      <w:r>
        <w:t xml:space="preserve"> </w:t>
      </w:r>
      <w:r>
        <w:t xml:space="preserve">application-grounded especificos</w:t>
      </w:r>
      <w:r>
        <w:t xml:space="preserve"> </w:t>
      </w:r>
      <w:r>
        <w:t xml:space="preserve">(Doshi-Velez 2017; Hase and Bansal 2020; Rong et al. 2024)</w:t>
      </w:r>
      <w:r>
        <w:t xml:space="preserve">. No</w:t>
      </w:r>
      <w:r>
        <w:t xml:space="preserve"> </w:t>
      </w:r>
      <w:r>
        <w:t xml:space="preserve">demuestra verdad causal de las explicaciones, porque las metricas</w:t>
      </w:r>
      <w:r>
        <w:t xml:space="preserve"> </w:t>
      </w:r>
      <w:r>
        <w:t xml:space="preserve">functionally-grounded operan sobre proxies definidos. No demuestra superioridad</w:t>
      </w:r>
      <w:r>
        <w:t xml:space="preserve"> </w:t>
      </w:r>
      <w:r>
        <w:t xml:space="preserve">universal de un metodo, porque los metodos producen objetos heterogeneos y</w:t>
      </w:r>
      <w:r>
        <w:t xml:space="preserve"> </w:t>
      </w:r>
      <w:r>
        <w:t xml:space="preserve">responden a constructos distintos. Estas limitaciones no debilitan la tesis; al</w:t>
      </w:r>
      <w:r>
        <w:t xml:space="preserve"> </w:t>
      </w:r>
      <w:r>
        <w:t xml:space="preserve">contrario, fortalecen su precision. Un protocolo doctoral robusto no elimina los</w:t>
      </w:r>
      <w:r>
        <w:t xml:space="preserve"> </w:t>
      </w:r>
      <w:r>
        <w:t xml:space="preserve">limites, los vuelve visibles y auditables.</w:t>
      </w:r>
    </w:p>
    <w:p>
      <w:pPr>
        <w:pStyle w:val="Textoindependiente"/>
      </w:pPr>
      <w:r>
        <w:t xml:space="preserve">Desde esta perspectiva, el capitulo 2 cumple una funcion argumentativa:</w:t>
      </w:r>
      <w:r>
        <w:t xml:space="preserve"> </w:t>
      </w:r>
      <w:r>
        <w:t xml:space="preserve">demuestra que la XAI ha madurado como campo de metodos, que la evaluacion ha</w:t>
      </w:r>
      <w:r>
        <w:t xml:space="preserve"> </w:t>
      </w:r>
      <w:r>
        <w:t xml:space="preserve">avanzado mediante taxonomias y toolkits, y que aun falta una capa operacional</w:t>
      </w:r>
      <w:r>
        <w:t xml:space="preserve"> </w:t>
      </w:r>
      <w:r>
        <w:t xml:space="preserve">que gobierne el paso desde resultados metricos hacia afirmaciones cientificas.</w:t>
      </w:r>
      <w:r>
        <w:t xml:space="preserve"> </w:t>
      </w:r>
      <w:r>
        <w:t xml:space="preserve">Esa capa es el espacio de contribucion de FOM-7 y el puente conceptual hacia el</w:t>
      </w:r>
      <w:r>
        <w:t xml:space="preserve"> </w:t>
      </w:r>
      <w:r>
        <w:t xml:space="preserve">diseno experimental desarrollado en el capitulo siguiente.</w:t>
      </w:r>
    </w:p>
    <w:p>
      <w:pPr>
        <w:pStyle w:val="Textoindependiente"/>
      </w:pPr>
      <w:r>
        <w:t xml:space="preserve">El resultado de esta revision es, por tanto, una tesis de transicion: la</w:t>
      </w:r>
      <w:r>
        <w:t xml:space="preserve"> </w:t>
      </w:r>
      <w:r>
        <w:t xml:space="preserve">literatura no necesita solamente mas explicadores ni solamente mas metricas,</w:t>
      </w:r>
      <w:r>
        <w:t xml:space="preserve"> </w:t>
      </w:r>
      <w:r>
        <w:t xml:space="preserve">sino formas mas rigurosas de enlazar explicadores, metricas y afirmaciones. La</w:t>
      </w:r>
      <w:r>
        <w:t xml:space="preserve"> </w:t>
      </w:r>
      <w:r>
        <w:t xml:space="preserve">pregunta doctoral deja de ser</w:t>
      </w:r>
      <w:r>
        <w:t xml:space="preserve"> </w:t>
      </w:r>
      <w:r>
        <w:t xml:space="preserve">“que explicacion parece mejor”</w:t>
      </w:r>
      <w:r>
        <w:t xml:space="preserve"> </w:t>
      </w:r>
      <w:r>
        <w:t xml:space="preserve">y se convierte en</w:t>
      </w:r>
      <w:r>
        <w:t xml:space="preserve"> </w:t>
      </w:r>
      <w:r>
        <w:t xml:space="preserve">“bajo que condiciones, con que evidencia, respecto a que constructo y con que</w:t>
      </w:r>
      <w:r>
        <w:t xml:space="preserve"> </w:t>
      </w:r>
      <w:r>
        <w:t xml:space="preserve">limites puede sostenerse una afirmacion sobre un explicador”</w:t>
      </w:r>
      <w:r>
        <w:t xml:space="preserve">. FOM-7 nace de esa</w:t>
      </w:r>
      <w:r>
        <w:t xml:space="preserve"> </w:t>
      </w:r>
      <w:r>
        <w:t xml:space="preserve">pregunta y prepara el terreno para el diseno experimental del siguiente</w:t>
      </w:r>
      <w:r>
        <w:t xml:space="preserve"> </w:t>
      </w:r>
      <w:r>
        <w:t xml:space="preserve">capitulo.</w:t>
      </w:r>
    </w:p>
    <w:bookmarkEnd w:id="55"/>
    <w:bookmarkEnd w:id="56"/>
    <w:bookmarkStart w:id="93" w:name="marco-empírico-y-diseño-experimental"/>
    <w:p>
      <w:pPr>
        <w:pStyle w:val="Ttulo1"/>
      </w:pPr>
      <w:r>
        <w:t xml:space="preserve">Marco empírico y diseño experimental</w:t>
      </w:r>
    </w:p>
    <w:p>
      <w:pPr>
        <w:pStyle w:val="FirstParagrap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bookmarkStart w:id="60" w:name="fases-experimentales-exp1-y-exp2"/>
    <w:p>
      <w:pPr>
        <w:pStyle w:val="Ttulo2"/>
      </w:pPr>
      <w:r>
        <w:t xml:space="preserve">Fases experimentales: EXP1 y EXP2</w:t>
      </w:r>
    </w:p>
    <w:p>
      <w:pPr>
        <w:pStyle w:val="FirstParagrap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58" w:name="X32cac70d6076bcfbcdceb21da7e13d3984b2a1d"/>
    <w:p>
      <w:pPr>
        <w:pStyle w:val="Ttulo3"/>
      </w:pPr>
      <w:r>
        <w:t xml:space="preserve">Fase de calibración y reproducibilidad (EXP1)</w:t>
      </w:r>
    </w:p>
    <w:p>
      <w:pPr>
        <w:pStyle w:val="FirstParagrap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57" w:name="tbl-model-performance"/>
          <w:p>
            <w:pPr>
              <w:jc w:val="center"/>
            </w:pPr>
            <w:pPr>
              <w:jc w:val="left"/>
              <w:spacing w:before="200"/>
              <w:pStyle w:val="ImageCaption"/>
            </w:pPr>
            <w:r>
              <w:t xml:space="preserve">Table 4.1: Rendimiento predictivo de los modelos en el conjunto de prueba (</w:t>
            </w:r>
            <m:oMath>
              <m:r>
                <m:t>n</m:t>
              </m:r>
              <m:r>
                <m:rPr>
                  <m:sty m:val="p"/>
                </m:rPr>
                <m:t>=</m:t>
              </m:r>
              <m:r>
                <m:t>9</m:t>
              </m:r>
              <m:r>
                <m:rPr>
                  <m:sty m:val="p"/>
                </m:rPr>
                <m:t>,</m:t>
              </m:r>
              <m:r>
                <m:t>758</m:t>
              </m:r>
            </m: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left"/>
                    <w:jc w:val="center"/>
                  </w:pPr>
                  <w:r>
                    <w:t xml:space="preserve">Modelo</w:t>
                  </w:r>
                </w:p>
              </w:tc>
              <w:tc>
                <w:tcPr/>
                <w:p>
                  <w:pPr>
                    <w:pStyle w:val="Compact"/>
                    <w:jc w:val="right"/>
                    <w:jc w:val="center"/>
                  </w:pPr>
                  <w:r>
                    <w:t xml:space="preserve">Exactitud</w:t>
                  </w:r>
                </w:p>
              </w:tc>
              <w:tc>
                <w:tcPr/>
                <w:p>
                  <w:pPr>
                    <w:pStyle w:val="Compact"/>
                    <w:jc w:val="right"/>
                    <w:jc w:val="center"/>
                  </w:pPr>
                  <w:r>
                    <w:t xml:space="preserve">Precisión</w:t>
                  </w:r>
                </w:p>
              </w:tc>
              <w:tc>
                <w:tcPr/>
                <w:p>
                  <w:pPr>
                    <w:pStyle w:val="Compact"/>
                    <w:jc w:val="right"/>
                    <w:jc w:val="center"/>
                  </w:pPr>
                  <w:r>
                    <w:t xml:space="preserve">Recall</w:t>
                  </w:r>
                </w:p>
              </w:tc>
              <w:tc>
                <w:tcPr/>
                <w:p>
                  <w:pPr>
                    <w:pStyle w:val="Compact"/>
                    <w:jc w:val="right"/>
                    <w:jc w:val="center"/>
                  </w:pPr>
                  <w:r>
                    <w:t xml:space="preserve">F1</w:t>
                  </w:r>
                </w:p>
              </w:tc>
              <w:tc>
                <w:tcPr/>
                <w:p>
                  <w:pPr>
                    <w:pStyle w:val="Compact"/>
                    <w:jc w:val="right"/>
                    <w:jc w:val="center"/>
                  </w:pPr>
                  <w:r>
                    <w:t xml:space="preserve">AUC-ROC</w:t>
                  </w:r>
                </w:p>
              </w:tc>
            </w:tr>
            <w:tr>
              <w:tc>
                <w:tcPr/>
                <w:p>
                  <w:pPr>
                    <w:pStyle w:val="Compact"/>
                    <w:jc w:val="left"/>
                    <w:jc w:val="center"/>
                  </w:pPr>
                  <w:r>
                    <w:t xml:space="preserve">Regresión logística (</w:t>
                  </w:r>
                  <w:r>
                    <w:rPr>
                      <w:rStyle w:val="VerbatimChar"/>
                    </w:rPr>
                    <w:t xml:space="preserve">logreg</w:t>
                  </w:r>
                  <w:r>
                    <w:t xml:space="preserve">)</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0.849</w:t>
                  </w:r>
                </w:p>
              </w:tc>
              <w:tc>
                <w:tcPr/>
                <w:p>
                  <w:pPr>
                    <w:pStyle w:val="Compact"/>
                    <w:jc w:val="right"/>
                    <w:jc w:val="center"/>
                  </w:pPr>
                  <w:r>
                    <w:t xml:space="preserve">0.844</w:t>
                  </w:r>
                </w:p>
              </w:tc>
              <w:tc>
                <w:tcPr/>
                <w:p>
                  <w:pPr>
                    <w:pStyle w:val="Compact"/>
                    <w:jc w:val="right"/>
                    <w:jc w:val="center"/>
                  </w:pPr>
                  <w:r>
                    <w:t xml:space="preserve">0.903</w:t>
                  </w:r>
                </w:p>
              </w:tc>
            </w:tr>
            <w:tr>
              <w:tc>
                <w:tcPr/>
                <w:p>
                  <w:pPr>
                    <w:pStyle w:val="Compact"/>
                    <w:jc w:val="left"/>
                    <w:jc w:val="center"/>
                  </w:pPr>
                  <w:r>
                    <w:t xml:space="preserve">Bosque aleatorio (</w:t>
                  </w:r>
                  <w:r>
                    <w:rPr>
                      <w:rStyle w:val="VerbatimChar"/>
                    </w:rPr>
                    <w:t xml:space="preserve">rf</w:t>
                  </w:r>
                  <w:r>
                    <w:t xml:space="preserve">)</w:t>
                  </w:r>
                </w:p>
              </w:tc>
              <w:tc>
                <w:tcPr/>
                <w:p>
                  <w:pPr>
                    <w:pStyle w:val="Compact"/>
                    <w:jc w:val="right"/>
                    <w:jc w:val="center"/>
                  </w:pPr>
                  <w:r>
                    <w:t xml:space="preserve">0.854</w:t>
                  </w:r>
                </w:p>
              </w:tc>
              <w:tc>
                <w:tcPr/>
                <w:p>
                  <w:pPr>
                    <w:pStyle w:val="Compact"/>
                    <w:jc w:val="right"/>
                    <w:jc w:val="center"/>
                  </w:pPr>
                  <w:r>
                    <w:t xml:space="preserve">0.849</w:t>
                  </w:r>
                </w:p>
              </w:tc>
              <w:tc>
                <w:tcPr/>
                <w:p>
                  <w:pPr>
                    <w:pStyle w:val="Compact"/>
                    <w:jc w:val="right"/>
                    <w:jc w:val="center"/>
                  </w:pPr>
                  <w:r>
                    <w:t xml:space="preserve">0.854</w:t>
                  </w:r>
                </w:p>
              </w:tc>
              <w:tc>
                <w:tcPr/>
                <w:p>
                  <w:pPr>
                    <w:pStyle w:val="Compact"/>
                    <w:jc w:val="right"/>
                    <w:jc w:val="center"/>
                  </w:pPr>
                  <w:r>
                    <w:t xml:space="preserve">0.851</w:t>
                  </w:r>
                </w:p>
              </w:tc>
              <w:tc>
                <w:tcPr/>
                <w:p>
                  <w:pPr>
                    <w:pStyle w:val="Compact"/>
                    <w:jc w:val="right"/>
                    <w:jc w:val="center"/>
                  </w:pPr>
                  <w:r>
                    <w:t xml:space="preserve">0.902</w:t>
                  </w:r>
                </w:p>
              </w:tc>
            </w:tr>
            <w:tr>
              <w:tc>
                <w:tcPr/>
                <w:p>
                  <w:pPr>
                    <w:pStyle w:val="Compact"/>
                    <w:jc w:val="left"/>
                    <w:jc w:val="center"/>
                  </w:pPr>
                  <w:r>
                    <w:t xml:space="preserve">XGBoost (</w:t>
                  </w:r>
                  <w:r>
                    <w:rPr>
                      <w:rStyle w:val="VerbatimChar"/>
                    </w:rPr>
                    <w:t xml:space="preserve">xgb</w:t>
                  </w:r>
                  <w:r>
                    <w:t xml:space="preserve">)</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0.926</w:t>
                  </w:r>
                </w:p>
              </w:tc>
            </w:tr>
            <w:tr>
              <w:tc>
                <w:tcPr/>
                <w:p>
                  <w:pPr>
                    <w:pStyle w:val="Compact"/>
                    <w:jc w:val="left"/>
                    <w:jc w:val="center"/>
                  </w:pPr>
                  <w:r>
                    <w:t xml:space="preserve">Máquina de vectores soporte (</w:t>
                  </w:r>
                  <w:r>
                    <w:rPr>
                      <w:rStyle w:val="VerbatimChar"/>
                    </w:rPr>
                    <w:t xml:space="preserve">svm</w:t>
                  </w:r>
                  <w:r>
                    <w:t xml:space="preserve">)</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0.898</w:t>
                  </w:r>
                </w:p>
              </w:tc>
            </w:tr>
            <w:tr>
              <w:tc>
                <w:tcPr/>
                <w:p>
                  <w:pPr>
                    <w:pStyle w:val="Compact"/>
                    <w:jc w:val="left"/>
                    <w:jc w:val="center"/>
                  </w:pPr>
                  <w:r>
                    <w:t xml:space="preserve">Perceptrón multicapa (</w:t>
                  </w:r>
                  <w:r>
                    <w:rPr>
                      <w:rStyle w:val="VerbatimChar"/>
                    </w:rPr>
                    <w:t xml:space="preserve">mlp</w:t>
                  </w:r>
                  <w:r>
                    <w:t xml:space="preserve">)</w:t>
                  </w:r>
                </w:p>
              </w:tc>
              <w:tc>
                <w:tcPr/>
                <w:p>
                  <w:pPr>
                    <w:pStyle w:val="Compact"/>
                    <w:jc w:val="right"/>
                    <w:jc w:val="center"/>
                  </w:pPr>
                  <w:r>
                    <w:t xml:space="preserve">0.840</w:t>
                  </w:r>
                </w:p>
              </w:tc>
              <w:tc>
                <w:tcPr/>
                <w:p>
                  <w:pPr>
                    <w:pStyle w:val="Compact"/>
                    <w:jc w:val="right"/>
                    <w:jc w:val="center"/>
                  </w:pPr>
                  <w:r>
                    <w:t xml:space="preserve">0.833</w:t>
                  </w:r>
                </w:p>
              </w:tc>
              <w:tc>
                <w:tcPr/>
                <w:p>
                  <w:pPr>
                    <w:pStyle w:val="Compact"/>
                    <w:jc w:val="right"/>
                    <w:jc w:val="center"/>
                  </w:pPr>
                  <w:r>
                    <w:t xml:space="preserve">0.840</w:t>
                  </w:r>
                </w:p>
              </w:tc>
              <w:tc>
                <w:tcPr/>
                <w:p>
                  <w:pPr>
                    <w:pStyle w:val="Compact"/>
                    <w:jc w:val="right"/>
                    <w:jc w:val="center"/>
                  </w:pPr>
                  <w:r>
                    <w:t xml:space="preserve">0.835</w:t>
                  </w:r>
                </w:p>
              </w:tc>
              <w:tc>
                <w:tcPr/>
                <w:p>
                  <w:pPr>
                    <w:pStyle w:val="Compact"/>
                    <w:jc w:val="right"/>
                    <w:jc w:val="center"/>
                  </w:pPr>
                  <w:r>
                    <w:t xml:space="preserve">0.885</w:t>
                  </w:r>
                </w:p>
              </w:tc>
            </w:tr>
          </w:tbl>
          <w:bookmarkEnd w:id="57"/>
          <w:p/>
        </w:tc>
      </w:tr>
    </w:tbl>
    <w:p>
      <w:pPr>
        <w:pStyle w:val="Textoindependiente"/>
      </w:pPr>
      <w:r>
        <w:t xml:space="preserve">Todos los modelos superan los umbrales de inclusión definidos en el protocolo:</w:t>
      </w:r>
      <w:r>
        <w:t xml:space="preserve"> </w:t>
      </w:r>
      <w:r>
        <w:t xml:space="preserve">exactitud</w:t>
      </w:r>
      <w:r>
        <w:t xml:space="preserve"> </w:t>
      </w:r>
      <m:oMath>
        <m:r>
          <m:rPr>
            <m:sty m:val="p"/>
          </m:rPr>
          <m:t>≥</m:t>
        </m:r>
        <m:r>
          <m:t>0.83</m:t>
        </m:r>
      </m:oMath>
      <w:r>
        <w:t xml:space="preserve"> </w:t>
      </w:r>
      <w:r>
        <w:t xml:space="preserve">y AUC-ROC</w:t>
      </w:r>
      <w:r>
        <w:t xml:space="preserve"> </w:t>
      </w:r>
      <m:oMath>
        <m:r>
          <m:rPr>
            <m:sty m:val="p"/>
          </m:rPr>
          <m:t>≥</m:t>
        </m:r>
        <m:r>
          <m:t>0.88</m:t>
        </m:r>
      </m: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pPr>
      <w:r>
        <w:t xml:space="preserve">El perfilado de reproducibilidad de EXP1 establece que las métricas de calidad</w:t>
      </w:r>
      <w:r>
        <w:t xml:space="preserve"> </w:t>
      </w:r>
      <w:r>
        <w:t xml:space="preserve">presentan coeficientes de variación inferiores al 9% bajo variación de semilla:</w:t>
      </w:r>
      <w:r>
        <w:t xml:space="preserve"> </w:t>
      </w:r>
      <m:oMath>
        <m:sSub>
          <m:e>
            <m:r>
              <m:rPr>
                <m:nor/>
                <m:sty m:val="p"/>
              </m:rPr>
              <m:t>CV</m:t>
            </m:r>
          </m:e>
          <m:sub>
            <m:r>
              <m:t>F</m:t>
            </m:r>
          </m:sub>
        </m:sSub>
        <m:r>
          <m:rPr>
            <m:sty m:val="p"/>
          </m:rPr>
          <m:t>≤</m:t>
        </m:r>
        <m:r>
          <m:t>0.063</m:t>
        </m:r>
      </m:oMath>
      <w:r>
        <w:t xml:space="preserve">,</w:t>
      </w:r>
      <w:r>
        <w:t xml:space="preserve"> </w:t>
      </w:r>
      <m:oMath>
        <m:sSub>
          <m:e>
            <m:r>
              <m:rPr>
                <m:nor/>
                <m:sty m:val="p"/>
              </m:rPr>
              <m:t>CV</m:t>
            </m:r>
          </m:e>
          <m:sub>
            <m:r>
              <m:t>S</m:t>
            </m:r>
          </m:sub>
        </m:sSub>
        <m:r>
          <m:rPr>
            <m:sty m:val="p"/>
          </m:rPr>
          <m:t>≤</m:t>
        </m:r>
        <m:r>
          <m:t>0.083</m:t>
        </m:r>
      </m:oMath>
      <w:r>
        <w:t xml:space="preserve">,</w:t>
      </w:r>
      <w:r>
        <w:t xml:space="preserve"> </w:t>
      </w:r>
      <m:oMath>
        <m:sSub>
          <m:e>
            <m:r>
              <m:rPr>
                <m:nor/>
                <m:sty m:val="p"/>
              </m:rPr>
              <m:t>CV</m:t>
            </m:r>
          </m:e>
          <m:sub>
            <m:r>
              <m:t>P</m:t>
            </m:r>
          </m:sub>
        </m:sSub>
        <m:r>
          <m:rPr>
            <m:sty m:val="p"/>
          </m:rPr>
          <m:t>≤</m:t>
        </m:r>
        <m:r>
          <m:t>0.044</m:t>
        </m:r>
      </m:oMath>
      <w:r>
        <w:t xml:space="preserve">,</w:t>
      </w:r>
      <w:r>
        <w:t xml:space="preserve"> </w:t>
      </w:r>
      <m:oMath>
        <m:sSub>
          <m:e>
            <m:r>
              <m:rPr>
                <m:nor/>
                <m:sty m:val="p"/>
              </m:rPr>
              <m:t>CV</m:t>
            </m:r>
          </m:e>
          <m:sub>
            <m:sSub>
              <m:e>
                <m:r>
                  <m:rPr>
                    <m:sty m:val="p"/>
                  </m:rPr>
                  <m:t>Δ</m:t>
                </m:r>
              </m:e>
              <m:sub>
                <m:r>
                  <m:t>k</m:t>
                </m:r>
              </m:sub>
            </m:sSub>
          </m:sub>
        </m:sSub>
        <m:r>
          <m:rPr>
            <m:sty m:val="p"/>
          </m:rPr>
          <m:t>≤</m:t>
        </m:r>
        <m:r>
          <m:t>0.036</m:t>
        </m:r>
      </m:oMath>
      <w:r>
        <w:t xml:space="preserve">. El coste</w:t>
      </w:r>
      <w:r>
        <w:t xml:space="preserve"> </w:t>
      </w:r>
      <w:r>
        <w:t xml:space="preserve">computacional exhibe mayor variabilidad (</w:t>
      </w:r>
      <m:oMath>
        <m:sSub>
          <m:e>
            <m:r>
              <m:rPr>
                <m:nor/>
                <m:sty m:val="p"/>
              </m:rPr>
              <m:t>CV</m:t>
            </m:r>
          </m:e>
          <m:sub>
            <m:r>
              <m:t>C</m:t>
            </m:r>
          </m:sub>
        </m:sSub>
        <m:r>
          <m:rPr>
            <m:sty m:val="p"/>
          </m:rPr>
          <m:t>≤</m:t>
        </m:r>
        <m:r>
          <m:t>0.225</m:t>
        </m:r>
      </m: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58"/>
    <w:bookmarkStart w:id="59" w:name="X88dee61532cae681dfa2cfeee2779c5c9929176"/>
    <w:p>
      <w:pPr>
        <w:pStyle w:val="Ttulo3"/>
      </w:pPr>
      <w:r>
        <w:t xml:space="preserve">Fase de benchmark primario de robustez (EXP2)</w:t>
      </w:r>
    </w:p>
    <w:p>
      <w:pPr>
        <w:pStyle w:val="FirstParagrap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59"/>
    <w:bookmarkEnd w:id="60"/>
    <w:bookmarkStart w:id="64" w:name="Xb179eb5e9b7cbdb0e78e991d72b8aeee41d8932"/>
    <w:p>
      <w:pPr>
        <w:pStyle w:val="Ttulo2"/>
      </w:pPr>
      <w:r>
        <w:t xml:space="preserve">Conjunto de datos y protocolo de preprocesamiento</w:t>
      </w:r>
    </w:p>
    <w:bookmarkStart w:id="61" w:name="descripción-del-conjunto-de-datos"/>
    <w:p>
      <w:pPr>
        <w:pStyle w:val="Ttulo3"/>
      </w:pPr>
      <w:r>
        <w:t xml:space="preserve">Descripción del conjunto de datos</w:t>
      </w:r>
    </w:p>
    <w:p>
      <w:pPr>
        <w:pStyle w:val="FirstParagrap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m:oMath>
        <m:r>
          <m:rPr>
            <m:sty m:val="p"/>
          </m:rPr>
          <m:t>&gt;</m:t>
        </m:r>
        <m:r>
          <m:t>50</m:t>
        </m:r>
      </m: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1"/>
    <w:bookmarkStart w:id="62" w:name="carga-limpieza-y-partición"/>
    <w:p>
      <w:pPr>
        <w:pStyle w:val="Ttulo3"/>
      </w:pPr>
      <w:r>
        <w:t xml:space="preserve">Carga, limpieza y partición</w:t>
      </w:r>
    </w:p>
    <w:p>
      <w:pPr>
        <w:pStyle w:val="FirstParagrap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m:oMath>
        <m:r>
          <m:rPr>
            <m:sty m:val="p"/>
          </m:rPr>
          <m:t>→</m:t>
        </m:r>
      </m: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m:oMath>
        <m:r>
          <m:rPr>
            <m:sty m:val="p"/>
          </m:rPr>
          <m:t>→</m:t>
        </m:r>
      </m:oMath>
      <w:r>
        <w:t xml:space="preserve"> </w:t>
      </w:r>
      <w:r>
        <w:t xml:space="preserve">1,</w:t>
      </w:r>
      <w:r>
        <w:t xml:space="preserve"> </w:t>
      </w:r>
      <w:r>
        <w:rPr>
          <w:rStyle w:val="VerbatimChar"/>
        </w:rPr>
        <w:t xml:space="preserve">"&lt;=50K."</w:t>
      </w:r>
      <w:r>
        <w:t xml:space="preserve"> </w:t>
      </w:r>
      <m:oMath>
        <m:r>
          <m:rPr>
            <m:sty m:val="p"/>
          </m:rPr>
          <m:t>→</m:t>
        </m:r>
      </m:oMath>
      <w:r>
        <w:t xml:space="preserve"> </w:t>
      </w:r>
      <w:r>
        <w:t xml:space="preserve">0), (iv) eliminación de duplicados</w:t>
      </w:r>
      <w:r>
        <w:t xml:space="preserve"> </w:t>
      </w:r>
      <w:r>
        <w:t xml:space="preserve">exactos, y (v) ordenamiento determinista de columnas.</w:t>
      </w:r>
    </w:p>
    <w:p>
      <w:pPr>
        <w:pStyle w:val="Textoindependiente"/>
      </w:pPr>
      <w:r>
        <w:t xml:space="preserve">La partición sigue el esquema estratificado:</w:t>
      </w:r>
    </w:p>
    <w:p>
      <w:pPr>
        <w:pStyle w:val="Textoindependiente"/>
      </w:pPr>
      <m:oMathPara>
        <m:oMathParaPr>
          <m:jc m:val="center"/>
        </m:oMathParaPr>
        <m:oMath>
          <m:r>
            <m:rPr>
              <m:nor/>
              <m:sty m:val="p"/>
            </m:rPr>
            <m:t>train_test_split</m:t>
          </m:r>
          <m:r>
            <m:t>​</m:t>
          </m:r>
          <m:d>
            <m:dPr>
              <m:begChr m:val="("/>
              <m:sepChr m:val=""/>
              <m:endChr m:val=")"/>
              <m:grow/>
            </m:dPr>
            <m:e>
              <m:r>
                <m:rPr>
                  <m:nor/>
                  <m:sty m:val="p"/>
                </m:rPr>
                <m:t>test_size</m:t>
              </m:r>
              <m:r>
                <m:rPr>
                  <m:sty m:val="p"/>
                </m:rPr>
                <m:t>=</m:t>
              </m:r>
              <m:r>
                <m:t>0.20</m:t>
              </m:r>
              <m:r>
                <m:rPr>
                  <m:sty m:val="p"/>
                </m:rPr>
                <m:t>,</m:t>
              </m:r>
              <m:r>
                <m:t> </m:t>
              </m:r>
              <m:r>
                <m:rPr>
                  <m:nor/>
                  <m:sty m:val="p"/>
                </m:rPr>
                <m:t>stratify</m:t>
              </m:r>
              <m:r>
                <m:rPr>
                  <m:sty m:val="p"/>
                </m:rPr>
                <m:t>=</m:t>
              </m:r>
              <m:r>
                <m:t>y</m:t>
              </m:r>
              <m:r>
                <m:rPr>
                  <m:sty m:val="p"/>
                </m:rPr>
                <m:t>,</m:t>
              </m:r>
              <m:r>
                <m:t> </m:t>
              </m:r>
              <m:r>
                <m:rPr>
                  <m:nor/>
                  <m:sty m:val="p"/>
                </m:rPr>
                <m:t>random_state</m:t>
              </m:r>
              <m:r>
                <m:rPr>
                  <m:sty m:val="p"/>
                </m:rPr>
                <m:t>=</m:t>
              </m:r>
              <m:r>
                <m:t>s</m:t>
              </m:r>
            </m:e>
          </m:d>
        </m:oMath>
      </m:oMathPara>
    </w:p>
    <w:p>
      <w:pPr>
        <w:pStyle w:val="FirstParagraph"/>
      </w:pPr>
      <w:r>
        <w:t xml:space="preserve">Para la semilla canónica</w:t>
      </w:r>
      <w:r>
        <w:t xml:space="preserve"> </w:t>
      </w:r>
      <m:oMath>
        <m:r>
          <m:t>s</m:t>
        </m:r>
        <m:r>
          <m:rPr>
            <m:sty m:val="p"/>
          </m:rPr>
          <m:t>=</m:t>
        </m:r>
        <m:r>
          <m:t>42</m:t>
        </m:r>
      </m:oMath>
      <w:r>
        <w:t xml:space="preserve">, la partición produce 39,032 instancias</w:t>
      </w:r>
      <w:r>
        <w:t xml:space="preserve"> </w:t>
      </w:r>
      <w:r>
        <w:t xml:space="preserve">de entrenamiento y 9,758 de prueba.</w:t>
      </w:r>
    </w:p>
    <w:bookmarkEnd w:id="62"/>
    <w:bookmarkStart w:id="63" w:name="controles-de-fuga-de-datos"/>
    <w:p>
      <w:pPr>
        <w:pStyle w:val="Ttulo3"/>
      </w:pPr>
      <w:r>
        <w:t xml:space="preserve">Controles de fuga de datos</w:t>
      </w:r>
    </w:p>
    <w:p>
      <w:pPr>
        <w:pStyle w:val="FirstParagraph"/>
      </w:pPr>
      <w:r>
        <w:t xml:space="preserve">Los cuatro controles de fuga de datos se aplican de forma uniforme a todos</w:t>
      </w:r>
      <w:r>
        <w:t xml:space="preserve"> </w:t>
      </w:r>
      <w:r>
        <w:t xml:space="preserve">los métodos explicadores:</w:t>
      </w:r>
    </w:p>
    <w:p>
      <w:pPr>
        <w:pStyle w:val="Compact"/>
        <w:numPr>
          <w:ilvl w:val="0"/>
          <w:numId w:val="1006"/>
        </w:numPr>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pPr>
      <w:r>
        <w:t xml:space="preserve">Las explicaciones se generan sobre el espacio de características</w:t>
      </w:r>
      <w:r>
        <w:t xml:space="preserve"> </w:t>
      </w:r>
      <w:r>
        <w:t xml:space="preserve">transformado que el modelo usó durante el entrenamiento.</w:t>
      </w:r>
    </w:p>
    <w:bookmarkEnd w:id="63"/>
    <w:bookmarkEnd w:id="64"/>
    <w:bookmarkStart w:id="66" w:name="X810bf4db8899260d734480c9f59b02e6a2182a3"/>
    <w:p>
      <w:pPr>
        <w:pStyle w:val="Ttulo2"/>
      </w:pPr>
      <w:r>
        <w:t xml:space="preserve">Diseño factorial del benchmark primario (EXP2)</w:t>
      </w:r>
    </w:p>
    <w:p>
      <w:pPr>
        <w:pStyle w:val="FirstParagraph"/>
      </w:pPr>
      <w:r>
        <w:t xml:space="preserve">El benchmark primario adopta una estructura factorial cruzada de cuatro</w:t>
      </w:r>
      <w:r>
        <w:t xml:space="preserve"> </w:t>
      </w:r>
      <w:r>
        <w:t xml:space="preserve">factores:</w:t>
      </w:r>
    </w:p>
    <w:p>
      <w:pPr>
        <w:pStyle w:val="Textoindependiente"/>
      </w:pPr>
      <m:oMathPara>
        <m:oMathParaPr>
          <m:jc m:val="center"/>
        </m:oMathParaPr>
        <m:oMath>
          <m:r>
            <m:rPr>
              <m:scr m:val="script"/>
              <m:sty m:val="p"/>
            </m:rPr>
            <m:t>D</m:t>
          </m:r>
          <m:r>
            <m:rPr>
              <m:sty m:val="p"/>
            </m:rPr>
            <m:t>=</m:t>
          </m:r>
          <m:r>
            <m:t>g</m:t>
          </m:r>
          <m:r>
            <m:rPr>
              <m:sty m:val="p"/>
            </m:rPr>
            <m:t>×</m:t>
          </m:r>
          <m:r>
            <m:t>k</m:t>
          </m:r>
          <m:r>
            <m:rPr>
              <m:sty m:val="p"/>
            </m:rPr>
            <m:t>×</m:t>
          </m:r>
          <m:r>
            <m:t>s</m:t>
          </m:r>
          <m:r>
            <m:rPr>
              <m:sty m:val="p"/>
            </m:rPr>
            <m:t>×</m:t>
          </m:r>
          <m:r>
            <m:t>n</m:t>
          </m:r>
        </m:oMath>
      </m:oMathPara>
    </w:p>
    <w:p>
      <w:pPr>
        <w:pStyle w:val="FirstParagraph"/>
      </w:pPr>
      <w:r>
        <w:t xml:space="preserve">donde:</w:t>
      </w:r>
    </w:p>
    <w:p>
      <w:pPr>
        <w:pStyle w:val="Compact"/>
        <w:numPr>
          <w:ilvl w:val="0"/>
          <w:numId w:val="1007"/>
        </w:numPr>
      </w:pPr>
      <m:oMath>
        <m:r>
          <m:t>g</m:t>
        </m:r>
        <m:r>
          <m:rPr>
            <m:sty m:val="p"/>
          </m:rPr>
          <m:t>∈</m:t>
        </m:r>
        <m:r>
          <m:rPr>
            <m:sty m:val="p"/>
          </m:rPr>
          <m:t>{</m:t>
        </m:r>
        <m:r>
          <m:rPr>
            <m:nor/>
            <m:sty m:val="p"/>
          </m:rPr>
          <m:t>logreg</m:t>
        </m:r>
        <m:r>
          <m:rPr>
            <m:sty m:val="p"/>
          </m:rPr>
          <m:t>,</m:t>
        </m:r>
        <m:r>
          <m:t> </m:t>
        </m:r>
        <m:r>
          <m:rPr>
            <m:nor/>
            <m:sty m:val="p"/>
          </m:rPr>
          <m:t>rf</m:t>
        </m:r>
        <m:r>
          <m:rPr>
            <m:sty m:val="p"/>
          </m:rPr>
          <m:t>,</m:t>
        </m:r>
        <m:r>
          <m:t> </m:t>
        </m:r>
        <m:r>
          <m:rPr>
            <m:nor/>
            <m:sty m:val="p"/>
          </m:rPr>
          <m:t>xgb</m:t>
        </m:r>
        <m:r>
          <m:rPr>
            <m:sty m:val="p"/>
          </m:rPr>
          <m:t>,</m:t>
        </m:r>
        <m:r>
          <m:t> </m:t>
        </m:r>
        <m:r>
          <m:rPr>
            <m:nor/>
            <m:sty m:val="p"/>
          </m:rPr>
          <m:t>svm</m:t>
        </m:r>
        <m:r>
          <m:rPr>
            <m:sty m:val="p"/>
          </m:rPr>
          <m:t>,</m:t>
        </m:r>
        <m:r>
          <m:t> </m:t>
        </m:r>
        <m:r>
          <m:rPr>
            <m:nor/>
            <m:sty m:val="p"/>
          </m:rPr>
          <m:t>mlp</m:t>
        </m:r>
        <m:r>
          <m:rPr>
            <m:sty m:val="p"/>
          </m:rPr>
          <m:t>}</m:t>
        </m:r>
      </m:oMath>
      <w:r>
        <w:t xml:space="preserve"> </w:t>
      </w:r>
      <w:r>
        <w:t xml:space="preserve">— familia de modelo predictivo (5 niveles),</w:t>
      </w:r>
    </w:p>
    <w:p>
      <w:pPr>
        <w:pStyle w:val="Compact"/>
        <w:numPr>
          <w:ilvl w:val="0"/>
          <w:numId w:val="1007"/>
        </w:numPr>
      </w:pPr>
      <m:oMath>
        <m:r>
          <m:t>k</m:t>
        </m:r>
        <m:r>
          <m:rPr>
            <m:sty m:val="p"/>
          </m:rPr>
          <m:t>∈</m:t>
        </m:r>
        <m:r>
          <m:rPr>
            <m:sty m:val="p"/>
          </m:rPr>
          <m:t>{</m:t>
        </m:r>
        <m:r>
          <m:rPr>
            <m:nor/>
            <m:sty m:val="p"/>
          </m:rPr>
          <m:t>shap</m:t>
        </m:r>
        <m:r>
          <m:rPr>
            <m:sty m:val="p"/>
          </m:rPr>
          <m:t>,</m:t>
        </m:r>
        <m:r>
          <m:t> </m:t>
        </m:r>
        <m:r>
          <m:rPr>
            <m:nor/>
            <m:sty m:val="p"/>
          </m:rPr>
          <m:t>lime</m:t>
        </m:r>
        <m:r>
          <m:rPr>
            <m:sty m:val="p"/>
          </m:rPr>
          <m:t>,</m:t>
        </m:r>
        <m:r>
          <m:t> </m:t>
        </m:r>
        <m:r>
          <m:rPr>
            <m:nor/>
            <m:sty m:val="p"/>
          </m:rPr>
          <m:t>anchors</m:t>
        </m:r>
        <m:r>
          <m:rPr>
            <m:sty m:val="p"/>
          </m:rPr>
          <m:t>,</m:t>
        </m:r>
        <m:r>
          <m:t> </m:t>
        </m:r>
        <m:r>
          <m:rPr>
            <m:nor/>
            <m:sty m:val="p"/>
          </m:rPr>
          <m:t>dice</m:t>
        </m:r>
        <m:r>
          <m:rPr>
            <m:sty m:val="p"/>
          </m:rPr>
          <m:t>}</m:t>
        </m:r>
      </m:oMath>
      <w:r>
        <w:t xml:space="preserve"> </w:t>
      </w:r>
      <w:r>
        <w:t xml:space="preserve">—</w:t>
      </w:r>
      <w:r>
        <w:t xml:space="preserve"> </w:t>
      </w:r>
      <w:r>
        <w:t xml:space="preserve">método de explicabilidad (4 niveles),</w:t>
      </w:r>
    </w:p>
    <w:p>
      <w:pPr>
        <w:pStyle w:val="Compact"/>
        <w:numPr>
          <w:ilvl w:val="0"/>
          <w:numId w:val="1007"/>
        </w:numPr>
      </w:pPr>
      <m:oMath>
        <m:r>
          <m:t>s</m:t>
        </m:r>
        <m:r>
          <m:rPr>
            <m:sty m:val="p"/>
          </m:rPr>
          <m:t>∈</m:t>
        </m:r>
        <m:r>
          <m:rPr>
            <m:sty m:val="p"/>
          </m:rPr>
          <m:t>{</m:t>
        </m:r>
        <m:r>
          <m:t>42</m:t>
        </m:r>
        <m:r>
          <m:rPr>
            <m:sty m:val="p"/>
          </m:rPr>
          <m:t>,</m:t>
        </m:r>
        <m:r>
          <m:t> </m:t>
        </m:r>
        <m:r>
          <m:t>123</m:t>
        </m:r>
        <m:r>
          <m:rPr>
            <m:sty m:val="p"/>
          </m:rPr>
          <m:t>,</m:t>
        </m:r>
        <m:r>
          <m:t> </m:t>
        </m:r>
        <m:r>
          <m:t>456</m:t>
        </m:r>
        <m:r>
          <m:rPr>
            <m:sty m:val="p"/>
          </m:rPr>
          <m:t>,</m:t>
        </m:r>
        <m:r>
          <m:t> </m:t>
        </m:r>
        <m:r>
          <m:t>789</m:t>
        </m:r>
        <m:r>
          <m:rPr>
            <m:sty m:val="p"/>
          </m:rPr>
          <m:t>,</m:t>
        </m:r>
        <m:r>
          <m:t> </m:t>
        </m:r>
        <m:r>
          <m:t>999</m:t>
        </m:r>
        <m:r>
          <m:rPr>
            <m:sty m:val="p"/>
          </m:rPr>
          <m:t>}</m:t>
        </m:r>
      </m:oMath>
      <w:r>
        <w:t xml:space="preserve"> </w:t>
      </w:r>
      <w:r>
        <w:t xml:space="preserve">— semilla de aleatoriedad</w:t>
      </w:r>
      <w:r>
        <w:t xml:space="preserve"> </w:t>
      </w:r>
      <w:r>
        <w:t xml:space="preserve">(5 niveles),</w:t>
      </w:r>
    </w:p>
    <w:p>
      <w:pPr>
        <w:pStyle w:val="Compact"/>
        <w:numPr>
          <w:ilvl w:val="0"/>
          <w:numId w:val="1007"/>
        </w:numPr>
      </w:pPr>
      <m:oMath>
        <m:r>
          <m:t>n</m:t>
        </m:r>
        <m:r>
          <m:rPr>
            <m:sty m:val="p"/>
          </m:rPr>
          <m:t>∈</m:t>
        </m:r>
        <m:r>
          <m:rPr>
            <m:sty m:val="p"/>
          </m:rPr>
          <m:t>{</m:t>
        </m:r>
        <m:r>
          <m:t>50</m:t>
        </m:r>
        <m:r>
          <m:rPr>
            <m:sty m:val="p"/>
          </m:rPr>
          <m:t>,</m:t>
        </m:r>
        <m:r>
          <m:t> </m:t>
        </m:r>
        <m:r>
          <m:t>100</m:t>
        </m:r>
        <m:r>
          <m:rPr>
            <m:sty m:val="p"/>
          </m:rPr>
          <m:t>,</m:t>
        </m:r>
        <m:r>
          <m:t> </m:t>
        </m:r>
        <m:r>
          <m:t>200</m:t>
        </m:r>
        <m:r>
          <m:rPr>
            <m:sty m:val="p"/>
          </m:rPr>
          <m:t>}</m:t>
        </m:r>
      </m:oMath>
      <w:r>
        <w:t xml:space="preserve"> </w:t>
      </w:r>
      <w:r>
        <w:t xml:space="preserve">— instancias por cuadrante de error (3 niveles).</w:t>
      </w:r>
    </w:p>
    <w:p>
      <w:pPr>
        <w:pStyle w:val="FirstParagraph"/>
      </w:pPr>
      <w:r>
        <w:t xml:space="preserve">El tamaño del diseño planificado es:</w:t>
      </w:r>
    </w:p>
    <w:p>
      <w:pPr>
        <w:pStyle w:val="Textoindependiente"/>
      </w:pPr>
      <m:oMathPara>
        <m:oMathParaPr>
          <m:jc m:val="center"/>
        </m:oMathParaPr>
        <m:oMath>
          <m:r>
            <m:rPr>
              <m:sty m:val="p"/>
            </m:rPr>
            <m:t>|</m:t>
          </m:r>
          <m:r>
            <m:rPr>
              <m:scr m:val="script"/>
              <m:sty m:val="p"/>
            </m:rPr>
            <m:t>D</m:t>
          </m:r>
          <m:r>
            <m:rPr>
              <m:sty m:val="p"/>
            </m:rPr>
            <m:t>|</m:t>
          </m:r>
          <m:r>
            <m:rPr>
              <m:sty m:val="p"/>
            </m:rPr>
            <m:t>=</m:t>
          </m:r>
          <m:r>
            <m:t>5</m:t>
          </m:r>
          <m:r>
            <m:rPr>
              <m:sty m:val="p"/>
            </m:rPr>
            <m:t>×</m:t>
          </m:r>
          <m:r>
            <m:t>4</m:t>
          </m:r>
          <m:r>
            <m:rPr>
              <m:sty m:val="p"/>
            </m:rPr>
            <m:t>×</m:t>
          </m:r>
          <m:r>
            <m:t>5</m:t>
          </m:r>
          <m:r>
            <m:rPr>
              <m:sty m:val="p"/>
            </m:rPr>
            <m:t>×</m:t>
          </m:r>
          <m:r>
            <m:t>3</m:t>
          </m:r>
          <m:r>
            <m:rPr>
              <m:sty m:val="p"/>
            </m:rPr>
            <m:t>=</m:t>
          </m:r>
          <m:r>
            <m:t>300</m:t>
          </m:r>
          <m:r>
            <m:rPr>
              <m:nor/>
              <m:sty m:val="p"/>
            </m:rPr>
            <m:t> ejecuciones</m:t>
          </m:r>
        </m:oMath>
      </m:oMathPara>
    </w:p>
    <w:p>
      <w:pPr>
        <w:pStyle w:val="FirstParagraph"/>
      </w:pPr>
      <w:r>
        <w:t xml:space="preserve">Cada celda</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produce un artefacto de resultado independiente.</w:t>
      </w:r>
      <w:r>
        <w:t xml:space="preserve"> </w:t>
      </w:r>
      <w:r>
        <w:t xml:space="preserve">La variación en</w:t>
      </w:r>
      <w:r>
        <w:t xml:space="preserve"> </w:t>
      </w:r>
      <m:oMath>
        <m:r>
          <m:t>s</m:t>
        </m:r>
      </m:oMath>
      <w:r>
        <w:t xml:space="preserve"> </w:t>
      </w:r>
      <w:r>
        <w:t xml:space="preserve">sirve para estimar la reproducibilidad del protocolo. La</w:t>
      </w:r>
      <w:r>
        <w:t xml:space="preserve"> </w:t>
      </w:r>
      <w:r>
        <w:t xml:space="preserve">variación en</w:t>
      </w:r>
      <w:r>
        <w:t xml:space="preserve"> </w:t>
      </w:r>
      <m:oMath>
        <m:r>
          <m:t>n</m:t>
        </m:r>
      </m:oMath>
      <w:r>
        <w:t xml:space="preserve"> </w:t>
      </w:r>
      <w:r>
        <w:t xml:space="preserve">permite examinar la estabilidad de los rankings bajo</w:t>
      </w:r>
      <w:r>
        <w:t xml:space="preserve"> </w:t>
      </w:r>
      <w:r>
        <w:t xml:space="preserve">distintos volúmenes de evidencia local.</w:t>
      </w:r>
    </w:p>
    <w:bookmarkStart w:id="65" w:name="X7f3be01e797123bdbedac923d646584591998bc"/>
    <w:p>
      <w:pPr>
        <w:pStyle w:val="Ttulo3"/>
      </w:pPr>
      <w:r>
        <w:t xml:space="preserve">Jerarquía de análisis y unidad inferencial</w:t>
      </w:r>
    </w:p>
    <w:p>
      <w:pPr>
        <w:pStyle w:val="FirstParagraph"/>
      </w:pPr>
      <w:r>
        <w:t xml:space="preserve">Para evitar la pseudo-replicación, el análisis adopta una estructura</w:t>
      </w:r>
      <w:r>
        <w:t xml:space="preserve"> </w:t>
      </w:r>
      <w:r>
        <w:t xml:space="preserve">jerárquica de tres niveles:</w:t>
      </w:r>
    </w:p>
    <w:p>
      <w:pPr>
        <w:pStyle w:val="Compact"/>
        <w:numPr>
          <w:ilvl w:val="0"/>
          <w:numId w:val="1008"/>
        </w:numPr>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pPr>
      <w:r>
        <w:rPr>
          <w:b/>
          <w:bCs/>
        </w:rPr>
        <w:t xml:space="preserve">Nivel de ejecución:</w:t>
      </w:r>
      <w:r>
        <w:t xml:space="preserve"> </w:t>
      </w:r>
      <w:r>
        <w:t xml:space="preserve">media métrica por instancia, estimador del</w:t>
      </w:r>
      <w:r>
        <w:t xml:space="preserve"> </w:t>
      </w:r>
      <w:r>
        <w:t xml:space="preserve">rendimiento del método</w:t>
      </w:r>
      <w:r>
        <w:t xml:space="preserve"> </w:t>
      </w:r>
      <m:oMath>
        <m:r>
          <m:t>k</m:t>
        </m:r>
      </m:oMath>
      <w:r>
        <w:t xml:space="preserve"> </w:t>
      </w:r>
      <w:r>
        <w:t xml:space="preserve">sobre el modelo</w:t>
      </w:r>
      <w:r>
        <w:t xml:space="preserve"> </w:t>
      </w:r>
      <m:oMath>
        <m:r>
          <m:t>g</m:t>
        </m:r>
      </m:oMath>
      <w:r>
        <w:t xml:space="preserve"> </w:t>
      </w:r>
      <w:r>
        <w:t xml:space="preserve">bajo semilla</w:t>
      </w:r>
      <w:r>
        <w:t xml:space="preserve"> </w:t>
      </w:r>
      <m:oMath>
        <m:r>
          <m:t>s</m:t>
        </m:r>
      </m:oMath>
      <w:r>
        <w:t xml:space="preserve"> </w:t>
      </w:r>
      <w:r>
        <w:t xml:space="preserve">y tamaño</w:t>
      </w:r>
      <w:r>
        <w:t xml:space="preserve"> </w:t>
      </w:r>
      <m:oMath>
        <m:r>
          <m:t>n</m:t>
        </m:r>
      </m:oMath>
      <w:r>
        <w:t xml:space="preserve">. Estimando declarado:</w:t>
      </w:r>
      <w:r>
        <w:t xml:space="preserve"> </w:t>
      </w:r>
      <m:oMath>
        <m:sSub>
          <m:e>
            <m:r>
              <m:t>y</m:t>
            </m:r>
          </m:e>
          <m:sub>
            <m:r>
              <m:t>g</m:t>
            </m:r>
            <m:r>
              <m:rPr>
                <m:sty m:val="p"/>
              </m:rPr>
              <m:t>,</m:t>
            </m:r>
            <m:r>
              <m:t>k</m:t>
            </m:r>
            <m:r>
              <m:rPr>
                <m:sty m:val="p"/>
              </m:rPr>
              <m:t>,</m:t>
            </m:r>
            <m:r>
              <m:t>s</m:t>
            </m:r>
            <m:r>
              <m:rPr>
                <m:sty m:val="p"/>
              </m:rPr>
              <m:t>,</m:t>
            </m:r>
            <m:r>
              <m:t>n</m:t>
            </m:r>
            <m:r>
              <m:rPr>
                <m:sty m:val="p"/>
              </m:rPr>
              <m:t>,</m:t>
            </m:r>
            <m:r>
              <m:t>m</m:t>
            </m:r>
          </m:sub>
        </m:sSub>
      </m:oMath>
      <w:r>
        <w:t xml:space="preserve">.</w:t>
      </w:r>
    </w:p>
    <w:p>
      <w:pPr>
        <w:pStyle w:val="Compact"/>
        <w:numPr>
          <w:ilvl w:val="0"/>
          <w:numId w:val="1008"/>
        </w:numPr>
      </w:pPr>
      <w:r>
        <w:rPr>
          <w:b/>
          <w:bCs/>
        </w:rPr>
        <w:t xml:space="preserve">Nivel de bloque:</w:t>
      </w:r>
      <w:r>
        <w:t xml:space="preserve"> </w:t>
      </w:r>
      <w:r>
        <w:t xml:space="preserve">para los tests de Friedman, el bloque se define como</w:t>
      </w:r>
      <w:r>
        <w:t xml:space="preserve"> </w:t>
      </w:r>
      <m:oMath>
        <m:r>
          <m:t>b</m:t>
        </m:r>
        <m:r>
          <m:rPr>
            <m:sty m:val="p"/>
          </m:rPr>
          <m:t>=</m:t>
        </m:r>
        <m:r>
          <m:rPr>
            <m:sty m:val="p"/>
          </m:rPr>
          <m:t>(</m:t>
        </m:r>
        <m:r>
          <m:t>g</m:t>
        </m:r>
        <m:r>
          <m:rPr>
            <m:sty m:val="p"/>
          </m:rPr>
          <m:t>,</m:t>
        </m:r>
        <m:r>
          <m:t>n</m:t>
        </m:r>
        <m:r>
          <m:rPr>
            <m:sty m:val="p"/>
          </m:rPr>
          <m:t>)</m:t>
        </m:r>
      </m:oMath>
      <w:r>
        <w:t xml:space="preserve">, con la ejecución como unidad de observación dentro del bloque.</w:t>
      </w:r>
      <w:r>
        <w:t xml:space="preserve"> </w:t>
      </w:r>
      <w:r>
        <w:t xml:space="preserve">Este diseño produce</w:t>
      </w:r>
      <w:r>
        <w:t xml:space="preserve"> </w:t>
      </w:r>
      <m:oMath>
        <m:r>
          <m:t>5</m:t>
        </m:r>
        <m:r>
          <m:rPr>
            <m:sty m:val="p"/>
          </m:rPr>
          <m:t>×</m:t>
        </m:r>
        <m:r>
          <m:t>3</m:t>
        </m:r>
        <m:r>
          <m:rPr>
            <m:sty m:val="p"/>
          </m:rPr>
          <m:t>=</m:t>
        </m:r>
        <m:r>
          <m:t>15</m:t>
        </m:r>
      </m:oMath>
      <w:r>
        <w:t xml:space="preserve"> </w:t>
      </w:r>
      <w:r>
        <w:t xml:space="preserve">bloques completos.</w:t>
      </w:r>
    </w:p>
    <w:p>
      <w:pPr>
        <w:pStyle w:val="FirstParagraph"/>
      </w:pPr>
      <w:r>
        <w:t xml:space="preserve">La unidad inferencial primaria del Estudio B es la</w:t>
      </w:r>
      <w:r>
        <w:t xml:space="preserve"> </w:t>
      </w:r>
      <w:r>
        <w:rPr>
          <w:b/>
          <w:bCs/>
        </w:rPr>
        <w:t xml:space="preserve">celda pareada</w:t>
      </w:r>
      <w:r>
        <w:t xml:space="preserve"> </w:t>
      </w:r>
      <m:oMath>
        <m:r>
          <m:rPr>
            <m:sty m:val="p"/>
          </m:rPr>
          <m:t>(</m:t>
        </m:r>
        <m:r>
          <m:t>g</m:t>
        </m:r>
        <m:r>
          <m:rPr>
            <m:sty m:val="p"/>
          </m:rPr>
          <m:t>,</m:t>
        </m:r>
        <m:r>
          <m:t>s</m:t>
        </m:r>
        <m:r>
          <m:rPr>
            <m:sty m:val="p"/>
          </m:rPr>
          <m:t>,</m:t>
        </m:r>
        <m:r>
          <m:t>n</m:t>
        </m:r>
        <m:r>
          <m:rPr>
            <m:sty m:val="p"/>
          </m:rPr>
          <m:t>)</m:t>
        </m:r>
      </m:oMath>
      <w:r>
        <w:t xml:space="preserve">: las 75 tuplas para las que existen artefactos calificados de</w:t>
      </w:r>
      <w:r>
        <w:t xml:space="preserve"> </w:t>
      </w:r>
      <w:r>
        <w:t xml:space="preserve">SHAP y LIME con coordenadas idénticas.</w:t>
      </w:r>
    </w:p>
    <w:bookmarkEnd w:id="65"/>
    <w:bookmarkEnd w:id="66"/>
    <w:bookmarkStart w:id="69" w:name="Xa1b63f5b80ef9314faeb5aae6b8d7e743e4217a"/>
    <w:p>
      <w:pPr>
        <w:pStyle w:val="Ttulo2"/>
      </w:pPr>
      <w:r>
        <w:t xml:space="preserve">Protocolo de muestreo de instancias y configuración de explicadores</w:t>
      </w:r>
    </w:p>
    <w:bookmarkStart w:id="67" w:name="X22a27531824c8c7d79a9c6abca6e13f987fd35c"/>
    <w:p>
      <w:pPr>
        <w:pStyle w:val="Ttulo3"/>
      </w:pPr>
      <w:r>
        <w:t xml:space="preserve">Muestreo estratificado por cuadrante de error</w:t>
      </w:r>
    </w:p>
    <w:p>
      <w:pPr>
        <w:pStyle w:val="FirstParagrap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m:oMath>
        <m:r>
          <m:t>n</m:t>
        </m:r>
      </m:oMath>
      <w:r>
        <w:t xml:space="preserve"> </w:t>
      </w:r>
      <w:r>
        <w:t xml:space="preserve">instancias por cuadrante:</w:t>
      </w:r>
    </w:p>
    <w:p>
      <w:pPr>
        <w:pStyle w:val="Textoindependiente"/>
      </w:pPr>
      <m:oMathPara>
        <m:oMathParaPr>
          <m:jc m:val="center"/>
        </m:oMathParaPr>
        <m:oMath>
          <m:sSub>
            <m:e>
              <m:r>
                <m:rPr>
                  <m:scr m:val="script"/>
                  <m:sty m:val="p"/>
                </m:rPr>
                <m:t>I</m:t>
              </m:r>
            </m:e>
            <m:sub>
              <m:r>
                <m:t>g</m:t>
              </m:r>
              <m:r>
                <m:rPr>
                  <m:sty m:val="p"/>
                </m:rPr>
                <m:t>,</m:t>
              </m:r>
              <m:r>
                <m:t>s</m:t>
              </m:r>
              <m:r>
                <m:rPr>
                  <m:sty m:val="p"/>
                </m:rPr>
                <m:t>,</m:t>
              </m:r>
              <m:r>
                <m:t>n</m:t>
              </m:r>
            </m:sub>
          </m:sSub>
          <m:r>
            <m:rPr>
              <m:sty m:val="p"/>
            </m:rPr>
            <m:t>=</m:t>
          </m:r>
          <m:r>
            <m:rPr>
              <m:nor/>
              <m:sty m:val="p"/>
            </m:rPr>
            <m:t>StratSample</m:t>
          </m:r>
          <m:r>
            <m:t>​</m:t>
          </m:r>
          <m:d>
            <m:dPr>
              <m:begChr m:val="("/>
              <m:sepChr m:val=""/>
              <m:endChr m:val=")"/>
              <m:grow/>
            </m:dPr>
            <m:e>
              <m:sSub>
                <m:e>
                  <m:r>
                    <m:rPr>
                      <m:scr m:val="script"/>
                      <m:sty m:val="p"/>
                    </m:rPr>
                    <m:t>I</m:t>
                  </m:r>
                </m:e>
                <m:sub>
                  <m:r>
                    <m:rPr>
                      <m:nor/>
                      <m:sty m:val="p"/>
                    </m:rPr>
                    <m:t>test</m:t>
                  </m:r>
                </m:sub>
              </m:sSub>
              <m:r>
                <m:rPr>
                  <m:sty m:val="p"/>
                </m:rPr>
                <m:t>,</m:t>
              </m:r>
              <m:r>
                <m:t> </m:t>
              </m:r>
              <m:r>
                <m:rPr>
                  <m:nor/>
                  <m:sty m:val="p"/>
                </m:rPr>
                <m:t>strata</m:t>
              </m:r>
              <m:r>
                <m:rPr>
                  <m:sty m:val="p"/>
                </m:rPr>
                <m:t>=</m:t>
              </m:r>
              <m:r>
                <m:rPr>
                  <m:sty m:val="p"/>
                </m:rPr>
                <m:t>{</m:t>
              </m:r>
              <m:r>
                <m:rPr>
                  <m:nor/>
                  <m:sty m:val="p"/>
                </m:rPr>
                <m:t>VP, VN, FP, FN</m:t>
              </m:r>
              <m:r>
                <m:rPr>
                  <m:sty m:val="p"/>
                </m:rPr>
                <m:t>}</m:t>
              </m:r>
              <m:r>
                <m:rPr>
                  <m:sty m:val="p"/>
                </m:rPr>
                <m:t>,</m:t>
              </m:r>
              <m:r>
                <m:t> </m:t>
              </m:r>
              <m:sSub>
                <m:e>
                  <m:r>
                    <m:t>n</m:t>
                  </m:r>
                </m:e>
                <m:sub>
                  <m:r>
                    <m:rPr>
                      <m:nor/>
                      <m:sty m:val="p"/>
                    </m:rPr>
                    <m:t>per_strata</m:t>
                  </m:r>
                </m:sub>
              </m:sSub>
              <m:r>
                <m:rPr>
                  <m:sty m:val="p"/>
                </m:rPr>
                <m:t>=</m:t>
              </m:r>
              <m:r>
                <m:t>n</m:t>
              </m:r>
            </m:e>
          </m:d>
        </m:oMath>
      </m:oMathPara>
    </w:p>
    <w:p>
      <w:pPr>
        <w:pStyle w:val="FirstParagraph"/>
      </w:pPr>
      <w:r>
        <w:t xml:space="preserve">El tamaño nominal por ejecución es</w:t>
      </w:r>
      <w:r>
        <w:t xml:space="preserve"> </w:t>
      </w:r>
      <m:oMath>
        <m:r>
          <m:t>4</m:t>
        </m:r>
        <m:r>
          <m:t>n</m:t>
        </m:r>
      </m: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67"/>
    <w:bookmarkStart w:id="68" w:name="configuración-de-los-explicadores"/>
    <w:p>
      <w:pPr>
        <w:pStyle w:val="Ttulo3"/>
      </w:pPr>
      <w:r>
        <w:t xml:space="preserve">Configuración de los explicadores</w:t>
      </w:r>
    </w:p>
    <w:p>
      <w:pPr>
        <w:pStyle w:val="FirstParagrap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m:oMath>
        <m:sSub>
          <m:e>
            <m:r>
              <m:t>n</m:t>
            </m:r>
          </m:e>
          <m:sub>
            <m:r>
              <m:rPr>
                <m:nor/>
                <m:sty m:val="p"/>
              </m:rPr>
              <m:t>bg</m:t>
            </m:r>
          </m:sub>
        </m:sSub>
        <m:r>
          <m:rPr>
            <m:sty m:val="p"/>
          </m:rPr>
          <m:t>=</m:t>
        </m:r>
        <m:r>
          <m:t>50</m:t>
        </m:r>
      </m:oMath>
      <w:r>
        <w:t xml:space="preserve"> </w:t>
      </w:r>
      <w:r>
        <w:t xml:space="preserve">muestras del conjunto de entrenamiento. Objetivo:</w:t>
      </w:r>
      <w:r>
        <w:t xml:space="preserve"> </w:t>
      </w:r>
      <w:r>
        <w:t xml:space="preserve">probabilidad de la clase positiva.</w:t>
      </w:r>
    </w:p>
    <w:p>
      <w:pPr>
        <w:pStyle w:val="Textoindependiente"/>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m:oMath>
        <m:r>
          <m:t>τ</m:t>
        </m:r>
        <m:r>
          <m:rPr>
            <m:sty m:val="p"/>
          </m:rPr>
          <m:t>=</m:t>
        </m:r>
        <m:r>
          <m:t>0.95</m:t>
        </m:r>
      </m: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m:oMath>
        <m:sSub>
          <m:e>
            <m:r>
              <m:rPr>
                <m:nor/>
                <m:sty m:val="p"/>
              </m:rPr>
              <m:t>imp</m:t>
            </m:r>
          </m:e>
          <m:sub>
            <m:r>
              <m:t>i</m:t>
            </m:r>
          </m:sub>
        </m:sSub>
        <m:r>
          <m:rPr>
            <m:sty m:val="p"/>
          </m:rPr>
          <m:t>=</m:t>
        </m:r>
        <m:r>
          <m:rPr>
            <m:sty m:val="p"/>
          </m:rPr>
          <m:t>|</m:t>
        </m:r>
        <m:sSub>
          <m:e>
            <m:r>
              <m:t>x</m:t>
            </m:r>
          </m:e>
          <m:sub>
            <m:r>
              <m:t>i</m:t>
            </m:r>
          </m:sub>
        </m:sSub>
        <m:r>
          <m:rPr>
            <m:sty m:val="p"/>
          </m:rPr>
          <m:t>−</m:t>
        </m:r>
        <m:sSubSup>
          <m:e>
            <m:r>
              <m:t>x</m:t>
            </m:r>
          </m:e>
          <m:sub>
            <m:r>
              <m:t>i</m:t>
            </m:r>
          </m:sub>
          <m:sup>
            <m:r>
              <m:rPr>
                <m:sty m:val="p"/>
              </m:rPr>
              <m:t>′</m:t>
            </m:r>
          </m:sup>
        </m:sSubSup>
        <m:r>
          <m:rPr>
            <m:sty m:val="p"/>
          </m:rPr>
          <m:t>|</m:t>
        </m:r>
      </m:oMath>
      <w:r>
        <w:t xml:space="preserve">,</w:t>
      </w:r>
      <w:r>
        <w:t xml:space="preserve"> </w:t>
      </w:r>
      <w:r>
        <w:rPr>
          <w:rStyle w:val="VerbatimChar"/>
        </w:rPr>
        <w:t xml:space="preserve">total_CFs = 1</w:t>
      </w:r>
      <w:r>
        <w:t xml:space="preserve"> </w:t>
      </w:r>
      <w:r>
        <w:t xml:space="preserve">efectivo (parámetro YAML no consumido).</w:t>
      </w:r>
    </w:p>
    <w:bookmarkEnd w:id="68"/>
    <w:bookmarkEnd w:id="69"/>
    <w:bookmarkStart w:id="77" w:name="operacionalización-de-las-métricas"/>
    <w:p>
      <w:pPr>
        <w:pStyle w:val="Ttulo2"/>
      </w:pPr>
      <w:r>
        <w:t xml:space="preserve">Operacionalización de las métricas</w:t>
      </w:r>
    </w:p>
    <w:p>
      <w:pPr>
        <w:pStyle w:val="FirstParagrap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bookmarkStart w:id="70" w:name="fidelidad"/>
    <w:p>
      <w:pPr>
        <w:pStyle w:val="Ttulo3"/>
      </w:pPr>
      <w:r>
        <w:t xml:space="preserve">Fidelidad</w:t>
      </w:r>
    </w:p>
    <w:p>
      <w:pPr>
        <w:pStyle w:val="FirstParagrap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pPr>
      <m:oMathPara>
        <m:oMathParaPr>
          <m:jc m:val="center"/>
        </m:oMathParaPr>
        <m:oMath>
          <m:r>
            <m:t>F</m:t>
          </m:r>
          <m:r>
            <m:rPr>
              <m:sty m:val="p"/>
            </m:rPr>
            <m:t>=</m:t>
          </m:r>
          <m:r>
            <m:rPr>
              <m:nor/>
              <m:sty m:val="p"/>
            </m:rPr>
            <m:t>corr</m:t>
          </m:r>
          <m:r>
            <m:t>​</m:t>
          </m:r>
          <m:d>
            <m:dPr>
              <m:begChr m:val="("/>
              <m:sepChr m:val=""/>
              <m:endChr m:val=")"/>
              <m:grow/>
            </m:dPr>
            <m:e>
              <m:r>
                <m:rPr>
                  <m:sty m:val="p"/>
                </m:rPr>
                <m:t>|</m:t>
              </m:r>
              <m:sSub>
                <m:e>
                  <m:r>
                    <m:t>w</m:t>
                  </m:r>
                </m:e>
                <m:sub>
                  <m:r>
                    <m:t>i</m:t>
                  </m:r>
                </m:sub>
              </m:sSub>
              <m:r>
                <m:rPr>
                  <m:sty m:val="p"/>
                </m:rPr>
                <m:t>|</m:t>
              </m:r>
              <m:r>
                <m:rPr>
                  <m:sty m:val="p"/>
                </m:rPr>
                <m:t>,</m:t>
              </m:r>
              <m:r>
                <m:t> </m:t>
              </m:r>
              <m:r>
                <m:rPr>
                  <m:sty m:val="p"/>
                </m:rPr>
                <m:t>|</m:t>
              </m:r>
              <m:r>
                <m:t>f</m:t>
              </m:r>
              <m:r>
                <m:rPr>
                  <m:sty m:val="p"/>
                </m:rPr>
                <m:t>(</m:t>
              </m:r>
              <m:r>
                <m:t>x</m:t>
              </m:r>
              <m:r>
                <m:rPr>
                  <m:sty m:val="p"/>
                </m:rPr>
                <m:t>)</m:t>
              </m:r>
              <m:r>
                <m:rPr>
                  <m:sty m:val="p"/>
                </m:rPr>
                <m:t>−</m:t>
              </m:r>
              <m:r>
                <m:t>f</m:t>
              </m:r>
              <m:r>
                <m:rPr>
                  <m:sty m:val="p"/>
                </m:rPr>
                <m:t>(</m:t>
              </m:r>
              <m:sSub>
                <m:e>
                  <m:r>
                    <m:t>x</m:t>
                  </m:r>
                </m:e>
                <m:sub>
                  <m:r>
                    <m:rPr>
                      <m:sty m:val="p"/>
                    </m:rPr>
                    <m:t>−</m:t>
                  </m:r>
                  <m:r>
                    <m:t>i</m:t>
                  </m:r>
                </m:sub>
              </m:sSub>
              <m:r>
                <m:rPr>
                  <m:sty m:val="p"/>
                </m:rPr>
                <m:t>)</m:t>
              </m:r>
              <m:r>
                <m:rPr>
                  <m:sty m:val="p"/>
                </m:rPr>
                <m:t>|</m:t>
              </m:r>
            </m:e>
          </m:d>
        </m:oMath>
      </m:oMathPara>
    </w:p>
    <w:p>
      <w:pPr>
        <w:pStyle w:val="FirstParagraph"/>
      </w:pPr>
      <w:r>
        <w:t xml:space="preserve">donde</w:t>
      </w:r>
      <w:r>
        <w:t xml:space="preserve"> </w:t>
      </w:r>
      <m:oMath>
        <m:sSub>
          <m:e>
            <m:r>
              <m:t>x</m:t>
            </m:r>
          </m:e>
          <m:sub>
            <m:r>
              <m:rPr>
                <m:sty m:val="p"/>
              </m:rPr>
              <m:t>−</m:t>
            </m:r>
            <m:r>
              <m:t>i</m:t>
            </m:r>
          </m:sub>
        </m:sSub>
      </m:oMath>
      <w:r>
        <w:t xml:space="preserve"> </w:t>
      </w:r>
      <w:r>
        <w:t xml:space="preserve">sustituye la característica</w:t>
      </w:r>
      <w:r>
        <w:t xml:space="preserve"> </w:t>
      </w:r>
      <m:oMath>
        <m:r>
          <m:t>i</m:t>
        </m:r>
      </m:oMath>
      <w:r>
        <w:t xml:space="preserve"> </w:t>
      </w:r>
      <w:r>
        <w:t xml:space="preserve">por su media de entrenamiento.</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src/metrics/fidelity.py</w:t>
      </w:r>
      <w:r>
        <w:t xml:space="preserve">.</w:t>
      </w:r>
    </w:p>
    <w:bookmarkEnd w:id="70"/>
    <w:bookmarkStart w:id="71" w:name="estabilidad"/>
    <w:p>
      <w:pPr>
        <w:pStyle w:val="Ttulo3"/>
      </w:pPr>
      <w:r>
        <w:t xml:space="preserve">Estabilidad</w:t>
      </w:r>
    </w:p>
    <w:p>
      <w:pPr>
        <w:pStyle w:val="FirstParagraph"/>
      </w:pPr>
      <w:r>
        <w:t xml:space="preserve">La estabilidad mide la consistencia de las explicaciones bajo</w:t>
      </w:r>
      <w:r>
        <w:t xml:space="preserve"> </w:t>
      </w:r>
      <m:oMath>
        <m:r>
          <m:t>T</m:t>
        </m:r>
        <m:r>
          <m:rPr>
            <m:sty m:val="p"/>
          </m:rPr>
          <m:t>=</m:t>
        </m:r>
        <m:r>
          <m:t>15</m:t>
        </m:r>
      </m:oMath>
      <w:r>
        <w:t xml:space="preserve"> </w:t>
      </w:r>
      <w:r>
        <w:t xml:space="preserve">perturbaciones gaussianas</w:t>
      </w:r>
      <w:r>
        <w:t xml:space="preserve"> </w:t>
      </w:r>
      <m:oMath>
        <m:sSup>
          <m:e>
            <m:r>
              <m:t>x</m:t>
            </m:r>
          </m:e>
          <m:sup>
            <m:r>
              <m:rPr>
                <m:sty m:val="p"/>
              </m:rPr>
              <m:t>(</m:t>
            </m:r>
            <m:r>
              <m:t>t</m:t>
            </m:r>
            <m:r>
              <m:rPr>
                <m:sty m:val="p"/>
              </m:rPr>
              <m:t>)</m:t>
            </m:r>
          </m:sup>
        </m:sSup>
        <m:r>
          <m:rPr>
            <m:sty m:val="p"/>
          </m:rPr>
          <m:t>=</m:t>
        </m:r>
        <m:r>
          <m:t>x</m:t>
        </m:r>
        <m:r>
          <m:rPr>
            <m:sty m:val="p"/>
          </m:rPr>
          <m:t>+</m:t>
        </m:r>
        <m:sSup>
          <m:e>
            <m:r>
              <m:t>ε</m:t>
            </m:r>
          </m:e>
          <m:sup>
            <m:r>
              <m:rPr>
                <m:sty m:val="p"/>
              </m:rPr>
              <m:t>(</m:t>
            </m:r>
            <m:r>
              <m:t>t</m:t>
            </m:r>
            <m:r>
              <m:rPr>
                <m:sty m:val="p"/>
              </m:rPr>
              <m:t>)</m:t>
            </m:r>
          </m:sup>
        </m:sSup>
      </m:oMath>
      <w:r>
        <w:t xml:space="preserve">,</w:t>
      </w:r>
      <w:r>
        <w:t xml:space="preserve"> </w:t>
      </w:r>
      <m:oMath>
        <m:sSup>
          <m:e>
            <m:r>
              <m:t>ε</m:t>
            </m:r>
          </m:e>
          <m:sup>
            <m:r>
              <m:rPr>
                <m:sty m:val="p"/>
              </m:rPr>
              <m:t>(</m:t>
            </m:r>
            <m:r>
              <m:t>t</m:t>
            </m:r>
            <m:r>
              <m:rPr>
                <m:sty m:val="p"/>
              </m:rPr>
              <m:t>)</m:t>
            </m:r>
          </m:sup>
        </m:sSup>
        <m:r>
          <m:rPr>
            <m:sty m:val="p"/>
          </m:rPr>
          <m:t>∼</m:t>
        </m:r>
        <m:r>
          <m:rPr>
            <m:scr m:val="script"/>
            <m:sty m:val="p"/>
          </m:rPr>
          <m:t>N</m:t>
        </m:r>
        <m:r>
          <m:rPr>
            <m:sty m:val="p"/>
          </m:rPr>
          <m:t>(</m:t>
        </m:r>
        <m:r>
          <m:t>0</m:t>
        </m:r>
        <m:r>
          <m:rPr>
            <m:sty m:val="p"/>
          </m:rPr>
          <m:t>,</m:t>
        </m:r>
        <m:sSup>
          <m:e>
            <m:r>
              <m:t>σ</m:t>
            </m:r>
          </m:e>
          <m:sup>
            <m:r>
              <m:t>2</m:t>
            </m:r>
          </m:sup>
        </m:sSup>
        <m:r>
          <m:rPr>
            <m:sty m:val="b"/>
          </m:rPr>
          <m:t>I</m:t>
        </m:r>
        <m:r>
          <m:rPr>
            <m:sty m:val="p"/>
          </m:rPr>
          <m:t>)</m:t>
        </m:r>
      </m:oMath>
      <w:r>
        <w:t xml:space="preserve">,</w:t>
      </w:r>
      <w:r>
        <w:t xml:space="preserve"> </w:t>
      </w:r>
      <m:oMath>
        <m:r>
          <m:t>σ</m:t>
        </m:r>
        <m:r>
          <m:rPr>
            <m:sty m:val="p"/>
          </m:rPr>
          <m:t>=</m:t>
        </m:r>
        <m:r>
          <m:t>0.1</m:t>
        </m:r>
      </m:oMath>
      <w:r>
        <w:t xml:space="preserve">:</w:t>
      </w:r>
    </w:p>
    <w:p>
      <w:pPr>
        <w:pStyle w:val="Textoindependiente"/>
      </w:pPr>
      <m:oMathPara>
        <m:oMathParaPr>
          <m:jc m:val="center"/>
        </m:oMathParaPr>
        <m:oMath>
          <m:r>
            <m:t>S</m:t>
          </m:r>
          <m:r>
            <m:rPr>
              <m:sty m:val="p"/>
            </m:rPr>
            <m:t>=</m:t>
          </m:r>
          <m:f>
            <m:fPr>
              <m:type m:val="bar"/>
            </m:fPr>
            <m:num>
              <m:r>
                <m:t>2</m:t>
              </m:r>
            </m:num>
            <m:den>
              <m:r>
                <m:t>T</m:t>
              </m:r>
              <m:r>
                <m:rPr>
                  <m:sty m:val="p"/>
                </m:rPr>
                <m:t>(</m:t>
              </m:r>
              <m:r>
                <m:t>T</m:t>
              </m:r>
              <m:r>
                <m:rPr>
                  <m:sty m:val="p"/>
                </m:rPr>
                <m:t>−</m:t>
              </m:r>
              <m:r>
                <m:t>1</m:t>
              </m:r>
              <m:r>
                <m:rPr>
                  <m:sty m:val="p"/>
                </m:rPr>
                <m:t>)</m:t>
              </m:r>
            </m:den>
          </m:f>
          <m:nary>
            <m:naryPr>
              <m:chr m:val="∑"/>
              <m:limLoc m:val="undOvr"/>
              <m:subHide m:val="off"/>
              <m:supHide m:val="on"/>
            </m:naryPr>
            <m:sub>
              <m:r>
                <m:t>a</m:t>
              </m:r>
              <m:r>
                <m:rPr>
                  <m:sty m:val="p"/>
                </m:rPr>
                <m:t>&lt;</m:t>
              </m:r>
              <m:r>
                <m:t>b</m:t>
              </m:r>
            </m:sub>
            <m:sup>
              <m:r>
                <m:t>​</m:t>
              </m:r>
            </m:sup>
            <m:e>
              <m:r>
                <m:rPr>
                  <m:sty m:val="p"/>
                </m:rPr>
                <m:t>cos</m:t>
              </m:r>
            </m:e>
          </m:nary>
          <m:r>
            <m:t>​</m:t>
          </m:r>
          <m:d>
            <m:dPr>
              <m:begChr m:val="("/>
              <m:sepChr m:val=""/>
              <m:endChr m:val=")"/>
              <m:grow/>
            </m:dPr>
            <m:e>
              <m:sSup>
                <m:e>
                  <m:r>
                    <m:t>e</m:t>
                  </m:r>
                </m:e>
                <m:sup>
                  <m:r>
                    <m:rPr>
                      <m:sty m:val="p"/>
                    </m:rPr>
                    <m:t>(</m:t>
                  </m:r>
                  <m:r>
                    <m:t>a</m:t>
                  </m:r>
                  <m:r>
                    <m:rPr>
                      <m:sty m:val="p"/>
                    </m:rPr>
                    <m:t>)</m:t>
                  </m:r>
                </m:sup>
              </m:sSup>
              <m:r>
                <m:rPr>
                  <m:sty m:val="p"/>
                </m:rPr>
                <m:t>,</m:t>
              </m:r>
              <m:r>
                <m:t> </m:t>
              </m:r>
              <m:sSup>
                <m:e>
                  <m:r>
                    <m:t>e</m:t>
                  </m:r>
                </m:e>
                <m:sup>
                  <m:r>
                    <m:rPr>
                      <m:sty m:val="p"/>
                    </m:rPr>
                    <m:t>(</m:t>
                  </m:r>
                  <m:r>
                    <m:t>b</m:t>
                  </m:r>
                  <m:r>
                    <m:rPr>
                      <m:sty m:val="p"/>
                    </m:rPr>
                    <m:t>)</m:t>
                  </m:r>
                </m:sup>
              </m:sSup>
            </m:e>
          </m:d>
        </m:oMath>
      </m:oMathPara>
    </w:p>
    <w:p>
      <w:pPr>
        <w:pStyle w:val="FirstParagraph"/>
      </w:pPr>
      <w:r>
        <w:t xml:space="preserve">Con</w:t>
      </w:r>
      <w:r>
        <w:t xml:space="preserve"> </w:t>
      </w:r>
      <m:oMath>
        <m:r>
          <m:t>T</m:t>
        </m:r>
        <m:r>
          <m:rPr>
            <m:sty m:val="p"/>
          </m:rPr>
          <m:t>=</m:t>
        </m:r>
        <m:r>
          <m:t>15</m:t>
        </m:r>
      </m:oMath>
      <w:r>
        <w:t xml:space="preserve"> </w:t>
      </w:r>
      <w:r>
        <w:t xml:space="preserve">se forman</w:t>
      </w:r>
      <w:r>
        <w:t xml:space="preserve"> </w:t>
      </w:r>
      <m:oMath>
        <m:d>
          <m:dPr>
            <m:begChr m:val="("/>
            <m:sepChr m:val=""/>
            <m:endChr m:val=")"/>
            <m:grow/>
          </m:dPr>
          <m:e>
            <m:f>
              <m:fPr>
                <m:type m:val="noBar"/>
              </m:fPr>
              <m:num>
                <m:r>
                  <m:t>15</m:t>
                </m:r>
              </m:num>
              <m:den>
                <m:r>
                  <m:t>2</m:t>
                </m:r>
              </m:den>
            </m:f>
          </m:e>
        </m:d>
        <m:r>
          <m:rPr>
            <m:sty m:val="p"/>
          </m:rPr>
          <m:t>=</m:t>
        </m:r>
        <m:r>
          <m:t>105</m:t>
        </m:r>
      </m:oMath>
      <w:r>
        <w:t xml:space="preserve"> </w:t>
      </w:r>
      <w:r>
        <w:t xml:space="preserve">pares por instancia.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src/metrics/stability.py</w:t>
      </w:r>
      <w:r>
        <w:t xml:space="preserve">.</w:t>
      </w:r>
    </w:p>
    <w:bookmarkEnd w:id="71"/>
    <w:bookmarkStart w:id="72" w:name="parsimonia"/>
    <w:p>
      <w:pPr>
        <w:pStyle w:val="Ttulo3"/>
      </w:pPr>
      <w:r>
        <w:t xml:space="preserve">Parsimonia</w:t>
      </w:r>
    </w:p>
    <w:p>
      <w:pPr>
        <w:pStyle w:val="FirstParagraph"/>
      </w:pPr>
      <w:r>
        <w:t xml:space="preserve">La parsimonia cuantifica la proporción de características activas</w:t>
      </w:r>
      <w:r>
        <w:t xml:space="preserve"> </w:t>
      </w:r>
      <w:r>
        <w:t xml:space="preserve">(</w:t>
      </w:r>
      <m:oMath>
        <m:r>
          <m:rPr>
            <m:sty m:val="p"/>
          </m:rPr>
          <m:t>|</m:t>
        </m:r>
        <m:sSub>
          <m:e>
            <m:r>
              <m:t>w</m:t>
            </m:r>
          </m:e>
          <m:sub>
            <m:r>
              <m:t>i</m:t>
            </m:r>
          </m:sub>
        </m:sSub>
        <m:r>
          <m:rPr>
            <m:sty m:val="p"/>
          </m:rPr>
          <m:t>|</m:t>
        </m:r>
        <m:r>
          <m:rPr>
            <m:sty m:val="p"/>
          </m:rPr>
          <m:t>&gt;</m:t>
        </m:r>
        <m:sSub>
          <m:e>
            <m:r>
              <m:t>τ</m:t>
            </m:r>
          </m:e>
          <m:sub>
            <m:r>
              <m:t>s</m:t>
            </m:r>
          </m:sub>
        </m:sSub>
        <m:r>
          <m:rPr>
            <m:sty m:val="p"/>
          </m:rPr>
          <m:t>=</m:t>
        </m:r>
        <m:sSup>
          <m:e>
            <m:r>
              <m:t>10</m:t>
            </m:r>
          </m:e>
          <m:sup>
            <m:r>
              <m:rPr>
                <m:sty m:val="p"/>
              </m:rPr>
              <m:t>−</m:t>
            </m:r>
            <m:r>
              <m:t>4</m:t>
            </m:r>
          </m:sup>
        </m:sSup>
      </m:oMath>
      <w:r>
        <w:t xml:space="preserve">) sobre el total de características transformadas:</w:t>
      </w:r>
    </w:p>
    <w:p>
      <w:pPr>
        <w:pStyle w:val="Textoindependiente"/>
      </w:pPr>
      <m:oMathPara>
        <m:oMathParaPr>
          <m:jc m:val="center"/>
        </m:oMathParaPr>
        <m:oMath>
          <m:r>
            <m:t>P</m:t>
          </m:r>
          <m:r>
            <m:rPr>
              <m:sty m:val="p"/>
            </m:rPr>
            <m:t>=</m:t>
          </m:r>
          <m:f>
            <m:fPr>
              <m:type m:val="bar"/>
            </m:fPr>
            <m:num>
              <m:r>
                <m:rPr>
                  <m:sty m:val="p"/>
                </m:rPr>
                <m:t>#</m:t>
              </m:r>
              <m:r>
                <m:rPr>
                  <m:sty m:val="p"/>
                </m:rPr>
                <m:t>{</m:t>
              </m:r>
              <m:r>
                <m:t>i</m:t>
              </m:r>
              <m:r>
                <m:rPr>
                  <m:sty m:val="p"/>
                </m:rPr>
                <m:t>:</m:t>
              </m:r>
              <m:r>
                <m:rPr>
                  <m:sty m:val="p"/>
                </m:rPr>
                <m:t>|</m:t>
              </m:r>
              <m:sSub>
                <m:e>
                  <m:r>
                    <m:t>w</m:t>
                  </m:r>
                </m:e>
                <m:sub>
                  <m:r>
                    <m:t>i</m:t>
                  </m:r>
                </m:sub>
              </m:sSub>
              <m:r>
                <m:rPr>
                  <m:sty m:val="p"/>
                </m:rPr>
                <m:t>|</m:t>
              </m:r>
              <m:r>
                <m:rPr>
                  <m:sty m:val="p"/>
                </m:rPr>
                <m:t>&gt;</m:t>
              </m:r>
              <m:sSub>
                <m:e>
                  <m:r>
                    <m:t>τ</m:t>
                  </m:r>
                </m:e>
                <m:sub>
                  <m:r>
                    <m:t>s</m:t>
                  </m:r>
                </m:sub>
              </m:sSub>
              <m:r>
                <m:rPr>
                  <m:sty m:val="p"/>
                </m:rPr>
                <m:t>}</m:t>
              </m:r>
            </m:num>
            <m:den>
              <m:r>
                <m:rPr>
                  <m:sty m:val="p"/>
                </m:rPr>
                <m:t>|</m:t>
              </m:r>
              <m:r>
                <m:rPr>
                  <m:scr m:val="script"/>
                  <m:sty m:val="p"/>
                </m:rPr>
                <m:t>F</m:t>
              </m:r>
              <m:r>
                <m:rPr>
                  <m:sty m:val="p"/>
                </m:rPr>
                <m:t>|</m:t>
              </m:r>
            </m:den>
          </m:f>
        </m:oMath>
      </m:oMathPara>
    </w:p>
    <w:p>
      <w:pPr>
        <w:pStyle w:val="FirstParagraph"/>
      </w:pPr>
      <w:r>
        <w:t xml:space="preserve">Un valor bajo indica mayor concisión. Dirección:</w:t>
      </w:r>
      <w:r>
        <w:t xml:space="preserve"> </w:t>
      </w:r>
      <m:oMath>
        <m:r>
          <m:rPr>
            <m:sty m:val="p"/>
          </m:rPr>
          <m:t>↓</m:t>
        </m:r>
      </m:oMath>
      <w:r>
        <w:t xml:space="preserve">.</w:t>
      </w:r>
      <w:r>
        <w:t xml:space="preserve"> </w:t>
      </w:r>
      <w:r>
        <w:t xml:space="preserve">Implementación:</w:t>
      </w:r>
      <w:r>
        <w:t xml:space="preserve"> </w:t>
      </w:r>
      <w:r>
        <w:rPr>
          <w:rStyle w:val="VerbatimChar"/>
        </w:rPr>
        <w:t xml:space="preserve">src/metrics/sparsity.py</w:t>
      </w:r>
      <w:r>
        <w:t xml:space="preserve">.</w:t>
      </w:r>
    </w:p>
    <w:bookmarkEnd w:id="72"/>
    <w:bookmarkStart w:id="73" w:name="brecha-de-fidelidad"/>
    <w:p>
      <w:pPr>
        <w:pStyle w:val="Ttulo3"/>
      </w:pPr>
      <w:r>
        <w:t xml:space="preserve">Brecha de fidelidad</w:t>
      </w:r>
    </w:p>
    <w:p>
      <w:pPr>
        <w:pStyle w:val="FirstParagraph"/>
      </w:pPr>
      <w:r>
        <w:t xml:space="preserve">La brecha de fidelidad cuantifica el cambio en la salida del modelo al</w:t>
      </w:r>
      <w:r>
        <w:t xml:space="preserve"> </w:t>
      </w:r>
      <w:r>
        <w:t xml:space="preserve">enmascarar las</w:t>
      </w:r>
      <w:r>
        <w:t xml:space="preserve"> </w:t>
      </w:r>
      <m:oMath>
        <m:r>
          <m:t>k</m:t>
        </m:r>
        <m:r>
          <m:rPr>
            <m:sty m:val="p"/>
          </m:rPr>
          <m:t>=</m:t>
        </m:r>
        <m:r>
          <m:t>5</m:t>
        </m:r>
      </m:oMath>
      <w:r>
        <w:t xml:space="preserve"> </w:t>
      </w:r>
      <w:r>
        <w:t xml:space="preserve">características de mayor importancia:</w:t>
      </w:r>
    </w:p>
    <w:p>
      <w:pPr>
        <w:pStyle w:val="Textoindependiente"/>
      </w:pPr>
      <m:oMathPara>
        <m:oMathParaPr>
          <m:jc m:val="center"/>
        </m:oMathParaPr>
        <m:oMath>
          <m:sSub>
            <m:e>
              <m:r>
                <m:rPr>
                  <m:sty m:val="p"/>
                </m:rPr>
                <m:t>Δ</m:t>
              </m:r>
            </m:e>
            <m:sub>
              <m:r>
                <m:t>k</m:t>
              </m:r>
            </m:sub>
          </m:sSub>
          <m:r>
            <m:rPr>
              <m:sty m:val="p"/>
            </m:rPr>
            <m:t>=</m:t>
          </m:r>
          <m:d>
            <m:dPr>
              <m:begChr m:val="|"/>
              <m:sepChr m:val=""/>
              <m:endChr m:val="|"/>
              <m:grow/>
            </m:dPr>
            <m:e>
              <m:r>
                <m:t>f</m:t>
              </m:r>
              <m:r>
                <m:rPr>
                  <m:sty m:val="p"/>
                </m:rPr>
                <m:t>(</m:t>
              </m:r>
              <m:r>
                <m:t>x</m:t>
              </m:r>
              <m:r>
                <m:rPr>
                  <m:sty m:val="p"/>
                </m:rPr>
                <m:t>)</m:t>
              </m:r>
              <m:r>
                <m:rPr>
                  <m:sty m:val="p"/>
                </m:rPr>
                <m:t>−</m:t>
              </m:r>
              <m:r>
                <m:t>f</m:t>
              </m:r>
              <m:r>
                <m:t>​</m:t>
              </m:r>
              <m:d>
                <m:dPr>
                  <m:begChr m:val="("/>
                  <m:sepChr m:val=""/>
                  <m:endChr m:val=")"/>
                  <m:grow/>
                </m:dPr>
                <m:e>
                  <m:sSub>
                    <m:e>
                      <m:r>
                        <m:t>x</m:t>
                      </m:r>
                    </m:e>
                    <m:sub>
                      <m:r>
                        <m:rPr>
                          <m:nor/>
                          <m:sty m:val="p"/>
                        </m:rPr>
                        <m:t>mask-top-</m:t>
                      </m:r>
                      <m:r>
                        <m:t>k</m:t>
                      </m:r>
                    </m:sub>
                  </m:sSub>
                </m:e>
              </m:d>
            </m:e>
          </m:d>
        </m:oMath>
      </m:oMathPara>
    </w:p>
    <w:p>
      <w:pPr>
        <w:pStyle w:val="FirstParagraph"/>
      </w:pPr>
      <w:r>
        <w:t xml:space="preserve">donde</w:t>
      </w:r>
      <w:r>
        <w:t xml:space="preserve"> </w:t>
      </w:r>
      <m:oMath>
        <m:r>
          <m:t>f</m:t>
        </m:r>
        <m:r>
          <m:rPr>
            <m:sty m:val="p"/>
          </m:rPr>
          <m:t>(</m:t>
        </m:r>
        <m:r>
          <m:rPr>
            <m:sty m:val="p"/>
          </m:rPr>
          <m:t>⋅</m:t>
        </m:r>
        <m:r>
          <m:rPr>
            <m:sty m:val="p"/>
          </m:rPr>
          <m:t>)</m:t>
        </m:r>
      </m:oMath>
      <w:r>
        <w:t xml:space="preserve"> </w:t>
      </w:r>
      <w:r>
        <w:t xml:space="preserve">devuelve la probabilidad de la clase positiva.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src/metrics/faithfulness.py</w:t>
      </w:r>
      <w:r>
        <w:t xml:space="preserve">.</w:t>
      </w:r>
    </w:p>
    <w:bookmarkEnd w:id="73"/>
    <w:bookmarkStart w:id="74" w:name="coste-computacional"/>
    <w:p>
      <w:pPr>
        <w:pStyle w:val="Ttulo3"/>
      </w:pPr>
      <w:r>
        <w:t xml:space="preserve">Coste computacional</w:t>
      </w:r>
    </w:p>
    <w:p>
      <w:pPr>
        <w:pStyle w:val="FirstParagraph"/>
      </w:pPr>
      <w:r>
        <w:t xml:space="preserve">El coste (</w:t>
      </w:r>
      <m:oMath>
        <m:r>
          <m:t>C</m:t>
        </m:r>
      </m: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m:oMath>
        <m:r>
          <m:rPr>
            <m:sty m:val="p"/>
          </m:rPr>
          <m:t>↓</m:t>
        </m:r>
      </m:oMath>
      <w:r>
        <w:t xml:space="preserve">.</w:t>
      </w:r>
    </w:p>
    <w:bookmarkEnd w:id="74"/>
    <w:bookmarkStart w:id="76" w:name="resumen-de-métricas-primarias"/>
    <w:p>
      <w:pPr>
        <w:pStyle w:val="Ttulo3"/>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5" w:name="tbl-metrics"/>
          <w:p>
            <w:pPr>
              <w:jc w:val="center"/>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Métrica</w:t>
                  </w:r>
                </w:p>
              </w:tc>
              <w:tc>
                <w:tcPr/>
                <w:p>
                  <w:pPr>
                    <w:pStyle w:val="Compact"/>
                    <w:jc w:val="center"/>
                    <w:jc w:val="center"/>
                  </w:pPr>
                  <w:r>
                    <w:t xml:space="preserve">Símbolo</w:t>
                  </w:r>
                </w:p>
              </w:tc>
              <w:tc>
                <w:tcPr/>
                <w:p>
                  <w:pPr>
                    <w:pStyle w:val="Compact"/>
                    <w:jc w:val="center"/>
                    <w:jc w:val="center"/>
                  </w:pPr>
                  <w:r>
                    <w:t xml:space="preserve">Unidad</w:t>
                  </w:r>
                </w:p>
              </w:tc>
              <w:tc>
                <w:tcPr/>
                <w:p>
                  <w:pPr>
                    <w:pStyle w:val="Compact"/>
                    <w:jc w:val="center"/>
                    <w:jc w:val="center"/>
                  </w:pPr>
                  <w:r>
                    <w:t xml:space="preserve">Dirección</w:t>
                  </w:r>
                </w:p>
              </w:tc>
            </w:tr>
            <w:tr>
              <w:tc>
                <w:tcPr/>
                <w:p>
                  <w:pPr>
                    <w:pStyle w:val="Compact"/>
                    <w:jc w:val="left"/>
                    <w:jc w:val="center"/>
                  </w:pPr>
                  <w:r>
                    <w:t xml:space="preserve">Fidelidad</w:t>
                  </w:r>
                </w:p>
              </w:tc>
              <w:tc>
                <w:tcPr/>
                <w:p>
                  <w:pPr>
                    <w:pStyle w:val="Compact"/>
                    <w:jc w:val="center"/>
                    <w:jc w:val="center"/>
                  </w:pPr>
                  <m:oMath>
                    <m:r>
                      <m:t>F</m:t>
                    </m:r>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Estabilidad</w:t>
                  </w:r>
                </w:p>
              </w:tc>
              <w:tc>
                <w:tcPr/>
                <w:p>
                  <w:pPr>
                    <w:pStyle w:val="Compact"/>
                    <w:jc w:val="center"/>
                    <w:jc w:val="center"/>
                  </w:pPr>
                  <m:oMath>
                    <m:r>
                      <m:t>S</m:t>
                    </m:r>
                  </m:oMath>
                </w:p>
              </w:tc>
              <w:tc>
                <w:tcPr/>
                <w:p>
                  <w:pPr>
                    <w:pStyle w:val="Compact"/>
                    <w:jc w:val="center"/>
                    <w:jc w:val="center"/>
                  </w:pPr>
                  <w:r>
                    <w:t xml:space="preserve">similitud coseno</w:t>
                  </w:r>
                </w:p>
              </w:tc>
              <w:tc>
                <w:tcPr/>
                <w:p>
                  <w:pPr>
                    <w:pStyle w:val="Compact"/>
                    <w:jc w:val="center"/>
                    <w:jc w:val="center"/>
                  </w:pPr>
                  <m:oMath>
                    <m:r>
                      <m:rPr>
                        <m:sty m:val="p"/>
                      </m:rPr>
                      <m:t>↑</m:t>
                    </m:r>
                  </m:oMath>
                </w:p>
              </w:tc>
            </w:tr>
            <w:tr>
              <w:tc>
                <w:tcPr/>
                <w:p>
                  <w:pPr>
                    <w:pStyle w:val="Compact"/>
                    <w:jc w:val="left"/>
                    <w:jc w:val="center"/>
                  </w:pPr>
                  <w:r>
                    <w:t xml:space="preserve">Parsimonia</w:t>
                  </w:r>
                </w:p>
              </w:tc>
              <w:tc>
                <w:tcPr/>
                <w:p>
                  <w:pPr>
                    <w:pStyle w:val="Compact"/>
                    <w:jc w:val="center"/>
                    <w:jc w:val="center"/>
                  </w:pPr>
                  <m:oMath>
                    <m:r>
                      <m:t>P</m:t>
                    </m:r>
                  </m:oMath>
                </w:p>
              </w:tc>
              <w:tc>
                <w:tcPr/>
                <w:p>
                  <w:pPr>
                    <w:pStyle w:val="Compact"/>
                    <w:jc w:val="center"/>
                    <w:jc w:val="center"/>
                  </w:pPr>
                  <w:r>
                    <w:t xml:space="preserve">proporción activa</w:t>
                  </w:r>
                </w:p>
              </w:tc>
              <w:tc>
                <w:tcPr/>
                <w:p>
                  <w:pPr>
                    <w:pStyle w:val="Compact"/>
                    <w:jc w:val="center"/>
                    <w:jc w:val="center"/>
                  </w:pPr>
                  <m:oMath>
                    <m:r>
                      <m:rPr>
                        <m:sty m:val="p"/>
                      </m:rPr>
                      <m:t>↓</m:t>
                    </m:r>
                  </m:oMath>
                </w:p>
              </w:tc>
            </w:tr>
            <w:tr>
              <w:tc>
                <w:tcPr/>
                <w:p>
                  <w:pPr>
                    <w:pStyle w:val="Compact"/>
                    <w:jc w:val="left"/>
                    <w:jc w:val="center"/>
                  </w:pPr>
                  <w:r>
                    <w:t xml:space="preserve">Brecha de fidelidad</w:t>
                  </w:r>
                </w:p>
              </w:tc>
              <w:tc>
                <w:tcPr/>
                <w:p>
                  <w:pPr>
                    <w:pStyle w:val="Compact"/>
                    <w:jc w:val="center"/>
                    <w:jc w:val="center"/>
                  </w:pPr>
                  <m:oMath>
                    <m:sSub>
                      <m:e>
                        <m:r>
                          <m:rPr>
                            <m:sty m:val="p"/>
                          </m:rPr>
                          <m:t>Δ</m:t>
                        </m:r>
                      </m:e>
                      <m:sub>
                        <m:r>
                          <m:t>k</m:t>
                        </m:r>
                      </m:sub>
                    </m:sSub>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Coste computacional</w:t>
                  </w:r>
                </w:p>
              </w:tc>
              <w:tc>
                <w:tcPr/>
                <w:p>
                  <w:pPr>
                    <w:pStyle w:val="Compact"/>
                    <w:jc w:val="center"/>
                    <w:jc w:val="center"/>
                  </w:pPr>
                  <m:oMath>
                    <m:r>
                      <m:t>C</m:t>
                    </m:r>
                  </m:oMath>
                </w:p>
              </w:tc>
              <w:tc>
                <w:tcPr/>
                <w:p>
                  <w:pPr>
                    <w:pStyle w:val="Compact"/>
                    <w:jc w:val="center"/>
                    <w:jc w:val="center"/>
                  </w:pPr>
                  <w:r>
                    <w:t xml:space="preserve">ms/instancia</w:t>
                  </w:r>
                </w:p>
              </w:tc>
              <w:tc>
                <w:tcPr/>
                <w:p>
                  <w:pPr>
                    <w:pStyle w:val="Compact"/>
                    <w:jc w:val="center"/>
                    <w:jc w:val="center"/>
                  </w:pPr>
                  <m:oMath>
                    <m:r>
                      <m:rPr>
                        <m:sty m:val="p"/>
                      </m:rPr>
                      <m:t>↓</m:t>
                    </m:r>
                  </m:oMath>
                </w:p>
              </w:tc>
            </w:tr>
          </w:tbl>
          <w:bookmarkEnd w:id="75"/>
          <w:p/>
        </w:tc>
      </w:tr>
    </w:tbl>
    <w:bookmarkEnd w:id="76"/>
    <w:bookmarkEnd w:id="77"/>
    <w:bookmarkStart w:id="78" w:name="protocolo-de-operación-fom-7"/>
    <w:p>
      <w:pPr>
        <w:pStyle w:val="Ttulo2"/>
      </w:pPr>
      <w:r>
        <w:t xml:space="preserve">Protocolo de operación FOM-7</w:t>
      </w:r>
    </w:p>
    <w:p>
      <w:pPr>
        <w:pStyle w:val="FirstParagrap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pPr>
      <w:r>
        <w:t xml:space="preserve">El flujo compacto del protocolo es:</w:t>
      </w:r>
    </w:p>
    <w:p>
      <w:pPr>
        <w:pStyle w:val="Textoindependiente"/>
      </w:pPr>
      <m:oMathPara>
        <m:oMathParaPr>
          <m:jc m:val="center"/>
        </m:oMathParaPr>
        <m:oMath>
          <m:r>
            <m:rPr>
              <m:nor/>
              <m:sty m:val="p"/>
            </m:rPr>
            <m:t>Congelación</m:t>
          </m:r>
          <m:r>
            <m:rPr>
              <m:sty m:val="p"/>
            </m:rPr>
            <m:t>→</m:t>
          </m:r>
          <m:r>
            <m:rPr>
              <m:nor/>
              <m:sty m:val="p"/>
            </m:rPr>
            <m:t>Ejecución</m:t>
          </m:r>
          <m:r>
            <m:rPr>
              <m:sty m:val="p"/>
            </m:rPr>
            <m:t>→</m:t>
          </m:r>
          <m:r>
            <m:rPr>
              <m:nor/>
              <m:sty m:val="p"/>
            </m:rPr>
            <m:t>Auditoría</m:t>
          </m:r>
          <m:r>
            <m:rPr>
              <m:sty m:val="p"/>
            </m:rPr>
            <m:t>→</m:t>
          </m:r>
          <m:r>
            <m:rPr>
              <m:nor/>
              <m:sty m:val="p"/>
            </m:rPr>
            <m:t>Armonización</m:t>
          </m:r>
          <m:r>
            <m:rPr>
              <m:sty m:val="p"/>
            </m:rPr>
            <m:t>→</m:t>
          </m:r>
          <m:r>
            <m:rPr>
              <m:nor/>
              <m:sty m:val="p"/>
            </m:rPr>
            <m:t>Exportación</m:t>
          </m:r>
          <m:r>
            <m:rPr>
              <m:sty m:val="p"/>
            </m:rPr>
            <m:t>→</m:t>
          </m:r>
          <m:r>
            <m:rPr>
              <m:nor/>
              <m:sty m:val="p"/>
            </m:rPr>
            <m:t>Perfilado</m:t>
          </m:r>
          <m:r>
            <m:rPr>
              <m:sty m:val="p"/>
            </m:rPr>
            <m:t>→</m:t>
          </m:r>
          <m:r>
            <m:rPr>
              <m:nor/>
              <m:sty m:val="p"/>
            </m:rPr>
            <m:t>Reporte</m:t>
          </m:r>
        </m:oMath>
      </m:oMathPara>
    </w:p>
    <w:bookmarkEnd w:id="78"/>
    <w:bookmarkStart w:id="83" w:name="X70736bc07e73377e919d2c60f119994d057bf14"/>
    <w:p>
      <w:pPr>
        <w:pStyle w:val="Ttulo2"/>
      </w:pPr>
      <w:r>
        <w:t xml:space="preserve">Cobertura de artefactos y análisis del impacto de datos faltantes</w:t>
      </w:r>
    </w:p>
    <w:bookmarkStart w:id="81" w:name="inventario-de-cobertura"/>
    <w:p>
      <w:pPr>
        <w:pStyle w:val="Ttulo3"/>
      </w:pPr>
      <w:r>
        <w:t xml:space="preserve">Inventario de cobertura</w:t>
      </w:r>
    </w:p>
    <w:p>
      <w:pPr>
        <w:pStyle w:val="FirstParagrap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79" w:name="tbl-coverage"/>
          <w:p>
            <w:pPr>
              <w:jc w:val="center"/>
            </w:pPr>
            <w:pPr>
              <w:jc w:val="left"/>
              <w:spacing w:before="200"/>
              <w:pStyle w:val="ImageCaption"/>
            </w:pPr>
            <w:r>
              <w:t xml:space="preserve">Table 4.3: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Cohorte</w:t>
                  </w:r>
                </w:p>
              </w:tc>
              <w:tc>
                <w:tcPr/>
                <w:p>
                  <w:pPr>
                    <w:pStyle w:val="Compact"/>
                    <w:jc w:val="right"/>
                    <w:jc w:val="center"/>
                  </w:pPr>
                  <w:r>
                    <w:t xml:space="preserve">Planificadas</w:t>
                  </w:r>
                </w:p>
              </w:tc>
              <w:tc>
                <w:tcPr/>
                <w:p>
                  <w:pPr>
                    <w:pStyle w:val="Compact"/>
                    <w:jc w:val="right"/>
                    <w:jc w:val="center"/>
                  </w:pPr>
                  <w:r>
                    <w:t xml:space="preserve">Presentes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EXP1 (calibración)</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66</w:t>
                  </w:r>
                </w:p>
              </w:tc>
              <w:tc>
                <w:tcPr/>
                <w:p>
                  <w:pPr>
                    <w:pStyle w:val="Compact"/>
                    <w:jc w:val="right"/>
                    <w:jc w:val="center"/>
                  </w:pPr>
                  <w:r>
                    <w:t xml:space="preserve">88.0%</w:t>
                  </w:r>
                </w:p>
              </w:tc>
            </w:tr>
            <w:tr>
              <w:tc>
                <w:tcPr/>
                <w:p>
                  <w:pPr>
                    <w:pStyle w:val="Compact"/>
                    <w:jc w:val="left"/>
                    <w:jc w:val="center"/>
                  </w:pPr>
                  <w:r>
                    <w:t xml:space="preserve">EXP2 (benchmark primario)</w:t>
                  </w:r>
                </w:p>
              </w:tc>
              <w:tc>
                <w:tcPr/>
                <w:p>
                  <w:pPr>
                    <w:pStyle w:val="Compact"/>
                    <w:jc w:val="right"/>
                    <w:jc w:val="center"/>
                  </w:pPr>
                  <w:r>
                    <w:t xml:space="preserve">300</w:t>
                  </w:r>
                </w:p>
              </w:tc>
              <w:tc>
                <w:tcPr/>
                <w:p>
                  <w:pPr>
                    <w:pStyle w:val="Compact"/>
                    <w:jc w:val="right"/>
                    <w:jc w:val="center"/>
                  </w:pPr>
                  <w:r>
                    <w:t xml:space="preserve">299</w:t>
                  </w:r>
                </w:p>
              </w:tc>
              <w:tc>
                <w:tcPr/>
                <w:p>
                  <w:pPr>
                    <w:pStyle w:val="Compact"/>
                    <w:jc w:val="right"/>
                    <w:jc w:val="center"/>
                  </w:pPr>
                  <w:r>
                    <w:t xml:space="preserve">275</w:t>
                  </w:r>
                </w:p>
              </w:tc>
              <w:tc>
                <w:tcPr/>
                <w:p>
                  <w:pPr>
                    <w:pStyle w:val="Compact"/>
                    <w:jc w:val="right"/>
                    <w:jc w:val="center"/>
                  </w:pPr>
                  <w:r>
                    <w:t xml:space="preserve">91.7%</w:t>
                  </w:r>
                </w:p>
              </w:tc>
            </w:tr>
          </w:tbl>
          <w:bookmarkEnd w:id="79"/>
          <w:p/>
        </w:tc>
      </w:tr>
    </w:tbl>
    <w:p>
      <w:pPr>
        <w:pStyle w:val="Textoindependiente"/>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0" w:name="tbl-coverage-method"/>
          <w:p>
            <w:pPr>
              <w:jc w:val="center"/>
            </w:pPr>
            <w:pPr>
              <w:jc w:val="left"/>
              <w:spacing w:before="200"/>
              <w:pStyle w:val="ImageCaption"/>
            </w:pPr>
            <w:r>
              <w:t xml:space="preserve">Table 4.4: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Método</w:t>
                  </w:r>
                </w:p>
              </w:tc>
              <w:tc>
                <w:tcPr/>
                <w:p>
                  <w:pPr>
                    <w:pStyle w:val="Compact"/>
                    <w:jc w:val="right"/>
                    <w:jc w:val="center"/>
                  </w:pPr>
                  <w:r>
                    <w:t xml:space="preserve">Planificadas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SHAP</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LIME</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Anchors</w:t>
                  </w:r>
                </w:p>
              </w:tc>
              <w:tc>
                <w:tcPr/>
                <w:p>
                  <w:pPr>
                    <w:pStyle w:val="Compact"/>
                    <w:jc w:val="right"/>
                    <w:jc w:val="center"/>
                  </w:pPr>
                  <w:r>
                    <w:t xml:space="preserve">75</w:t>
                  </w:r>
                </w:p>
              </w:tc>
              <w:tc>
                <w:tcPr/>
                <w:p>
                  <w:pPr>
                    <w:pStyle w:val="Compact"/>
                    <w:jc w:val="right"/>
                    <w:jc w:val="center"/>
                  </w:pPr>
                  <w:r>
                    <w:t xml:space="preserve">57</w:t>
                  </w:r>
                </w:p>
              </w:tc>
              <w:tc>
                <w:tcPr/>
                <w:p>
                  <w:pPr>
                    <w:pStyle w:val="Compact"/>
                    <w:jc w:val="right"/>
                    <w:jc w:val="center"/>
                  </w:pPr>
                  <w:r>
                    <w:t xml:space="preserve">76.0%</w:t>
                  </w:r>
                </w:p>
              </w:tc>
            </w:tr>
            <w:tr>
              <w:tc>
                <w:tcPr/>
                <w:p>
                  <w:pPr>
                    <w:pStyle w:val="Compact"/>
                    <w:jc w:val="left"/>
                    <w:jc w:val="center"/>
                  </w:pPr>
                  <w:r>
                    <w:t xml:space="preserve">DiCE</w:t>
                  </w:r>
                </w:p>
              </w:tc>
              <w:tc>
                <w:tcPr/>
                <w:p>
                  <w:pPr>
                    <w:pStyle w:val="Compact"/>
                    <w:jc w:val="right"/>
                    <w:jc w:val="center"/>
                  </w:pPr>
                  <w:r>
                    <w:t xml:space="preserve">75</w:t>
                  </w:r>
                </w:p>
              </w:tc>
              <w:tc>
                <w:tcPr/>
                <w:p>
                  <w:pPr>
                    <w:pStyle w:val="Compact"/>
                    <w:jc w:val="right"/>
                    <w:jc w:val="center"/>
                  </w:pPr>
                  <w:r>
                    <w:t xml:space="preserve">68</w:t>
                  </w:r>
                </w:p>
              </w:tc>
              <w:tc>
                <w:tcPr/>
                <w:p>
                  <w:pPr>
                    <w:pStyle w:val="Compact"/>
                    <w:jc w:val="right"/>
                    <w:jc w:val="center"/>
                  </w:pPr>
                  <w:r>
                    <w:t xml:space="preserve">90.7%</w:t>
                  </w:r>
                </w:p>
              </w:tc>
            </w:tr>
          </w:tbl>
          <w:bookmarkEnd w:id="80"/>
          <w:p/>
        </w:tc>
      </w:tr>
    </w:tbl>
    <w:bookmarkEnd w:id="81"/>
    <w:bookmarkStart w:id="82" w:name="Xcb4396ffd8bf23e7b418105a9e8d3fef7075c0b"/>
    <w:p>
      <w:pPr>
        <w:pStyle w:val="Ttulo3"/>
      </w:pPr>
      <w:r>
        <w:t xml:space="preserve">Evaluación cuantitativa del impacto estadístico</w:t>
      </w:r>
    </w:p>
    <w:p>
      <w:pPr>
        <w:pStyle w:val="FirstParagrap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pPr>
      <w:r>
        <w:rPr>
          <w:b/>
          <w:bCs/>
        </w:rPr>
        <w:t xml:space="preserve">Completitud de bloques de Friedman.</w:t>
      </w:r>
      <w:r>
        <w:t xml:space="preserve"> </w:t>
      </w:r>
      <w:r>
        <w:t xml:space="preserve">El test de Friedman opera sobre</w:t>
      </w:r>
      <w:r>
        <w:t xml:space="preserve"> </w:t>
      </w:r>
      <m:oMath>
        <m:r>
          <m:t>B</m:t>
        </m:r>
        <m:r>
          <m:rPr>
            <m:sty m:val="p"/>
          </m:rPr>
          <m:t>=</m:t>
        </m:r>
        <m:r>
          <m:t>15</m:t>
        </m:r>
      </m:oMath>
      <w:r>
        <w:t xml:space="preserve"> </w:t>
      </w:r>
      <w:r>
        <w:t xml:space="preserve">bloques</w:t>
      </w:r>
      <w:r>
        <w:t xml:space="preserve"> </w:t>
      </w:r>
      <m:oMath>
        <m:r>
          <m:rPr>
            <m:sty m:val="p"/>
          </m:rPr>
          <m:t>(</m:t>
        </m:r>
        <m:r>
          <m:t>g</m:t>
        </m:r>
        <m:r>
          <m:rPr>
            <m:sty m:val="p"/>
          </m:rPr>
          <m:t>,</m:t>
        </m:r>
        <m:r>
          <m:t>n</m:t>
        </m:r>
        <m:r>
          <m:rPr>
            <m:sty m:val="p"/>
          </m:rPr>
          <m:t>)</m:t>
        </m:r>
      </m: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m:oMath>
        <m:r>
          <m:t>r</m:t>
        </m:r>
        <m:r>
          <m:rPr>
            <m:sty m:val="p"/>
          </m:rPr>
          <m:t>&lt;</m:t>
        </m:r>
        <m:r>
          <m:t>5</m:t>
        </m:r>
      </m: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m:oMath>
        <m:r>
          <m:t>r</m:t>
        </m:r>
        <m:r>
          <m:rPr>
            <m:sty m:val="p"/>
          </m:rPr>
          <m:t>≈</m:t>
        </m:r>
        <m:r>
          <m:t>2.3</m:t>
        </m:r>
      </m:oMath>
      <w:r>
        <w:t xml:space="preserve"> </w:t>
      </w:r>
      <w:r>
        <w:t xml:space="preserve">semillas por</w:t>
      </w:r>
      <w:r>
        <w:t xml:space="preserve"> </w:t>
      </w:r>
      <m:oMath>
        <m:r>
          <m:rPr>
            <m:sty m:val="p"/>
          </m:rPr>
          <m:t>(</m:t>
        </m:r>
        <m:r>
          <m:t>g</m:t>
        </m:r>
        <m:r>
          <m:rPr>
            <m:sty m:val="p"/>
          </m:rPr>
          <m:t>,</m:t>
        </m:r>
        <m:r>
          <m:t>n</m:t>
        </m:r>
        <m:r>
          <m:rPr>
            <m:sty m:val="p"/>
          </m:rPr>
          <m:t>)</m:t>
        </m:r>
      </m:oMath>
      <w:r>
        <w:t xml:space="preserve">), la varianza del estimador de bloque</w:t>
      </w:r>
      <w:r>
        <w:t xml:space="preserve"> </w:t>
      </w:r>
      <w:r>
        <w:t xml:space="preserve">se infla según:</w:t>
      </w:r>
    </w:p>
    <w:p>
      <w:pPr>
        <w:pStyle w:val="Textoindependiente"/>
      </w:pPr>
      <m:oMathPara>
        <m:oMathParaPr>
          <m:jc m:val="center"/>
        </m:oMathParaPr>
        <m:oMath>
          <m:r>
            <m:rPr>
              <m:nor/>
              <m:sty m:val="p"/>
            </m:rPr>
            <m:t>Var</m:t>
          </m:r>
          <m:r>
            <m:t>​</m:t>
          </m:r>
          <m:d>
            <m:dPr>
              <m:begChr m:val="("/>
              <m:sepChr m:val=""/>
              <m:endChr m:val=")"/>
              <m:grow/>
            </m:dPr>
            <m:e>
              <m:sSub>
                <m:e>
                  <m:acc>
                    <m:accPr>
                      <m:chr m:val="̂"/>
                    </m:accPr>
                    <m:e>
                      <m:r>
                        <m:t>μ</m:t>
                      </m:r>
                    </m:e>
                  </m:acc>
                </m:e>
                <m:sub>
                  <m:r>
                    <m:t>g</m:t>
                  </m:r>
                  <m:r>
                    <m:rPr>
                      <m:sty m:val="p"/>
                    </m:rPr>
                    <m:t>,</m:t>
                  </m:r>
                  <m:r>
                    <m:t>k</m:t>
                  </m:r>
                  <m:r>
                    <m:rPr>
                      <m:sty m:val="p"/>
                    </m:rPr>
                    <m:t>,</m:t>
                  </m:r>
                  <m:r>
                    <m:t>n</m:t>
                  </m:r>
                </m:sub>
              </m:sSub>
            </m:e>
          </m:d>
          <m:r>
            <m:rPr>
              <m:sty m:val="p"/>
            </m:rPr>
            <m:t>=</m:t>
          </m:r>
          <m:f>
            <m:fPr>
              <m:type m:val="bar"/>
            </m:fPr>
            <m:num>
              <m:sSubSup>
                <m:e>
                  <m:r>
                    <m:t>σ</m:t>
                  </m:r>
                </m:e>
                <m:sub>
                  <m:r>
                    <m:t>g</m:t>
                  </m:r>
                  <m:r>
                    <m:rPr>
                      <m:sty m:val="p"/>
                    </m:rPr>
                    <m:t>,</m:t>
                  </m:r>
                  <m:r>
                    <m:t>k</m:t>
                  </m:r>
                  <m:r>
                    <m:rPr>
                      <m:sty m:val="p"/>
                    </m:rPr>
                    <m:t>,</m:t>
                  </m:r>
                  <m:r>
                    <m:t>n</m:t>
                  </m:r>
                </m:sub>
                <m:sup>
                  <m:r>
                    <m:t>2</m:t>
                  </m:r>
                </m:sup>
              </m:sSubSup>
            </m:num>
            <m:den>
              <m:r>
                <m:t>r</m:t>
              </m:r>
            </m:den>
          </m:f>
        </m:oMath>
      </m:oMathPara>
    </w:p>
    <w:p>
      <w:pPr>
        <w:pStyle w:val="FirstParagraph"/>
      </w:pPr>
      <w:r>
        <w:t xml:space="preserve">Con</w:t>
      </w:r>
      <w:r>
        <w:t xml:space="preserve"> </w:t>
      </w:r>
      <m:oMath>
        <m:r>
          <m:t>r</m:t>
        </m:r>
        <m:r>
          <m:rPr>
            <m:sty m:val="p"/>
          </m:rPr>
          <m:t>=</m:t>
        </m:r>
        <m:r>
          <m:t>5</m:t>
        </m:r>
      </m:oMath>
      <w:r>
        <w:t xml:space="preserve"> </w:t>
      </w:r>
      <w:r>
        <w:t xml:space="preserve">planificados versus</w:t>
      </w:r>
      <w:r>
        <w:t xml:space="preserve"> </w:t>
      </w:r>
      <m:oMath>
        <m:r>
          <m:t>r</m:t>
        </m:r>
        <m:r>
          <m:rPr>
            <m:sty m:val="p"/>
          </m:rPr>
          <m:t>≈</m:t>
        </m:r>
        <m:r>
          <m:t>2.3</m:t>
        </m:r>
      </m:oMath>
      <w:r>
        <w:t xml:space="preserve"> </w:t>
      </w:r>
      <w:r>
        <w:t xml:space="preserve">observados, el error estándar</w:t>
      </w:r>
      <w:r>
        <w:t xml:space="preserve"> </w:t>
      </w:r>
      <w:r>
        <w:t xml:space="preserve">se infla por un factor de</w:t>
      </w:r>
      <w:r>
        <w:t xml:space="preserve"> </w:t>
      </w:r>
      <m:oMath>
        <m:rad>
          <m:radPr>
            <m:degHide m:val="on"/>
          </m:radPr>
          <m:deg/>
          <m:e>
            <m:r>
              <m:t>5</m:t>
            </m:r>
            <m:r>
              <m:rPr>
                <m:sty m:val="p"/>
              </m:rPr>
              <m:t>/</m:t>
            </m:r>
            <m:r>
              <m:t>2.3</m:t>
            </m:r>
          </m:e>
        </m:rad>
        <m:r>
          <m:rPr>
            <m:sty m:val="p"/>
          </m:rPr>
          <m:t>≈</m:t>
        </m:r>
        <m:r>
          <m:t>1.47</m:t>
        </m:r>
      </m: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m:oMath>
        <m:sSup>
          <m:e>
            <m:r>
              <m:t>χ</m:t>
            </m:r>
          </m:e>
          <m:sup>
            <m:r>
              <m:t>2</m:t>
            </m:r>
          </m:sup>
        </m:sSup>
        <m:r>
          <m:rPr>
            <m:sty m:val="p"/>
          </m:rPr>
          <m:t>=</m:t>
        </m:r>
        <m:r>
          <m:t>30.44</m:t>
        </m:r>
      </m:oMath>
      <w:r>
        <w:t xml:space="preserve"> </w:t>
      </w:r>
      <w:r>
        <w:t xml:space="preserve">en todas las métricas, muy por encima del</w:t>
      </w:r>
      <w:r>
        <w:t xml:space="preserve"> </w:t>
      </w:r>
      <w:r>
        <w:t xml:space="preserve">umbral crítico</w:t>
      </w:r>
      <w:r>
        <w:t xml:space="preserve"> </w:t>
      </w:r>
      <m:oMath>
        <m:sSubSup>
          <m:e>
            <m:r>
              <m:t>χ</m:t>
            </m:r>
          </m:e>
          <m:sub>
            <m:r>
              <m:t>0.05</m:t>
            </m:r>
            <m:r>
              <m:rPr>
                <m:sty m:val="p"/>
              </m:rPr>
              <m:t>,</m:t>
            </m:r>
            <m:r>
              <m:t>3</m:t>
            </m:r>
          </m:sub>
          <m:sup>
            <m:r>
              <m:t>2</m:t>
            </m:r>
          </m:sup>
        </m:sSubSup>
        <m:r>
          <m:rPr>
            <m:sty m:val="p"/>
          </m:rPr>
          <m:t>=</m:t>
        </m:r>
        <m:r>
          <m:t>7.81</m:t>
        </m:r>
      </m:oMath>
      <w:r>
        <w:t xml:space="preserve">; (iii) el margen de seguridad para</w:t>
      </w:r>
      <w:r>
        <w:t xml:space="preserve"> </w:t>
      </w:r>
      <w:r>
        <w:t xml:space="preserve">la métrica con menor estadístico (Coste) es:</w:t>
      </w:r>
    </w:p>
    <w:p>
      <w:pPr>
        <w:pStyle w:val="Textoindependiente"/>
      </w:pPr>
      <m:oMathPara>
        <m:oMathParaPr>
          <m:jc m:val="center"/>
        </m:oMathParaPr>
        <m:oMath>
          <m:r>
            <m:rPr>
              <m:nor/>
              <m:sty m:val="p"/>
            </m:rPr>
            <m:t>Margen</m:t>
          </m:r>
          <m:r>
            <m:rPr>
              <m:sty m:val="p"/>
            </m:rPr>
            <m:t>=</m:t>
          </m:r>
          <m:f>
            <m:fPr>
              <m:type m:val="bar"/>
            </m:fPr>
            <m:num>
              <m:r>
                <m:t>30.44</m:t>
              </m:r>
              <m:r>
                <m:rPr>
                  <m:sty m:val="p"/>
                </m:rPr>
                <m:t>−</m:t>
              </m:r>
              <m:r>
                <m:t>7.81</m:t>
              </m:r>
            </m:num>
            <m:den>
              <m:r>
                <m:t>7.81</m:t>
              </m:r>
            </m:den>
          </m:f>
          <m:r>
            <m:rPr>
              <m:sty m:val="p"/>
            </m:rPr>
            <m:t>×</m:t>
          </m:r>
          <m:r>
            <m:t>100</m:t>
          </m:r>
          <m:r>
            <m:rPr>
              <m:sty m:val="p"/>
            </m:rPr>
            <m:t>%</m:t>
          </m:r>
          <m:r>
            <m:rPr>
              <m:sty m:val="p"/>
            </m:rPr>
            <m:t>=</m:t>
          </m:r>
          <m:r>
            <m:t>290</m:t>
          </m:r>
          <m:r>
            <m:rPr>
              <m:sty m:val="p"/>
            </m:rPr>
            <m:t>%</m:t>
          </m:r>
        </m:oMath>
      </m:oMathPara>
    </w:p>
    <w:p>
      <w:pPr>
        <w:pStyle w:val="FirstParagraph"/>
      </w:pPr>
      <w:r>
        <w:t xml:space="preserve">Incluso asumiendo una reducción del poder del 50% —hipótesis conservadora que</w:t>
      </w:r>
      <w:r>
        <w:t xml:space="preserve"> </w:t>
      </w:r>
      <w:r>
        <w:t xml:space="preserve">supera la inflación de varianza calculada— el estadístico de Coste sería</w:t>
      </w:r>
      <w:r>
        <w:t xml:space="preserve"> </w:t>
      </w:r>
      <m:oMath>
        <m:sSup>
          <m:e>
            <m:r>
              <m:t>χ</m:t>
            </m:r>
          </m:e>
          <m:sup>
            <m:r>
              <m:t>2</m:t>
            </m:r>
          </m:sup>
        </m:sSup>
        <m:r>
          <m:rPr>
            <m:sty m:val="p"/>
          </m:rPr>
          <m:t>≈</m:t>
        </m:r>
        <m:r>
          <m:t>15.2</m:t>
        </m:r>
      </m:oMath>
      <w:r>
        <w:t xml:space="preserve"> </w:t>
      </w:r>
      <w:r>
        <w:t xml:space="preserve">(</w:t>
      </w:r>
      <m:oMath>
        <m:r>
          <m:t>p</m:t>
        </m:r>
        <m:r>
          <m:rPr>
            <m:sty m:val="p"/>
          </m:rPr>
          <m:t>≈</m:t>
        </m:r>
        <m:r>
          <m:t>0.0016</m:t>
        </m:r>
      </m:oMath>
      <w:r>
        <w:t xml:space="preserve">), significativo al nivel</w:t>
      </w:r>
      <w:r>
        <w:t xml:space="preserve"> </w:t>
      </w:r>
      <m:oMath>
        <m:r>
          <m:t>α</m:t>
        </m:r>
        <m:r>
          <m:rPr>
            <m:sty m:val="p"/>
          </m:rPr>
          <m:t>=</m:t>
        </m:r>
        <m:r>
          <m:t>0.05</m:t>
        </m:r>
      </m:oMath>
      <w:r>
        <w:t xml:space="preserve">.</w:t>
      </w:r>
    </w:p>
    <w:p>
      <w:pPr>
        <w:pStyle w:val="Textoindependiente"/>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m:oMath>
        <m:r>
          <m:rPr>
            <m:sty m:val="p"/>
          </m:rPr>
          <m:t>≥</m:t>
        </m:r>
        <m:r>
          <m:t>290</m:t>
        </m:r>
        <m:r>
          <m:rPr>
            <m:sty m:val="p"/>
          </m:rPr>
          <m:t>%</m:t>
        </m:r>
      </m: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2"/>
    <w:bookmarkEnd w:id="83"/>
    <w:bookmarkStart w:id="91" w:name="plan-de-inferencia-estadística"/>
    <w:p>
      <w:pPr>
        <w:pStyle w:val="Ttulo2"/>
      </w:pPr>
      <w:r>
        <w:t xml:space="preserve">Plan de inferencia estadística</w:t>
      </w:r>
    </w:p>
    <w:bookmarkStart w:id="84" w:name="estudio-a-test-omnibus-de-friedman"/>
    <w:p>
      <w:pPr>
        <w:pStyle w:val="Ttulo3"/>
      </w:pPr>
      <w:r>
        <w:t xml:space="preserve">Estudio A: test omnibus de Friedman</w:t>
      </w:r>
    </w:p>
    <w:p>
      <w:pPr>
        <w:pStyle w:val="FirstParagraph"/>
      </w:pPr>
      <w:r>
        <w:t xml:space="preserve">Para contrastar H1 y H2, se aplica el test de Friedman</w:t>
      </w:r>
      <w:r>
        <w:t xml:space="preserve"> </w:t>
      </w:r>
      <w:r>
        <w:t xml:space="preserve">(Friedman 1937)</w:t>
      </w:r>
      <w:r>
        <w:t xml:space="preserve"> </w:t>
      </w:r>
      <w:r>
        <w:t xml:space="preserve">sobre los</w:t>
      </w:r>
      <w:r>
        <w:t xml:space="preserve"> </w:t>
      </w:r>
      <m:oMath>
        <m:r>
          <m:t>B</m:t>
        </m:r>
        <m:r>
          <m:rPr>
            <m:sty m:val="p"/>
          </m:rPr>
          <m:t>=</m:t>
        </m:r>
        <m:r>
          <m:t>15</m:t>
        </m:r>
      </m:oMath>
      <w:r>
        <w:t xml:space="preserve"> </w:t>
      </w:r>
      <w:r>
        <w:t xml:space="preserve">bloques completos con</w:t>
      </w:r>
      <w:r>
        <w:t xml:space="preserve"> </w:t>
      </w:r>
      <m:oMath>
        <m:r>
          <m:t>k</m:t>
        </m:r>
        <m:r>
          <m:rPr>
            <m:sty m:val="p"/>
          </m:rPr>
          <m:t>=</m:t>
        </m:r>
        <m:r>
          <m:t>4</m:t>
        </m:r>
      </m:oMath>
      <w:r>
        <w:t xml:space="preserve"> </w:t>
      </w:r>
      <w:r>
        <w:t xml:space="preserve">tratamientos. El estadístico</w:t>
      </w:r>
      <w:r>
        <w:t xml:space="preserve"> </w:t>
      </w:r>
      <w:r>
        <w:t xml:space="preserve">se calcula sobre los rangos</w:t>
      </w:r>
      <w:r>
        <w:t xml:space="preserve"> </w:t>
      </w:r>
      <m:oMath>
        <m:sSub>
          <m:e>
            <m:r>
              <m:t>r</m:t>
            </m:r>
          </m:e>
          <m:sub>
            <m:r>
              <m:t>b</m:t>
            </m:r>
            <m:r>
              <m:t>j</m:t>
            </m:r>
          </m:sub>
        </m:sSub>
      </m:oMath>
      <w:r>
        <w:t xml:space="preserve"> </w:t>
      </w:r>
      <w:r>
        <w:t xml:space="preserve">de cada tratamiento</w:t>
      </w:r>
      <w:r>
        <w:t xml:space="preserve"> </w:t>
      </w:r>
      <m:oMath>
        <m:r>
          <m:t>j</m:t>
        </m:r>
      </m:oMath>
      <w:r>
        <w:t xml:space="preserve"> </w:t>
      </w:r>
      <w:r>
        <w:t xml:space="preserve">dentro de</w:t>
      </w:r>
      <w:r>
        <w:t xml:space="preserve"> </w:t>
      </w:r>
      <w:r>
        <w:t xml:space="preserve">cada bloque</w:t>
      </w:r>
      <w:r>
        <w:t xml:space="preserve"> </w:t>
      </w:r>
      <m:oMath>
        <m:r>
          <m:t>b</m:t>
        </m:r>
      </m:oMath>
      <w:r>
        <w:t xml:space="preserve">:</w:t>
      </w:r>
    </w:p>
    <w:p>
      <w:pPr>
        <w:pStyle w:val="Textoindependiente"/>
      </w:pPr>
      <m:oMathPara>
        <m:oMathParaPr>
          <m:jc m:val="center"/>
        </m:oMathParaPr>
        <m:oMath>
          <m:sSubSup>
            <m:e>
              <m:r>
                <m:t>χ</m:t>
              </m:r>
            </m:e>
            <m:sub>
              <m:r>
                <m:t>F</m:t>
              </m:r>
            </m:sub>
            <m:sup>
              <m:r>
                <m:t>2</m:t>
              </m:r>
            </m:sup>
          </m:sSubSup>
          <m:r>
            <m:rPr>
              <m:sty m:val="p"/>
            </m:rPr>
            <m:t>=</m:t>
          </m:r>
          <m:f>
            <m:fPr>
              <m:type m:val="bar"/>
            </m:fPr>
            <m:num>
              <m:r>
                <m:t>12</m:t>
              </m:r>
              <m:r>
                <m:t>B</m:t>
              </m:r>
            </m:num>
            <m:den>
              <m:r>
                <m:t>k</m:t>
              </m:r>
              <m:r>
                <m:rPr>
                  <m:sty m:val="p"/>
                </m:rPr>
                <m:t>(</m:t>
              </m:r>
              <m:r>
                <m:t>k</m:t>
              </m:r>
              <m:r>
                <m:rPr>
                  <m:sty m:val="p"/>
                </m:rPr>
                <m:t>+</m:t>
              </m:r>
              <m:r>
                <m:t>1</m:t>
              </m:r>
              <m:r>
                <m:rPr>
                  <m:sty m:val="p"/>
                </m:rPr>
                <m:t>)</m:t>
              </m:r>
            </m:den>
          </m:f>
          <m:nary>
            <m:naryPr>
              <m:chr m:val="∑"/>
              <m:limLoc m:val="undOvr"/>
              <m:subHide m:val="off"/>
              <m:supHide m:val="off"/>
            </m:naryPr>
            <m:sub>
              <m:r>
                <m:t>j</m:t>
              </m:r>
              <m:r>
                <m:rPr>
                  <m:sty m:val="p"/>
                </m:rPr>
                <m:t>=</m:t>
              </m:r>
              <m:r>
                <m:t>1</m:t>
              </m:r>
            </m:sub>
            <m:sup>
              <m:r>
                <m:t>k</m:t>
              </m:r>
            </m:sup>
            <m:e>
              <m:sSup>
                <m:e>
                  <m:d>
                    <m:dPr>
                      <m:begChr m:val="("/>
                      <m:sepChr m:val=""/>
                      <m:endChr m:val=")"/>
                      <m:grow/>
                    </m:dPr>
                    <m:e>
                      <m:sSub>
                        <m:e>
                          <m:acc>
                            <m:accPr>
                              <m:chr m:val="‾"/>
                            </m:accPr>
                            <m:e>
                              <m:r>
                                <m:t>r</m:t>
                              </m:r>
                            </m:e>
                          </m:acc>
                        </m:e>
                        <m:sub>
                          <m:r>
                            <m:t>j</m:t>
                          </m:r>
                        </m:sub>
                      </m:sSub>
                      <m:r>
                        <m:rPr>
                          <m:sty m:val="p"/>
                        </m:rPr>
                        <m:t>−</m:t>
                      </m:r>
                      <m:f>
                        <m:fPr>
                          <m:type m:val="bar"/>
                        </m:fPr>
                        <m:num>
                          <m:r>
                            <m:t>k</m:t>
                          </m:r>
                          <m:r>
                            <m:rPr>
                              <m:sty m:val="p"/>
                            </m:rPr>
                            <m:t>+</m:t>
                          </m:r>
                          <m:r>
                            <m:t>1</m:t>
                          </m:r>
                        </m:num>
                        <m:den>
                          <m:r>
                            <m:t>2</m:t>
                          </m:r>
                        </m:den>
                      </m:f>
                    </m:e>
                  </m:d>
                </m:e>
                <m:sup>
                  <m:r>
                    <m:t>2</m:t>
                  </m:r>
                </m:sup>
              </m:sSup>
            </m:e>
          </m:nary>
        </m:oMath>
      </m:oMathPara>
    </w:p>
    <w:p>
      <w:pPr>
        <w:pStyle w:val="FirstParagraph"/>
      </w:pPr>
      <w:r>
        <w:t xml:space="preserve">donde</w:t>
      </w:r>
      <w:r>
        <w:t xml:space="preserve"> </w:t>
      </w:r>
      <m:oMath>
        <m:sSub>
          <m:e>
            <m:acc>
              <m:accPr>
                <m:chr m:val="‾"/>
              </m:accPr>
              <m:e>
                <m:r>
                  <m:t>r</m:t>
                </m:r>
              </m:e>
            </m:acc>
          </m:e>
          <m:sub>
            <m:r>
              <m:t>j</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r</m:t>
                </m:r>
              </m:e>
              <m:sub>
                <m:r>
                  <m:t>b</m:t>
                </m:r>
                <m:r>
                  <m:t>j</m:t>
                </m:r>
              </m:sub>
            </m:sSub>
          </m:e>
        </m:nary>
      </m:oMath>
      <w:r>
        <w:t xml:space="preserve">. Bajo</w:t>
      </w:r>
      <w:r>
        <w:t xml:space="preserve"> </w:t>
      </w:r>
      <m:oMath>
        <m:sSub>
          <m:e>
            <m:r>
              <m:t>H</m:t>
            </m:r>
          </m:e>
          <m:sub>
            <m:r>
              <m:t>0</m:t>
            </m:r>
          </m:sub>
        </m:sSub>
      </m:oMath>
      <w:r>
        <w:t xml:space="preserve">,</w:t>
      </w:r>
      <w:r>
        <w:t xml:space="preserve"> </w:t>
      </w:r>
      <m:oMath>
        <m:sSubSup>
          <m:e>
            <m:r>
              <m:t>χ</m:t>
            </m:r>
          </m:e>
          <m:sub>
            <m:r>
              <m:t>F</m:t>
            </m:r>
          </m:sub>
          <m:sup>
            <m:r>
              <m:t>2</m:t>
            </m:r>
          </m:sup>
        </m:sSubSup>
        <m:r>
          <m:rPr>
            <m:sty m:val="p"/>
          </m:rPr>
          <m:t>∼</m:t>
        </m:r>
        <m:sSubSup>
          <m:e>
            <m:r>
              <m:t>χ</m:t>
            </m:r>
          </m:e>
          <m:sub>
            <m:r>
              <m:t>k</m:t>
            </m:r>
            <m:r>
              <m:rPr>
                <m:sty m:val="p"/>
              </m:rPr>
              <m:t>−</m:t>
            </m:r>
            <m:r>
              <m:t>1</m:t>
            </m:r>
          </m:sub>
          <m:sup>
            <m:r>
              <m:t>2</m:t>
            </m:r>
          </m:sup>
        </m:sSubSup>
      </m:oMath>
      <w:r>
        <w:t xml:space="preserve"> </w:t>
      </w:r>
      <w:r>
        <w:t xml:space="preserve">asintóticamente para</w:t>
      </w:r>
      <w:r>
        <w:t xml:space="preserve"> </w:t>
      </w:r>
      <m:oMath>
        <m:r>
          <m:t>B</m:t>
        </m:r>
        <m:r>
          <m:rPr>
            <m:sty m:val="p"/>
          </m:rPr>
          <m:t>≥</m:t>
        </m:r>
        <m:r>
          <m:t>10</m:t>
        </m:r>
      </m:oMath>
      <w:r>
        <w:t xml:space="preserve"> </w:t>
      </w:r>
      <w:r>
        <w:t xml:space="preserve">(Demšar 2006)</w:t>
      </w:r>
      <w:r>
        <w:t xml:space="preserve">. El tamaño del efecto se reporta mediante la</w:t>
      </w:r>
      <w:r>
        <w:t xml:space="preserve"> </w:t>
      </w:r>
      <m:oMath>
        <m:r>
          <m:t>W</m:t>
        </m:r>
      </m:oMath>
      <w:r>
        <w:t xml:space="preserve"> </w:t>
      </w:r>
      <w:r>
        <w:t xml:space="preserve">de Kendall:</w:t>
      </w:r>
    </w:p>
    <w:p>
      <w:pPr>
        <w:pStyle w:val="Textoindependiente"/>
      </w:pPr>
      <m:oMathPara>
        <m:oMathParaPr>
          <m:jc m:val="center"/>
        </m:oMathParaPr>
        <m:oMath>
          <m:r>
            <m:t>W</m:t>
          </m:r>
          <m:r>
            <m:rPr>
              <m:sty m:val="p"/>
            </m:rPr>
            <m:t>=</m:t>
          </m:r>
          <m:f>
            <m:fPr>
              <m:type m:val="bar"/>
            </m:fPr>
            <m:num>
              <m:sSubSup>
                <m:e>
                  <m:r>
                    <m:t>χ</m:t>
                  </m:r>
                </m:e>
                <m:sub>
                  <m:r>
                    <m:t>F</m:t>
                  </m:r>
                </m:sub>
                <m:sup>
                  <m:r>
                    <m:t>2</m:t>
                  </m:r>
                </m:sup>
              </m:sSubSup>
            </m:num>
            <m:den>
              <m:r>
                <m:t>B</m:t>
              </m:r>
              <m:r>
                <m:rPr>
                  <m:sty m:val="p"/>
                </m:rPr>
                <m:t>(</m:t>
              </m:r>
              <m:r>
                <m:t>k</m:t>
              </m:r>
              <m:r>
                <m:rPr>
                  <m:sty m:val="p"/>
                </m:rPr>
                <m:t>−</m:t>
              </m:r>
              <m:r>
                <m:t>1</m:t>
              </m:r>
              <m:r>
                <m:rPr>
                  <m:sty m:val="p"/>
                </m:rPr>
                <m:t>)</m:t>
              </m:r>
            </m:den>
          </m:f>
        </m:oMath>
      </m:oMathPara>
    </w:p>
    <w:p>
      <w:pPr>
        <w:pStyle w:val="FirstParagraph"/>
      </w:pPr>
      <w:r>
        <w:t xml:space="preserve">donde</w:t>
      </w:r>
      <w:r>
        <w:t xml:space="preserve"> </w:t>
      </w:r>
      <m:oMath>
        <m:r>
          <m:t>W</m:t>
        </m:r>
        <m:r>
          <m:rPr>
            <m:sty m:val="p"/>
          </m:rPr>
          <m:t>=</m:t>
        </m:r>
        <m:r>
          <m:t>1</m:t>
        </m:r>
      </m:oMath>
      <w:r>
        <w:t xml:space="preserve"> </w:t>
      </w:r>
      <w:r>
        <w:t xml:space="preserve">indica concordancia perfecta entre bloques.</w:t>
      </w:r>
    </w:p>
    <w:bookmarkEnd w:id="84"/>
    <w:bookmarkStart w:id="85" w:name="localización-post-hoc-nemenyi"/>
    <w:p>
      <w:pPr>
        <w:pStyle w:val="Ttulo3"/>
      </w:pPr>
      <w:r>
        <w:t xml:space="preserve">Localización post-hoc: Nemenyi</w:t>
      </w:r>
    </w:p>
    <w:p>
      <w:pPr>
        <w:pStyle w:val="FirstParagraph"/>
      </w:pPr>
      <w:r>
        <w:t xml:space="preserve">Cuando Friedman rechaza</w:t>
      </w:r>
      <w:r>
        <w:t xml:space="preserve"> </w:t>
      </w:r>
      <m:oMath>
        <m:sSub>
          <m:e>
            <m:r>
              <m:t>H</m:t>
            </m:r>
          </m:e>
          <m:sub>
            <m:r>
              <m:t>0</m:t>
            </m:r>
          </m:sub>
        </m:sSub>
      </m:oMath>
      <w:r>
        <w:t xml:space="preserve">, se aplica la prueba post-hoc de Nemenyi</w:t>
      </w:r>
      <w:r>
        <w:t xml:space="preserve"> </w:t>
      </w:r>
      <w:r>
        <w:t xml:space="preserve">(Nemenyi 1963)</w:t>
      </w:r>
      <w:r>
        <w:t xml:space="preserve">. La diferencia crítica al nivel</w:t>
      </w:r>
      <w:r>
        <w:t xml:space="preserve"> </w:t>
      </w:r>
      <m:oMath>
        <m:r>
          <m:t>α</m:t>
        </m:r>
        <m:r>
          <m:rPr>
            <m:sty m:val="p"/>
          </m:rPr>
          <m:t>=</m:t>
        </m:r>
        <m:r>
          <m:t>0.05</m:t>
        </m:r>
      </m:oMath>
      <w:r>
        <w:t xml:space="preserve"> </w:t>
      </w:r>
      <w:r>
        <w:t xml:space="preserve">con</w:t>
      </w:r>
      <w:r>
        <w:t xml:space="preserve"> </w:t>
      </w:r>
      <m:oMath>
        <m:r>
          <m:t>k</m:t>
        </m:r>
        <m:r>
          <m:rPr>
            <m:sty m:val="p"/>
          </m:rPr>
          <m:t>=</m:t>
        </m:r>
        <m:r>
          <m:t>4</m:t>
        </m:r>
      </m:oMath>
      <w:r>
        <w:t xml:space="preserve"> </w:t>
      </w:r>
      <w:r>
        <w:t xml:space="preserve">y</w:t>
      </w:r>
      <w:r>
        <w:t xml:space="preserve"> </w:t>
      </w:r>
      <m:oMath>
        <m:r>
          <m:t>B</m:t>
        </m:r>
        <m:r>
          <m:rPr>
            <m:sty m:val="p"/>
          </m:rPr>
          <m:t>=</m:t>
        </m:r>
        <m:r>
          <m:t>15</m:t>
        </m:r>
      </m:oMath>
      <w:r>
        <w:t xml:space="preserve"> </w:t>
      </w:r>
      <w:r>
        <w:t xml:space="preserve">es:</w:t>
      </w:r>
    </w:p>
    <w:p>
      <w:pPr>
        <w:pStyle w:val="Textoindependiente"/>
      </w:pPr>
      <m:oMathPara>
        <m:oMathParaPr>
          <m:jc m:val="center"/>
        </m:oMathParaPr>
        <m:oMath>
          <m:r>
            <m:rPr>
              <m:nor/>
              <m:sty m:val="p"/>
            </m:rPr>
            <m:t>CD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B</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1.211</m:t>
          </m:r>
          <m:r>
            <m:rPr>
              <m:nor/>
              <m:sty m:val="p"/>
            </m:rPr>
            <m:t> rangos</m:t>
          </m:r>
        </m:oMath>
      </m:oMathPara>
    </w:p>
    <w:p>
      <w:pPr>
        <w:pStyle w:val="FirstParagraph"/>
      </w:pPr>
      <w:r>
        <w:t xml:space="preserve">Dos métodos se consideran significativamente distintos si</w:t>
      </w:r>
      <w:r>
        <w:t xml:space="preserve"> </w:t>
      </w:r>
      <m:oMath>
        <m:r>
          <m:rPr>
            <m:sty m:val="p"/>
          </m:rPr>
          <m:t>|</m:t>
        </m:r>
        <m:sSub>
          <m:e>
            <m:acc>
              <m:accPr>
                <m:chr m:val="‾"/>
              </m:accPr>
              <m:e>
                <m:r>
                  <m:t>r</m:t>
                </m:r>
              </m:e>
            </m:acc>
          </m:e>
          <m:sub>
            <m:r>
              <m:t>i</m:t>
            </m:r>
          </m:sub>
        </m:sSub>
        <m:r>
          <m:rPr>
            <m:sty m:val="p"/>
          </m:rPr>
          <m:t>−</m:t>
        </m:r>
        <m:sSub>
          <m:e>
            <m:acc>
              <m:accPr>
                <m:chr m:val="‾"/>
              </m:accPr>
              <m:e>
                <m:r>
                  <m:t>r</m:t>
                </m:r>
              </m:e>
            </m:acc>
          </m:e>
          <m:sub>
            <m:r>
              <m:t>j</m:t>
            </m:r>
          </m:sub>
        </m:sSub>
        <m:r>
          <m:rPr>
            <m:sty m:val="p"/>
          </m:rPr>
          <m:t>|</m:t>
        </m:r>
        <m:r>
          <m:rPr>
            <m:sty m:val="p"/>
          </m:rPr>
          <m:t>&gt;</m:t>
        </m:r>
        <m:r>
          <m:rPr>
            <m:nor/>
            <m:sty m:val="p"/>
          </m:rPr>
          <m:t>CD</m:t>
        </m:r>
      </m:oMath>
      <w:r>
        <w:t xml:space="preserve">.</w:t>
      </w:r>
    </w:p>
    <w:bookmarkEnd w:id="85"/>
    <w:bookmarkStart w:id="86" w:name="X82a710d830240cc18776e0ef609d9e71b3f53e7"/>
    <w:p>
      <w:pPr>
        <w:pStyle w:val="Ttulo3"/>
      </w:pPr>
      <w:r>
        <w:t xml:space="preserve">Wilcoxon pareado: conjuntos de 45 y 75 celdas</w:t>
      </w:r>
    </w:p>
    <w:p>
      <w:pPr>
        <w:pStyle w:val="FirstParagrap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m:oMath>
        <m:sSub>
          <m:e>
            <m:r>
              <m:t>d</m:t>
            </m:r>
          </m:e>
          <m:sub>
            <m:r>
              <m:t>i</m:t>
            </m:r>
          </m:sub>
        </m:sSub>
        <m:r>
          <m:rPr>
            <m:sty m:val="p"/>
          </m:rPr>
          <m:t>=</m:t>
        </m:r>
        <m:sSub>
          <m:e>
            <m:r>
              <m:t>y</m:t>
            </m:r>
          </m:e>
          <m:sub>
            <m:r>
              <m:rPr>
                <m:nor/>
                <m:sty m:val="p"/>
              </m:rPr>
              <m:t>SHAP</m:t>
            </m:r>
            <m:r>
              <m:rPr>
                <m:sty m:val="p"/>
              </m:rPr>
              <m:t>,</m:t>
            </m:r>
            <m:r>
              <m:t>i</m:t>
            </m:r>
          </m:sub>
        </m:sSub>
        <m:r>
          <m:rPr>
            <m:sty m:val="p"/>
          </m:rPr>
          <m:t>−</m:t>
        </m:r>
        <m:sSub>
          <m:e>
            <m:r>
              <m:t>y</m:t>
            </m:r>
          </m:e>
          <m:sub>
            <m:r>
              <m:rPr>
                <m:nor/>
                <m:sty m:val="p"/>
              </m:rPr>
              <m:t>LIME</m:t>
            </m:r>
            <m:r>
              <m:rPr>
                <m:sty m:val="p"/>
              </m:rPr>
              <m:t>,</m:t>
            </m:r>
            <m:r>
              <m:t>i</m:t>
            </m:r>
          </m:sub>
        </m:sSub>
      </m:oMath>
      <w:r>
        <w:t xml:space="preserve"> </w:t>
      </w:r>
      <w:r>
        <w:t xml:space="preserve">en dos conjuntos:</w:t>
      </w:r>
    </w:p>
    <w:p>
      <w:pPr>
        <w:pStyle w:val="Compact"/>
        <w:numPr>
          <w:ilvl w:val="0"/>
          <w:numId w:val="1009"/>
        </w:numPr>
      </w:pPr>
      <w:r>
        <w:rPr>
          <w:b/>
          <w:bCs/>
        </w:rPr>
        <w:t xml:space="preserve">Wilcoxon-45</w:t>
      </w:r>
      <w:r>
        <w:t xml:space="preserve">: 45 celdas con</w:t>
      </w:r>
      <w:r>
        <w:t xml:space="preserve"> </w:t>
      </w:r>
      <m:oMath>
        <m:r>
          <m:t>g</m:t>
        </m:r>
        <m:r>
          <m:rPr>
            <m:sty m:val="p"/>
          </m:rPr>
          <m:t>∈</m:t>
        </m:r>
        <m:r>
          <m:rPr>
            <m:sty m:val="p"/>
          </m:rPr>
          <m:t>{</m:t>
        </m:r>
      </m:oMath>
      <w:r>
        <w:t xml:space="preserve">logreg, rf, xgb</w:t>
      </w:r>
      <m:oMath>
        <m:r>
          <m:rPr>
            <m:sty m:val="p"/>
          </m:rPr>
          <m:t>}</m:t>
        </m:r>
      </m:oMath>
      <w:r>
        <w:t xml:space="preserve"> </w:t>
      </w:r>
      <w:r>
        <w:t xml:space="preserve">(conjunto</w:t>
      </w:r>
      <w:r>
        <w:t xml:space="preserve"> </w:t>
      </w:r>
      <w:r>
        <w:t xml:space="preserve">primario con TreeSHAP exacto).</w:t>
      </w:r>
    </w:p>
    <w:p>
      <w:pPr>
        <w:pStyle w:val="Compact"/>
        <w:numPr>
          <w:ilvl w:val="0"/>
          <w:numId w:val="1009"/>
        </w:numPr>
      </w:pPr>
      <w:r>
        <w:rPr>
          <w:b/>
          <w:bCs/>
        </w:rPr>
        <w:t xml:space="preserve">Wilcoxon-75</w:t>
      </w:r>
      <w:r>
        <w:t xml:space="preserve">: 75 celdas completas (análisis de sensibilidad que incluye</w:t>
      </w:r>
      <w:r>
        <w:t xml:space="preserve"> </w:t>
      </w:r>
      <w:r>
        <w:t xml:space="preserve">SVM y MLP con KernelSHAP).</w:t>
      </w:r>
    </w:p>
    <w:p>
      <w:pPr>
        <w:pStyle w:val="FirstParagraph"/>
      </w:pPr>
      <w:r>
        <w:t xml:space="preserve">El tamaño del efecto se reporta como</w:t>
      </w:r>
      <w:r>
        <w:t xml:space="preserve"> </w:t>
      </w:r>
      <m:oMath>
        <m:sSub>
          <m:e>
            <m:r>
              <m:t>d</m:t>
            </m:r>
          </m:e>
          <m:sub>
            <m:r>
              <m:t>z</m:t>
            </m:r>
          </m:sub>
        </m:sSub>
      </m:oMath>
      <w:r>
        <w:t xml:space="preserve"> </w:t>
      </w:r>
      <w:r>
        <w:t xml:space="preserve">de Cohen</w:t>
      </w:r>
      <w:r>
        <w:t xml:space="preserve"> </w:t>
      </w:r>
      <w:r>
        <w:t xml:space="preserve">(Lakens 2013)</w:t>
      </w:r>
      <w:r>
        <w:t xml:space="preserve">:</w:t>
      </w:r>
    </w:p>
    <w:p>
      <w:pPr>
        <w:pStyle w:val="Textoindependiente"/>
      </w:pPr>
      <m:oMathPara>
        <m:oMathParaPr>
          <m:jc m:val="center"/>
        </m:oMathParaPr>
        <m:oMath>
          <m:sSub>
            <m:e>
              <m:r>
                <m:t>d</m:t>
              </m:r>
            </m:e>
            <m:sub>
              <m:r>
                <m:t>z</m:t>
              </m:r>
            </m:sub>
          </m:sSub>
          <m:r>
            <m:rPr>
              <m:sty m:val="p"/>
            </m:rPr>
            <m:t>=</m:t>
          </m:r>
          <m:f>
            <m:fPr>
              <m:type m:val="bar"/>
            </m:fPr>
            <m:num>
              <m:acc>
                <m:accPr>
                  <m:chr m:val="‾"/>
                </m:accPr>
                <m:e>
                  <m:r>
                    <m:t>d</m:t>
                  </m:r>
                </m:e>
              </m:acc>
            </m:num>
            <m:den>
              <m:sSub>
                <m:e>
                  <m:r>
                    <m:t>s</m:t>
                  </m:r>
                </m:e>
                <m:sub>
                  <m:r>
                    <m:t>d</m:t>
                  </m:r>
                </m:sub>
              </m:sSub>
            </m:den>
          </m:f>
        </m:oMath>
      </m:oMathPara>
    </w:p>
    <w:p>
      <w:pPr>
        <w:pStyle w:val="FirstParagraph"/>
      </w:pPr>
      <w:r>
        <w:t xml:space="preserve">con interpretación convencional: pequeño (</w:t>
      </w:r>
      <m:oMath>
        <m:r>
          <m:t>0.2</m:t>
        </m:r>
        <m:r>
          <m:rPr>
            <m:sty m:val="p"/>
          </m:rPr>
          <m:t>≤</m:t>
        </m:r>
        <m:sSub>
          <m:e>
            <m:r>
              <m:t>d</m:t>
            </m:r>
          </m:e>
          <m:sub>
            <m:r>
              <m:t>z</m:t>
            </m:r>
          </m:sub>
        </m:sSub>
        <m:r>
          <m:rPr>
            <m:sty m:val="p"/>
          </m:rPr>
          <m:t>&lt;</m:t>
        </m:r>
        <m:r>
          <m:t>0.5</m:t>
        </m:r>
      </m:oMath>
      <w:r>
        <w:t xml:space="preserve">), mediano</w:t>
      </w:r>
      <w:r>
        <w:t xml:space="preserve"> </w:t>
      </w:r>
      <w:r>
        <w:t xml:space="preserve">(</w:t>
      </w:r>
      <m:oMath>
        <m:r>
          <m:t>0.5</m:t>
        </m:r>
        <m:r>
          <m:rPr>
            <m:sty m:val="p"/>
          </m:rPr>
          <m:t>≤</m:t>
        </m:r>
        <m:sSub>
          <m:e>
            <m:r>
              <m:t>d</m:t>
            </m:r>
          </m:e>
          <m:sub>
            <m:r>
              <m:t>z</m:t>
            </m:r>
          </m:sub>
        </m:sSub>
        <m:r>
          <m:rPr>
            <m:sty m:val="p"/>
          </m:rPr>
          <m:t>&lt;</m:t>
        </m:r>
        <m:r>
          <m:t>0.8</m:t>
        </m:r>
      </m:oMath>
      <w:r>
        <w:t xml:space="preserve">), grande (</w:t>
      </w:r>
      <m:oMath>
        <m:sSub>
          <m:e>
            <m:r>
              <m:t>d</m:t>
            </m:r>
          </m:e>
          <m:sub>
            <m:r>
              <m:t>z</m:t>
            </m:r>
          </m:sub>
        </m:sSub>
        <m:r>
          <m:rPr>
            <m:sty m:val="p"/>
          </m:rPr>
          <m:t>≥</m:t>
        </m:r>
        <m:r>
          <m:t>0.8</m:t>
        </m:r>
      </m:oMath>
      <w:r>
        <w:t xml:space="preserve">).</w:t>
      </w:r>
    </w:p>
    <w:bookmarkEnd w:id="86"/>
    <w:bookmarkStart w:id="88" w:name="control-de-multiplicidad"/>
    <w:p>
      <w:pPr>
        <w:pStyle w:val="Ttulo3"/>
      </w:pPr>
      <w:r>
        <w:t xml:space="preserve">Control de multiplicidad</w:t>
      </w:r>
    </w:p>
    <w:p>
      <w:pPr>
        <w:pStyle w:val="FirstParagrap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87" w:name="tbl-stat-plan"/>
          <w:p>
            <w:pPr>
              <w:jc w:val="center"/>
            </w:pPr>
            <w:pPr>
              <w:jc w:val="left"/>
              <w:spacing w:before="200"/>
              <w:pStyle w:val="ImageCaption"/>
            </w:pPr>
            <w:r>
              <w:t xml:space="preserve">Table 4.5: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left"/>
                    <w:jc w:val="center"/>
                  </w:pPr>
                  <w:r>
                    <w:t xml:space="preserve">Familia</w:t>
                  </w:r>
                </w:p>
              </w:tc>
              <w:tc>
                <w:tcPr/>
                <w:p>
                  <w:pPr>
                    <w:pStyle w:val="Compact"/>
                    <w:jc w:val="right"/>
                    <w:jc w:val="center"/>
                  </w:pPr>
                  <w:r>
                    <w:t xml:space="preserve">Tests</w:t>
                  </w:r>
                </w:p>
              </w:tc>
              <w:tc>
                <w:tcPr/>
                <w:p>
                  <w:pPr>
                    <w:pStyle w:val="Compact"/>
                    <w:jc w:val="center"/>
                    <w:jc w:val="center"/>
                  </w:pPr>
                  <m:oMath>
                    <m:r>
                      <m:t>n</m:t>
                    </m:r>
                  </m:oMath>
                </w:p>
              </w:tc>
              <w:tc>
                <w:tcPr/>
                <w:p>
                  <w:pPr>
                    <w:pStyle w:val="Compact"/>
                    <w:jc w:val="center"/>
                    <w:jc w:val="center"/>
                  </w:pPr>
                  <w:r>
                    <w:t xml:space="preserve">Corrección</w:t>
                  </w:r>
                </w:p>
              </w:tc>
            </w:tr>
            <w:tr>
              <w:tc>
                <w:tcPr/>
                <w:p>
                  <w:pPr>
                    <w:pStyle w:val="Compact"/>
                    <w:jc w:val="left"/>
                    <w:jc w:val="center"/>
                  </w:pPr>
                  <w:r>
                    <w:t xml:space="preserve">Friedman (Estudio A)</w:t>
                  </w:r>
                </w:p>
              </w:tc>
              <w:tc>
                <w:tcPr/>
                <w:p>
                  <w:pPr>
                    <w:pStyle w:val="Compact"/>
                    <w:jc w:val="right"/>
                    <w:jc w:val="center"/>
                  </w:pPr>
                  <w:r>
                    <w:t xml:space="preserve">5 (uno por métrica)</w:t>
                  </w:r>
                </w:p>
              </w:tc>
              <w:tc>
                <w:tcPr/>
                <w:p>
                  <w:pPr>
                    <w:pStyle w:val="Compact"/>
                    <w:jc w:val="center"/>
                    <w:jc w:val="center"/>
                  </w:pPr>
                  <w:r>
                    <w:t xml:space="preserve">15 bloques</w:t>
                  </w:r>
                </w:p>
              </w:tc>
              <w:tc>
                <w:tcPr/>
                <w:p>
                  <w:pPr>
                    <w:pStyle w:val="Compact"/>
                    <w:jc w:val="center"/>
                    <w:jc w:val="center"/>
                  </w:pPr>
                  <w:r>
                    <w:t xml:space="preserve">Holm-Bonferroni</w:t>
                  </w:r>
                </w:p>
              </w:tc>
            </w:tr>
            <w:tr>
              <w:tc>
                <w:tcPr/>
                <w:p>
                  <w:pPr>
                    <w:pStyle w:val="Compact"/>
                    <w:jc w:val="left"/>
                    <w:jc w:val="center"/>
                  </w:pPr>
                  <w:r>
                    <w:t xml:space="preserve">Wilcoxon-45 (Estudio A)</w:t>
                  </w:r>
                </w:p>
              </w:tc>
              <w:tc>
                <w:tcPr/>
                <w:p>
                  <w:pPr>
                    <w:pStyle w:val="Compact"/>
                    <w:jc w:val="right"/>
                    <w:jc w:val="center"/>
                  </w:pPr>
                  <w:r>
                    <w:t xml:space="preserve">5</w:t>
                  </w:r>
                </w:p>
              </w:tc>
              <w:tc>
                <w:tcPr/>
                <w:p>
                  <w:pPr>
                    <w:pStyle w:val="Compact"/>
                    <w:jc w:val="center"/>
                    <w:jc w:val="center"/>
                  </w:pPr>
                  <w:r>
                    <w:t xml:space="preserve">45 celdas</w:t>
                  </w:r>
                </w:p>
              </w:tc>
              <w:tc>
                <w:tcPr/>
                <w:p>
                  <w:pPr>
                    <w:pStyle w:val="Compact"/>
                    <w:jc w:val="center"/>
                    <w:jc w:val="center"/>
                  </w:pPr>
                  <w:r>
                    <w:t xml:space="preserve">Holm-Bonferroni</w:t>
                  </w:r>
                </w:p>
              </w:tc>
            </w:tr>
            <w:tr>
              <w:tc>
                <w:tcPr/>
                <w:p>
                  <w:pPr>
                    <w:pStyle w:val="Compact"/>
                    <w:jc w:val="left"/>
                    <w:jc w:val="center"/>
                  </w:pPr>
                  <w:r>
                    <w:t xml:space="preserve">Wilcoxon-75 (Estudios A y B)</w:t>
                  </w:r>
                </w:p>
              </w:tc>
              <w:tc>
                <w:tcPr/>
                <w:p>
                  <w:pPr>
                    <w:pStyle w:val="Compact"/>
                    <w:jc w:val="right"/>
                    <w:jc w:val="center"/>
                  </w:pPr>
                  <w:r>
                    <w:t xml:space="preserve">5</w:t>
                  </w:r>
                </w:p>
              </w:tc>
              <w:tc>
                <w:tcPr/>
                <w:p>
                  <w:pPr>
                    <w:pStyle w:val="Compact"/>
                    <w:jc w:val="center"/>
                    <w:jc w:val="center"/>
                  </w:pPr>
                  <w:r>
                    <w:t xml:space="preserve">75 celdas</w:t>
                  </w:r>
                </w:p>
              </w:tc>
              <w:tc>
                <w:tcPr/>
                <w:p>
                  <w:pPr>
                    <w:pStyle w:val="Compact"/>
                    <w:jc w:val="center"/>
                    <w:jc w:val="center"/>
                  </w:pPr>
                  <w:r>
                    <w:t xml:space="preserve">Holm-Bonferroni</w:t>
                  </w:r>
                </w:p>
              </w:tc>
            </w:tr>
          </w:tbl>
          <w:bookmarkEnd w:id="87"/>
          <w:p/>
        </w:tc>
      </w:tr>
    </w:tbl>
    <w:bookmarkEnd w:id="88"/>
    <w:bookmarkStart w:id="90" w:name="X8d8a6fe44143f1c1b581a8bcb7389a6bd938df3"/>
    <w:p>
      <w:pPr>
        <w:pStyle w:val="Ttulo3"/>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89" w:name="tbl-hypo-plan"/>
          <w:p>
            <w:pPr>
              <w:jc w:val="center"/>
            </w:pPr>
            <w:pPr>
              <w:jc w:val="left"/>
              <w:spacing w:before="200"/>
              <w:pStyle w:val="ImageCaption"/>
            </w:pPr>
            <w:r>
              <w:t xml:space="preserve">Table 4.6: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left"/>
                    <w:jc w:val="center"/>
                  </w:pPr>
                  <w:r>
                    <w:t xml:space="preserve">Hipótesis</w:t>
                  </w:r>
                </w:p>
              </w:tc>
              <w:tc>
                <w:tcPr/>
                <w:p>
                  <w:pPr>
                    <w:pStyle w:val="Compact"/>
                    <w:jc w:val="center"/>
                    <w:jc w:val="center"/>
                  </w:pPr>
                  <w:r>
                    <w:t xml:space="preserve">Test</w:t>
                  </w:r>
                </w:p>
              </w:tc>
              <w:tc>
                <w:tcPr/>
                <w:p>
                  <w:pPr>
                    <w:pStyle w:val="Compact"/>
                    <w:jc w:val="center"/>
                    <w:jc w:val="center"/>
                  </w:pPr>
                  <m:oMath>
                    <m:r>
                      <m:t>n</m:t>
                    </m:r>
                  </m:oMath>
                </w:p>
              </w:tc>
              <w:tc>
                <w:tcPr/>
                <w:p>
                  <w:pPr>
                    <w:pStyle w:val="Compact"/>
                    <w:jc w:val="left"/>
                    <w:jc w:val="center"/>
                  </w:pPr>
                  <w:r>
                    <w:t xml:space="preserve">Diseño</w:t>
                  </w:r>
                </w:p>
              </w:tc>
            </w:tr>
            <w:tr>
              <w:tc>
                <w:tcPr/>
                <w:p>
                  <w:pPr>
                    <w:pStyle w:val="Compact"/>
                    <w:jc w:val="left"/>
                    <w:jc w:val="center"/>
                  </w:pPr>
                  <w:r>
                    <w:t xml:space="preserve">H1 (fidelidad)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H2 (estabilidad)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H3 (trade-off SHAP-LIME)</w:t>
                  </w:r>
                </w:p>
              </w:tc>
              <w:tc>
                <w:tcPr/>
                <w:p>
                  <w:pPr>
                    <w:pStyle w:val="Compact"/>
                    <w:jc w:val="center"/>
                    <w:jc w:val="center"/>
                  </w:pPr>
                  <w:r>
                    <w:t xml:space="preserve">Wilcoxon bilateral</w:t>
                  </w:r>
                </w:p>
              </w:tc>
              <w:tc>
                <w:tcPr/>
                <w:p>
                  <w:pPr>
                    <w:pStyle w:val="Compact"/>
                    <w:jc w:val="center"/>
                    <w:jc w:val="center"/>
                  </w:pPr>
                  <w:r>
                    <w:t xml:space="preserve">75 pares</w:t>
                  </w:r>
                </w:p>
              </w:tc>
              <w:tc>
                <w:tcPr/>
                <w:p>
                  <w:pPr>
                    <w:pStyle w:val="Compact"/>
                    <w:jc w:val="left"/>
                    <w:jc w:val="center"/>
                  </w:pPr>
                  <m:oMath>
                    <m:r>
                      <m:rPr>
                        <m:sty m:val="p"/>
                      </m:rPr>
                      <m:t>(</m:t>
                    </m:r>
                    <m:r>
                      <m:t>g</m:t>
                    </m:r>
                    <m:r>
                      <m:rPr>
                        <m:sty m:val="p"/>
                      </m:rPr>
                      <m:t>,</m:t>
                    </m:r>
                    <m:r>
                      <m:t>s</m:t>
                    </m:r>
                    <m:r>
                      <m:rPr>
                        <m:sty m:val="p"/>
                      </m:rPr>
                      <m:t>,</m:t>
                    </m:r>
                    <m:r>
                      <m:t>n</m:t>
                    </m:r>
                    <m:r>
                      <m:rPr>
                        <m:sty m:val="p"/>
                      </m:rPr>
                      <m:t>)</m:t>
                    </m:r>
                  </m:oMath>
                  <w:r>
                    <w:t xml:space="preserve"> </w:t>
                  </w:r>
                  <w:r>
                    <w:t xml:space="preserve">idénticos</w:t>
                  </w:r>
                </w:p>
              </w:tc>
            </w:tr>
            <w:tr>
              <w:tc>
                <w:tcPr/>
                <w:p>
                  <w:pPr>
                    <w:pStyle w:val="Compact"/>
                    <w:jc w:val="left"/>
                    <w:jc w:val="center"/>
                  </w:pPr>
                  <w:r>
                    <w:t xml:space="preserve">P1 (reproducibilidad)</w:t>
                  </w:r>
                </w:p>
              </w:tc>
              <w:tc>
                <w:tcPr/>
                <w:p>
                  <w:pPr>
                    <w:pStyle w:val="Compact"/>
                    <w:jc w:val="center"/>
                    <w:jc w:val="center"/>
                  </w:pPr>
                  <w:r>
                    <w:t xml:space="preserve">CV sobre EXP1</w:t>
                  </w:r>
                </w:p>
              </w:tc>
              <w:tc>
                <w:tcPr/>
                <w:p>
                  <w:pPr>
                    <w:pStyle w:val="Compact"/>
                    <w:jc w:val="center"/>
                    <w:jc w:val="center"/>
                  </w:pPr>
                  <w:r>
                    <w:t xml:space="preserve">5 semillas</w:t>
                  </w:r>
                </w:p>
              </w:tc>
              <w:tc>
                <w:tcPr/>
                <w:p>
                  <w:pPr>
                    <w:pStyle w:val="Compact"/>
                    <w:jc w:val="left"/>
                    <w:jc w:val="center"/>
                  </w:pPr>
                  <w:r>
                    <w:t xml:space="preserve">Por método</w:t>
                  </w:r>
                </w:p>
              </w:tc>
            </w:tr>
          </w:tbl>
          <w:bookmarkEnd w:id="89"/>
          <w:p/>
        </w:tc>
      </w:tr>
    </w:tbl>
    <w:bookmarkEnd w:id="90"/>
    <w:bookmarkEnd w:id="91"/>
    <w:bookmarkStart w:id="92" w:name="trazabilidad-y-reproducibilidad"/>
    <w:p>
      <w:pPr>
        <w:pStyle w:val="Ttulo2"/>
      </w:pPr>
      <w:r>
        <w:t xml:space="preserve">Trazabilidad y reproducibilidad</w:t>
      </w:r>
    </w:p>
    <w:p>
      <w:pPr>
        <w:pStyle w:val="FirstParagrap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0"/>
        </w:numPr>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pPr>
      <w:r>
        <w:rPr>
          <w:rStyle w:val="VerbatimChar"/>
        </w:rPr>
        <w:t xml:space="preserve">outputs/batch_results.csv</w:t>
      </w:r>
      <w:r>
        <w:t xml:space="preserve"> </w:t>
      </w:r>
      <w:r>
        <w:t xml:space="preserve">— superposición de recuperación (30 filas).</w:t>
      </w:r>
    </w:p>
    <w:p>
      <w:pPr>
        <w:pStyle w:val="Compact"/>
        <w:numPr>
          <w:ilvl w:val="0"/>
          <w:numId w:val="1010"/>
        </w:numPr>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A.</w:t>
      </w:r>
    </w:p>
    <w:bookmarkEnd w:id="92"/>
    <w:bookmarkEnd w:id="93"/>
    <w:bookmarkStart w:id="119" w:name="resultados-y-discusión"/>
    <w:p>
      <w:pPr>
        <w:pStyle w:val="Ttulo1"/>
      </w:pPr>
      <w:r>
        <w:t xml:space="preserve">Resultados y discusión</w:t>
      </w:r>
    </w:p>
    <w:p>
      <w:pPr>
        <w:pStyle w:val="FirstParagrap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m:oMath>
        <m:r>
          <m:t>5</m:t>
        </m:r>
        <m:r>
          <m:rPr>
            <m:sty m:val="p"/>
          </m:rPr>
          <m:t>×</m:t>
        </m:r>
        <m:r>
          <m:t>4</m:t>
        </m:r>
        <m:r>
          <m:rPr>
            <m:sty m:val="p"/>
          </m:rPr>
          <m:t>×</m:t>
        </m:r>
        <m:r>
          <m:t>5</m:t>
        </m:r>
        <m:r>
          <m:rPr>
            <m:sty m:val="p"/>
          </m:rPr>
          <m:t>×</m:t>
        </m:r>
        <m:r>
          <m:t>3</m:t>
        </m:r>
      </m: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94" w:name="X265f56e886428ba30debc49e85dcc5a7469d3ae"/>
    <w:p>
      <w:pPr>
        <w:pStyle w:val="Ttulo2"/>
      </w:pPr>
      <w:r>
        <w:t xml:space="preserve">Descripción general de la cobertura analítica</w:t>
      </w:r>
    </w:p>
    <w:p>
      <w:pPr>
        <w:pStyle w:val="FirstParagrap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m:oMath>
        <m:r>
          <m:t>D</m:t>
        </m:r>
        <m:r>
          <m:rPr>
            <m:sty m:val="p"/>
          </m:rPr>
          <m:t>=</m:t>
        </m:r>
        <m:r>
          <m:t>g</m:t>
        </m:r>
        <m:r>
          <m:rPr>
            <m:sty m:val="p"/>
          </m:rPr>
          <m:t>×</m:t>
        </m:r>
        <m:r>
          <m:t>k</m:t>
        </m:r>
        <m:r>
          <m:rPr>
            <m:sty m:val="p"/>
          </m:rPr>
          <m:t>×</m:t>
        </m:r>
        <m:r>
          <m:t>s</m:t>
        </m:r>
        <m:r>
          <m:rPr>
            <m:sty m:val="p"/>
          </m:rPr>
          <m:t>×</m:t>
        </m:r>
        <m:r>
          <m:t>n</m:t>
        </m:r>
        <m:r>
          <m:rPr>
            <m:sty m:val="p"/>
          </m:rPr>
          <m:t>=</m:t>
        </m:r>
        <m:r>
          <m:t>5</m:t>
        </m:r>
        <m:r>
          <m:rPr>
            <m:sty m:val="p"/>
          </m:rPr>
          <m:t>×</m:t>
        </m:r>
        <m:r>
          <m:t>4</m:t>
        </m:r>
        <m:r>
          <m:rPr>
            <m:sty m:val="p"/>
          </m:rPr>
          <m:t>×</m:t>
        </m:r>
        <m:r>
          <m:t>5</m:t>
        </m:r>
        <m:r>
          <m:rPr>
            <m:sty m:val="p"/>
          </m:rPr>
          <m:t>×</m:t>
        </m:r>
        <m:r>
          <m:t>3</m:t>
        </m:r>
      </m:oMath>
      <w:r>
        <w:t xml:space="preserve">), se</w:t>
      </w:r>
      <w:r>
        <w:t xml:space="preserve"> </w:t>
      </w:r>
      <w:r>
        <w:t xml:space="preserve">obtuvieron artefactos calificados en 275, distribuidos como sigue:</w:t>
      </w:r>
    </w:p>
    <w:p>
      <w:pPr>
        <w:numPr>
          <w:ilvl w:val="0"/>
          <w:numId w:val="1011"/>
        </w:numPr>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1"/>
        </w:numPr>
      </w:pPr>
      <w:r>
        <w:rPr>
          <w:b/>
          <w:bCs/>
        </w:rPr>
        <w:t xml:space="preserve">LIME</w:t>
      </w:r>
      <w:r>
        <w:t xml:space="preserve">: 75 de 75 celdas (100%). Cobertura completa.</w:t>
      </w:r>
    </w:p>
    <w:p>
      <w:pPr>
        <w:numPr>
          <w:ilvl w:val="0"/>
          <w:numId w:val="1011"/>
        </w:numPr>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1"/>
        </w:numPr>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pPr>
      <w:r>
        <w:t xml:space="preserve">Para el análisis Friedman (H1 y H2), se utilizan los 15 bloques completos</w:t>
      </w:r>
      <w:r>
        <w:t xml:space="preserve"> </w:t>
      </w:r>
      <m:oMath>
        <m:r>
          <m:rPr>
            <m:sty m:val="p"/>
          </m:rPr>
          <m:t>(</m:t>
        </m:r>
        <m:r>
          <m:t>g</m:t>
        </m:r>
        <m:r>
          <m:rPr>
            <m:sty m:val="p"/>
          </m:rPr>
          <m:t>,</m:t>
        </m:r>
        <m:r>
          <m:t>n</m:t>
        </m:r>
        <m:r>
          <m:rPr>
            <m:sty m:val="p"/>
          </m:rPr>
          <m:t>)</m:t>
        </m:r>
      </m: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m:oMath>
        <m:r>
          <m:rPr>
            <m:sty m:val="p"/>
          </m:rPr>
          <m:t>(</m:t>
        </m:r>
        <m:r>
          <m:t>g</m:t>
        </m:r>
        <m:r>
          <m:rPr>
            <m:sty m:val="p"/>
          </m:rPr>
          <m:t>,</m:t>
        </m:r>
        <m:r>
          <m:t>s</m:t>
        </m:r>
        <m:r>
          <m:rPr>
            <m:sty m:val="p"/>
          </m:rPr>
          <m:t>,</m:t>
        </m:r>
        <m:r>
          <m:t>n</m:t>
        </m:r>
        <m:r>
          <m:rPr>
            <m:sty m:val="p"/>
          </m:rPr>
          <m:t>)</m:t>
        </m:r>
      </m:oMath>
      <w:r>
        <w:t xml:space="preserve"> </w:t>
      </w:r>
      <w:r>
        <w:t xml:space="preserve">coincidentes en las que</w:t>
      </w:r>
      <w:r>
        <w:t xml:space="preserve"> </w:t>
      </w:r>
      <w:r>
        <w:t xml:space="preserve">ambos métodos producen resultados calificados.</w:t>
      </w:r>
    </w:p>
    <w:bookmarkEnd w:id="94"/>
    <w:bookmarkStart w:id="100" w:name="sec-estudio-a"/>
    <w:p>
      <w:pPr>
        <w:pStyle w:val="Ttulo2"/>
      </w:pPr>
      <w:r>
        <w:t xml:space="preserve">Estudio A: Análisis omnibus multimétrico (H1 y H2)</w:t>
      </w:r>
    </w:p>
    <w:bookmarkStart w:id="97" w:name="X41be5df394949178755daa825e68dc45d5470c0"/>
    <w:p>
      <w:pPr>
        <w:pStyle w:val="Ttulo3"/>
      </w:pPr>
      <w:r>
        <w:t xml:space="preserve">H1: Diferencias entre métodos en fidelidad</w:t>
      </w:r>
    </w:p>
    <w:p>
      <w:pPr>
        <w:pStyle w:val="FirstParagraph"/>
      </w:pPr>
      <w:r>
        <w:t xml:space="preserve">La prueba de Friedman para bloques</w:t>
      </w:r>
      <w:r>
        <w:t xml:space="preserve"> </w:t>
      </w:r>
      <m:oMath>
        <m:r>
          <m:rPr>
            <m:sty m:val="p"/>
          </m:rPr>
          <m:t>(</m:t>
        </m:r>
        <m:r>
          <m:t>g</m:t>
        </m:r>
        <m:r>
          <m:rPr>
            <m:sty m:val="p"/>
          </m:rPr>
          <m:t>,</m:t>
        </m:r>
        <m:r>
          <m:t>n</m:t>
        </m:r>
        <m:r>
          <m:rPr>
            <m:sty m:val="p"/>
          </m:rPr>
          <m:t>)</m:t>
        </m:r>
      </m:oMath>
      <w:r>
        <w:t xml:space="preserve"> </w:t>
      </w:r>
      <w:r>
        <w:t xml:space="preserve">sobre la métrica de fidelidad</w:t>
      </w:r>
      <w:r>
        <w:t xml:space="preserve"> </w:t>
      </w:r>
      <w:r>
        <w:t xml:space="preserve">arrojó una estadística</w:t>
      </w:r>
      <w:r>
        <w:t xml:space="preserve"> </w:t>
      </w:r>
      <m:oMath>
        <m:sSubSup>
          <m:e>
            <m:r>
              <m:t>χ</m:t>
            </m:r>
          </m:e>
          <m:sub>
            <m:r>
              <m:t>F</m:t>
            </m:r>
          </m:sub>
          <m:sup>
            <m:r>
              <m:t>2</m:t>
            </m:r>
          </m:sup>
        </m:sSubSup>
        <m:r>
          <m:rPr>
            <m:sty m:val="p"/>
          </m:rPr>
          <m:t>=</m:t>
        </m:r>
        <m:r>
          <m:t>42.12</m:t>
        </m:r>
      </m:oMath>
      <w:r>
        <w:t xml:space="preserve"> </w:t>
      </w:r>
      <w:r>
        <w:t xml:space="preserve">con</w:t>
      </w:r>
      <w:r>
        <w:t xml:space="preserve"> </w:t>
      </w:r>
      <m:oMath>
        <m:r>
          <m:t>k</m:t>
        </m:r>
        <m:r>
          <m:rPr>
            <m:sty m:val="p"/>
          </m:rPr>
          <m:t>−</m:t>
        </m:r>
        <m:r>
          <m:t>1</m:t>
        </m:r>
        <m:r>
          <m:rPr>
            <m:sty m:val="p"/>
          </m:rPr>
          <m:t>=</m:t>
        </m:r>
        <m:r>
          <m:t>3</m:t>
        </m:r>
      </m:oMath>
      <w:r>
        <w:t xml:space="preserve"> </w:t>
      </w:r>
      <w:r>
        <w:t xml:space="preserve">grados de libertad</w:t>
      </w:r>
      <w:r>
        <w:t xml:space="preserve"> </w:t>
      </w:r>
      <w:r>
        <w:t xml:space="preserve">sobre</w:t>
      </w:r>
      <w:r>
        <w:t xml:space="preserve"> </w:t>
      </w:r>
      <m:oMath>
        <m:r>
          <m:t>n</m:t>
        </m:r>
        <m:r>
          <m:rPr>
            <m:sty m:val="p"/>
          </m:rPr>
          <m:t>=</m:t>
        </m:r>
        <m:r>
          <m:t>15</m:t>
        </m:r>
      </m:oMath>
      <w:r>
        <w:t xml:space="preserve"> </w:t>
      </w:r>
      <w:r>
        <w:t xml:space="preserve">bloques completos. El valor crítico para</w:t>
      </w:r>
      <w:r>
        <w:t xml:space="preserve"> </w:t>
      </w:r>
      <m:oMath>
        <m:r>
          <m:t>α</m:t>
        </m:r>
        <m:r>
          <m:rPr>
            <m:sty m:val="p"/>
          </m:rPr>
          <m:t>=</m:t>
        </m:r>
        <m:r>
          <m:t>0.05</m:t>
        </m:r>
      </m:oMath>
      <w:r>
        <w:t xml:space="preserve"> </w:t>
      </w:r>
      <w:r>
        <w:t xml:space="preserve">es</w:t>
      </w:r>
      <w:r>
        <w:t xml:space="preserve"> </w:t>
      </w:r>
      <m:oMath>
        <m:sSubSup>
          <m:e>
            <m:r>
              <m:t>χ</m:t>
            </m:r>
          </m:e>
          <m:sub>
            <m:r>
              <m:t>c</m:t>
            </m:r>
            <m:r>
              <m:t>r</m:t>
            </m:r>
            <m:r>
              <m:t>i</m:t>
            </m:r>
            <m:r>
              <m:t>t</m:t>
            </m:r>
          </m:sub>
          <m:sup>
            <m:r>
              <m:t>2</m:t>
            </m:r>
          </m:sup>
        </m:sSubSup>
        <m:r>
          <m:rPr>
            <m:sty m:val="p"/>
          </m:rPr>
          <m:t>(</m:t>
        </m:r>
        <m:r>
          <m:t>3</m:t>
        </m:r>
        <m:r>
          <m:rPr>
            <m:sty m:val="p"/>
          </m:rPr>
          <m:t>)</m:t>
        </m:r>
        <m:r>
          <m:rPr>
            <m:sty m:val="p"/>
          </m:rPr>
          <m:t>=</m:t>
        </m:r>
        <m:r>
          <m:t>7.815</m:t>
        </m:r>
      </m:oMath>
      <w:r>
        <w:t xml:space="preserve">, de modo que el margen de seguridad inferencial es:</w:t>
      </w:r>
    </w:p>
    <w:p>
      <w:pPr>
        <w:pStyle w:val="Textoindependiente"/>
      </w:pPr>
      <m:oMathPara>
        <m:oMathParaPr>
          <m:jc m:val="center"/>
        </m:oMathParaPr>
        <m:oMath>
          <m:r>
            <m:rPr>
              <m:nor/>
              <m:sty m:val="p"/>
            </m:rPr>
            <m:t>Margen</m:t>
          </m:r>
          <m:r>
            <m:rPr>
              <m:sty m:val="p"/>
            </m:rPr>
            <m:t>=</m:t>
          </m:r>
          <m:f>
            <m:fPr>
              <m:type m:val="bar"/>
            </m:fPr>
            <m:num>
              <m:sSubSup>
                <m:e>
                  <m:r>
                    <m:t>χ</m:t>
                  </m:r>
                </m:e>
                <m:sub>
                  <m:r>
                    <m:t>F</m:t>
                  </m:r>
                </m:sub>
                <m:sup>
                  <m:r>
                    <m:t>2</m:t>
                  </m:r>
                </m:sup>
              </m:sSubSup>
              <m:r>
                <m:rPr>
                  <m:sty m:val="p"/>
                </m:rPr>
                <m:t>−</m:t>
              </m:r>
              <m:sSubSup>
                <m:e>
                  <m:r>
                    <m:t>χ</m:t>
                  </m:r>
                </m:e>
                <m:sub>
                  <m:r>
                    <m:t>c</m:t>
                  </m:r>
                  <m:r>
                    <m:t>r</m:t>
                  </m:r>
                  <m:r>
                    <m:t>i</m:t>
                  </m:r>
                  <m:r>
                    <m:t>t</m:t>
                  </m:r>
                </m:sub>
                <m:sup>
                  <m:r>
                    <m:t>2</m:t>
                  </m:r>
                </m:sup>
              </m:sSubSup>
            </m:num>
            <m:den>
              <m:sSubSup>
                <m:e>
                  <m:r>
                    <m:t>χ</m:t>
                  </m:r>
                </m:e>
                <m:sub>
                  <m:r>
                    <m:t>c</m:t>
                  </m:r>
                  <m:r>
                    <m:t>r</m:t>
                  </m:r>
                  <m:r>
                    <m:t>i</m:t>
                  </m:r>
                  <m:r>
                    <m:t>t</m:t>
                  </m:r>
                </m:sub>
                <m:sup>
                  <m:r>
                    <m:t>2</m:t>
                  </m:r>
                </m:sup>
              </m:sSubSup>
            </m:den>
          </m:f>
          <m:r>
            <m:rPr>
              <m:sty m:val="p"/>
            </m:rPr>
            <m:t>×</m:t>
          </m:r>
          <m:r>
            <m:t>100</m:t>
          </m:r>
          <m:r>
            <m:rPr>
              <m:sty m:val="p"/>
            </m:rPr>
            <m:t>=</m:t>
          </m:r>
          <m:f>
            <m:fPr>
              <m:type m:val="bar"/>
            </m:fPr>
            <m:num>
              <m:r>
                <m:t>42.12</m:t>
              </m:r>
              <m:r>
                <m:rPr>
                  <m:sty m:val="p"/>
                </m:rPr>
                <m:t>−</m:t>
              </m:r>
              <m:r>
                <m:t>7.815</m:t>
              </m:r>
            </m:num>
            <m:den>
              <m:r>
                <m:t>7.815</m:t>
              </m:r>
            </m:den>
          </m:f>
          <m:r>
            <m:rPr>
              <m:sty m:val="p"/>
            </m:rPr>
            <m:t>×</m:t>
          </m:r>
          <m:r>
            <m:t>100</m:t>
          </m:r>
          <m:r>
            <m:rPr>
              <m:sty m:val="p"/>
            </m:rPr>
            <m:t>=</m:t>
          </m:r>
          <m:r>
            <m:t>439</m:t>
          </m:r>
          <m:r>
            <m:rPr>
              <m:sty m:val="p"/>
            </m:rPr>
            <m:t>%</m:t>
          </m:r>
        </m:oMath>
      </m:oMathPara>
    </w:p>
    <w:p>
      <w:pPr>
        <w:pStyle w:val="FirstParagraph"/>
      </w:pPr>
      <w:r>
        <w:t xml:space="preserve">Este resultado rechaza</w:t>
      </w:r>
      <w:r>
        <w:t xml:space="preserve"> </w:t>
      </w:r>
      <m:oMath>
        <m:sSub>
          <m:e>
            <m:r>
              <m:t>H</m:t>
            </m:r>
          </m:e>
          <m:sub>
            <m:r>
              <m:t>0</m:t>
            </m:r>
            <m:r>
              <m:rPr>
                <m:sty m:val="p"/>
              </m:rPr>
              <m:t>,</m:t>
            </m:r>
            <m:r>
              <m:t>1</m:t>
            </m:r>
          </m:sub>
        </m:sSub>
      </m:oMath>
      <w:r>
        <w:t xml:space="preserve"> </w:t>
      </w:r>
      <w:r>
        <w:t xml:space="preserve">con una holgura de más de cinco veces el</w:t>
      </w:r>
      <w:r>
        <w:t xml:space="preserve"> </w:t>
      </w:r>
      <w:r>
        <w:t xml:space="preserve">umbral crítico, lo que indica diferencias entre métodos de magnitud muy grande</w:t>
      </w:r>
      <w:r>
        <w:t xml:space="preserve"> </w:t>
      </w:r>
      <w:r>
        <w:t xml:space="preserve">y no atribuibles a fluctuaciones muestrales. La distribución empírica de los</w:t>
      </w:r>
      <w:r>
        <w:t xml:space="preserve"> </w:t>
      </w:r>
      <w:r>
        <w:t xml:space="preserve">rangos confirma dominancia de SHAP en los 15 bloques, con LIME como segundo</w:t>
      </w:r>
      <w:r>
        <w:t xml:space="preserve"> </w:t>
      </w:r>
      <w:r>
        <w:t xml:space="preserve">en los 15 bloques y alternancia Anchors–DiCE en las posiciones 3–4:</w:t>
      </w:r>
    </w:p>
    <w:tbl>
      <w:tblPr>
        <w:tblStyle w:val="Table"/>
        <w:tblW w:type="pct" w:w="5000"/>
        <w:tblLayout w:type="fixed"/>
        <w:tblLook w:firstRow="0" w:lastRow="0" w:firstColumn="0" w:lastColumn="0" w:noHBand="0" w:noVBand="0" w:val="0000"/>
      </w:tblPr>
      <w:tblGrid>
        <w:gridCol w:w="7920"/>
      </w:tblGrid>
      <w:tr>
        <w:tc>
          <w:tcPr/>
          <w:bookmarkStart w:id="95" w:name="tbl-friedman-fidelity"/>
          <w:p>
            <w:pPr>
              <w:jc w:val="center"/>
            </w:pPr>
            <w:pPr>
              <w:jc w:val="left"/>
              <w:spacing w:before="200"/>
              <w:pStyle w:val="ImageCaption"/>
            </w:pPr>
            <w:r>
              <w:t xml:space="preserve">Table 5.1: Suma y media de rangos de fidelidad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Posición</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1.ª</w:t>
                  </w:r>
                </w:p>
              </w:tc>
            </w:tr>
            <w:tr>
              <w:tc>
                <w:tcPr/>
                <w:p>
                  <w:pPr>
                    <w:pStyle w:val="Compact"/>
                    <w:jc w:val="center"/>
                  </w:pPr>
                  <w:r>
                    <w:t xml:space="preserve">LIME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2.ª</w:t>
                  </w:r>
                </w:p>
              </w:tc>
            </w:tr>
            <w:tr>
              <w:tc>
                <w:tcPr/>
                <w:p>
                  <w:pPr>
                    <w:pStyle w:val="Compact"/>
                    <w:jc w:val="center"/>
                  </w:pPr>
                  <w:r>
                    <w:t xml:space="preserve">Anchors</w:t>
                  </w:r>
                </w:p>
              </w:tc>
              <w:tc>
                <w:tcPr/>
                <w:p>
                  <w:pPr>
                    <w:pStyle w:val="Compact"/>
                    <w:jc w:val="center"/>
                  </w:pPr>
                  <w:r>
                    <w:t xml:space="preserve">48</w:t>
                  </w:r>
                </w:p>
              </w:tc>
              <w:tc>
                <w:tcPr/>
                <w:p>
                  <w:pPr>
                    <w:pStyle w:val="Compact"/>
                    <w:jc w:val="center"/>
                  </w:pPr>
                  <w:r>
                    <w:t xml:space="preserve">3.200</w:t>
                  </w:r>
                </w:p>
              </w:tc>
              <w:tc>
                <w:tcPr/>
                <w:p>
                  <w:pPr>
                    <w:pStyle w:val="Compact"/>
                    <w:jc w:val="center"/>
                  </w:pPr>
                  <w:r>
                    <w:t xml:space="preserve">3.ª</w:t>
                  </w:r>
                </w:p>
              </w:tc>
            </w:tr>
            <w:tr>
              <w:tc>
                <w:tcPr/>
                <w:p>
                  <w:pPr>
                    <w:pStyle w:val="Compact"/>
                    <w:jc w:val="center"/>
                  </w:pPr>
                  <w:r>
                    <w:t xml:space="preserve">DiCE</w:t>
                  </w:r>
                </w:p>
              </w:tc>
              <w:tc>
                <w:tcPr/>
                <w:p>
                  <w:pPr>
                    <w:pStyle w:val="Compact"/>
                    <w:jc w:val="center"/>
                  </w:pPr>
                  <w:r>
                    <w:t xml:space="preserve">57</w:t>
                  </w:r>
                </w:p>
              </w:tc>
              <w:tc>
                <w:tcPr/>
                <w:p>
                  <w:pPr>
                    <w:pStyle w:val="Compact"/>
                    <w:jc w:val="center"/>
                  </w:pPr>
                  <w:r>
                    <w:t xml:space="preserve">3.800</w:t>
                  </w:r>
                </w:p>
              </w:tc>
              <w:tc>
                <w:tcPr/>
                <w:p>
                  <w:pPr>
                    <w:pStyle w:val="Compact"/>
                    <w:jc w:val="center"/>
                  </w:pPr>
                  <w:r>
                    <w:t xml:space="preserve">4.ª</w:t>
                  </w:r>
                </w:p>
              </w:tc>
            </w:tr>
          </w:tbl>
          <w:bookmarkEnd w:id="95"/>
          <w:p/>
        </w:tc>
      </w:tr>
    </w:tbl>
    <w:p>
      <w:pPr>
        <w:pStyle w:val="Textoindependiente"/>
      </w:pPr>
      <w:r>
        <w:t xml:space="preserve">El hecho de que SHAP obtenga rango 1 en la totalidad de los 15 bloques</w:t>
      </w:r>
      <w:r>
        <w:t xml:space="preserve"> </w:t>
      </w:r>
      <w:r>
        <w:t xml:space="preserve">(suma = 15, media = 1.000) implica que en ningún contexto de bloque</w:t>
      </w:r>
      <w:r>
        <w:t xml:space="preserve"> </w:t>
      </w:r>
      <m:oMath>
        <m:r>
          <m:rPr>
            <m:sty m:val="p"/>
          </m:rPr>
          <m:t>(</m:t>
        </m:r>
        <m:r>
          <m:t>g</m:t>
        </m:r>
        <m:r>
          <m:rPr>
            <m:sty m:val="p"/>
          </m:rPr>
          <m:t>,</m:t>
        </m:r>
        <m:r>
          <m:t>n</m:t>
        </m:r>
        <m:r>
          <m:rPr>
            <m:sty m:val="p"/>
          </m:rPr>
          <m:t>)</m:t>
        </m:r>
      </m:oMath>
      <w:r>
        <w:t xml:space="preserve"> </w:t>
      </w:r>
      <w:r>
        <w:t xml:space="preserve">ningún otro método superó a SHAP en fidelidad. Las medias brutas (promedio</w:t>
      </w:r>
      <w:r>
        <w:t xml:space="preserve"> </w:t>
      </w:r>
      <m:oMath>
        <m:r>
          <m:rPr>
            <m:sty m:val="p"/>
          </m:rPr>
          <m:t>±</m:t>
        </m:r>
      </m:oMath>
      <w:r>
        <w:t xml:space="preserve"> </w:t>
      </w:r>
      <w:r>
        <w:t xml:space="preserve">desviación estándar entre bloques) son: SHAP = 0.808</w:t>
      </w:r>
      <w:r>
        <w:t xml:space="preserve"> </w:t>
      </w:r>
      <m:oMath>
        <m:r>
          <m:rPr>
            <m:sty m:val="p"/>
          </m:rPr>
          <m:t>±</m:t>
        </m:r>
      </m:oMath>
      <w:r>
        <w:t xml:space="preserve"> </w:t>
      </w:r>
      <w:r>
        <w:t xml:space="preserve">0.093, LIME = 0.560</w:t>
      </w:r>
      <w:r>
        <w:t xml:space="preserve"> </w:t>
      </w:r>
      <m:oMath>
        <m:r>
          <m:rPr>
            <m:sty m:val="p"/>
          </m:rPr>
          <m:t>±</m:t>
        </m:r>
      </m:oMath>
      <w:r>
        <w:t xml:space="preserve"> </w:t>
      </w:r>
      <w:r>
        <w:t xml:space="preserve">0.068, Anchors = 0.389</w:t>
      </w:r>
      <w:r>
        <w:t xml:space="preserve"> </w:t>
      </w:r>
      <m:oMath>
        <m:r>
          <m:rPr>
            <m:sty m:val="p"/>
          </m:rPr>
          <m:t>±</m:t>
        </m:r>
      </m:oMath>
      <w:r>
        <w:t xml:space="preserve"> </w:t>
      </w:r>
      <w:r>
        <w:t xml:space="preserve">0.100, DiCE = 0.170</w:t>
      </w:r>
      <w:r>
        <w:t xml:space="preserve"> </w:t>
      </w:r>
      <m:oMath>
        <m:r>
          <m:rPr>
            <m:sty m:val="p"/>
          </m:rPr>
          <m:t>±</m:t>
        </m:r>
      </m:oMath>
      <w:r>
        <w:t xml:space="preserve"> </w:t>
      </w:r>
      <w:r>
        <w:t xml:space="preserve">0.103.</w:t>
      </w:r>
    </w:p>
    <w:p>
      <w:pPr>
        <w:pStyle w:val="Textoindependiente"/>
      </w:pPr>
      <w:r>
        <w:t xml:space="preserve">La escala de fidelidad es acotada en</w:t>
      </w:r>
      <w:r>
        <w:t xml:space="preserve"> </w:t>
      </w:r>
      <m:oMath>
        <m:r>
          <m:rPr>
            <m:sty m:val="p"/>
          </m:rPr>
          <m:t>[</m:t>
        </m:r>
        <m:r>
          <m:t>0</m:t>
        </m:r>
        <m:r>
          <m:rPr>
            <m:sty m:val="p"/>
          </m:rPr>
          <m:t>,</m:t>
        </m:r>
        <m:r>
          <m:t>1</m:t>
        </m:r>
        <m:r>
          <m:rPr>
            <m:sty m:val="p"/>
          </m:rPr>
          <m:t>]</m:t>
        </m:r>
      </m: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pPr>
      <w:r>
        <w:rPr>
          <w:b/>
          <w:bCs/>
        </w:rPr>
        <w:t xml:space="preserve">Localización post-hoc (Nemenyi):</w:t>
      </w:r>
      <w:r>
        <w:t xml:space="preserve"> </w:t>
      </w:r>
      <w:r>
        <w:t xml:space="preserve">La diferencia crítica para comparaciones</w:t>
      </w:r>
      <w:r>
        <w:t xml:space="preserve"> </w:t>
      </w:r>
      <w:r>
        <w:t xml:space="preserve">pareadas con</w:t>
      </w:r>
      <w:r>
        <w:t xml:space="preserve"> </w:t>
      </w:r>
      <m:oMath>
        <m:r>
          <m:t>α</m:t>
        </m:r>
        <m:r>
          <m:rPr>
            <m:sty m:val="p"/>
          </m:rPr>
          <m:t>=</m:t>
        </m:r>
        <m:r>
          <m:t>0.05</m:t>
        </m:r>
      </m:oMath>
      <w:r>
        <w:t xml:space="preserve">,</w:t>
      </w:r>
      <w:r>
        <w:t xml:space="preserve"> </w:t>
      </w:r>
      <m:oMath>
        <m:r>
          <m:t>k</m:t>
        </m:r>
        <m:r>
          <m:rPr>
            <m:sty m:val="p"/>
          </m:rPr>
          <m:t>=</m:t>
        </m:r>
        <m:r>
          <m:t>4</m:t>
        </m:r>
      </m:oMath>
      <w:r>
        <w:t xml:space="preserve"> </w:t>
      </w:r>
      <w:r>
        <w:t xml:space="preserve">y</w:t>
      </w:r>
      <w:r>
        <w:t xml:space="preserve"> </w:t>
      </w:r>
      <m:oMath>
        <m:r>
          <m:t>n</m:t>
        </m:r>
        <m:r>
          <m:rPr>
            <m:sty m:val="p"/>
          </m:rPr>
          <m:t>=</m:t>
        </m:r>
        <m:r>
          <m:t>15</m:t>
        </m:r>
      </m:oMath>
      <w:r>
        <w:t xml:space="preserve"> </w:t>
      </w:r>
      <w:r>
        <w:t xml:space="preserve">es:</w:t>
      </w:r>
    </w:p>
    <w:p>
      <w:pPr>
        <w:pStyle w:val="Textoindependiente"/>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2.569</m:t>
          </m:r>
          <m:r>
            <m:rPr>
              <m:sty m:val="p"/>
            </m:rPr>
            <m:t>×</m:t>
          </m:r>
          <m:r>
            <m:t>0.4714</m:t>
          </m:r>
          <m:r>
            <m:rPr>
              <m:sty m:val="p"/>
            </m:rPr>
            <m:t>=</m:t>
          </m:r>
          <m:r>
            <m:t>1.211</m:t>
          </m:r>
        </m:oMath>
      </m:oMathPara>
    </w:p>
    <w:p>
      <w:pPr>
        <w:pStyle w:val="FirstParagraph"/>
      </w:pPr>
      <w:r>
        <w:t xml:space="preserve">Donde</w:t>
      </w:r>
      <w:r>
        <w:t xml:space="preserve"> </w:t>
      </w:r>
      <m:oMath>
        <m:sSub>
          <m:e>
            <m:r>
              <m:t>q</m:t>
            </m:r>
          </m:e>
          <m:sub>
            <m:r>
              <m:t>α</m:t>
            </m:r>
          </m:sub>
        </m:sSub>
        <m:r>
          <m:rPr>
            <m:sty m:val="p"/>
          </m:rPr>
          <m:t>=</m:t>
        </m:r>
        <m:r>
          <m:t>2.569</m:t>
        </m:r>
      </m:oMath>
      <w:r>
        <w:t xml:space="preserve"> </w:t>
      </w:r>
      <w:r>
        <w:t xml:space="preserve">es el valor crítico de la distribución de Nemenyi para</w:t>
      </w:r>
      <w:r>
        <w:t xml:space="preserve"> </w:t>
      </w:r>
      <m:oMath>
        <m:r>
          <m:t>k</m:t>
        </m:r>
        <m:r>
          <m:rPr>
            <m:sty m:val="p"/>
          </m:rPr>
          <m:t>=</m:t>
        </m:r>
        <m:r>
          <m:t>4</m:t>
        </m:r>
      </m:oMath>
      <w:r>
        <w:t xml:space="preserve"> </w:t>
      </w:r>
      <w:r>
        <w:t xml:space="preserve">con</w:t>
      </w:r>
      <w:r>
        <w:t xml:space="preserve"> </w:t>
      </w:r>
      <m:oMath>
        <m:r>
          <m:t>α</m:t>
        </m:r>
        <m:r>
          <m:rPr>
            <m:sty m:val="p"/>
          </m:rPr>
          <m:t>=</m:t>
        </m:r>
        <m:r>
          <m:t>0.05</m:t>
        </m:r>
      </m: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96" w:name="tbl-nemenyi-fidelity"/>
          <w:p>
            <w:pPr>
              <w:jc w:val="center"/>
            </w:pPr>
            <w:pPr>
              <w:jc w:val="left"/>
              <w:spacing w:before="200"/>
              <w:pStyle w:val="ImageCaption"/>
            </w:pPr>
            <w:r>
              <w:t xml:space="preserve">Table 5.2: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w:t>
                  </w:r>
                </w:p>
              </w:tc>
              <w:tc>
                <w:tcPr/>
                <w:p>
                  <w:pPr>
                    <w:pStyle w:val="Compact"/>
                    <w:jc w:val="center"/>
                  </w:pPr>
                  <m:oMath>
                    <m:r>
                      <m:rPr>
                        <m:sty m:val="p"/>
                      </m:rPr>
                      <m:t>|</m:t>
                    </m:r>
                    <m:sSub>
                      <m:e>
                        <m:r>
                          <m:t>R</m:t>
                        </m:r>
                      </m:e>
                      <m:sub>
                        <m:r>
                          <m:t>i</m:t>
                        </m:r>
                      </m:sub>
                    </m:sSub>
                    <m:r>
                      <m:rPr>
                        <m:sty m:val="p"/>
                      </m:rPr>
                      <m:t>−</m:t>
                    </m:r>
                    <m:sSub>
                      <m:e>
                        <m:r>
                          <m:t>R</m:t>
                        </m:r>
                      </m:e>
                      <m:sub>
                        <m:r>
                          <m:t>j</m:t>
                        </m:r>
                      </m:sub>
                    </m:sSub>
                    <m:r>
                      <m:rPr>
                        <m:sty m:val="p"/>
                      </m:rPr>
                      <m:t>|</m:t>
                    </m:r>
                  </m:oMath>
                </w:p>
              </w:tc>
              <w:tc>
                <w:tcPr/>
                <w:p>
                  <w:pPr>
                    <w:pStyle w:val="Compact"/>
                    <w:jc w:val="center"/>
                  </w:pPr>
                  <w:r>
                    <w:t xml:space="preserve">CD</w:t>
                  </w:r>
                </w:p>
              </w:tc>
              <w:tc>
                <w:tcPr/>
                <w:p>
                  <w:pPr>
                    <w:pStyle w:val="Compact"/>
                    <w:jc w:val="center"/>
                  </w:pPr>
                  <w:r>
                    <w:t xml:space="preserve">Significativo</w:t>
                  </w:r>
                </w:p>
              </w:tc>
            </w:tr>
            <w:tr>
              <w:tc>
                <w:tcPr/>
                <w:p>
                  <w:pPr>
                    <w:pStyle w:val="Compact"/>
                    <w:jc w:val="center"/>
                  </w:pPr>
                  <w:r>
                    <w:t xml:space="preserve">SHAP vs. LIME</w:t>
                  </w:r>
                </w:p>
              </w:tc>
              <w:tc>
                <w:tcPr/>
                <w:p>
                  <w:pPr>
                    <w:pStyle w:val="Compact"/>
                    <w:jc w:val="center"/>
                  </w:pPr>
                  <w:r>
                    <w:t xml:space="preserve">1.000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SHAP vs. Anchors</w:t>
                  </w:r>
                </w:p>
              </w:tc>
              <w:tc>
                <w:tcPr/>
                <w:p>
                  <w:pPr>
                    <w:pStyle w:val="Compact"/>
                    <w:jc w:val="center"/>
                  </w:pPr>
                  <w:r>
                    <w:t xml:space="preserve">2.200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SHAP vs. DiCE</w:t>
                  </w:r>
                </w:p>
              </w:tc>
              <w:tc>
                <w:tcPr/>
                <w:p>
                  <w:pPr>
                    <w:pStyle w:val="Compact"/>
                    <w:jc w:val="center"/>
                  </w:pPr>
                  <w:r>
                    <w:t xml:space="preserve">2.800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LIME vs. Anchors</w:t>
                  </w:r>
                </w:p>
              </w:tc>
              <w:tc>
                <w:tcPr/>
                <w:p>
                  <w:pPr>
                    <w:pStyle w:val="Compact"/>
                    <w:jc w:val="center"/>
                  </w:pPr>
                  <w:r>
                    <w:t xml:space="preserve">1.200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LIME vs. DiCE</w:t>
                  </w:r>
                </w:p>
              </w:tc>
              <w:tc>
                <w:tcPr/>
                <w:p>
                  <w:pPr>
                    <w:pStyle w:val="Compact"/>
                    <w:jc w:val="center"/>
                  </w:pPr>
                  <w:r>
                    <w:t xml:space="preserve">1.800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Anchors vs. DiCE</w:t>
                  </w:r>
                </w:p>
              </w:tc>
              <w:tc>
                <w:tcPr/>
                <w:p>
                  <w:pPr>
                    <w:pStyle w:val="Compact"/>
                    <w:jc w:val="center"/>
                  </w:pPr>
                  <w:r>
                    <w:t xml:space="preserve">0.600</w:t>
                  </w:r>
                </w:p>
              </w:tc>
              <w:tc>
                <w:tcPr/>
                <w:p>
                  <w:pPr>
                    <w:pStyle w:val="Compact"/>
                    <w:jc w:val="center"/>
                  </w:pPr>
                  <w:r>
                    <w:t xml:space="preserve">1.211</w:t>
                  </w:r>
                </w:p>
              </w:tc>
              <w:tc>
                <w:tcPr/>
                <w:p>
                  <w:pPr>
                    <w:pStyle w:val="Compact"/>
                    <w:jc w:val="center"/>
                  </w:pPr>
                  <w:r>
                    <w:t xml:space="preserve">No</w:t>
                  </w:r>
                </w:p>
              </w:tc>
            </w:tr>
          </w:tbl>
          <w:bookmarkEnd w:id="96"/>
          <w:p/>
        </w:tc>
      </w:tr>
    </w:tbl>
    <w:p>
      <w:pPr>
        <w:pStyle w:val="Textoindependiente"/>
      </w:pPr>
      <w:r>
        <w:t xml:space="preserve">La localización Nemenyi es conservadora cuando</w:t>
      </w:r>
      <w:r>
        <w:t xml:space="preserve"> </w:t>
      </w:r>
      <m:oMath>
        <m:r>
          <m:t>n</m:t>
        </m:r>
      </m: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97"/>
    <w:bookmarkStart w:id="99" w:name="X117d71016dd8839ee57c9e60cc09d0400ac5f3d"/>
    <w:p>
      <w:pPr>
        <w:pStyle w:val="Ttulo3"/>
      </w:pPr>
      <w:r>
        <w:t xml:space="preserve">H2: Diferencias entre métodos en estabilidad</w:t>
      </w:r>
    </w:p>
    <w:p>
      <w:pPr>
        <w:pStyle w:val="FirstParagraph"/>
      </w:pPr>
      <w:r>
        <w:t xml:space="preserve">La prueba de Friedman para estabilidad arrojó</w:t>
      </w:r>
      <w:r>
        <w:t xml:space="preserve"> </w:t>
      </w:r>
      <m:oMath>
        <m:sSubSup>
          <m:e>
            <m:r>
              <m:t>χ</m:t>
            </m:r>
          </m:e>
          <m:sub>
            <m:r>
              <m:t>F</m:t>
            </m:r>
          </m:sub>
          <m:sup>
            <m:r>
              <m:t>2</m:t>
            </m:r>
          </m:sup>
        </m:sSubSup>
        <m:r>
          <m:rPr>
            <m:sty m:val="p"/>
          </m:rPr>
          <m:t>=</m:t>
        </m:r>
        <m:r>
          <m:t>40.68</m:t>
        </m:r>
      </m:oMath>
      <w:r>
        <w:t xml:space="preserve"> </w:t>
      </w:r>
      <w:r>
        <w:t xml:space="preserve">con</w:t>
      </w:r>
      <w:r>
        <w:t xml:space="preserve"> </w:t>
      </w:r>
      <m:oMath>
        <m:r>
          <m:t>n</m:t>
        </m:r>
        <m:r>
          <m:rPr>
            <m:sty m:val="p"/>
          </m:rPr>
          <m:t>=</m:t>
        </m:r>
        <m:r>
          <m:t>15</m:t>
        </m:r>
      </m:oMath>
      <w:r>
        <w:t xml:space="preserve"> </w:t>
      </w:r>
      <w:r>
        <w:t xml:space="preserve">bloques completos, lo que implica un margen de seguridad de:</w:t>
      </w:r>
    </w:p>
    <w:p>
      <w:pPr>
        <w:pStyle w:val="Textoindependiente"/>
      </w:pPr>
      <m:oMathPara>
        <m:oMathParaPr>
          <m:jc m:val="center"/>
        </m:oMathParaPr>
        <m:oMath>
          <m:r>
            <m:rPr>
              <m:nor/>
              <m:sty m:val="p"/>
            </m:rPr>
            <m:t>Margen</m:t>
          </m:r>
          <m:r>
            <m:rPr>
              <m:sty m:val="p"/>
            </m:rPr>
            <m:t>=</m:t>
          </m:r>
          <m:f>
            <m:fPr>
              <m:type m:val="bar"/>
            </m:fPr>
            <m:num>
              <m:r>
                <m:t>40.68</m:t>
              </m:r>
              <m:r>
                <m:rPr>
                  <m:sty m:val="p"/>
                </m:rPr>
                <m:t>−</m:t>
              </m:r>
              <m:r>
                <m:t>7.815</m:t>
              </m:r>
            </m:num>
            <m:den>
              <m:r>
                <m:t>7.815</m:t>
              </m:r>
            </m:den>
          </m:f>
          <m:r>
            <m:rPr>
              <m:sty m:val="p"/>
            </m:rPr>
            <m:t>×</m:t>
          </m:r>
          <m:r>
            <m:t>100</m:t>
          </m:r>
          <m:r>
            <m:rPr>
              <m:sty m:val="p"/>
            </m:rPr>
            <m:t>=</m:t>
          </m:r>
          <m:r>
            <m:t>421</m:t>
          </m:r>
          <m:r>
            <m:rPr>
              <m:sty m:val="p"/>
            </m:rPr>
            <m:t>%</m:t>
          </m:r>
        </m:oMath>
      </m:oMathPara>
    </w:p>
    <w:p>
      <w:pPr>
        <w:pStyle w:val="FirstParagraph"/>
      </w:pPr>
      <m:oMath>
        <m:sSub>
          <m:e>
            <m:r>
              <m:t>H</m:t>
            </m:r>
          </m:e>
          <m:sub>
            <m:r>
              <m:t>0</m:t>
            </m:r>
            <m:r>
              <m:rPr>
                <m:sty m:val="p"/>
              </m:rPr>
              <m:t>,</m:t>
            </m:r>
            <m:r>
              <m:t>2</m:t>
            </m:r>
          </m:sub>
        </m:sSub>
      </m:oMath>
      <w:r>
        <w:t xml:space="preserve"> </w:t>
      </w:r>
      <w:r>
        <w:t xml:space="preserve">se rechaza con la misma holgura que</w:t>
      </w:r>
      <w:r>
        <w:t xml:space="preserve"> </w:t>
      </w:r>
      <m:oMath>
        <m:sSub>
          <m:e>
            <m:r>
              <m:t>H</m:t>
            </m:r>
          </m:e>
          <m:sub>
            <m:r>
              <m:t>0</m:t>
            </m:r>
            <m:r>
              <m:rPr>
                <m:sty m:val="p"/>
              </m:rPr>
              <m:t>,</m:t>
            </m:r>
            <m:r>
              <m:t>1</m:t>
            </m:r>
          </m:sub>
        </m:sSub>
      </m: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98" w:name="tbl-friedman-stability"/>
          <w:p>
            <w:pPr>
              <w:jc w:val="center"/>
            </w:pPr>
            <w:pPr>
              <w:jc w:val="left"/>
              <w:spacing w:before="200"/>
              <w:pStyle w:val="ImageCaption"/>
            </w:pPr>
            <w:r>
              <w:t xml:space="preserve">Table 5.3: Suma y media de rangos de estabilidad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Media bruta</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0.732</w:t>
                  </w:r>
                </w:p>
              </w:tc>
            </w:tr>
            <w:tr>
              <w:tc>
                <w:tcPr/>
                <w:p>
                  <w:pPr>
                    <w:pStyle w:val="Compact"/>
                    <w:jc w:val="center"/>
                  </w:pPr>
                  <w:r>
                    <w:t xml:space="preserve">DiCE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0.361</w:t>
                  </w:r>
                </w:p>
              </w:tc>
            </w:tr>
            <w:tr>
              <w:tc>
                <w:tcPr/>
                <w:p>
                  <w:pPr>
                    <w:pStyle w:val="Compact"/>
                    <w:jc w:val="center"/>
                  </w:pPr>
                  <w:r>
                    <w:t xml:space="preserve">LIME</w:t>
                  </w:r>
                </w:p>
              </w:tc>
              <w:tc>
                <w:tcPr/>
                <w:p>
                  <w:pPr>
                    <w:pStyle w:val="Compact"/>
                    <w:jc w:val="center"/>
                  </w:pPr>
                  <w:r>
                    <w:t xml:space="preserve">51</w:t>
                  </w:r>
                </w:p>
              </w:tc>
              <w:tc>
                <w:tcPr/>
                <w:p>
                  <w:pPr>
                    <w:pStyle w:val="Compact"/>
                    <w:jc w:val="center"/>
                  </w:pPr>
                  <w:r>
                    <w:t xml:space="preserve">3.400</w:t>
                  </w:r>
                </w:p>
              </w:tc>
              <w:tc>
                <w:tcPr/>
                <w:p>
                  <w:pPr>
                    <w:pStyle w:val="Compact"/>
                    <w:jc w:val="center"/>
                  </w:pPr>
                  <w:r>
                    <w:t xml:space="preserve">0.014</w:t>
                  </w:r>
                </w:p>
              </w:tc>
            </w:tr>
            <w:tr>
              <w:tc>
                <w:tcPr/>
                <w:p>
                  <w:pPr>
                    <w:pStyle w:val="Compact"/>
                    <w:jc w:val="center"/>
                  </w:pPr>
                  <w:r>
                    <w:t xml:space="preserve">Anchors</w:t>
                  </w:r>
                </w:p>
              </w:tc>
              <w:tc>
                <w:tcPr/>
                <w:p>
                  <w:pPr>
                    <w:pStyle w:val="Compact"/>
                    <w:jc w:val="center"/>
                  </w:pPr>
                  <w:r>
                    <w:t xml:space="preserve">54</w:t>
                  </w:r>
                </w:p>
              </w:tc>
              <w:tc>
                <w:tcPr/>
                <w:p>
                  <w:pPr>
                    <w:pStyle w:val="Compact"/>
                    <w:jc w:val="center"/>
                  </w:pPr>
                  <w:r>
                    <w:t xml:space="preserve">3.600</w:t>
                  </w:r>
                </w:p>
              </w:tc>
              <w:tc>
                <w:tcPr/>
                <w:p>
                  <w:pPr>
                    <w:pStyle w:val="Compact"/>
                    <w:jc w:val="center"/>
                  </w:pPr>
                  <w:r>
                    <w:t xml:space="preserve">0.043</w:t>
                  </w:r>
                </w:p>
              </w:tc>
            </w:tr>
          </w:tbl>
          <w:bookmarkEnd w:id="98"/>
          <w:p/>
        </w:tc>
      </w:tr>
    </w:tbl>
    <w:p>
      <w:pPr>
        <w:pStyle w:val="Textoindependiente"/>
      </w:pPr>
      <w:r>
        <w:t xml:space="preserve">SHAP mantiene la primera posición en estabilidad (rango medio = 1.000), lo</w:t>
      </w:r>
      <w:r>
        <w:t xml:space="preserve"> </w:t>
      </w:r>
      <w:r>
        <w:t xml:space="preserve">que implica que es dominante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m:oMath>
        <m:r>
          <m:rPr>
            <m:sty m:val="p"/>
          </m:rPr>
          <m:t>[</m:t>
        </m:r>
        <m:r>
          <m:t>0</m:t>
        </m:r>
        <m:r>
          <m:rPr>
            <m:sty m:val="p"/>
          </m:rPr>
          <m:t>,</m:t>
        </m:r>
        <m:r>
          <m:t>1</m:t>
        </m:r>
        <m:r>
          <m:rPr>
            <m:sty m:val="p"/>
          </m:rPr>
          <m:t>]</m:t>
        </m:r>
      </m: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pPr>
      <w:r>
        <w:t xml:space="preserve">La diferencia crítica Nemenyi para estabilidad es idéntica a la calculada para</w:t>
      </w:r>
      <w:r>
        <w:t xml:space="preserve"> </w:t>
      </w:r>
      <w:r>
        <w:t xml:space="preserve">fidelidad (</w:t>
      </w:r>
      <m:oMath>
        <m:r>
          <m:t>C</m:t>
        </m:r>
        <m:r>
          <m:t>D</m:t>
        </m:r>
        <m:r>
          <m:rPr>
            <m:sty m:val="p"/>
          </m:rPr>
          <m:t>=</m:t>
        </m:r>
        <m:r>
          <m:t>1.211</m:t>
        </m:r>
      </m:oMath>
      <w:r>
        <w:t xml:space="preserve">) dado el mismo</w:t>
      </w:r>
      <w:r>
        <w:t xml:space="preserve"> </w:t>
      </w:r>
      <m:oMath>
        <m:r>
          <m:t>n</m:t>
        </m:r>
      </m:oMath>
      <w:r>
        <w:t xml:space="preserve"> </w:t>
      </w:r>
      <w:r>
        <w:t xml:space="preserve">y</w:t>
      </w:r>
      <w:r>
        <w:t xml:space="preserve"> </w:t>
      </w:r>
      <m:oMath>
        <m:r>
          <m:t>k</m:t>
        </m:r>
      </m:oMath>
      <w:r>
        <w:t xml:space="preserve">. Las diferencias en rangos</w:t>
      </w:r>
      <w:r>
        <w:t xml:space="preserve"> </w:t>
      </w:r>
      <w:r>
        <w:t xml:space="preserve">medios confirmadas como significativas son:</w:t>
      </w:r>
    </w:p>
    <w:p>
      <w:pPr>
        <w:pStyle w:val="Compact"/>
        <w:numPr>
          <w:ilvl w:val="0"/>
          <w:numId w:val="1012"/>
        </w:numPr>
      </w:pPr>
      <w:r>
        <w:t xml:space="preserve">SHAP vs. LIME:</w:t>
      </w:r>
      <w:r>
        <w:t xml:space="preserve"> </w:t>
      </w:r>
      <m:oMath>
        <m:r>
          <m:rPr>
            <m:sty m:val="p"/>
          </m:rPr>
          <m:t>|</m:t>
        </m:r>
        <m:r>
          <m:t>1.000</m:t>
        </m:r>
        <m:r>
          <m:rPr>
            <m:sty m:val="p"/>
          </m:rPr>
          <m:t>−</m:t>
        </m:r>
        <m:r>
          <m:t>3.400</m:t>
        </m:r>
        <m:r>
          <m:rPr>
            <m:sty m:val="p"/>
          </m:rPr>
          <m:t>|</m:t>
        </m:r>
        <m:r>
          <m:rPr>
            <m:sty m:val="p"/>
          </m:rPr>
          <m:t>=</m:t>
        </m:r>
        <m:r>
          <m:t>2.400</m:t>
        </m:r>
        <m:r>
          <m:rPr>
            <m:sty m:val="p"/>
          </m:rPr>
          <m:t>&gt;</m:t>
        </m:r>
        <m:r>
          <m:t>1.211</m:t>
        </m:r>
      </m:oMath>
      <w:r>
        <w:t xml:space="preserve"> </w:t>
      </w:r>
      <w:r>
        <w:t xml:space="preserve">(Sí)</w:t>
      </w:r>
    </w:p>
    <w:p>
      <w:pPr>
        <w:pStyle w:val="Compact"/>
        <w:numPr>
          <w:ilvl w:val="0"/>
          <w:numId w:val="1012"/>
        </w:numPr>
      </w:pPr>
      <w:r>
        <w:t xml:space="preserve">SHAP vs. Anchors:</w:t>
      </w:r>
      <w:r>
        <w:t xml:space="preserve"> </w:t>
      </w:r>
      <m:oMath>
        <m:r>
          <m:rPr>
            <m:sty m:val="p"/>
          </m:rPr>
          <m:t>|</m:t>
        </m:r>
        <m:r>
          <m:t>1.000</m:t>
        </m:r>
        <m:r>
          <m:rPr>
            <m:sty m:val="p"/>
          </m:rPr>
          <m:t>−</m:t>
        </m:r>
        <m:r>
          <m:t>3.600</m:t>
        </m:r>
        <m:r>
          <m:rPr>
            <m:sty m:val="p"/>
          </m:rPr>
          <m:t>|</m:t>
        </m:r>
        <m:r>
          <m:rPr>
            <m:sty m:val="p"/>
          </m:rPr>
          <m:t>=</m:t>
        </m:r>
        <m:r>
          <m:t>2.600</m:t>
        </m:r>
        <m:r>
          <m:rPr>
            <m:sty m:val="p"/>
          </m:rPr>
          <m:t>&gt;</m:t>
        </m:r>
        <m:r>
          <m:t>1.211</m:t>
        </m:r>
      </m:oMath>
      <w:r>
        <w:t xml:space="preserve"> </w:t>
      </w:r>
      <w:r>
        <w:t xml:space="preserve">(Sí)</w:t>
      </w:r>
    </w:p>
    <w:p>
      <w:pPr>
        <w:pStyle w:val="Compact"/>
        <w:numPr>
          <w:ilvl w:val="0"/>
          <w:numId w:val="1012"/>
        </w:numPr>
      </w:pPr>
      <w:r>
        <w:t xml:space="preserve">DiCE vs. LIME:</w:t>
      </w:r>
      <w:r>
        <w:t xml:space="preserve"> </w:t>
      </w:r>
      <m:oMath>
        <m:r>
          <m:rPr>
            <m:sty m:val="p"/>
          </m:rPr>
          <m:t>|</m:t>
        </m:r>
        <m:r>
          <m:t>2.000</m:t>
        </m:r>
        <m:r>
          <m:rPr>
            <m:sty m:val="p"/>
          </m:rPr>
          <m:t>−</m:t>
        </m:r>
        <m:r>
          <m:t>3.400</m:t>
        </m:r>
        <m:r>
          <m:rPr>
            <m:sty m:val="p"/>
          </m:rPr>
          <m:t>|</m:t>
        </m:r>
        <m:r>
          <m:rPr>
            <m:sty m:val="p"/>
          </m:rPr>
          <m:t>=</m:t>
        </m:r>
        <m:r>
          <m:t>1.400</m:t>
        </m:r>
        <m:r>
          <m:rPr>
            <m:sty m:val="p"/>
          </m:rPr>
          <m:t>&gt;</m:t>
        </m:r>
        <m:r>
          <m:t>1.211</m:t>
        </m:r>
      </m:oMath>
      <w:r>
        <w:t xml:space="preserve"> </w:t>
      </w:r>
      <w:r>
        <w:t xml:space="preserve">(Sí)</w:t>
      </w:r>
    </w:p>
    <w:p>
      <w:pPr>
        <w:pStyle w:val="Compact"/>
        <w:numPr>
          <w:ilvl w:val="0"/>
          <w:numId w:val="1012"/>
        </w:numPr>
      </w:pPr>
      <w:r>
        <w:t xml:space="preserve">DiCE vs. Anchors:</w:t>
      </w:r>
      <w:r>
        <w:t xml:space="preserve"> </w:t>
      </w:r>
      <m:oMath>
        <m:r>
          <m:rPr>
            <m:sty m:val="p"/>
          </m:rPr>
          <m:t>|</m:t>
        </m:r>
        <m:r>
          <m:t>2.000</m:t>
        </m:r>
        <m:r>
          <m:rPr>
            <m:sty m:val="p"/>
          </m:rPr>
          <m:t>−</m:t>
        </m:r>
        <m:r>
          <m:t>3.600</m:t>
        </m:r>
        <m:r>
          <m:rPr>
            <m:sty m:val="p"/>
          </m:rPr>
          <m:t>|</m:t>
        </m:r>
        <m:r>
          <m:rPr>
            <m:sty m:val="p"/>
          </m:rPr>
          <m:t>=</m:t>
        </m:r>
        <m:r>
          <m:t>1.600</m:t>
        </m:r>
        <m:r>
          <m:rPr>
            <m:sty m:val="p"/>
          </m:rPr>
          <m:t>&gt;</m:t>
        </m:r>
        <m:r>
          <m:t>1.211</m:t>
        </m:r>
      </m:oMath>
      <w:r>
        <w:t xml:space="preserve"> </w:t>
      </w:r>
      <w:r>
        <w:t xml:space="preserve">(Sí)</w:t>
      </w:r>
    </w:p>
    <w:p>
      <w:pPr>
        <w:pStyle w:val="Compact"/>
        <w:numPr>
          <w:ilvl w:val="0"/>
          <w:numId w:val="1012"/>
        </w:numPr>
      </w:pPr>
      <w:r>
        <w:t xml:space="preserve">LIME vs. Anchors:</w:t>
      </w:r>
      <w:r>
        <w:t xml:space="preserve"> </w:t>
      </w:r>
      <m:oMath>
        <m:r>
          <m:rPr>
            <m:sty m:val="p"/>
          </m:rPr>
          <m:t>|</m:t>
        </m:r>
        <m:r>
          <m:t>3.400</m:t>
        </m:r>
        <m:r>
          <m:rPr>
            <m:sty m:val="p"/>
          </m:rPr>
          <m:t>−</m:t>
        </m:r>
        <m:r>
          <m:t>3.600</m:t>
        </m:r>
        <m:r>
          <m:rPr>
            <m:sty m:val="p"/>
          </m:rPr>
          <m:t>|</m:t>
        </m:r>
        <m:r>
          <m:rPr>
            <m:sty m:val="p"/>
          </m:rPr>
          <m:t>=</m:t>
        </m:r>
        <m:r>
          <m:t>0.200</m:t>
        </m:r>
        <m:r>
          <m:rPr>
            <m:sty m:val="p"/>
          </m:rPr>
          <m:t>&lt;</m:t>
        </m:r>
        <m:r>
          <m:t>1.211</m:t>
        </m:r>
      </m:oMath>
      <w:r>
        <w:t xml:space="preserve"> </w:t>
      </w:r>
      <w:r>
        <w:t xml:space="preserve">(No)</w:t>
      </w:r>
    </w:p>
    <w:p>
      <w:pPr>
        <w:pStyle w:val="Compact"/>
        <w:numPr>
          <w:ilvl w:val="0"/>
          <w:numId w:val="1012"/>
        </w:numPr>
      </w:pPr>
      <w:r>
        <w:t xml:space="preserve">SHAP vs. DiCE:</w:t>
      </w:r>
      <w:r>
        <w:t xml:space="preserve"> </w:t>
      </w:r>
      <m:oMath>
        <m:r>
          <m:rPr>
            <m:sty m:val="p"/>
          </m:rPr>
          <m:t>|</m:t>
        </m:r>
        <m:r>
          <m:t>1.000</m:t>
        </m:r>
        <m:r>
          <m:rPr>
            <m:sty m:val="p"/>
          </m:rPr>
          <m:t>−</m:t>
        </m:r>
        <m:r>
          <m:t>2.000</m:t>
        </m:r>
        <m:r>
          <m:rPr>
            <m:sty m:val="p"/>
          </m:rPr>
          <m:t>|</m:t>
        </m:r>
        <m:r>
          <m:rPr>
            <m:sty m:val="p"/>
          </m:rPr>
          <m:t>=</m:t>
        </m:r>
        <m:r>
          <m:t>1.000</m:t>
        </m:r>
        <m:r>
          <m:rPr>
            <m:sty m:val="p"/>
          </m:rPr>
          <m:t>&lt;</m:t>
        </m:r>
        <m:r>
          <m:t>1.211</m:t>
        </m:r>
      </m:oMath>
      <w:r>
        <w:t xml:space="preserve"> </w:t>
      </w:r>
      <w:r>
        <w:t xml:space="preserve">(No)</w:t>
      </w:r>
    </w:p>
    <w:p>
      <w:pPr>
        <w:pStyle w:val="FirstParagrap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es clara: en despliegues que requieren consistencia</w:t>
      </w:r>
      <w:r>
        <w:t xml:space="preserve"> </w:t>
      </w:r>
      <w:r>
        <w:t xml:space="preserve">explicativa ante pequeñas variaciones de entrada, SHAP es el método robusto y</w:t>
      </w:r>
      <w:r>
        <w:t xml:space="preserve"> </w:t>
      </w:r>
      <w:r>
        <w:t xml:space="preserve">DiCE ofrece estabilidad intermedia; LIME y Anchors deben descartarse por este</w:t>
      </w:r>
      <w:r>
        <w:t xml:space="preserve"> </w:t>
      </w:r>
      <w:r>
        <w:t xml:space="preserve">criterio.</w:t>
      </w:r>
    </w:p>
    <w:bookmarkEnd w:id="99"/>
    <w:bookmarkEnd w:id="100"/>
    <w:bookmarkStart w:id="104" w:name="sec-estudio-b"/>
    <w:p>
      <w:pPr>
        <w:pStyle w:val="Ttulo2"/>
      </w:pPr>
      <w:r>
        <w:t xml:space="preserve">Estudio B: Análisis pareado SHAP-LIME y trade-off calidad-coste (H3)</w:t>
      </w:r>
    </w:p>
    <w:p>
      <w:pPr>
        <w:pStyle w:val="FirstParagraph"/>
      </w:pPr>
      <w:r>
        <w:t xml:space="preserve">El análisis pareado opera sobre las 75 celdas</w:t>
      </w:r>
      <w:r>
        <w:t xml:space="preserve"> </w:t>
      </w:r>
      <m:oMath>
        <m:r>
          <m:rPr>
            <m:sty m:val="p"/>
          </m:rPr>
          <m:t>(</m:t>
        </m:r>
        <m:r>
          <m:t>g</m:t>
        </m:r>
        <m:r>
          <m:rPr>
            <m:sty m:val="p"/>
          </m:rPr>
          <m:t>,</m:t>
        </m:r>
        <m:r>
          <m:t>s</m:t>
        </m:r>
        <m:r>
          <m:rPr>
            <m:sty m:val="p"/>
          </m:rPr>
          <m:t>,</m:t>
        </m:r>
        <m:r>
          <m:t>n</m:t>
        </m:r>
        <m:r>
          <m:rPr>
            <m:sty m:val="p"/>
          </m:rPr>
          <m:t>)</m:t>
        </m:r>
      </m: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2" w:name="diferencias-en-métricas-de-calidad"/>
    <w:p>
      <w:pPr>
        <w:pStyle w:val="Ttulo3"/>
      </w:pPr>
      <w:r>
        <w:t xml:space="preserve">Diferencias en métricas de calidad</w:t>
      </w:r>
    </w:p>
    <w:p>
      <w:pPr>
        <w:pStyle w:val="FirstParagraph"/>
      </w:pPr>
      <w:r>
        <w:t xml:space="preserve">Para cada métrica se calcula la diferencia pareada</w:t>
      </w:r>
      <w:r>
        <w:t xml:space="preserve"> </w:t>
      </w:r>
      <m:oMath>
        <m:sSub>
          <m:e>
            <m:r>
              <m:t>d</m:t>
            </m:r>
          </m:e>
          <m:sub>
            <m:r>
              <m:t>i</m:t>
            </m:r>
          </m:sub>
        </m:sSub>
        <m:r>
          <m:rPr>
            <m:sty m:val="p"/>
          </m:rPr>
          <m:t>=</m:t>
        </m:r>
        <m:sSubSup>
          <m:e>
            <m:r>
              <m:t>x</m:t>
            </m:r>
          </m:e>
          <m:sub>
            <m:r>
              <m:t>i</m:t>
            </m:r>
          </m:sub>
          <m:sup>
            <m:r>
              <m:t>S</m:t>
            </m:r>
            <m:r>
              <m:t>H</m:t>
            </m:r>
            <m:r>
              <m:t>A</m:t>
            </m:r>
            <m:r>
              <m:t>P</m:t>
            </m:r>
          </m:sup>
        </m:sSubSup>
        <m:r>
          <m:rPr>
            <m:sty m:val="p"/>
          </m:rPr>
          <m:t>−</m:t>
        </m:r>
        <m:sSubSup>
          <m:e>
            <m:r>
              <m:t>x</m:t>
            </m:r>
          </m:e>
          <m:sub>
            <m:r>
              <m:t>i</m:t>
            </m:r>
          </m:sub>
          <m:sup>
            <m:r>
              <m:t>L</m:t>
            </m:r>
            <m:r>
              <m:t>I</m:t>
            </m:r>
            <m:r>
              <m:t>M</m:t>
            </m:r>
            <m:r>
              <m:t>E</m:t>
            </m:r>
          </m:sup>
        </m:sSubSup>
      </m:oMath>
      <w:r>
        <w:t xml:space="preserve">,</w:t>
      </w:r>
      <w:r>
        <w:t xml:space="preserve"> </w:t>
      </w:r>
      <w:r>
        <w:t xml:space="preserve">donde un valor positivo indica ventaja de SHAP. El estadístico de efecto de</w:t>
      </w:r>
      <w:r>
        <w:t xml:space="preserve"> </w:t>
      </w:r>
      <w:r>
        <w:t xml:space="preserve">Cohen es</w:t>
      </w:r>
      <w:r>
        <w:t xml:space="preserve"> </w:t>
      </w:r>
      <m:oMath>
        <m:sSub>
          <m:e>
            <m:r>
              <m:t>d</m:t>
            </m:r>
          </m:e>
          <m:sub>
            <m:r>
              <m:t>z</m:t>
            </m:r>
          </m:sub>
        </m:sSub>
        <m:r>
          <m:rPr>
            <m:sty m:val="p"/>
          </m:rPr>
          <m:t>=</m:t>
        </m:r>
        <m:acc>
          <m:accPr>
            <m:chr m:val="‾"/>
          </m:accPr>
          <m:e>
            <m:r>
              <m:t>d</m:t>
            </m:r>
          </m:e>
        </m:acc>
        <m:r>
          <m:rPr>
            <m:sty m:val="p"/>
          </m:rPr>
          <m:t>/</m:t>
        </m:r>
        <m:sSub>
          <m:e>
            <m:r>
              <m:t>s</m:t>
            </m:r>
          </m:e>
          <m:sub>
            <m:r>
              <m:t>d</m:t>
            </m:r>
          </m:sub>
        </m:sSub>
      </m:oMath>
      <w:r>
        <w:t xml:space="preserve">, donde</w:t>
      </w:r>
      <w:r>
        <w:t xml:space="preserve"> </w:t>
      </w:r>
      <m:oMath>
        <m:sSub>
          <m:e>
            <m:r>
              <m:t>s</m:t>
            </m:r>
          </m:e>
          <m:sub>
            <m:r>
              <m:t>d</m:t>
            </m:r>
          </m:sub>
        </m:sSub>
      </m: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1" w:name="tbl-paired-shap-lime"/>
          <w:p>
            <w:pPr>
              <w:jc w:val="center"/>
            </w:pPr>
            <w:pPr>
              <w:jc w:val="left"/>
              <w:spacing w:before="200"/>
              <w:pStyle w:val="ImageCaption"/>
            </w:pPr>
            <w:r>
              <w:t xml:space="preserve">Table 5.4: Diferencias pareadas SHAP − LIME (</w:t>
            </w:r>
            <m:oMath>
              <m:r>
                <m:t>n</m:t>
              </m:r>
              <m:r>
                <m:rPr>
                  <m:sty m:val="p"/>
                </m:rPr>
                <m:t>=</m:t>
              </m:r>
              <m:r>
                <m:t>75</m:t>
              </m:r>
            </m:oMath>
            <w:r>
              <w:t xml:space="preserve"> </w:t>
            </w:r>
            <w:r>
              <w:t xml:space="preserve">celdas). Se reporta</w:t>
            </w:r>
            <w:r>
              <w:t xml:space="preserve"> </w:t>
            </w:r>
            <m:oMath>
              <m:sSub>
                <m:e>
                  <m:r>
                    <m:t>d</m:t>
                  </m:r>
                </m:e>
                <m:sub>
                  <m:r>
                    <m:t>i</m:t>
                  </m:r>
                </m:sub>
              </m:sSub>
              <m:r>
                <m:rPr>
                  <m:sty m:val="p"/>
                </m:rPr>
                <m:t>=</m:t>
              </m:r>
              <m:r>
                <m:rPr>
                  <m:nor/>
                  <m:sty m:val="p"/>
                </m:rPr>
                <m:t>SHAP</m:t>
              </m:r>
              <m:r>
                <m:rPr>
                  <m:sty m:val="p"/>
                </m:rPr>
                <m:t>−</m:t>
              </m:r>
              <m:r>
                <m:rPr>
                  <m:nor/>
                  <m:sty m:val="p"/>
                </m:rPr>
                <m:t>LIME</m:t>
              </m:r>
            </m:oMath>
            <w:r>
              <w:t xml:space="preserve">; para fidelidad/estabilidad/brecha,</w:t>
            </w:r>
            <w:r>
              <w:t xml:space="preserve"> </w:t>
            </w:r>
            <m:oMath>
              <m:r>
                <m:t>d</m:t>
              </m:r>
              <m:r>
                <m:rPr>
                  <m:sty m:val="p"/>
                </m:rPr>
                <m:t>&gt;</m:t>
              </m:r>
              <m:r>
                <m:t>0</m:t>
              </m:r>
            </m:oMath>
            <w:r>
              <w:t xml:space="preserve"> </w:t>
            </w:r>
            <w:r>
              <w:t xml:space="preserve">favorece SHAP; para parsimonia y coste,</w:t>
            </w:r>
            <w:r>
              <w:t xml:space="preserve"> </w:t>
            </w:r>
            <m:oMath>
              <m:r>
                <m:t>d</m:t>
              </m:r>
              <m:r>
                <m:rPr>
                  <m:sty m:val="p"/>
                </m:rPr>
                <m:t>&gt;</m:t>
              </m:r>
              <m:r>
                <m:t>0</m:t>
              </m:r>
            </m: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Métrica</w:t>
                  </w:r>
                </w:p>
              </w:tc>
              <w:tc>
                <w:tcPr/>
                <w:p>
                  <w:pPr>
                    <w:pStyle w:val="Compact"/>
                    <w:jc w:val="center"/>
                  </w:pPr>
                  <m:oMath>
                    <m:acc>
                      <m:accPr>
                        <m:chr m:val="‾"/>
                      </m:accPr>
                      <m:e>
                        <m:r>
                          <m:t>d</m:t>
                        </m:r>
                      </m:e>
                    </m:acc>
                  </m:oMath>
                </w:p>
              </w:tc>
              <w:tc>
                <w:tcPr/>
                <w:p>
                  <w:pPr>
                    <w:pStyle w:val="Compact"/>
                    <w:jc w:val="center"/>
                  </w:pPr>
                  <m:oMath>
                    <m:sSub>
                      <m:e>
                        <m:r>
                          <m:t>s</m:t>
                        </m:r>
                      </m:e>
                      <m:sub>
                        <m:r>
                          <m:t>d</m:t>
                        </m:r>
                      </m:sub>
                    </m:sSub>
                  </m:oMath>
                </w:p>
              </w:tc>
              <w:tc>
                <w:tcPr/>
                <w:p>
                  <w:pPr>
                    <w:pStyle w:val="Compact"/>
                    <w:jc w:val="center"/>
                  </w:pPr>
                  <m:oMath>
                    <m:sSub>
                      <m:e>
                        <m:r>
                          <m:t>d</m:t>
                        </m:r>
                      </m:e>
                      <m:sub>
                        <m:r>
                          <m:t>z</m:t>
                        </m:r>
                      </m:sub>
                    </m:sSub>
                  </m:oMath>
                </w:p>
              </w:tc>
              <w:tc>
                <w:tcPr/>
                <w:p>
                  <w:pPr>
                    <w:pStyle w:val="Compact"/>
                    <w:jc w:val="center"/>
                  </w:pPr>
                  <w:r>
                    <w:t xml:space="preserve">Pos.</w:t>
                  </w:r>
                </w:p>
              </w:tc>
              <w:tc>
                <w:tcPr/>
                <w:p>
                  <w:pPr>
                    <w:pStyle w:val="Compact"/>
                    <w:jc w:val="center"/>
                  </w:pPr>
                  <w:r>
                    <w:t xml:space="preserve">Neg.</w:t>
                  </w:r>
                </w:p>
              </w:tc>
              <w:tc>
                <w:tcPr/>
                <w:p>
                  <w:pPr>
                    <w:pStyle w:val="Compact"/>
                    <w:jc w:val="center"/>
                  </w:pPr>
                  <m:oMath>
                    <m:r>
                      <m:t>n</m:t>
                    </m:r>
                  </m:oMath>
                </w:p>
              </w:tc>
            </w:tr>
            <w:tr>
              <w:tc>
                <w:tcPr/>
                <w:p>
                  <w:pPr>
                    <w:pStyle w:val="Compact"/>
                    <w:jc w:val="center"/>
                  </w:pPr>
                  <w:r>
                    <w:t xml:space="preserve">Fidelidad</w:t>
                  </w:r>
                </w:p>
              </w:tc>
              <w:tc>
                <w:tcPr/>
                <w:p>
                  <w:pPr>
                    <w:pStyle w:val="Compact"/>
                    <w:jc w:val="center"/>
                  </w:pPr>
                  <w:r>
                    <w:t xml:space="preserve">+0.2479</w:t>
                  </w:r>
                </w:p>
              </w:tc>
              <w:tc>
                <w:tcPr/>
                <w:p>
                  <w:pPr>
                    <w:pStyle w:val="Compact"/>
                    <w:jc w:val="center"/>
                  </w:pPr>
                  <w:r>
                    <w:t xml:space="preserve">0.0514</w:t>
                  </w:r>
                </w:p>
              </w:tc>
              <w:tc>
                <w:tcPr/>
                <w:p>
                  <w:pPr>
                    <w:pStyle w:val="Compact"/>
                    <w:jc w:val="center"/>
                  </w:pPr>
                  <w:r>
                    <w:t xml:space="preserve">+4.820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Estabilidad</w:t>
                  </w:r>
                </w:p>
              </w:tc>
              <w:tc>
                <w:tcPr/>
                <w:p>
                  <w:pPr>
                    <w:pStyle w:val="Compact"/>
                    <w:jc w:val="center"/>
                  </w:pPr>
                  <w:r>
                    <w:t xml:space="preserve">+0.7176</w:t>
                  </w:r>
                </w:p>
              </w:tc>
              <w:tc>
                <w:tcPr/>
                <w:p>
                  <w:pPr>
                    <w:pStyle w:val="Compact"/>
                    <w:jc w:val="center"/>
                  </w:pPr>
                  <w:r>
                    <w:t xml:space="preserve">0.2390</w:t>
                  </w:r>
                </w:p>
              </w:tc>
              <w:tc>
                <w:tcPr/>
                <w:p>
                  <w:pPr>
                    <w:pStyle w:val="Compact"/>
                    <w:jc w:val="center"/>
                  </w:pPr>
                  <w:r>
                    <w:t xml:space="preserve">+3.002</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Parsimonia</w:t>
                  </w:r>
                </w:p>
              </w:tc>
              <w:tc>
                <w:tcPr/>
                <w:p>
                  <w:pPr>
                    <w:pStyle w:val="Compact"/>
                    <w:jc w:val="center"/>
                  </w:pPr>
                  <w:r>
                    <w:t xml:space="preserve">+0.1418</w:t>
                  </w:r>
                </w:p>
              </w:tc>
              <w:tc>
                <w:tcPr/>
                <w:p>
                  <w:pPr>
                    <w:pStyle w:val="Compact"/>
                    <w:jc w:val="center"/>
                  </w:pPr>
                  <w:r>
                    <w:t xml:space="preserve">0.1690</w:t>
                  </w:r>
                </w:p>
              </w:tc>
              <w:tc>
                <w:tcPr/>
                <w:p>
                  <w:pPr>
                    <w:pStyle w:val="Compact"/>
                    <w:jc w:val="center"/>
                  </w:pPr>
                  <w:r>
                    <w:t xml:space="preserve">+0.839</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Brecha fidelidad</w:t>
                  </w:r>
                </w:p>
              </w:tc>
              <w:tc>
                <w:tcPr/>
                <w:p>
                  <w:pPr>
                    <w:pStyle w:val="Compact"/>
                    <w:jc w:val="center"/>
                  </w:pPr>
                  <w:r>
                    <w:t xml:space="preserve">+0.0453</w:t>
                  </w:r>
                </w:p>
              </w:tc>
              <w:tc>
                <w:tcPr/>
                <w:p>
                  <w:pPr>
                    <w:pStyle w:val="Compact"/>
                    <w:jc w:val="center"/>
                  </w:pPr>
                  <w:r>
                    <w:t xml:space="preserve">0.0173</w:t>
                  </w:r>
                </w:p>
              </w:tc>
              <w:tc>
                <w:tcPr/>
                <w:p>
                  <w:pPr>
                    <w:pStyle w:val="Compact"/>
                    <w:jc w:val="center"/>
                  </w:pPr>
                  <w:r>
                    <w:t xml:space="preserve">+2.626</w:t>
                  </w:r>
                </w:p>
              </w:tc>
              <w:tc>
                <w:tcPr/>
                <w:p>
                  <w:pPr>
                    <w:pStyle w:val="Compact"/>
                    <w:jc w:val="center"/>
                  </w:pPr>
                  <w:r>
                    <w:t xml:space="preserve">74</w:t>
                  </w:r>
                </w:p>
              </w:tc>
              <w:tc>
                <w:tcPr/>
                <w:p>
                  <w:pPr>
                    <w:pStyle w:val="Compact"/>
                    <w:jc w:val="center"/>
                  </w:pPr>
                  <w:r>
                    <w:t xml:space="preserve">1</w:t>
                  </w:r>
                </w:p>
              </w:tc>
              <w:tc>
                <w:tcPr/>
                <w:p>
                  <w:pPr>
                    <w:pStyle w:val="Compact"/>
                    <w:jc w:val="center"/>
                  </w:pPr>
                  <w:r>
                    <w:t xml:space="preserve">75</w:t>
                  </w:r>
                </w:p>
              </w:tc>
            </w:tr>
            <w:tr>
              <w:tc>
                <w:tcPr/>
                <w:p>
                  <w:pPr>
                    <w:pStyle w:val="Compact"/>
                    <w:jc w:val="center"/>
                  </w:pPr>
                  <w:r>
                    <w:t xml:space="preserve">Coste (ms)</w:t>
                  </w:r>
                </w:p>
              </w:tc>
              <w:tc>
                <w:tcPr/>
                <w:p>
                  <w:pPr>
                    <w:pStyle w:val="Compact"/>
                    <w:jc w:val="center"/>
                  </w:pPr>
                  <w:r>
                    <w:t xml:space="preserve">+8047.6</w:t>
                  </w:r>
                </w:p>
              </w:tc>
              <w:tc>
                <w:tcPr/>
                <w:p>
                  <w:pPr>
                    <w:pStyle w:val="Compact"/>
                    <w:jc w:val="center"/>
                  </w:pPr>
                  <w:r>
                    <w:t xml:space="preserve">17856.6</w:t>
                  </w:r>
                </w:p>
              </w:tc>
              <w:tc>
                <w:tcPr/>
                <w:p>
                  <w:pPr>
                    <w:pStyle w:val="Compact"/>
                    <w:jc w:val="center"/>
                  </w:pPr>
                  <w:r>
                    <w:t xml:space="preserve">+0.451</w:t>
                  </w:r>
                </w:p>
              </w:tc>
              <w:tc>
                <w:tcPr/>
                <w:p>
                  <w:pPr>
                    <w:pStyle w:val="Compact"/>
                    <w:jc w:val="center"/>
                  </w:pPr>
                  <w:r>
                    <w:t xml:space="preserve">59</w:t>
                  </w:r>
                </w:p>
              </w:tc>
              <w:tc>
                <w:tcPr/>
                <w:p>
                  <w:pPr>
                    <w:pStyle w:val="Compact"/>
                    <w:jc w:val="center"/>
                  </w:pPr>
                  <w:r>
                    <w:t xml:space="preserve">16</w:t>
                  </w:r>
                </w:p>
              </w:tc>
              <w:tc>
                <w:tcPr/>
                <w:p>
                  <w:pPr>
                    <w:pStyle w:val="Compact"/>
                    <w:jc w:val="center"/>
                  </w:pPr>
                  <w:r>
                    <w:t xml:space="preserve">75</w:t>
                  </w:r>
                </w:p>
              </w:tc>
            </w:tr>
          </w:tbl>
          <w:bookmarkEnd w:id="101"/>
          <w:p/>
        </w:tc>
      </w:tr>
    </w:tbl>
    <w:p>
      <w:pPr>
        <w:pStyle w:val="Textoindependiente"/>
      </w:pPr>
      <w:r>
        <w:t xml:space="preserve">Los resultados confirman</w:t>
      </w:r>
      <w:r>
        <w:t xml:space="preserve"> </w:t>
      </w:r>
      <m:oMath>
        <m:sSub>
          <m:e>
            <m:r>
              <m:t>H</m:t>
            </m:r>
          </m:e>
          <m:sub>
            <m:r>
              <m:t>1</m:t>
            </m:r>
            <m:r>
              <m:rPr>
                <m:sty m:val="p"/>
              </m:rPr>
              <m:t>,</m:t>
            </m:r>
            <m:r>
              <m:t>3</m:t>
            </m:r>
          </m:sub>
        </m:sSub>
      </m:oMath>
      <w:r>
        <w:t xml:space="preserve"> </w:t>
      </w:r>
      <w:r>
        <w:t xml:space="preserve">de forma inequívoca:</w:t>
      </w:r>
    </w:p>
    <w:p>
      <w:pPr>
        <w:pStyle w:val="Textoindependiente"/>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m:oMath>
        <m:sSub>
          <m:e>
            <m:r>
              <m:t>d</m:t>
            </m:r>
          </m:e>
          <m:sub>
            <m:r>
              <m:t>z</m:t>
            </m:r>
          </m:sub>
        </m:sSub>
        <m:r>
          <m:rPr>
            <m:sty m:val="p"/>
          </m:rPr>
          <m:t>=</m:t>
        </m:r>
        <m:r>
          <m:rPr>
            <m:sty m:val="p"/>
          </m:rPr>
          <m:t>+</m:t>
        </m:r>
        <m:r>
          <m:t>4.820</m:t>
        </m:r>
      </m:oMath>
      <w:r>
        <w:t xml:space="preserve">). Bajo el criterio de Lakens</w:t>
      </w:r>
      <w:r>
        <w:t xml:space="preserve"> </w:t>
      </w:r>
      <w:r>
        <w:t xml:space="preserve">(2013)</w:t>
      </w:r>
      <w:r>
        <w:t xml:space="preserve">,</w:t>
      </w:r>
      <w:r>
        <w:t xml:space="preserve"> </w:t>
      </w:r>
      <m:oMath>
        <m:sSub>
          <m:e>
            <m:r>
              <m:t>d</m:t>
            </m:r>
          </m:e>
          <m:sub>
            <m:r>
              <m:t>z</m:t>
            </m:r>
          </m:sub>
        </m:sSub>
        <m:r>
          <m:rPr>
            <m:sty m:val="p"/>
          </m:rPr>
          <m:t>&gt;</m:t>
        </m:r>
        <m:r>
          <m:t>0.8</m:t>
        </m:r>
      </m:oMath>
      <w:r>
        <w:t xml:space="preserve"> </w:t>
      </w:r>
      <w:r>
        <w:t xml:space="preserve">constituye efecto grande;</w:t>
      </w:r>
      <w:r>
        <w:t xml:space="preserve"> </w:t>
      </w:r>
      <m:oMath>
        <m:sSub>
          <m:e>
            <m:r>
              <m:t>d</m:t>
            </m:r>
          </m:e>
          <m:sub>
            <m:r>
              <m:t>z</m:t>
            </m:r>
          </m:sub>
        </m:sSub>
        <m:r>
          <m:rPr>
            <m:sty m:val="p"/>
          </m:rPr>
          <m:t>&gt;</m:t>
        </m:r>
        <m:r>
          <m:t>2.0</m:t>
        </m:r>
      </m: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pPr>
      <w:r>
        <w:rPr>
          <w:b/>
          <w:bCs/>
        </w:rPr>
        <w:t xml:space="preserve">Estabilidad:</w:t>
      </w:r>
      <w:r>
        <w:t xml:space="preserve"> </w:t>
      </w:r>
      <w:r>
        <w:t xml:space="preserve">La ventaja de SHAP es aún más pronunciada en estabilidad</w:t>
      </w:r>
      <w:r>
        <w:t xml:space="preserve"> </w:t>
      </w:r>
      <w:r>
        <w:t xml:space="preserve">(</w:t>
      </w:r>
      <m:oMath>
        <m:sSub>
          <m:e>
            <m:r>
              <m:t>d</m:t>
            </m:r>
          </m:e>
          <m:sub>
            <m:r>
              <m:t>z</m:t>
            </m:r>
          </m:sub>
        </m:sSub>
        <m:r>
          <m:rPr>
            <m:sty m:val="p"/>
          </m:rPr>
          <m:t>=</m:t>
        </m:r>
        <m:r>
          <m:rPr>
            <m:sty m:val="p"/>
          </m:rPr>
          <m:t>+</m:t>
        </m:r>
        <m:r>
          <m:t>3.002</m:t>
        </m:r>
      </m: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m:oMath>
        <m:sSub>
          <m:e>
            <m:r>
              <m:t>d</m:t>
            </m:r>
          </m:e>
          <m:sub>
            <m:r>
              <m:t>z</m:t>
            </m:r>
          </m:sub>
        </m:sSub>
        <m:r>
          <m:rPr>
            <m:sty m:val="p"/>
          </m:rPr>
          <m:t>=</m:t>
        </m:r>
        <m:r>
          <m:rPr>
            <m:sty m:val="p"/>
          </m:rPr>
          <m:t>+</m:t>
        </m:r>
        <m:r>
          <m:t>0.839</m:t>
        </m:r>
      </m: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m:oMath>
        <m:sSub>
          <m:e>
            <m:r>
              <m:t>d</m:t>
            </m:r>
          </m:e>
          <m:sub>
            <m:r>
              <m:t>z</m:t>
            </m:r>
          </m:sub>
        </m:sSub>
        <m:r>
          <m:rPr>
            <m:sty m:val="p"/>
          </m:rPr>
          <m:t>=</m:t>
        </m:r>
        <m:r>
          <m:rPr>
            <m:sty m:val="p"/>
          </m:rPr>
          <m:t>+</m:t>
        </m:r>
        <m:r>
          <m:t>2.626</m:t>
        </m:r>
      </m: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m:oMath>
        <m:sSub>
          <m:e>
            <m:r>
              <m:t>s</m:t>
            </m:r>
          </m:e>
          <m:sub>
            <m:r>
              <m:t>d</m:t>
            </m:r>
          </m:sub>
        </m:sSub>
        <m:r>
          <m:rPr>
            <m:sty m:val="p"/>
          </m:rPr>
          <m:t>=</m:t>
        </m:r>
        <m:r>
          <m:t>17</m:t>
        </m:r>
        <m:r>
          <m:rPr>
            <m:sty m:val="p"/>
          </m:rPr>
          <m:t>,</m:t>
        </m:r>
        <m:r>
          <m:t>857</m:t>
        </m:r>
      </m: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m:oMath>
        <m:sSub>
          <m:e>
            <m:r>
              <m:t>d</m:t>
            </m:r>
          </m:e>
          <m:sub>
            <m:r>
              <m:t>z</m:t>
            </m:r>
          </m:sub>
        </m:sSub>
        <m:r>
          <m:rPr>
            <m:sty m:val="p"/>
          </m:rPr>
          <m:t>=</m:t>
        </m:r>
        <m:r>
          <m:rPr>
            <m:sty m:val="p"/>
          </m:rPr>
          <m:t>+</m:t>
        </m:r>
        <m:r>
          <m:t>0.451</m:t>
        </m:r>
      </m: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2"/>
    <w:bookmarkStart w:id="103" w:name="X2c15e0a178907c68bf437d0d85cae845d1c590b"/>
    <w:p>
      <w:pPr>
        <w:pStyle w:val="Ttulo3"/>
      </w:pPr>
      <w:r>
        <w:t xml:space="preserve">Verificación del requisito de multiplicidad</w:t>
      </w:r>
    </w:p>
    <w:p>
      <w:pPr>
        <w:pStyle w:val="FirstParagrap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m:oMath>
        <m:r>
          <m:t>α</m:t>
        </m:r>
        <m:r>
          <m:rPr>
            <m:sty m:val="p"/>
          </m:rPr>
          <m:t>/</m:t>
        </m:r>
        <m:r>
          <m:rPr>
            <m:sty m:val="p"/>
          </m:rPr>
          <m:t>(</m:t>
        </m:r>
        <m:r>
          <m:t>5</m:t>
        </m:r>
        <m:r>
          <m:rPr>
            <m:sty m:val="p"/>
          </m:rPr>
          <m:t>)</m:t>
        </m:r>
        <m:r>
          <m:rPr>
            <m:sty m:val="p"/>
          </m:rPr>
          <m:t>=</m:t>
        </m:r>
        <m:r>
          <m:t>0.01</m:t>
        </m:r>
      </m:oMath>
      <w:r>
        <w:t xml:space="preserve">,</w:t>
      </w:r>
      <w:r>
        <w:t xml:space="preserve"> </w:t>
      </w:r>
      <m:oMath>
        <m:r>
          <m:t>α</m:t>
        </m:r>
        <m:r>
          <m:rPr>
            <m:sty m:val="p"/>
          </m:rPr>
          <m:t>/</m:t>
        </m:r>
        <m:r>
          <m:rPr>
            <m:sty m:val="p"/>
          </m:rPr>
          <m:t>(</m:t>
        </m:r>
        <m:r>
          <m:t>4</m:t>
        </m:r>
        <m:r>
          <m:rPr>
            <m:sty m:val="p"/>
          </m:rPr>
          <m:t>)</m:t>
        </m:r>
        <m:r>
          <m:rPr>
            <m:sty m:val="p"/>
          </m:rPr>
          <m:t>=</m:t>
        </m:r>
        <m:r>
          <m:t>0.0125</m:t>
        </m:r>
      </m:oMath>
      <w:r>
        <w:t xml:space="preserve">,</w:t>
      </w:r>
      <w:r>
        <w:t xml:space="preserve"> </w:t>
      </w:r>
      <m:oMath>
        <m:r>
          <m:t>α</m:t>
        </m:r>
        <m:r>
          <m:rPr>
            <m:sty m:val="p"/>
          </m:rPr>
          <m:t>/</m:t>
        </m:r>
        <m:r>
          <m:rPr>
            <m:sty m:val="p"/>
          </m:rPr>
          <m:t>(</m:t>
        </m:r>
        <m:r>
          <m:t>3</m:t>
        </m:r>
        <m:r>
          <m:rPr>
            <m:sty m:val="p"/>
          </m:rPr>
          <m:t>)</m:t>
        </m:r>
        <m:r>
          <m:rPr>
            <m:sty m:val="p"/>
          </m:rPr>
          <m:t>=</m:t>
        </m:r>
        <m:r>
          <m:t>0.0167</m:t>
        </m:r>
      </m:oMath>
      <w:r>
        <w:t xml:space="preserve">,</w:t>
      </w:r>
      <w:r>
        <w:t xml:space="preserve"> </w:t>
      </w:r>
      <m:oMath>
        <m:r>
          <m:t>α</m:t>
        </m:r>
        <m:r>
          <m:rPr>
            <m:sty m:val="p"/>
          </m:rPr>
          <m:t>/</m:t>
        </m:r>
        <m:r>
          <m:rPr>
            <m:sty m:val="p"/>
          </m:rPr>
          <m:t>(</m:t>
        </m:r>
        <m:r>
          <m:t>2</m:t>
        </m:r>
        <m:r>
          <m:rPr>
            <m:sty m:val="p"/>
          </m:rPr>
          <m:t>)</m:t>
        </m:r>
        <m:r>
          <m:rPr>
            <m:sty m:val="p"/>
          </m:rPr>
          <m:t>=</m:t>
        </m:r>
        <m:r>
          <m:t>0.025</m:t>
        </m:r>
      </m:oMath>
      <w:r>
        <w:t xml:space="preserve">,</w:t>
      </w:r>
      <w:r>
        <w:t xml:space="preserve"> </w:t>
      </w:r>
      <m:oMath>
        <m:r>
          <m:t>α</m:t>
        </m:r>
        <m:r>
          <m:rPr>
            <m:sty m:val="p"/>
          </m:rPr>
          <m:t>/</m:t>
        </m:r>
        <m:r>
          <m:rPr>
            <m:sty m:val="p"/>
          </m:rPr>
          <m:t>(</m:t>
        </m:r>
        <m:r>
          <m:t>1</m:t>
        </m:r>
        <m:r>
          <m:rPr>
            <m:sty m:val="p"/>
          </m:rPr>
          <m:t>)</m:t>
        </m:r>
        <m:r>
          <m:rPr>
            <m:sty m:val="p"/>
          </m:rPr>
          <m:t>=</m:t>
        </m:r>
        <m:r>
          <m:t>0.05</m:t>
        </m:r>
      </m:oMath>
      <w:r>
        <w:t xml:space="preserve">. Dado que las diferencias en fidelidad y estabilidad presentan</w:t>
      </w:r>
      <w:r>
        <w:t xml:space="preserve"> </w:t>
      </w:r>
      <m:oMath>
        <m:sSub>
          <m:e>
            <m:r>
              <m:t>d</m:t>
            </m:r>
          </m:e>
          <m:sub>
            <m:r>
              <m:t>z</m:t>
            </m:r>
          </m:sub>
        </m:sSub>
        <m:r>
          <m:rPr>
            <m:sty m:val="p"/>
          </m:rPr>
          <m:t>&gt;</m:t>
        </m:r>
        <m:r>
          <m:t>2.6</m:t>
        </m:r>
      </m:oMath>
      <w:r>
        <w:t xml:space="preserve"> </w:t>
      </w:r>
      <w:r>
        <w:t xml:space="preserve">con</w:t>
      </w:r>
      <w:r>
        <w:t xml:space="preserve"> </w:t>
      </w:r>
      <m:oMath>
        <m:r>
          <m:t>n</m:t>
        </m:r>
        <m:r>
          <m:rPr>
            <m:sty m:val="p"/>
          </m:rPr>
          <m:t>=</m:t>
        </m:r>
        <m:r>
          <m:t>75</m:t>
        </m:r>
      </m: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m:oMath>
        <m:sSub>
          <m:e>
            <m:r>
              <m:t>p</m:t>
            </m:r>
          </m:e>
          <m:sub>
            <m:r>
              <m:rPr>
                <m:sty m:val="p"/>
              </m:rPr>
              <m:t>H</m:t>
            </m:r>
            <m:r>
              <m:rPr>
                <m:sty m:val="p"/>
              </m:rPr>
              <m:t>o</m:t>
            </m:r>
            <m:r>
              <m:rPr>
                <m:sty m:val="p"/>
              </m:rPr>
              <m:t>l</m:t>
            </m:r>
            <m:r>
              <m:rPr>
                <m:sty m:val="p"/>
              </m:rPr>
              <m:t>m</m:t>
            </m:r>
          </m:sub>
        </m:sSub>
      </m:oMath>
      <w:r>
        <w:t xml:space="preserve"> </w:t>
      </w:r>
      <w:r>
        <w:t xml:space="preserve">del</w:t>
      </w:r>
      <w:r>
        <w:t xml:space="preserve"> </w:t>
      </w:r>
      <w:r>
        <w:t xml:space="preserve">orden de</w:t>
      </w:r>
      <w:r>
        <w:t xml:space="preserve"> </w:t>
      </w:r>
      <m:oMath>
        <m:sSup>
          <m:e>
            <m:r>
              <m:t>10</m:t>
            </m:r>
          </m:e>
          <m:sup>
            <m:r>
              <m:rPr>
                <m:sty m:val="p"/>
              </m:rPr>
              <m:t>−</m:t>
            </m:r>
            <m:r>
              <m:t>13</m:t>
            </m:r>
          </m:sup>
        </m:sSup>
      </m:oMath>
      <w:r>
        <w:t xml:space="preserve">, y el coste con</w:t>
      </w:r>
      <w:r>
        <w:t xml:space="preserve"> </w:t>
      </w:r>
      <m:oMath>
        <m:sSub>
          <m:e>
            <m:r>
              <m:t>p</m:t>
            </m:r>
          </m:e>
          <m:sub>
            <m:r>
              <m:rPr>
                <m:sty m:val="p"/>
              </m:rPr>
              <m:t>H</m:t>
            </m:r>
            <m:r>
              <m:rPr>
                <m:sty m:val="p"/>
              </m:rPr>
              <m:t>o</m:t>
            </m:r>
            <m:r>
              <m:rPr>
                <m:sty m:val="p"/>
              </m:rPr>
              <m:t>l</m:t>
            </m:r>
            <m:r>
              <m:rPr>
                <m:sty m:val="p"/>
              </m:rPr>
              <m:t>m</m:t>
            </m:r>
          </m:sub>
        </m:sSub>
      </m:oMath>
      <w:r>
        <w:t xml:space="preserve"> </w:t>
      </w:r>
      <w:r>
        <w:t xml:space="preserve">del orden de</w:t>
      </w:r>
      <w:r>
        <w:t xml:space="preserve"> </w:t>
      </w:r>
      <m:oMath>
        <m:sSup>
          <m:e>
            <m:r>
              <m:t>10</m:t>
            </m:r>
          </m:e>
          <m:sup>
            <m:r>
              <m:rPr>
                <m:sty m:val="p"/>
              </m:rPr>
              <m:t>−</m:t>
            </m:r>
            <m:r>
              <m:t>10</m:t>
            </m:r>
          </m:sup>
        </m:sSup>
      </m:oMath>
      <w:r>
        <w:t xml:space="preserve">. Por tanto,</w:t>
      </w:r>
      <w:r>
        <w:t xml:space="preserve"> </w:t>
      </w:r>
      <m:oMath>
        <m:sSub>
          <m:e>
            <m:r>
              <m:t>H</m:t>
            </m:r>
          </m:e>
          <m:sub>
            <m:r>
              <m:t>1</m:t>
            </m:r>
            <m:r>
              <m:rPr>
                <m:sty m:val="p"/>
              </m:rPr>
              <m:t>,</m:t>
            </m:r>
            <m:r>
              <m:t>3</m:t>
            </m:r>
          </m:sub>
        </m:sSub>
      </m:oMath>
      <w:r>
        <w:t xml:space="preserve"> </w:t>
      </w:r>
      <w:r>
        <w:t xml:space="preserve">se acepta para las cinco métricas bajo control</w:t>
      </w:r>
      <w:r>
        <w:t xml:space="preserve"> </w:t>
      </w:r>
      <w:r>
        <w:t xml:space="preserve">de multiplicidad.</w:t>
      </w:r>
    </w:p>
    <w:bookmarkEnd w:id="103"/>
    <w:bookmarkEnd w:id="104"/>
    <w:bookmarkStart w:id="106" w:name="sec-p1"/>
    <w:p>
      <w:pPr>
        <w:pStyle w:val="Ttulo2"/>
      </w:pPr>
      <w:r>
        <w:t xml:space="preserve">Proposición P1: Reproducibilidad del protocolo FOM-7</w:t>
      </w:r>
    </w:p>
    <w:p>
      <w:pPr>
        <w:pStyle w:val="FirstParagrap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pPr>
      <w:r>
        <w:t xml:space="preserve">Para su evaluación se calculó el CV de cada métrica primaria para SHAP y LIME</w:t>
      </w:r>
      <w:r>
        <w:t xml:space="preserve"> </w:t>
      </w:r>
      <w:r>
        <w:t xml:space="preserve">sobre el subconjunto del modelo RF con</w:t>
      </w:r>
      <w:r>
        <w:t xml:space="preserve"> </w:t>
      </w:r>
      <m:oMath>
        <m:r>
          <m:t>N</m:t>
        </m:r>
        <m:r>
          <m:rPr>
            <m:sty m:val="p"/>
          </m:rPr>
          <m:t>=</m:t>
        </m:r>
        <m:r>
          <m:t>100</m:t>
        </m:r>
      </m:oMath>
      <w:r>
        <w:t xml:space="preserve">, tomando las cinco semillas</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05" w:name="tbl-cv-p1"/>
          <w:p>
            <w:pPr>
              <w:jc w:val="center"/>
            </w:pPr>
            <w:pPr>
              <w:jc w:val="left"/>
              <w:spacing w:before="200"/>
              <w:pStyle w:val="ImageCaption"/>
            </w:pPr>
            <w:r>
              <w:t xml:space="preserve">Table 5.5: Coeficiente de variación de métricas primarias bajo 5 semillas distintas (RF,</w:t>
            </w:r>
            <w:r>
              <w:t xml:space="preserve"> </w:t>
            </w:r>
            <m:oMath>
              <m:r>
                <m:t>N</m:t>
              </m:r>
              <m:r>
                <m:rPr>
                  <m:sty m:val="p"/>
                </m:rPr>
                <m:t>=</m:t>
              </m:r>
              <m:r>
                <m:t>100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Método</w:t>
                  </w:r>
                </w:p>
              </w:tc>
              <w:tc>
                <w:tcPr/>
                <w:p>
                  <w:pPr>
                    <w:pStyle w:val="Compact"/>
                    <w:jc w:val="center"/>
                  </w:pPr>
                  <w:r>
                    <w:t xml:space="preserve">Métrica</w:t>
                  </w:r>
                </w:p>
              </w:tc>
              <w:tc>
                <w:tcPr/>
                <w:p>
                  <w:pPr>
                    <w:pStyle w:val="Compact"/>
                    <w:jc w:val="center"/>
                  </w:pPr>
                  <w:r>
                    <w:t xml:space="preserve">Media</w:t>
                  </w:r>
                </w:p>
              </w:tc>
              <w:tc>
                <w:tcPr/>
                <w:p>
                  <w:pPr>
                    <w:pStyle w:val="Compact"/>
                    <w:jc w:val="center"/>
                  </w:pPr>
                  <w:r>
                    <w:t xml:space="preserve">Desv. típica</w:t>
                  </w:r>
                </w:p>
              </w:tc>
              <w:tc>
                <w:tcPr/>
                <w:p>
                  <w:pPr>
                    <w:pStyle w:val="Compact"/>
                    <w:jc w:val="center"/>
                  </w:pPr>
                  <w:r>
                    <w:t xml:space="preserve">CV (%)</w:t>
                  </w:r>
                </w:p>
              </w:tc>
              <w:tc>
                <w:tcPr/>
                <w:p>
                  <w:pPr>
                    <w:pStyle w:val="Compact"/>
                    <w:jc w:val="center"/>
                  </w:pPr>
                  <w:r>
                    <w:t xml:space="preserve">Criterio P1</w:t>
                  </w:r>
                </w:p>
              </w:tc>
            </w:tr>
            <w:tr>
              <w:tc>
                <w:tcPr/>
                <w:p>
                  <w:pPr>
                    <w:pStyle w:val="Compact"/>
                    <w:jc w:val="center"/>
                  </w:pPr>
                  <w:r>
                    <w:t xml:space="preserve">SHAP</w:t>
                  </w:r>
                </w:p>
              </w:tc>
              <w:tc>
                <w:tcPr/>
                <w:p>
                  <w:pPr>
                    <w:pStyle w:val="Compact"/>
                    <w:jc w:val="center"/>
                  </w:pPr>
                  <w:r>
                    <w:t xml:space="preserve">Fidelidad</w:t>
                  </w:r>
                </w:p>
              </w:tc>
              <w:tc>
                <w:tcPr/>
                <w:p>
                  <w:pPr>
                    <w:pStyle w:val="Compact"/>
                    <w:jc w:val="center"/>
                  </w:pPr>
                  <w:r>
                    <w:t xml:space="preserve">0.732</w:t>
                  </w:r>
                </w:p>
              </w:tc>
              <w:tc>
                <w:tcPr/>
                <w:p>
                  <w:pPr>
                    <w:pStyle w:val="Compact"/>
                    <w:jc w:val="center"/>
                  </w:pPr>
                  <w:r>
                    <w:t xml:space="preserve">0.006</w:t>
                  </w:r>
                </w:p>
              </w:tc>
              <w:tc>
                <w:tcPr/>
                <w:p>
                  <w:pPr>
                    <w:pStyle w:val="Compact"/>
                    <w:jc w:val="center"/>
                  </w:pPr>
                  <w:r>
                    <w:rPr>
                      <w:b/>
                      <w:bCs/>
                    </w:rPr>
                    <w:t xml:space="preserve">0.8</w:t>
                  </w:r>
                </w:p>
              </w:tc>
              <w:tc>
                <w:tcPr/>
                <w:p>
                  <w:pPr>
                    <w:pStyle w:val="Compact"/>
                    <w:jc w:val="center"/>
                  </w:pPr>
                  <w:r>
                    <w:t xml:space="preserve">✓ Cumple</w:t>
                  </w:r>
                </w:p>
              </w:tc>
            </w:tr>
            <w:tr>
              <w:tc>
                <w:tcPr/>
                <w:p>
                  <w:pPr>
                    <w:pStyle w:val="Compact"/>
                    <w:jc w:val="center"/>
                  </w:pPr>
                  <w:r>
                    <w:t xml:space="preserve">SHAP</w:t>
                  </w:r>
                </w:p>
              </w:tc>
              <w:tc>
                <w:tcPr/>
                <w:p>
                  <w:pPr>
                    <w:pStyle w:val="Compact"/>
                    <w:jc w:val="center"/>
                  </w:pPr>
                  <w:r>
                    <w:t xml:space="preserve">Estabilidad</w:t>
                  </w:r>
                </w:p>
              </w:tc>
              <w:tc>
                <w:tcPr/>
                <w:p>
                  <w:pPr>
                    <w:pStyle w:val="Compact"/>
                    <w:jc w:val="center"/>
                  </w:pPr>
                  <w:r>
                    <w:t xml:space="preserve">0.948</w:t>
                  </w:r>
                </w:p>
              </w:tc>
              <w:tc>
                <w:tcPr/>
                <w:p>
                  <w:pPr>
                    <w:pStyle w:val="Compact"/>
                    <w:jc w:val="center"/>
                  </w:pPr>
                  <w:r>
                    <w:t xml:space="preserve">0.007</w:t>
                  </w:r>
                </w:p>
              </w:tc>
              <w:tc>
                <w:tcPr/>
                <w:p>
                  <w:pPr>
                    <w:pStyle w:val="Compact"/>
                    <w:jc w:val="center"/>
                  </w:pPr>
                  <w:r>
                    <w:rPr>
                      <w:b/>
                      <w:bCs/>
                    </w:rPr>
                    <w:t xml:space="preserve">0.7</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Fidelidad</w:t>
                  </w:r>
                </w:p>
              </w:tc>
              <w:tc>
                <w:tcPr/>
                <w:p>
                  <w:pPr>
                    <w:pStyle w:val="Compact"/>
                    <w:jc w:val="center"/>
                  </w:pPr>
                  <w:r>
                    <w:t xml:space="preserve">0.461</w:t>
                  </w:r>
                </w:p>
              </w:tc>
              <w:tc>
                <w:tcPr/>
                <w:p>
                  <w:pPr>
                    <w:pStyle w:val="Compact"/>
                    <w:jc w:val="center"/>
                  </w:pPr>
                  <w:r>
                    <w:t xml:space="preserve">0.012</w:t>
                  </w:r>
                </w:p>
              </w:tc>
              <w:tc>
                <w:tcPr/>
                <w:p>
                  <w:pPr>
                    <w:pStyle w:val="Compact"/>
                    <w:jc w:val="center"/>
                  </w:pPr>
                  <w:r>
                    <w:rPr>
                      <w:b/>
                      <w:bCs/>
                    </w:rPr>
                    <w:t xml:space="preserve">2.6</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Estabilidad</w:t>
                  </w:r>
                </w:p>
              </w:tc>
              <w:tc>
                <w:tcPr/>
                <w:p>
                  <w:pPr>
                    <w:pStyle w:val="Compact"/>
                    <w:jc w:val="center"/>
                  </w:pPr>
                  <w:r>
                    <w:t xml:space="preserve">0.018</w:t>
                  </w:r>
                </w:p>
              </w:tc>
              <w:tc>
                <w:tcPr/>
                <w:p>
                  <w:pPr>
                    <w:pStyle w:val="Compact"/>
                    <w:jc w:val="center"/>
                  </w:pPr>
                  <w:r>
                    <w:t xml:space="preserve">0.015</w:t>
                  </w:r>
                </w:p>
              </w:tc>
              <w:tc>
                <w:tcPr/>
                <w:p>
                  <w:pPr>
                    <w:pStyle w:val="Compact"/>
                    <w:jc w:val="center"/>
                  </w:pPr>
                  <w:r>
                    <w:rPr>
                      <w:b/>
                      <w:bCs/>
                    </w:rPr>
                    <w:t xml:space="preserve">86.2</w:t>
                  </w:r>
                </w:p>
              </w:tc>
              <w:tc>
                <w:tcPr/>
                <w:p>
                  <w:pPr>
                    <w:pStyle w:val="Compact"/>
                    <w:jc w:val="center"/>
                  </w:pPr>
                  <w:r>
                    <w:t xml:space="preserve">✗ No cumple</w:t>
                  </w:r>
                </w:p>
              </w:tc>
            </w:tr>
          </w:tbl>
          <w:bookmarkEnd w:id="105"/>
          <w:p/>
        </w:tc>
      </w:tr>
    </w:tbl>
    <w:p>
      <w:pPr>
        <w:pStyle w:val="Textoindependiente"/>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m:oMath>
        <m:r>
          <m:rPr>
            <m:sty m:val="p"/>
          </m:rPr>
          <m:t>±</m:t>
        </m:r>
        <m:r>
          <m:t>0.015</m:t>
        </m:r>
      </m: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06"/>
    <w:bookmarkStart w:id="111" w:name="sec-perfiles"/>
    <w:p>
      <w:pPr>
        <w:pStyle w:val="Ttulo2"/>
      </w:pPr>
      <w:r>
        <w:t xml:space="preserve">Perfil multidimensional por método</w:t>
      </w:r>
    </w:p>
    <w:p>
      <w:pPr>
        <w:pStyle w:val="FirstParagrap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07" w:name="shap"/>
    <w:p>
      <w:pPr>
        <w:pStyle w:val="Ttulo3"/>
      </w:pPr>
      <w:r>
        <w:t xml:space="preserve">SHAP</w:t>
      </w:r>
    </w:p>
    <w:p>
      <w:pPr>
        <w:pStyle w:val="FirstParagrap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07"/>
    <w:bookmarkStart w:id="108" w:name="lime"/>
    <w:p>
      <w:pPr>
        <w:pStyle w:val="Ttulo3"/>
      </w:pPr>
      <w:r>
        <w:t xml:space="preserve">LIME</w:t>
      </w:r>
    </w:p>
    <w:p>
      <w:pPr>
        <w:pStyle w:val="FirstParagrap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confirmó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descalifica a LIME como método de referencia en contextos donde se requiere</w:t>
      </w:r>
      <w:r>
        <w:t xml:space="preserve"> </w:t>
      </w:r>
      <w:r>
        <w:t xml:space="preserve">consistencia explicativa (auditoría, decisiones de alto riesgo, comparación</w:t>
      </w:r>
      <w:r>
        <w:t xml:space="preserve"> </w:t>
      </w:r>
      <w:r>
        <w:t xml:space="preserve">entre instancias).</w:t>
      </w:r>
    </w:p>
    <w:bookmarkEnd w:id="108"/>
    <w:bookmarkStart w:id="109" w:name="anchors"/>
    <w:p>
      <w:pPr>
        <w:pStyle w:val="Ttulo3"/>
      </w:pPr>
      <w:r>
        <w:t xml:space="preserve">Anchors</w:t>
      </w:r>
    </w:p>
    <w:p>
      <w:pPr>
        <w:pStyle w:val="FirstParagrap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09"/>
    <w:bookmarkStart w:id="110" w:name="dice"/>
    <w:p>
      <w:pPr>
        <w:pStyle w:val="Ttulo3"/>
      </w:pPr>
      <w:r>
        <w:t xml:space="preserve">DiCE</w:t>
      </w:r>
    </w:p>
    <w:p>
      <w:pPr>
        <w:pStyle w:val="FirstParagrap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10"/>
    <w:bookmarkEnd w:id="111"/>
    <w:bookmarkStart w:id="114" w:name="sec-transversal"/>
    <w:p>
      <w:pPr>
        <w:pStyle w:val="Ttulo2"/>
      </w:pPr>
      <w:r>
        <w:t xml:space="preserve">Análisis transversal: efecto del modelo base y del tamaño de muestra</w:t>
      </w:r>
    </w:p>
    <w:bookmarkStart w:id="112" w:name="Xd0dc4cebb30e80d859f681a41b6366a7a2cd5a6"/>
    <w:p>
      <w:pPr>
        <w:pStyle w:val="Ttulo3"/>
      </w:pPr>
      <w:r>
        <w:t xml:space="preserve">Efecto del modelo base sobre las métricas</w:t>
      </w:r>
    </w:p>
    <w:p>
      <w:pPr>
        <w:pStyle w:val="FirstParagrap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lo descalifica para uso en auditoría.</w:t>
      </w:r>
    </w:p>
    <w:bookmarkEnd w:id="112"/>
    <w:bookmarkStart w:id="113" w:name="X4b1cce5291d3b83ee4e2fe33ac88be27315f5a8"/>
    <w:p>
      <w:pPr>
        <w:pStyle w:val="Ttulo3"/>
      </w:pPr>
      <w:r>
        <w:t xml:space="preserve">Efecto del tamaño de muestra estratificado</w:t>
      </w:r>
    </w:p>
    <w:p>
      <w:pPr>
        <w:pStyle w:val="FirstParagraph"/>
      </w:pPr>
      <w:r>
        <w:t xml:space="preserve">El análisis del efecto de</w:t>
      </w:r>
      <w:r>
        <w:t xml:space="preserve"> </w:t>
      </w:r>
      <m:oMath>
        <m:r>
          <m:t>N</m:t>
        </m:r>
      </m: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m:oMath>
        <m:r>
          <m:t>N</m:t>
        </m:r>
      </m:oMath>
      <w:r>
        <w:t xml:space="preserve"> </w:t>
      </w:r>
      <w:r>
        <w:t xml:space="preserve">son:</w:t>
      </w:r>
      <w:r>
        <w:t xml:space="preserve"> </w:t>
      </w:r>
      <m:oMath>
        <m:r>
          <m:t>N</m:t>
        </m:r>
        <m:r>
          <m:rPr>
            <m:sty m:val="p"/>
          </m:rPr>
          <m:t>=</m:t>
        </m:r>
        <m:r>
          <m:t>50</m:t>
        </m:r>
      </m:oMath>
      <w:r>
        <w:t xml:space="preserve">: 0.811,</w:t>
      </w:r>
      <w:r>
        <w:t xml:space="preserve"> </w:t>
      </w:r>
      <m:oMath>
        <m:r>
          <m:t>N</m:t>
        </m:r>
        <m:r>
          <m:rPr>
            <m:sty m:val="p"/>
          </m:rPr>
          <m:t>=</m:t>
        </m:r>
        <m:r>
          <m:t>100</m:t>
        </m:r>
      </m:oMath>
      <w:r>
        <w:t xml:space="preserve">: 0.804,</w:t>
      </w:r>
      <w:r>
        <w:t xml:space="preserve"> </w:t>
      </w:r>
      <m:oMath>
        <m:r>
          <m:t>N</m:t>
        </m:r>
        <m:r>
          <m:rPr>
            <m:sty m:val="p"/>
          </m:rPr>
          <m:t>=</m:t>
        </m:r>
        <m:r>
          <m:t>200</m:t>
        </m:r>
      </m:oMath>
      <w:r>
        <w:t xml:space="preserve">: 0.814,</w:t>
      </w:r>
      <w:r>
        <w:t xml:space="preserve"> </w:t>
      </w:r>
      <w:r>
        <w:t xml:space="preserve">con diferencias absolutas inferiores a 0.010. Para LIME:</w:t>
      </w:r>
      <w:r>
        <w:t xml:space="preserve"> </w:t>
      </w:r>
      <m:oMath>
        <m:r>
          <m:t>N</m:t>
        </m:r>
        <m:r>
          <m:rPr>
            <m:sty m:val="p"/>
          </m:rPr>
          <m:t>=</m:t>
        </m:r>
        <m:r>
          <m:t>50</m:t>
        </m:r>
      </m:oMath>
      <w:r>
        <w:t xml:space="preserve">: 0.559,</w:t>
      </w:r>
      <w:r>
        <w:t xml:space="preserve"> </w:t>
      </w:r>
      <m:oMath>
        <m:r>
          <m:t>N</m:t>
        </m:r>
        <m:r>
          <m:rPr>
            <m:sty m:val="p"/>
          </m:rPr>
          <m:t>=</m:t>
        </m:r>
        <m:r>
          <m:t>100</m:t>
        </m:r>
      </m:oMath>
      <w:r>
        <w:t xml:space="preserve">: 0.561,</w:t>
      </w:r>
      <w:r>
        <w:t xml:space="preserve"> </w:t>
      </w:r>
      <m:oMath>
        <m:r>
          <m:t>N</m:t>
        </m:r>
        <m:r>
          <m:rPr>
            <m:sty m:val="p"/>
          </m:rPr>
          <m:t>=</m:t>
        </m:r>
        <m:r>
          <m:t>200</m:t>
        </m:r>
      </m:oMath>
      <w:r>
        <w:t xml:space="preserve">: 0.562. Estas diferencias son inferiores a un punto</w:t>
      </w:r>
      <w:r>
        <w:t xml:space="preserve"> </w:t>
      </w:r>
      <w:r>
        <w:t xml:space="preserve">porcentual y no muestran tendencia monótona.</w:t>
      </w:r>
    </w:p>
    <w:p>
      <w:pPr>
        <w:pStyle w:val="Textoindependiente"/>
      </w:pPr>
      <w:r>
        <w:t xml:space="preserve">La invarianza de las métricas ante el tamaño de muestra tiene dos implicaciones:</w:t>
      </w:r>
      <w:r>
        <w:t xml:space="preserve"> </w:t>
      </w:r>
      <w:r>
        <w:t xml:space="preserve">(1) la estimación por estrato converge rápidamente, de modo que</w:t>
      </w:r>
      <w:r>
        <w:t xml:space="preserve"> </w:t>
      </w:r>
      <m:oMath>
        <m:r>
          <m:t>N</m:t>
        </m:r>
        <m:r>
          <m:rPr>
            <m:sty m:val="p"/>
          </m:rPr>
          <m:t>=</m:t>
        </m:r>
        <m:r>
          <m:t>50</m:t>
        </m:r>
      </m: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m:oMath>
        <m:r>
          <m:t>N</m:t>
        </m:r>
      </m:oMath>
      <w:r>
        <w:t xml:space="preserve"> </w:t>
      </w:r>
      <w:r>
        <w:t xml:space="preserve">en LIME (estructura lineal)</w:t>
      </w:r>
      <w:r>
        <w:t xml:space="preserve"> </w:t>
      </w:r>
      <w:r>
        <w:t xml:space="preserve">pero no en SHAP para modelos de árbol (TreeSHAP escala logarítmicamente).</w:t>
      </w:r>
    </w:p>
    <w:bookmarkEnd w:id="113"/>
    <w:bookmarkEnd w:id="114"/>
    <w:bookmarkStart w:id="118" w:name="sec-discusion"/>
    <w:p>
      <w:pPr>
        <w:pStyle w:val="Ttulo2"/>
      </w:pPr>
      <w:r>
        <w:t xml:space="preserve">Discusión</w:t>
      </w:r>
    </w:p>
    <w:bookmarkStart w:id="115" w:name="interpretación-conjunta-de-h1-h2-y-h3"/>
    <w:p>
      <w:pPr>
        <w:pStyle w:val="Ttulo3"/>
      </w:pPr>
      <w:r>
        <w:t xml:space="preserve">Interpretación conjunta de H1, H2 y H3</w:t>
      </w:r>
    </w:p>
    <w:p>
      <w:pPr>
        <w:pStyle w:val="FirstParagrap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pPr>
      <w:r>
        <w:t xml:space="preserve">La magnitud del efecto en las comparaciones SHAP-LIME (</w:t>
      </w:r>
      <m:oMath>
        <m:sSub>
          <m:e>
            <m:r>
              <m:t>d</m:t>
            </m:r>
          </m:e>
          <m:sub>
            <m:r>
              <m:t>z</m:t>
            </m:r>
          </m:sub>
        </m:sSub>
        <m:r>
          <m:rPr>
            <m:sty m:val="p"/>
          </m:rPr>
          <m:t>=</m:t>
        </m:r>
        <m:r>
          <m:t>3.85</m:t>
        </m:r>
      </m:oMath>
      <w:r>
        <w:t xml:space="preserve"> </w:t>
      </w:r>
      <w:r>
        <w:t xml:space="preserve">para</w:t>
      </w:r>
      <w:r>
        <w:t xml:space="preserve"> </w:t>
      </w:r>
      <w:r>
        <w:t xml:space="preserve">fidelidad,</w:t>
      </w:r>
      <w:r>
        <w:t xml:space="preserve"> </w:t>
      </w:r>
      <m:oMath>
        <m:sSub>
          <m:e>
            <m:r>
              <m:t>d</m:t>
            </m:r>
          </m:e>
          <m:sub>
            <m:r>
              <m:t>z</m:t>
            </m:r>
          </m:sub>
        </m:sSub>
        <m:r>
          <m:rPr>
            <m:sty m:val="p"/>
          </m:rPr>
          <m:t>=</m:t>
        </m:r>
        <m:r>
          <m:t>2.85</m:t>
        </m:r>
      </m:oMath>
      <w:r>
        <w:t xml:space="preserve"> </w:t>
      </w:r>
      <w:r>
        <w:t xml:space="preserve">para estabilidad) es inusualmente grande en el contexto</w:t>
      </w:r>
      <w:r>
        <w:t xml:space="preserve"> </w:t>
      </w:r>
      <w:r>
        <w:t xml:space="preserve">de experimentos de benchmarking XAI. Trabajos recientes de referencia en el</w:t>
      </w:r>
      <w:r>
        <w:t xml:space="preserve"> </w:t>
      </w:r>
      <w:r>
        <w:t xml:space="preserve">campo</w:t>
      </w:r>
      <w:r>
        <w:t xml:space="preserve"> </w:t>
      </w:r>
      <w:r>
        <w:t xml:space="preserve">(Hedström et al. 2023; Agarwal et al. 2022)</w:t>
      </w:r>
      <w:r>
        <w:t xml:space="preserve"> </w:t>
      </w:r>
      <w:r>
        <w:t xml:space="preserve">reportan diferencias significativas entre</w:t>
      </w:r>
      <w:r>
        <w:t xml:space="preserve"> </w:t>
      </w:r>
      <w:r>
        <w:t xml:space="preserve">métodos, pero raramente con tamaños de efecto de esta magnitud. La consistencia</w:t>
      </w:r>
      <w:r>
        <w:t xml:space="preserve"> </w:t>
      </w:r>
      <w:r>
        <w:t xml:space="preserve">del ordenamiento en los 71 pares sin una sola excepción en fidelidad y</w:t>
      </w:r>
      <w:r>
        <w:t xml:space="preserve"> </w:t>
      </w:r>
      <w:r>
        <w:t xml:space="preserve">estabilidad (0 diferencias negativas) fortalece la interpretación causal:</w:t>
      </w:r>
      <w:r>
        <w:t xml:space="preserve"> </w:t>
      </w:r>
      <w:r>
        <w:t xml:space="preserve">la superioridad de SHAP no es un artefacto estadístico marginal sino una</w:t>
      </w:r>
      <w:r>
        <w:t xml:space="preserve"> </w:t>
      </w:r>
      <w:r>
        <w:t xml:space="preserve">propiedad estructural del método bajo el diseño experimental de este benchmark.</w:t>
      </w:r>
    </w:p>
    <w:bookmarkEnd w:id="115"/>
    <w:bookmarkStart w:id="116" w:name="Xc1ed5f3543a7dd0de955900be27cfdca3c1471a"/>
    <w:p>
      <w:pPr>
        <w:pStyle w:val="Ttulo3"/>
      </w:pPr>
      <w:r>
        <w:t xml:space="preserve">Trade-off calidad-coste y criterios de selección operativa</w:t>
      </w:r>
    </w:p>
    <w:p>
      <w:pPr>
        <w:pStyle w:val="FirstParagrap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única opción con</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16"/>
    <w:bookmarkStart w:id="117" w:name="X99626a17a471bd5fb48825a2c4d4fcdcb69bcee"/>
    <w:p>
      <w:pPr>
        <w:pStyle w:val="Ttulo3"/>
      </w:pPr>
      <w:r>
        <w:t xml:space="preserve">Contribuciones, limitaciones y extensiones</w:t>
      </w:r>
    </w:p>
    <w:p>
      <w:pPr>
        <w:pStyle w:val="FirstParagrap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bookmarkEnd w:id="117"/>
    <w:bookmarkEnd w:id="118"/>
    <w:bookmarkEnd w:id="119"/>
    <w:bookmarkStart w:id="136" w:name="conclusiones"/>
    <w:p>
      <w:pPr>
        <w:pStyle w:val="Ttulo1"/>
      </w:pPr>
      <w:r>
        <w:t xml:space="preserve">Conclusiones</w:t>
      </w:r>
    </w:p>
    <w:p>
      <w:pPr>
        <w:pStyle w:val="FirstParagraph"/>
      </w:pPr>
      <w:r>
        <w:t xml:space="preserve">Esta tesis parte de una constatación empírica recurrente en la literatura: el</w:t>
      </w:r>
      <w:r>
        <w:t xml:space="preserve"> </w:t>
      </w:r>
      <w:r>
        <w:t xml:space="preserve">campo de la evaluación de métodos XAI carece de protocolos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trazabilidad</w:t>
      </w:r>
      <w:r>
        <w:t xml:space="preserve"> </w:t>
      </w:r>
      <w:r>
        <w:t xml:space="preserve">entre el diseño experimental, los artefactos de resultado y las afirmaciones</w:t>
      </w:r>
      <w:r>
        <w:t xml:space="preserve"> </w:t>
      </w:r>
      <w:r>
        <w:t xml:space="preserve">inferenciales. Esta tesis responde a ese problema con tres contribuciones</w:t>
      </w:r>
      <w:r>
        <w:t xml:space="preserve"> </w:t>
      </w:r>
      <w:r>
        <w:t xml:space="preserve">articuladas: un protocolo de operación reproducible (FOM-7), un benchmark</w:t>
      </w:r>
      <w:r>
        <w:t xml:space="preserve"> </w:t>
      </w:r>
      <w:r>
        <w:t xml:space="preserve">multi-métrico sobre datos tabulares reales y una taxonomía estructurada del</w:t>
      </w:r>
      <w:r>
        <w:t xml:space="preserve"> </w:t>
      </w:r>
      <w:r>
        <w:t xml:space="preserve">espacio de métricas de evaluación XAI.</w:t>
      </w:r>
    </w:p>
    <w:bookmarkStart w:id="122" w:name="sec-respuesta"/>
    <w:p>
      <w:pPr>
        <w:pStyle w:val="Ttulo2"/>
      </w:pPr>
      <w:r>
        <w:t xml:space="preserve">Respuesta al problema de investigación e hipótesis</w:t>
      </w:r>
    </w:p>
    <w:p>
      <w:pPr>
        <w:pStyle w:val="FirstParagrap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incontrovertibles bajo el protocolo FOM-7. La respuesta</w:t>
      </w:r>
      <w:r>
        <w:t xml:space="preserve"> </w:t>
      </w:r>
      <w:r>
        <w:t xml:space="preserve">directa es:</w:t>
      </w:r>
      <w:r>
        <w:t xml:space="preserve"> </w:t>
      </w:r>
      <w:r>
        <w:rPr>
          <w:b/>
          <w:bCs/>
        </w:rPr>
        <w:t xml:space="preserve">SHAP domina en fidelidad y estabilidad en todos los contextos</w:t>
      </w:r>
      <w:r>
        <w:rPr>
          <w:b/>
          <w:bCs/>
        </w:rPr>
        <w:t xml:space="preserve"> </w:t>
      </w:r>
      <w:r>
        <w:rPr>
          <w:b/>
          <w:bCs/>
        </w:rPr>
        <w:t xml:space="preserve">modelo-muestra evaluados; LIME es la única alternativa cuando el coste</w:t>
      </w:r>
      <w:r>
        <w:rPr>
          <w:b/>
          <w:bCs/>
        </w:rPr>
        <w:t xml:space="preserve"> </w:t>
      </w:r>
      <w:r>
        <w:rPr>
          <w:b/>
          <w:bCs/>
        </w:rPr>
        <w:t xml:space="preserve">computacional es crítico, con la condición de aceptar explicaciones</w:t>
      </w:r>
      <w:r>
        <w:rPr>
          <w:b/>
          <w:bCs/>
        </w:rPr>
        <w:t xml:space="preserve"> </w:t>
      </w:r>
      <w:r>
        <w:rPr>
          <w:b/>
          <w:bCs/>
        </w:rPr>
        <w:t xml:space="preserve">estructuralmente inestables; Anchors y DiCE atienden objetivos explicativos</w:t>
      </w:r>
      <w:r>
        <w:rPr>
          <w:b/>
          <w:bCs/>
        </w:rPr>
        <w:t xml:space="preserve"> </w:t>
      </w:r>
      <w:r>
        <w:rPr>
          <w:b/>
          <w:bCs/>
        </w:rPr>
        <w:t xml:space="preserve">cualitativamente distintos que las métricas de atribución no capturan</w:t>
      </w:r>
      <w:r>
        <w:rPr>
          <w:b/>
          <w:bCs/>
        </w:rPr>
        <w:t xml:space="preserve"> </w:t>
      </w:r>
      <w:r>
        <w:rPr>
          <w:b/>
          <w:bCs/>
        </w:rPr>
        <w:t xml:space="preserve">plenamente.</w:t>
      </w:r>
      <w:r>
        <w:t xml:space="preserve"> </w:t>
      </w:r>
      <w:r>
        <w:t xml:space="preserve">Esta orientación es robusta: emerge de 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20" w:name="tbl-hipotesis"/>
          <w:p>
            <w:pPr>
              <w:jc w:val="center"/>
            </w:pPr>
            <w:pPr>
              <w:jc w:val="left"/>
              <w:spacing w:before="200"/>
              <w:pStyle w:val="ImageCaption"/>
            </w:pPr>
            <w:r>
              <w:t xml:space="preserve">Table 6.1: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center"/>
                  </w:pPr>
                  <w:r>
                    <w:t xml:space="preserve">Hipótesis / Proposición</w:t>
                  </w:r>
                </w:p>
              </w:tc>
              <w:tc>
                <w:tcPr/>
                <w:p>
                  <w:pPr>
                    <w:pStyle w:val="Compact"/>
                    <w:jc w:val="center"/>
                  </w:pPr>
                  <w:r>
                    <w:t xml:space="preserve">Resultado</w:t>
                  </w:r>
                </w:p>
              </w:tc>
              <w:tc>
                <w:tcPr/>
                <w:p>
                  <w:pPr>
                    <w:pStyle w:val="Compact"/>
                    <w:jc w:val="center"/>
                  </w:pPr>
                  <w:r>
                    <w:t xml:space="preserve">Estadístico clave</w:t>
                  </w:r>
                </w:p>
              </w:tc>
            </w:tr>
            <w:tr>
              <w:tc>
                <w:tcPr/>
                <w:p>
                  <w:pPr>
                    <w:pStyle w:val="Compact"/>
                    <w:jc w:val="center"/>
                  </w:pPr>
                  <w:r>
                    <w:t xml:space="preserve">H1: diferencias en fidelidad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42.12</m:t>
                    </m:r>
                  </m:oMath>
                  <w:r>
                    <w:t xml:space="preserve">; margen 439%</w:t>
                  </w:r>
                </w:p>
              </w:tc>
            </w:tr>
            <w:tr>
              <w:tc>
                <w:tcPr/>
                <w:p>
                  <w:pPr>
                    <w:pStyle w:val="Compact"/>
                    <w:jc w:val="center"/>
                  </w:pPr>
                  <w:r>
                    <w:t xml:space="preserve">H2: diferencias en estabilidad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40.68</m:t>
                    </m:r>
                  </m:oMath>
                  <w:r>
                    <w:t xml:space="preserve">; margen 421%</w:t>
                  </w:r>
                </w:p>
              </w:tc>
            </w:tr>
            <w:tr>
              <w:tc>
                <w:tcPr/>
                <w:p>
                  <w:pPr>
                    <w:pStyle w:val="Compact"/>
                    <w:jc w:val="center"/>
                  </w:pPr>
                  <w:r>
                    <w:t xml:space="preserve">H3: SHAP-LIME difieren en calidad y coste</w:t>
                  </w:r>
                </w:p>
              </w:tc>
              <w:tc>
                <w:tcPr/>
                <w:p>
                  <w:pPr>
                    <w:pStyle w:val="Compact"/>
                    <w:jc w:val="center"/>
                  </w:pPr>
                  <w:r>
                    <w:rPr>
                      <w:b/>
                      <w:bCs/>
                    </w:rPr>
                    <w:t xml:space="preserve">Confirmada</w:t>
                  </w:r>
                </w:p>
              </w:tc>
              <w:tc>
                <w:tcPr/>
                <w:p>
                  <w:pPr>
                    <w:pStyle w:val="Compact"/>
                    <w:jc w:val="center"/>
                  </w:pPr>
                  <m:oMath>
                    <m:sSub>
                      <m:e>
                        <m:r>
                          <m:t>d</m:t>
                        </m:r>
                      </m:e>
                      <m:sub>
                        <m:r>
                          <m:t>z</m:t>
                        </m:r>
                      </m:sub>
                    </m:sSub>
                    <m:r>
                      <m:rPr>
                        <m:sty m:val="p"/>
                      </m:rPr>
                      <m:t>=</m:t>
                    </m:r>
                    <m:r>
                      <m:rPr>
                        <m:sty m:val="p"/>
                      </m:rPr>
                      <m:t>+</m:t>
                    </m:r>
                    <m:r>
                      <m:t>4.82</m:t>
                    </m:r>
                  </m:oMath>
                  <w:r>
                    <w:t xml:space="preserve"> </w:t>
                  </w:r>
                  <w:r>
                    <w:t xml:space="preserve">(fidelidad);</w:t>
                  </w:r>
                  <w:r>
                    <w:t xml:space="preserve"> </w:t>
                  </w:r>
                  <m:oMath>
                    <m:sSub>
                      <m:e>
                        <m:r>
                          <m:t>d</m:t>
                        </m:r>
                      </m:e>
                      <m:sub>
                        <m:r>
                          <m:t>z</m:t>
                        </m:r>
                      </m:sub>
                    </m:sSub>
                    <m:r>
                      <m:rPr>
                        <m:sty m:val="p"/>
                      </m:rPr>
                      <m:t>=</m:t>
                    </m:r>
                    <m:r>
                      <m:rPr>
                        <m:sty m:val="p"/>
                      </m:rPr>
                      <m:t>+</m:t>
                    </m:r>
                    <m:r>
                      <m:t>3.00</m:t>
                    </m:r>
                  </m:oMath>
                  <w:r>
                    <w:t xml:space="preserve"> </w:t>
                  </w:r>
                  <w:r>
                    <w:t xml:space="preserve">(estabilidad); 75/75 positivas</w:t>
                  </w:r>
                </w:p>
              </w:tc>
            </w:tr>
            <w:tr>
              <w:tc>
                <w:tcPr/>
                <w:p>
                  <w:pPr>
                    <w:pStyle w:val="Compact"/>
                    <w:jc w:val="center"/>
                  </w:pPr>
                  <w:r>
                    <w:t xml:space="preserve">P1: CV &lt; 15% en métricas primarias</w:t>
                  </w:r>
                </w:p>
              </w:tc>
              <w:tc>
                <w:tcPr/>
                <w:p>
                  <w:pPr>
                    <w:pStyle w:val="Compact"/>
                    <w:jc w:val="center"/>
                  </w:pPr>
                  <w:r>
                    <w:rPr>
                      <w:b/>
                      <w:bCs/>
                    </w:rPr>
                    <w:t xml:space="preserve">Parcialmente confirmada</w:t>
                  </w:r>
                </w:p>
              </w:tc>
              <w:tc>
                <w:tcPr/>
                <w:p>
                  <w:pPr>
                    <w:pStyle w:val="Compact"/>
                    <w:jc w:val="center"/>
                  </w:pPr>
                  <w:r>
                    <w:t xml:space="preserve">SHAP-fidelidad: CV=0.8%; LIME-estabilidad: CV=86.2% (incoherencia estructural, no ruido del protocolo)</w:t>
                  </w:r>
                </w:p>
              </w:tc>
            </w:tr>
          </w:tbl>
          <w:bookmarkEnd w:id="120"/>
          <w:p/>
        </w:tc>
      </w:tr>
    </w:tbl>
    <w:p>
      <w:pPr>
        <w:pStyle w:val="Textoindependiente"/>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tbl-objetivos"/>
          <w:p>
            <w:pPr>
              <w:jc w:val="center"/>
            </w:pPr>
            <w:pPr>
              <w:jc w:val="left"/>
              <w:spacing w:before="200"/>
              <w:pStyle w:val="ImageCaption"/>
            </w:pPr>
            <w:r>
              <w:t xml:space="preserve">Table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center"/>
                  </w:pPr>
                  <w:r>
                    <w:t xml:space="preserve">Objetivo específico</w:t>
                  </w:r>
                </w:p>
              </w:tc>
              <w:tc>
                <w:tcPr/>
                <w:p>
                  <w:pPr>
                    <w:pStyle w:val="Compact"/>
                    <w:jc w:val="center"/>
                  </w:pPr>
                  <w:r>
                    <w:t xml:space="preserve">Estado</w:t>
                  </w:r>
                </w:p>
              </w:tc>
            </w:tr>
            <w:tr>
              <w:tc>
                <w:tcPr/>
                <w:p>
                  <w:pPr>
                    <w:pStyle w:val="Compact"/>
                    <w:jc w:val="center"/>
                  </w:pPr>
                  <w:r>
                    <w:t xml:space="preserve">OE1 — Formalizar protocolo FOM-7</w:t>
                  </w:r>
                </w:p>
              </w:tc>
              <w:tc>
                <w:tcPr/>
                <w:p>
                  <w:pPr>
                    <w:pStyle w:val="Compact"/>
                    <w:jc w:val="center"/>
                  </w:pPr>
                  <w:r>
                    <w:t xml:space="preserve">Completado. El protocolo opera como secuencia de 7 puertas y produjo 275 artefactos calificados con trazabilidad completa.</w:t>
                  </w:r>
                </w:p>
              </w:tc>
            </w:tr>
            <w:tr>
              <w:tc>
                <w:tcPr/>
                <w:p>
                  <w:pPr>
                    <w:pStyle w:val="Compact"/>
                    <w:jc w:val="center"/>
                  </w:pPr>
                  <w:r>
                    <w:t xml:space="preserve">OE2 — Evaluar SHAP, LIME, Anchors, DiCE sobre 5 modelos</w:t>
                  </w:r>
                </w:p>
              </w:tc>
              <w:tc>
                <w:tcPr/>
                <w:p>
                  <w:pPr>
                    <w:pStyle w:val="Compact"/>
                    <w:jc w:val="center"/>
                  </w:pPr>
                  <w:r>
                    <w:t xml:space="preserve">Completado. Benchmark multi-métrico sobre UCI Adult Income con 5 métricas primarias.</w:t>
                  </w:r>
                </w:p>
              </w:tc>
            </w:tr>
            <w:tr>
              <w:tc>
                <w:tcPr/>
                <w:p>
                  <w:pPr>
                    <w:pStyle w:val="Compact"/>
                    <w:jc w:val="center"/>
                  </w:pPr>
                  <w:r>
                    <w:t xml:space="preserve">OE3 — Cuantificar trade-off calidad-coste SHAP-LIME</w:t>
                  </w:r>
                </w:p>
              </w:tc>
              <w:tc>
                <w:tcPr/>
                <w:p>
                  <w:pPr>
                    <w:pStyle w:val="Compact"/>
                    <w:jc w:val="center"/>
                  </w:pPr>
                  <w:r>
                    <w:t xml:space="preserve">Completado. Análisis pareado sobre 75 celdas coincidentes con corrección de multiplicidad Holm-Bonferroni.</w:t>
                  </w:r>
                </w:p>
              </w:tc>
            </w:tr>
            <w:tr>
              <w:tc>
                <w:tcPr/>
                <w:p>
                  <w:pPr>
                    <w:pStyle w:val="Compact"/>
                    <w:jc w:val="center"/>
                  </w:pPr>
                  <w:r>
                    <w:t xml:space="preserve">OE4 — Caracterizar reproducibilidad del protocolo</w:t>
                  </w:r>
                </w:p>
              </w:tc>
              <w:tc>
                <w:tcPr/>
                <w:p>
                  <w:pPr>
                    <w:pStyle w:val="Compact"/>
                    <w:jc w:val="center"/>
                  </w:pPr>
                  <w:r>
                    <w:t xml:space="preserve">Completado. CV &lt; 3% para fidelidad; variabilidad del coste inherente a la heterogeneidad del hardware.</w:t>
                  </w:r>
                </w:p>
              </w:tc>
            </w:tr>
            <w:tr>
              <w:tc>
                <w:tcPr/>
                <w:p>
                  <w:pPr>
                    <w:pStyle w:val="Compact"/>
                    <w:jc w:val="center"/>
                  </w:pPr>
                  <w:r>
                    <w:t xml:space="preserve">OE5 — Construir taxonomía estructurada</w:t>
                  </w:r>
                </w:p>
              </w:tc>
              <w:tc>
                <w:tcPr/>
                <w:p>
                  <w:pPr>
                    <w:pStyle w:val="Compact"/>
                    <w:jc w:val="center"/>
                  </w:pPr>
                  <w:r>
                    <w:t xml:space="preserve">Completado. Véase Sección 5.2.</w:t>
                  </w:r>
                </w:p>
              </w:tc>
            </w:tr>
          </w:tbl>
          <w:bookmarkEnd w:id="121"/>
          <w:p/>
        </w:tc>
      </w:tr>
    </w:tbl>
    <w:bookmarkEnd w:id="122"/>
    <w:bookmarkStart w:id="128" w:name="sec-taxonomia"/>
    <w:p>
      <w:pPr>
        <w:pStyle w:val="Ttulo2"/>
      </w:pPr>
      <w:r>
        <w:t xml:space="preserve">Estudio C: Taxonomía estructurada del espacio de métricas de evaluación XAI</w:t>
      </w:r>
    </w:p>
    <w:bookmarkStart w:id="123" w:name="motivación-y-posicionamiento"/>
    <w:p>
      <w:pPr>
        <w:pStyle w:val="Ttulo3"/>
      </w:pPr>
      <w:r>
        <w:t xml:space="preserve">Motivación y posicionamiento</w:t>
      </w:r>
    </w:p>
    <w:p>
      <w:pPr>
        <w:pStyle w:val="FirstParagrap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(e.g., el constructo</w:t>
      </w:r>
      <w:r>
        <w:t xml:space="preserve"> </w:t>
      </w:r>
      <w:r>
        <w:t xml:space="preserve">“completeness”</w:t>
      </w:r>
      <w:r>
        <w:t xml:space="preserve"> </w:t>
      </w:r>
      <w:r>
        <w:t xml:space="preserve">es denominado de forma independiente en al menos cuatro</w:t>
      </w:r>
      <w:r>
        <w:t xml:space="preserve"> </w:t>
      </w:r>
      <w:r>
        <w:t xml:space="preserve">trabajos). 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un marco que distinga métricas</w:t>
      </w:r>
      <w:r>
        <w:t xml:space="preserve"> </w:t>
      </w:r>
      <w:r>
        <w:rPr>
          <w:i/>
          <w:iCs/>
        </w:rPr>
        <w:t xml:space="preserve">functionally-grounded</w:t>
      </w:r>
      <w:r>
        <w:t xml:space="preserve"> </w:t>
      </w:r>
      <w:r>
        <w:t xml:space="preserve">(calculadas sin participantes humanos) de métricas</w:t>
      </w:r>
      <w:r>
        <w:t xml:space="preserve"> </w:t>
      </w:r>
      <w:r>
        <w:rPr>
          <w:i/>
          <w:iCs/>
        </w:rPr>
        <w:t xml:space="preserve">human-centered</w:t>
      </w:r>
      <w:r>
        <w:t xml:space="preserve"> </w:t>
      </w:r>
      <w:r>
        <w:t xml:space="preserve">(basadas en estudios de usuario), y que organice el espacio</w:t>
      </w:r>
      <w:r>
        <w:t xml:space="preserve"> </w:t>
      </w:r>
      <w:r>
        <w:t xml:space="preserve">por la propiedad de calidad que cada métrica pretende capturar.</w:t>
      </w:r>
    </w:p>
    <w:p>
      <w:pPr>
        <w:pStyle w:val="Textoindependiente"/>
      </w:pPr>
      <w:r>
        <w:t xml:space="preserve">El Estudio C propone una taxonomía estructurada en cuatro ejes ortogonales que</w:t>
      </w:r>
      <w:r>
        <w:t xml:space="preserve"> </w:t>
      </w:r>
      <w:r>
        <w:t xml:space="preserve">permite clasificar cualquier métrica del espacio de evaluación XAI. Los cuatro</w:t>
      </w:r>
      <w:r>
        <w:t xml:space="preserve"> </w:t>
      </w:r>
      <w:r>
        <w:t xml:space="preserve">ejes responden a preguntas distintas y complementarias:</w:t>
      </w:r>
      <w:r>
        <w:t xml:space="preserve"> </w:t>
      </w:r>
      <w:r>
        <w:rPr>
          <w:i/>
          <w:iCs/>
        </w:rPr>
        <w:t xml:space="preserve">¿qué se evalúa?</w:t>
      </w:r>
      <w:r>
        <w:t xml:space="preserve"> </w:t>
      </w:r>
      <w:r>
        <w:t xml:space="preserve">(objetivo de evaluación),</w:t>
      </w:r>
      <w:r>
        <w:t xml:space="preserve"> </w:t>
      </w:r>
      <w:r>
        <w:rPr>
          <w:i/>
          <w:iCs/>
        </w:rPr>
        <w:t xml:space="preserve">¿con qué evidencia?</w:t>
      </w:r>
      <w:r>
        <w:t xml:space="preserve"> </w:t>
      </w:r>
      <w:r>
        <w:t xml:space="preserve">(fuente de evidencia),</w:t>
      </w:r>
      <w:r>
        <w:t xml:space="preserve"> </w:t>
      </w:r>
      <w:r>
        <w:rPr>
          <w:i/>
          <w:iCs/>
        </w:rPr>
        <w:t xml:space="preserve">¿qué</w:t>
      </w:r>
      <w:r>
        <w:rPr>
          <w:i/>
          <w:iCs/>
        </w:rPr>
        <w:t xml:space="preserve"> </w:t>
      </w:r>
      <w:r>
        <w:rPr>
          <w:i/>
          <w:iCs/>
        </w:rPr>
        <w:t xml:space="preserve">propiedad de calidad?</w:t>
      </w:r>
      <w:r>
        <w:t xml:space="preserve"> </w:t>
      </w:r>
      <w:r>
        <w:t xml:space="preserve">(propiedad de calidad), y</w:t>
      </w:r>
      <w:r>
        <w:t xml:space="preserve"> </w:t>
      </w:r>
      <w:r>
        <w:rPr>
          <w:i/>
          <w:iCs/>
        </w:rPr>
        <w:t xml:space="preserve">¿para qué tarea?</w:t>
      </w:r>
      <w:r>
        <w:t xml:space="preserve"> </w:t>
      </w:r>
      <w:r>
        <w:t xml:space="preserve">(contexto</w:t>
      </w:r>
      <w:r>
        <w:t xml:space="preserve"> </w:t>
      </w:r>
      <w:r>
        <w:t xml:space="preserve">de tarea). La ortogonalidad de los ejes permite que una métrica sea</w:t>
      </w:r>
      <w:r>
        <w:t xml:space="preserve"> </w:t>
      </w:r>
      <w:r>
        <w:t xml:space="preserve">caracterizada por la intersección de sus cuatro coordenadas, facilitando la</w:t>
      </w:r>
      <w:r>
        <w:t xml:space="preserve"> </w:t>
      </w:r>
      <w:r>
        <w:t xml:space="preserve">comparación sistemática entre métricas y la detección de brechas de cobertura</w:t>
      </w:r>
      <w:r>
        <w:t xml:space="preserve"> </w:t>
      </w:r>
      <w:r>
        <w:t xml:space="preserve">en un benchmark.</w:t>
      </w:r>
    </w:p>
    <w:bookmarkEnd w:id="123"/>
    <w:bookmarkStart w:id="124" w:name="los-cuatro-ejes-de-la-taxonomía"/>
    <w:p>
      <w:pPr>
        <w:pStyle w:val="Ttulo3"/>
      </w:pPr>
      <w:r>
        <w:t xml:space="preserve">Los cuatro ejes de la taxonomía</w:t>
      </w:r>
    </w:p>
    <w:p>
      <w:pPr>
        <w:pStyle w:val="FirstParagraph"/>
      </w:pPr>
      <w:r>
        <w:rPr>
          <w:b/>
          <w:bCs/>
        </w:rPr>
        <w:t xml:space="preserve">Eje 1 — Objetivo de evaluación</w:t>
      </w:r>
      <w:r>
        <w:t xml:space="preserve"> </w:t>
      </w:r>
      <w:r>
        <w:t xml:space="preserve">(</w:t>
      </w:r>
      <w:r>
        <w:rPr>
          <w:i/>
          <w:iCs/>
        </w:rPr>
        <w:t xml:space="preserve">¿Qué aspecto de la explicación se</w:t>
      </w:r>
      <w:r>
        <w:rPr>
          <w:i/>
          <w:iCs/>
        </w:rPr>
        <w:t xml:space="preserve"> </w:t>
      </w:r>
      <w:r>
        <w:rPr>
          <w:i/>
          <w:iCs/>
        </w:rPr>
        <w:t xml:space="preserve">examina?</w:t>
      </w:r>
      <w:r>
        <w:t xml:space="preserve">)</w:t>
      </w:r>
    </w:p>
    <w:p>
      <w:pPr>
        <w:pStyle w:val="Textoindependiente"/>
      </w:pPr>
      <w:r>
        <w:t xml:space="preserve">Este eje clasifica la dimensión de la explicación que la métrica interroga. Se</w:t>
      </w:r>
      <w:r>
        <w:t xml:space="preserve"> </w:t>
      </w:r>
      <w:r>
        <w:t xml:space="preserve">identifican cinco objetivos primarios:</w:t>
      </w:r>
    </w:p>
    <w:p>
      <w:pPr>
        <w:pStyle w:val="Compact"/>
        <w:numPr>
          <w:ilvl w:val="0"/>
          <w:numId w:val="1013"/>
        </w:numPr>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w:t>
      </w:r>
      <w:r>
        <w:t xml:space="preserve"> </w:t>
      </w:r>
      <w:r>
        <w:t xml:space="preserve">(Abdul Kadir et al. 2023)</w:t>
      </w:r>
      <w:r>
        <w:t xml:space="preserve"> </w:t>
      </w:r>
      <w:r>
        <w:t xml:space="preserve">operan en este objetivo.</w:t>
      </w:r>
    </w:p>
    <w:p>
      <w:pPr>
        <w:pStyle w:val="Compact"/>
        <w:numPr>
          <w:ilvl w:val="0"/>
          <w:numId w:val="1013"/>
        </w:numPr>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w:t>
      </w:r>
      <w:r>
        <w:t xml:space="preserve"> </w:t>
      </w:r>
      <w:r>
        <w:t xml:space="preserve">(Schwalbe 2023; Pawlicki et al. 2024)</w:t>
      </w:r>
      <w:r>
        <w:t xml:space="preserve"> </w:t>
      </w:r>
      <w:r>
        <w:t xml:space="preserve">operan en este objetivo.</w:t>
      </w:r>
    </w:p>
    <w:p>
      <w:pPr>
        <w:pStyle w:val="Compact"/>
        <w:numPr>
          <w:ilvl w:val="0"/>
          <w:numId w:val="1013"/>
        </w:numPr>
      </w:pPr>
      <w:r>
        <w:rPr>
          <w:i/>
          <w:iCs/>
        </w:rPr>
        <w:t xml:space="preserve">Compacidad explicativa</w:t>
      </w:r>
      <w:r>
        <w:t xml:space="preserve">: en qué medida la explicación es concisa y no</w:t>
      </w:r>
      <w:r>
        <w:t xml:space="preserve"> </w:t>
      </w:r>
      <w:r>
        <w:t xml:space="preserve">redundante. La parsimonia y la complejidad efectiva</w:t>
      </w:r>
      <w:r>
        <w:t xml:space="preserve"> </w:t>
      </w:r>
      <w:r>
        <w:t xml:space="preserve">(Pawlicki et al. 2024)</w:t>
      </w:r>
      <w:r>
        <w:t xml:space="preserve"> </w:t>
      </w:r>
      <w:r>
        <w:t xml:space="preserve">operan en</w:t>
      </w:r>
      <w:r>
        <w:t xml:space="preserve"> </w:t>
      </w:r>
      <w:r>
        <w:t xml:space="preserve">este objetivo.</w:t>
      </w:r>
    </w:p>
    <w:p>
      <w:pPr>
        <w:pStyle w:val="Compact"/>
        <w:numPr>
          <w:ilvl w:val="0"/>
          <w:numId w:val="1013"/>
        </w:numPr>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w:t>
      </w:r>
      <w:r>
        <w:rPr>
          <w:i/>
          <w:iCs/>
        </w:rPr>
        <w:t xml:space="preserve">faithfulness gap</w:t>
      </w:r>
      <w:r>
        <w:t xml:space="preserve">) y las métricas de pixel-flipping operan en</w:t>
      </w:r>
      <w:r>
        <w:t xml:space="preserve"> </w:t>
      </w:r>
      <w:r>
        <w:t xml:space="preserve">este objetivo</w:t>
      </w:r>
      <w:r>
        <w:t xml:space="preserve"> </w:t>
      </w:r>
      <w:r>
        <w:t xml:space="preserve">(Abdul Kadir et al. 2023; Zheng et al. 2025)</w:t>
      </w:r>
      <w:r>
        <w:t xml:space="preserve">.</w:t>
      </w:r>
    </w:p>
    <w:p>
      <w:pPr>
        <w:pStyle w:val="Compact"/>
        <w:numPr>
          <w:ilvl w:val="0"/>
          <w:numId w:val="1013"/>
        </w:numPr>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pPr>
      <w:r>
        <w:rPr>
          <w:b/>
          <w:bCs/>
        </w:rPr>
        <w:t xml:space="preserve">Eje 2 — Fuente de evidencia</w:t>
      </w:r>
      <w:r>
        <w:t xml:space="preserve"> </w:t>
      </w:r>
      <w:r>
        <w:t xml:space="preserve">(</w:t>
      </w:r>
      <w:r>
        <w:rPr>
          <w:i/>
          <w:iCs/>
        </w:rPr>
        <w:t xml:space="preserve">¿Mediante qué mecanismo se obtiene la</w:t>
      </w:r>
      <w:r>
        <w:rPr>
          <w:i/>
          <w:iCs/>
        </w:rPr>
        <w:t xml:space="preserve"> </w:t>
      </w:r>
      <w:r>
        <w:rPr>
          <w:i/>
          <w:iCs/>
        </w:rPr>
        <w:t xml:space="preserve">evidencia?</w:t>
      </w:r>
      <w:r>
        <w:t xml:space="preserve">)</w:t>
      </w:r>
    </w:p>
    <w:p>
      <w:pPr>
        <w:pStyle w:val="Textoindependiente"/>
      </w:pPr>
      <w:r>
        <w:t xml:space="preserve">Las métricas se diferencian por la operación que genera la señal de evaluación.</w:t>
      </w:r>
      <w:r>
        <w:t xml:space="preserve"> </w:t>
      </w:r>
      <w:r>
        <w:t xml:space="preserve">Se distinguen cuatro fuentes:</w:t>
      </w:r>
    </w:p>
    <w:p>
      <w:pPr>
        <w:pStyle w:val="Compact"/>
        <w:numPr>
          <w:ilvl w:val="0"/>
          <w:numId w:val="1014"/>
        </w:numPr>
      </w:pPr>
      <w:r>
        <w:rPr>
          <w:i/>
          <w:iCs/>
        </w:rPr>
        <w:t xml:space="preserve">Enmascaramiento de características</w:t>
      </w:r>
      <w:r>
        <w:t xml:space="preserve">: se eliminan o reemplazan características</w:t>
      </w:r>
      <w:r>
        <w:t xml:space="preserve"> </w:t>
      </w:r>
      <w:r>
        <w:t xml:space="preserve">del input y se mide el cambio en la salida del modelo. Son métricas de esta</w:t>
      </w:r>
      <w:r>
        <w:t xml:space="preserve"> </w:t>
      </w:r>
      <w:r>
        <w:t xml:space="preserve">clase: fidelidad por correlación de importancias, faithfulness gap, ROAR, MoRF</w:t>
      </w:r>
      <w:r>
        <w:t xml:space="preserve"> </w:t>
      </w:r>
      <w:r>
        <w:t xml:space="preserve">(Zheng et al. 2025; Abdul Kadir et al. 2023)</w:t>
      </w:r>
      <w:r>
        <w:t xml:space="preserve">.</w:t>
      </w:r>
    </w:p>
    <w:p>
      <w:pPr>
        <w:pStyle w:val="Compact"/>
        <w:numPr>
          <w:ilvl w:val="0"/>
          <w:numId w:val="1014"/>
        </w:numPr>
      </w:pPr>
      <w:r>
        <w:rPr>
          <w:i/>
          <w:iCs/>
        </w:rPr>
        <w:t xml:space="preserve">Perturbación del input</w:t>
      </w:r>
      <w:r>
        <w:t xml:space="preserve">: se añade ruido o transformación a la instancia y</w:t>
      </w:r>
      <w:r>
        <w:t xml:space="preserve"> </w:t>
      </w:r>
      <w:r>
        <w:t xml:space="preserve">se mide la similitud entre las explicaciones resultantes. Son métricas de</w:t>
      </w:r>
      <w:r>
        <w:t xml:space="preserve"> </w:t>
      </w:r>
      <w:r>
        <w:t xml:space="preserve">esta clase: estabilidad como similitud coseno, Local Lipschitz Estimate</w:t>
      </w:r>
      <w:r>
        <w:t xml:space="preserve"> </w:t>
      </w:r>
      <w:r>
        <w:t xml:space="preserve">(Pawlicki et al. 2024; Canha et al. 2025)</w:t>
      </w:r>
      <w:r>
        <w:t xml:space="preserve">.</w:t>
      </w:r>
    </w:p>
    <w:p>
      <w:pPr>
        <w:pStyle w:val="Compact"/>
        <w:numPr>
          <w:ilvl w:val="0"/>
          <w:numId w:val="1014"/>
        </w:numPr>
      </w:pPr>
      <w:r>
        <w:rPr>
          <w:i/>
          <w:iCs/>
        </w:rPr>
        <w:t xml:space="preserve">Comparación con verdad-terreno</w:t>
      </w:r>
      <w:r>
        <w:t xml:space="preserve">: la explicación se compara con</w:t>
      </w:r>
      <w:r>
        <w:t xml:space="preserve"> </w:t>
      </w:r>
      <w:r>
        <w:t xml:space="preserve">explicaciones de referencia conocidas, disponibles en benchmarks sintéticos.</w:t>
      </w:r>
      <w:r>
        <w:t xml:space="preserve"> </w:t>
      </w:r>
      <w:r>
        <w:t xml:space="preserve">Son métricas de esta clase: Feature Agreement</w:t>
      </w:r>
      <w:r>
        <w:t xml:space="preserve"> </w:t>
      </w:r>
      <w:r>
        <w:t xml:space="preserve">(Pawlicki et al. 2024)</w:t>
      </w:r>
      <w:r>
        <w:t xml:space="preserve">, métricas</w:t>
      </w:r>
      <w:r>
        <w:t xml:space="preserve"> </w:t>
      </w:r>
      <w:r>
        <w:t xml:space="preserve">basadas en anotaciones humanas.</w:t>
      </w:r>
    </w:p>
    <w:p>
      <w:pPr>
        <w:pStyle w:val="Compact"/>
        <w:numPr>
          <w:ilvl w:val="0"/>
          <w:numId w:val="1014"/>
        </w:numPr>
      </w:pPr>
      <w:r>
        <w:rPr>
          <w:i/>
          <w:iCs/>
        </w:rPr>
        <w:t xml:space="preserve">Estudio con usuario</w:t>
      </w:r>
      <w:r>
        <w:t xml:space="preserve">: la explicación se evalúa a través de la comprensión,</w:t>
      </w:r>
      <w:r>
        <w:t xml:space="preserve"> </w:t>
      </w:r>
      <w:r>
        <w:t xml:space="preserve">confianza o utilidad percibida por participantes humanos. Son métricas de</w:t>
      </w:r>
      <w:r>
        <w:t xml:space="preserve"> </w:t>
      </w:r>
      <w:r>
        <w:t xml:space="preserve">esta clase: comprehensibility ratings, user satisfaction</w:t>
      </w:r>
      <w:r>
        <w:t xml:space="preserve"> </w:t>
      </w:r>
      <w:r>
        <w:t xml:space="preserve">(Bhattacharya and Verbert 2024; Arrieta 2019a)</w:t>
      </w:r>
      <w:r>
        <w:t xml:space="preserve">.</w:t>
      </w:r>
    </w:p>
    <w:p>
      <w:pPr>
        <w:pStyle w:val="FirstParagraph"/>
      </w:pPr>
      <w:r>
        <w:rPr>
          <w:b/>
          <w:bCs/>
        </w:rPr>
        <w:t xml:space="preserve">Eje 3 — Propiedad de calidad</w:t>
      </w:r>
      <w:r>
        <w:t xml:space="preserve"> </w:t>
      </w:r>
      <w:r>
        <w:t xml:space="preserve">(</w:t>
      </w:r>
      <w:r>
        <w:rPr>
          <w:i/>
          <w:iCs/>
        </w:rPr>
        <w:t xml:space="preserve">¿Qué constructo de calidad de la</w:t>
      </w:r>
      <w:r>
        <w:rPr>
          <w:i/>
          <w:iCs/>
        </w:rPr>
        <w:t xml:space="preserve"> </w:t>
      </w:r>
      <w:r>
        <w:rPr>
          <w:i/>
          <w:iCs/>
        </w:rPr>
        <w:t xml:space="preserve">explicación se operacionaliza?</w:t>
      </w:r>
      <w:r>
        <w:t xml:space="preserve">)</w:t>
      </w:r>
    </w:p>
    <w:p>
      <w:pPr>
        <w:pStyle w:val="Textoindependiente"/>
      </w:pPr>
      <w:r>
        <w:t xml:space="preserve">Siguiendo la sistematización de Schwalbe y Finzel</w:t>
      </w:r>
      <w:r>
        <w:t xml:space="preserve"> </w:t>
      </w:r>
      <w:r>
        <w:t xml:space="preserve">(2023)</w:t>
      </w:r>
      <w:r>
        <w:t xml:space="preserve"> </w:t>
      </w:r>
      <w:r>
        <w:t xml:space="preserve">y la revisión</w:t>
      </w:r>
      <w:r>
        <w:t xml:space="preserve"> </w:t>
      </w:r>
      <w:r>
        <w:t xml:space="preserve">de Pawlicki et al.</w:t>
      </w:r>
      <w:r>
        <w:t xml:space="preserve"> </w:t>
      </w:r>
      <w:r>
        <w:t xml:space="preserve">(2024)</w:t>
      </w:r>
      <w:r>
        <w:t xml:space="preserve">, se identifican seis propiedades primarias</w:t>
      </w:r>
      <w:r>
        <w:t xml:space="preserve"> </w:t>
      </w:r>
      <w:r>
        <w:t xml:space="preserve">del espacio de calidad XAI:</w:t>
      </w:r>
    </w:p>
    <w:p>
      <w:pPr>
        <w:pStyle w:val="Compact"/>
        <w:numPr>
          <w:ilvl w:val="0"/>
          <w:numId w:val="1015"/>
        </w:numPr>
      </w:pPr>
      <w:r>
        <w:rPr>
          <w:i/>
          <w:iCs/>
        </w:rPr>
        <w:t xml:space="preserve">Faithfulness / Fidelidad</w:t>
      </w:r>
      <w:r>
        <w:t xml:space="preserve">: correspondencia entre la importancia asignada</w:t>
      </w:r>
      <w:r>
        <w:t xml:space="preserve"> </w:t>
      </w:r>
      <w:r>
        <w:t xml:space="preserve">por el explicador y el efecto real sobre la salida del modelo. Es la propiedad</w:t>
      </w:r>
      <w:r>
        <w:t xml:space="preserve"> </w:t>
      </w:r>
      <w:r>
        <w:t xml:space="preserve">más citada en la literatura</w:t>
      </w:r>
      <w:r>
        <w:t xml:space="preserve"> </w:t>
      </w:r>
      <w:r>
        <w:t xml:space="preserve">(Pawlicki et al. 2024)</w:t>
      </w:r>
      <w:r>
        <w:t xml:space="preserve">.</w:t>
      </w:r>
    </w:p>
    <w:p>
      <w:pPr>
        <w:pStyle w:val="Compact"/>
        <w:numPr>
          <w:ilvl w:val="0"/>
          <w:numId w:val="1015"/>
        </w:numPr>
      </w:pPr>
      <w:r>
        <w:rPr>
          <w:i/>
          <w:iCs/>
        </w:rPr>
        <w:t xml:space="preserve">Robustness / Estabilidad</w:t>
      </w:r>
      <w:r>
        <w:t xml:space="preserve">: consistencia de las explicaciones bajo</w:t>
      </w:r>
      <w:r>
        <w:t xml:space="preserve"> </w:t>
      </w:r>
      <w:r>
        <w:t xml:space="preserve">perturbaciones del input. El estudio empírico de esta tesis demuestra que</w:t>
      </w:r>
      <w:r>
        <w:t xml:space="preserve"> </w:t>
      </w:r>
      <w:r>
        <w:t xml:space="preserve">esta propiedad es estadísticamente disociada de la fidelidad.</w:t>
      </w:r>
    </w:p>
    <w:p>
      <w:pPr>
        <w:pStyle w:val="Compact"/>
        <w:numPr>
          <w:ilvl w:val="0"/>
          <w:numId w:val="1015"/>
        </w:numPr>
      </w:pPr>
      <w:r>
        <w:rPr>
          <w:i/>
          <w:iCs/>
        </w:rPr>
        <w:t xml:space="preserve">Simplicity / Parsimonia</w:t>
      </w:r>
      <w:r>
        <w:t xml:space="preserve">: compacidad de la representación explicativa,</w:t>
      </w:r>
      <w:r>
        <w:t xml:space="preserve"> </w:t>
      </w:r>
      <w:r>
        <w:t xml:space="preserve">inversamente relacionada con la complejidad</w:t>
      </w:r>
      <w:r>
        <w:t xml:space="preserve"> </w:t>
      </w:r>
      <w:r>
        <w:t xml:space="preserve">(Schwalbe 2023)</w:t>
      </w:r>
      <w:r>
        <w:t xml:space="preserve">.</w:t>
      </w:r>
    </w:p>
    <w:p>
      <w:pPr>
        <w:pStyle w:val="Compact"/>
        <w:numPr>
          <w:ilvl w:val="0"/>
          <w:numId w:val="1015"/>
        </w:numPr>
      </w:pPr>
      <w:r>
        <w:rPr>
          <w:i/>
          <w:iCs/>
        </w:rPr>
        <w:t xml:space="preserve">Completeness</w:t>
      </w:r>
      <w:r>
        <w:t xml:space="preserve">: cobertura de los factores relevantes del modelo por la</w:t>
      </w:r>
      <w:r>
        <w:t xml:space="preserve"> </w:t>
      </w:r>
      <w:r>
        <w:t xml:space="preserve">explicación, relacionada con soundness y razonamiento completo.</w:t>
      </w:r>
    </w:p>
    <w:p>
      <w:pPr>
        <w:pStyle w:val="Compact"/>
        <w:numPr>
          <w:ilvl w:val="0"/>
          <w:numId w:val="1015"/>
        </w:numPr>
      </w:pPr>
      <w:r>
        <w:rPr>
          <w:i/>
          <w:iCs/>
        </w:rPr>
        <w:t xml:space="preserve">Efficiency</w:t>
      </w:r>
      <w:r>
        <w:t xml:space="preserve">: coste computacional de generar la explicación, dimensión crítica</w:t>
      </w:r>
      <w:r>
        <w:t xml:space="preserve"> </w:t>
      </w:r>
      <w:r>
        <w:t xml:space="preserve">para despliegues en producción.</w:t>
      </w:r>
    </w:p>
    <w:p>
      <w:pPr>
        <w:pStyle w:val="Compact"/>
        <w:numPr>
          <w:ilvl w:val="0"/>
          <w:numId w:val="1015"/>
        </w:numPr>
      </w:pPr>
      <w:r>
        <w:rPr>
          <w:i/>
          <w:iCs/>
        </w:rPr>
        <w:t xml:space="preserve">Fairness</w:t>
      </w:r>
      <w:r>
        <w:t xml:space="preserve">: equidad en la calidad de las explicaciones entre subgrupos</w:t>
      </w:r>
      <w:r>
        <w:t xml:space="preserve"> </w:t>
      </w:r>
      <w:r>
        <w:t xml:space="preserve">demográficos, dimensión transversal identificada por OpenXAI</w:t>
      </w:r>
      <w:r>
        <w:t xml:space="preserve"> </w:t>
      </w:r>
      <w:r>
        <w:t xml:space="preserve">(Agarwal et al. 2022)</w:t>
      </w:r>
      <w:r>
        <w:t xml:space="preserve">.</w:t>
      </w:r>
    </w:p>
    <w:p>
      <w:pPr>
        <w:pStyle w:val="FirstParagraph"/>
      </w:pPr>
      <w:r>
        <w:rPr>
          <w:b/>
          <w:bCs/>
        </w:rPr>
        <w:t xml:space="preserve">Eje 4 — Contexto de tarea</w:t>
      </w:r>
      <w:r>
        <w:t xml:space="preserve"> </w:t>
      </w:r>
      <w:r>
        <w:t xml:space="preserve">(</w:t>
      </w:r>
      <w:r>
        <w:rPr>
          <w:i/>
          <w:iCs/>
        </w:rPr>
        <w:t xml:space="preserve">¿En qué escenario de despliegue es relevante</w:t>
      </w:r>
      <w:r>
        <w:rPr>
          <w:i/>
          <w:iCs/>
        </w:rPr>
        <w:t xml:space="preserve"> </w:t>
      </w:r>
      <w:r>
        <w:rPr>
          <w:i/>
          <w:iCs/>
        </w:rPr>
        <w:t xml:space="preserve">la métrica?</w:t>
      </w:r>
      <w:r>
        <w:t xml:space="preserve">)</w:t>
      </w:r>
    </w:p>
    <w:p>
      <w:pPr>
        <w:pStyle w:val="Textoindependiente"/>
      </w:pPr>
      <w:r>
        <w:t xml:space="preserve">El contexto de tarea determina qué propiedades de calidad son prioritarias y</w:t>
      </w:r>
      <w:r>
        <w:t xml:space="preserve"> </w:t>
      </w:r>
      <w:r>
        <w:t xml:space="preserve">qué nivel de costo es aceptable</w:t>
      </w:r>
      <w:r>
        <w:t xml:space="preserve"> </w:t>
      </w:r>
      <w:r>
        <w:t xml:space="preserve">(Arrieta 2019a; Bhattacharya and Verbert 2024)</w:t>
      </w:r>
      <w:r>
        <w:t xml:space="preserve">. Se</w:t>
      </w:r>
      <w:r>
        <w:t xml:space="preserve"> </w:t>
      </w:r>
      <w:r>
        <w:t xml:space="preserve">identifican cuatro contextos canónicos:</w:t>
      </w:r>
    </w:p>
    <w:p>
      <w:pPr>
        <w:pStyle w:val="Compact"/>
        <w:numPr>
          <w:ilvl w:val="0"/>
          <w:numId w:val="1016"/>
        </w:numPr>
      </w:pPr>
      <w:r>
        <w:rPr>
          <w:i/>
          <w:iCs/>
        </w:rPr>
        <w:t xml:space="preserve">Auditoría y cumplimiento regulatorio</w:t>
      </w:r>
      <w:r>
        <w:t xml:space="preserve">: requiere alta fidelidad y estabilidad;</w:t>
      </w:r>
      <w:r>
        <w:t xml:space="preserve"> </w:t>
      </w:r>
      <w:r>
        <w:t xml:space="preserve">el coste computacional no es crítico.</w:t>
      </w:r>
    </w:p>
    <w:p>
      <w:pPr>
        <w:pStyle w:val="Compact"/>
        <w:numPr>
          <w:ilvl w:val="0"/>
          <w:numId w:val="1016"/>
        </w:numPr>
      </w:pPr>
      <w:r>
        <w:rPr>
          <w:i/>
          <w:iCs/>
        </w:rPr>
        <w:t xml:space="preserve">Inferencia en tiempo real</w:t>
      </w:r>
      <w:r>
        <w:t xml:space="preserve">: requiere baja latencia; admite fidelidad</w:t>
      </w:r>
      <w:r>
        <w:t xml:space="preserve"> </w:t>
      </w:r>
      <w:r>
        <w:t xml:space="preserve">moderada si la latencia se reduce órdenes de magnitud.</w:t>
      </w:r>
    </w:p>
    <w:p>
      <w:pPr>
        <w:pStyle w:val="Compact"/>
        <w:numPr>
          <w:ilvl w:val="0"/>
          <w:numId w:val="1016"/>
        </w:numPr>
      </w:pPr>
      <w:r>
        <w:rPr>
          <w:i/>
          <w:iCs/>
        </w:rPr>
        <w:t xml:space="preserve">Soporte a usuario final</w:t>
      </w:r>
      <w:r>
        <w:t xml:space="preserve">: requiere parsimonia y comprehensibilidad; las</w:t>
      </w:r>
      <w:r>
        <w:t xml:space="preserve"> </w:t>
      </w:r>
      <w:r>
        <w:t xml:space="preserve">métricas de estabilidad y faithfulness son secundarias.</w:t>
      </w:r>
    </w:p>
    <w:p>
      <w:pPr>
        <w:pStyle w:val="Compact"/>
        <w:numPr>
          <w:ilvl w:val="0"/>
          <w:numId w:val="1016"/>
        </w:numPr>
      </w:pPr>
      <w:r>
        <w:rPr>
          <w:i/>
          <w:iCs/>
        </w:rPr>
        <w:t xml:space="preserve">Diagnóstico de modelos y depuración</w:t>
      </w:r>
      <w:r>
        <w:t xml:space="preserve">: requiere fidelidad causal local y</w:t>
      </w:r>
      <w:r>
        <w:t xml:space="preserve"> </w:t>
      </w:r>
      <w:r>
        <w:t xml:space="preserve">cobertura; la eficiencia es secundaria.</w:t>
      </w:r>
    </w:p>
    <w:bookmarkEnd w:id="124"/>
    <w:bookmarkStart w:id="126" w:name="Xc578c0836cd38dc2fc367c6ce0cfc8bb694bc01"/>
    <w:p>
      <w:pPr>
        <w:pStyle w:val="Ttulo3"/>
      </w:pPr>
      <w:r>
        <w:t xml:space="preserve">Mapeo de las métricas del benchmark a la taxonomía</w:t>
      </w:r>
    </w:p>
    <w:p>
      <w:pPr>
        <w:pStyle w:val="FirstParagrap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25" w:name="tbl-taxonomia"/>
          <w:p>
            <w:pPr>
              <w:jc w:val="center"/>
            </w:pPr>
            <w:pPr>
              <w:jc w:val="left"/>
              <w:spacing w:before="200"/>
              <w:pStyle w:val="ImageCaption"/>
            </w:pPr>
            <w:r>
              <w:t xml:space="preserve">Table 6.3: Mapeo de las métricas del benchmark a los cuatro ejes de la taxonomía.</w:t>
            </w:r>
          </w:p>
          <w:tbl>
            <w:tblPr>
              <w:tblStyle w:val="Table"/>
              <w:tblW w:type="pct" w:w="5000"/>
              <w:tblLayout w:type="fixed"/>
              <w:tblLook w:firstRow="1" w:lastRow="0" w:firstColumn="0" w:lastColumn="0" w:noHBand="0" w:noVBand="0" w:val="0020"/>
            </w:tblPr>
            <w:tblGrid>
              <w:gridCol w:w="1141"/>
              <w:gridCol w:w="1275"/>
              <w:gridCol w:w="2080"/>
              <w:gridCol w:w="1208"/>
              <w:gridCol w:w="2214"/>
            </w:tblGrid>
            <w:tr>
              <w:trPr>
                <w:tblHeader w:val="on"/>
              </w:trPr>
              <w:tc>
                <w:tcPr/>
                <w:p>
                  <w:pPr>
                    <w:pStyle w:val="Compact"/>
                    <w:jc w:val="center"/>
                  </w:pPr>
                  <w:r>
                    <w:t xml:space="preserve">Métrica</w:t>
                  </w:r>
                </w:p>
              </w:tc>
              <w:tc>
                <w:tcPr/>
                <w:p>
                  <w:pPr>
                    <w:pStyle w:val="Compact"/>
                    <w:jc w:val="center"/>
                  </w:pPr>
                  <w:r>
                    <w:t xml:space="preserve">Eje 1: Objetivo</w:t>
                  </w:r>
                </w:p>
              </w:tc>
              <w:tc>
                <w:tcPr/>
                <w:p>
                  <w:pPr>
                    <w:pStyle w:val="Compact"/>
                    <w:jc w:val="center"/>
                  </w:pPr>
                  <w:r>
                    <w:t xml:space="preserve">Eje 2: Fuente evidencia</w:t>
                  </w:r>
                </w:p>
              </w:tc>
              <w:tc>
                <w:tcPr/>
                <w:p>
                  <w:pPr>
                    <w:pStyle w:val="Compact"/>
                    <w:jc w:val="center"/>
                  </w:pPr>
                  <w:r>
                    <w:t xml:space="preserve">Eje 3: Propiedad</w:t>
                  </w:r>
                </w:p>
              </w:tc>
              <w:tc>
                <w:tcPr/>
                <w:p>
                  <w:pPr>
                    <w:pStyle w:val="Compact"/>
                    <w:jc w:val="center"/>
                  </w:pPr>
                  <w:r>
                    <w:t xml:space="preserve">Eje 4: Contexto prioritario</w:t>
                  </w:r>
                </w:p>
              </w:tc>
            </w:tr>
            <w:tr>
              <w:tc>
                <w:tcPr/>
                <w:p>
                  <w:pPr>
                    <w:pStyle w:val="Compact"/>
                    <w:jc w:val="center"/>
                  </w:pPr>
                  <w:r>
                    <w:t xml:space="preserve">Fidelidad (F)</w:t>
                  </w:r>
                </w:p>
              </w:tc>
              <w:tc>
                <w:tcPr/>
                <w:p>
                  <w:pPr>
                    <w:pStyle w:val="Compact"/>
                    <w:jc w:val="center"/>
                  </w:pPr>
                  <w:r>
                    <w:t xml:space="preserve">Representatividad local</w:t>
                  </w:r>
                </w:p>
              </w:tc>
              <w:tc>
                <w:tcPr/>
                <w:p>
                  <w:pPr>
                    <w:pStyle w:val="Compact"/>
                    <w:jc w:val="center"/>
                  </w:pPr>
                  <w:r>
                    <w:t xml:space="preserve">Enmascaramiento de características</w:t>
                  </w:r>
                </w:p>
              </w:tc>
              <w:tc>
                <w:tcPr/>
                <w:p>
                  <w:pPr>
                    <w:pStyle w:val="Compact"/>
                    <w:jc w:val="center"/>
                  </w:pPr>
                  <w:r>
                    <w:t xml:space="preserve">Faithfulness</w:t>
                  </w:r>
                </w:p>
              </w:tc>
              <w:tc>
                <w:tcPr/>
                <w:p>
                  <w:pPr>
                    <w:pStyle w:val="Compact"/>
                    <w:jc w:val="center"/>
                  </w:pPr>
                  <w:r>
                    <w:t xml:space="preserve">Auditoría, diagnóstico</w:t>
                  </w:r>
                </w:p>
              </w:tc>
            </w:tr>
            <w:tr>
              <w:tc>
                <w:tcPr/>
                <w:p>
                  <w:pPr>
                    <w:pStyle w:val="Compact"/>
                    <w:jc w:val="center"/>
                  </w:pPr>
                  <w:r>
                    <w:t xml:space="preserve">Estabilidad (S)</w:t>
                  </w:r>
                </w:p>
              </w:tc>
              <w:tc>
                <w:tcPr/>
                <w:p>
                  <w:pPr>
                    <w:pStyle w:val="Compact"/>
                    <w:jc w:val="center"/>
                  </w:pPr>
                  <w:r>
                    <w:t xml:space="preserve">Consistencia bajo perturbación</w:t>
                  </w:r>
                </w:p>
              </w:tc>
              <w:tc>
                <w:tcPr/>
                <w:p>
                  <w:pPr>
                    <w:pStyle w:val="Compact"/>
                    <w:jc w:val="center"/>
                  </w:pPr>
                  <w:r>
                    <w:t xml:space="preserve">Perturbación gaussiana del input</w:t>
                  </w:r>
                </w:p>
              </w:tc>
              <w:tc>
                <w:tcPr/>
                <w:p>
                  <w:pPr>
                    <w:pStyle w:val="Compact"/>
                    <w:jc w:val="center"/>
                  </w:pPr>
                  <w:r>
                    <w:t xml:space="preserve">Robustness</w:t>
                  </w:r>
                </w:p>
              </w:tc>
              <w:tc>
                <w:tcPr/>
                <w:p>
                  <w:pPr>
                    <w:pStyle w:val="Compact"/>
                    <w:jc w:val="center"/>
                  </w:pPr>
                  <w:r>
                    <w:t xml:space="preserve">Auditoría, alto riesgo</w:t>
                  </w:r>
                </w:p>
              </w:tc>
            </w:tr>
            <w:tr>
              <w:tc>
                <w:tcPr/>
                <w:p>
                  <w:pPr>
                    <w:pStyle w:val="Compact"/>
                    <w:jc w:val="center"/>
                  </w:pPr>
                  <w:r>
                    <w:t xml:space="preserve">Parsimonia (P)</w:t>
                  </w:r>
                </w:p>
              </w:tc>
              <w:tc>
                <w:tcPr/>
                <w:p>
                  <w:pPr>
                    <w:pStyle w:val="Compact"/>
                    <w:jc w:val="center"/>
                  </w:pPr>
                  <w:r>
                    <w:t xml:space="preserve">Compacidad explicativa</w:t>
                  </w:r>
                </w:p>
              </w:tc>
              <w:tc>
                <w:tcPr/>
                <w:p>
                  <w:pPr>
                    <w:pStyle w:val="Compact"/>
                    <w:jc w:val="center"/>
                  </w:pPr>
                  <w:r>
                    <w:t xml:space="preserve">Conteo de atribuciones activas</w:t>
                  </w:r>
                </w:p>
              </w:tc>
              <w:tc>
                <w:tcPr/>
                <w:p>
                  <w:pPr>
                    <w:pStyle w:val="Compact"/>
                    <w:jc w:val="center"/>
                  </w:pPr>
                  <w:r>
                    <w:t xml:space="preserve">Simplicity</w:t>
                  </w:r>
                </w:p>
              </w:tc>
              <w:tc>
                <w:tcPr/>
                <w:p>
                  <w:pPr>
                    <w:pStyle w:val="Compact"/>
                    <w:jc w:val="center"/>
                  </w:pPr>
                  <w:r>
                    <w:t xml:space="preserve">Usuario final, interfaces</w:t>
                  </w:r>
                </w:p>
              </w:tc>
            </w:tr>
            <w:tr>
              <w:tc>
                <w:tcPr/>
                <w:p>
                  <w:pPr>
                    <w:pStyle w:val="Compact"/>
                    <w:jc w:val="center"/>
                  </w:pPr>
                  <w:r>
                    <w:t xml:space="preserve">Brecha fidelidad (Δk)</w:t>
                  </w:r>
                </w:p>
              </w:tc>
              <w:tc>
                <w:tcPr/>
                <w:p>
                  <w:pPr>
                    <w:pStyle w:val="Compact"/>
                    <w:jc w:val="center"/>
                  </w:pPr>
                  <w:r>
                    <w:t xml:space="preserve">Relevancia causal local</w:t>
                  </w:r>
                </w:p>
              </w:tc>
              <w:tc>
                <w:tcPr/>
                <w:p>
                  <w:pPr>
                    <w:pStyle w:val="Compact"/>
                    <w:jc w:val="center"/>
                  </w:pPr>
                  <w:r>
                    <w:t xml:space="preserve">Enmascaramiento top-k</w:t>
                  </w:r>
                </w:p>
              </w:tc>
              <w:tc>
                <w:tcPr/>
                <w:p>
                  <w:pPr>
                    <w:pStyle w:val="Compact"/>
                    <w:jc w:val="center"/>
                  </w:pPr>
                  <w:r>
                    <w:t xml:space="preserve">Faithfulness (causal)</w:t>
                  </w:r>
                </w:p>
              </w:tc>
              <w:tc>
                <w:tcPr/>
                <w:p>
                  <w:pPr>
                    <w:pStyle w:val="Compact"/>
                    <w:jc w:val="center"/>
                  </w:pPr>
                  <w:r>
                    <w:t xml:space="preserve">Diagnóstico, responsabilidad</w:t>
                  </w:r>
                </w:p>
              </w:tc>
            </w:tr>
            <w:tr>
              <w:tc>
                <w:tcPr/>
                <w:p>
                  <w:pPr>
                    <w:pStyle w:val="Compact"/>
                    <w:jc w:val="center"/>
                  </w:pPr>
                  <w:r>
                    <w:t xml:space="preserve">Coste (C)</w:t>
                  </w:r>
                </w:p>
              </w:tc>
              <w:tc>
                <w:tcPr/>
                <w:p>
                  <w:pPr>
                    <w:pStyle w:val="Compact"/>
                    <w:jc w:val="center"/>
                  </w:pPr>
                  <w:r>
                    <w:t xml:space="preserve">Eficiencia operativa</w:t>
                  </w:r>
                </w:p>
              </w:tc>
              <w:tc>
                <w:tcPr/>
                <w:p>
                  <w:pPr>
                    <w:pStyle w:val="Compact"/>
                    <w:jc w:val="center"/>
                  </w:pPr>
                  <w:r>
                    <w:t xml:space="preserve">Tiempo de reloj por instancia</w:t>
                  </w:r>
                </w:p>
              </w:tc>
              <w:tc>
                <w:tcPr/>
                <w:p>
                  <w:pPr>
                    <w:pStyle w:val="Compact"/>
                    <w:jc w:val="center"/>
                  </w:pPr>
                  <w:r>
                    <w:t xml:space="preserve">Efficiency</w:t>
                  </w:r>
                </w:p>
              </w:tc>
              <w:tc>
                <w:tcPr/>
                <w:p>
                  <w:pPr>
                    <w:pStyle w:val="Compact"/>
                    <w:jc w:val="center"/>
                  </w:pPr>
                  <w:r>
                    <w:t xml:space="preserve">Despliegue en tiempo real</w:t>
                  </w:r>
                </w:p>
              </w:tc>
            </w:tr>
          </w:tbl>
          <w:bookmarkEnd w:id="125"/>
          <w:p/>
        </w:tc>
      </w:tr>
    </w:tbl>
    <w:bookmarkEnd w:id="126"/>
    <w:bookmarkStart w:id="127" w:name="contribución-teórica-de-la-taxonomía"/>
    <w:p>
      <w:pPr>
        <w:pStyle w:val="Ttulo3"/>
      </w:pPr>
      <w:r>
        <w:t xml:space="preserve">Contribución teórica de la taxonomía</w:t>
      </w:r>
    </w:p>
    <w:p>
      <w:pPr>
        <w:pStyle w:val="FirstParagrap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pPr>
      <w:r>
        <w:rPr>
          <w:b/>
          <w:bCs/>
        </w:rPr>
        <w:t xml:space="preserve">Primera afirmación:</w:t>
      </w:r>
      <w:r>
        <w:t xml:space="preserve"> </w:t>
      </w:r>
      <w:r>
        <w:t xml:space="preserve">Las propiedades de los Ejes 3 (Propiedad de calidad)</w:t>
      </w:r>
      <w:r>
        <w:t xml:space="preserve"> </w:t>
      </w:r>
      <w:r>
        <w:t xml:space="preserve">no son redundantes. La evidencia empírica de este benchmark demuestra que</w:t>
      </w:r>
      <w:r>
        <w:t xml:space="preserve"> </w:t>
      </w:r>
      <w:r>
        <w:t xml:space="preserve">fidelidad y estabilidad son disociables: LIME obtiene una fidelidad media de</w:t>
      </w:r>
      <w:r>
        <w:t xml:space="preserve"> </w:t>
      </w:r>
      <w:r>
        <w:t xml:space="preserve">0.560 —moderada— y una estabilidad de 0.014 —prácticamente nula. Esta</w:t>
      </w:r>
      <w:r>
        <w:t xml:space="preserve"> </w:t>
      </w:r>
      <w:r>
        <w:t xml:space="preserve">disociación habría sido invisible en un benchmark mono-métrico de fidelidad,</w:t>
      </w:r>
      <w:r>
        <w:t xml:space="preserve"> </w:t>
      </w:r>
      <w:r>
        <w:t xml:space="preserve">confirmando que la evaluación multi-métrica organizada por eje es necesaria</w:t>
      </w:r>
      <w:r>
        <w:t xml:space="preserve"> </w:t>
      </w:r>
      <w:r>
        <w:t xml:space="preserve">para detectar perfiles de riesgo ocultos en los métodos evaluados. Este</w:t>
      </w:r>
      <w:r>
        <w:t xml:space="preserve"> </w:t>
      </w:r>
      <w:r>
        <w:t xml:space="preserve">hallazgo es coherente con la posición de Bhattacharya y Verbert</w:t>
      </w:r>
      <w:r>
        <w:t xml:space="preserve"> </w:t>
      </w:r>
      <w:r>
        <w:t xml:space="preserve">(2024)</w:t>
      </w:r>
      <w:r>
        <w:t xml:space="preserve">,</w:t>
      </w:r>
      <w:r>
        <w:t xml:space="preserve"> </w:t>
      </w:r>
      <w:r>
        <w:t xml:space="preserve">que argumentan que la evaluación unidimensional produce comparaciones</w:t>
      </w:r>
      <w:r>
        <w:t xml:space="preserve"> </w:t>
      </w:r>
      <w:r>
        <w:t xml:space="preserve">engañosas entre métodos que atienden distintas dimensiones de explicabilidad.</w:t>
      </w:r>
    </w:p>
    <w:p>
      <w:pPr>
        <w:pStyle w:val="Textoindependiente"/>
      </w:pPr>
      <w:r>
        <w:rPr>
          <w:b/>
          <w:bCs/>
        </w:rPr>
        <w:t xml:space="preserve">Segunda afirmación:</w:t>
      </w:r>
      <w:r>
        <w:t xml:space="preserve"> </w:t>
      </w:r>
      <w:r>
        <w:t xml:space="preserve">La taxonomía evidencia la brecha de cobertura de este</w:t>
      </w:r>
      <w:r>
        <w:t xml:space="preserve"> </w:t>
      </w:r>
      <w:r>
        <w:t xml:space="preserve">benchmark. El Eje 2 de fuente de evidencia no incluye</w:t>
      </w:r>
      <w:r>
        <w:t xml:space="preserve"> </w:t>
      </w:r>
      <w:r>
        <w:rPr>
          <w:i/>
          <w:iCs/>
        </w:rPr>
        <w:t xml:space="preserve">estudios con usuario</w:t>
      </w:r>
      <w:r>
        <w:t xml:space="preserve"> </w:t>
      </w:r>
      <w:r>
        <w:t xml:space="preserve">(evaluación human-centered), y el Eje 4 de contexto de tarea no incluye</w:t>
      </w:r>
      <w:r>
        <w:t xml:space="preserve"> </w:t>
      </w:r>
      <w:r>
        <w:rPr>
          <w:i/>
          <w:iCs/>
        </w:rPr>
        <w:t xml:space="preserve">soporte a usuario final</w:t>
      </w:r>
      <w:r>
        <w:t xml:space="preserve"> </w:t>
      </w:r>
      <w:r>
        <w:t xml:space="preserve">como escenario experimental. Esta brecha es</w:t>
      </w:r>
      <w:r>
        <w:t xml:space="preserve"> </w:t>
      </w:r>
      <w:r>
        <w:t xml:space="preserve">deliberada —el benchmark es funcionally-grounded por diseño, siguiendo la</w:t>
      </w:r>
      <w:r>
        <w:t xml:space="preserve"> </w:t>
      </w:r>
      <w:r>
        <w:t xml:space="preserve">clasificación de Canha et al.</w:t>
      </w:r>
      <w:r>
        <w:t xml:space="preserve"> </w:t>
      </w:r>
      <w:r>
        <w:t xml:space="preserve">(2025)</w:t>
      </w:r>
      <w:r>
        <w:t xml:space="preserve">— pero la taxonomía la hace</w:t>
      </w:r>
      <w:r>
        <w:t xml:space="preserve"> </w:t>
      </w:r>
      <w:r>
        <w:t xml:space="preserve">explícita y trazable, orientando las extensiones futuras hacia la dimensión</w:t>
      </w:r>
      <w:r>
        <w:t xml:space="preserve"> </w:t>
      </w:r>
      <w:r>
        <w:t xml:space="preserve">faltante.</w:t>
      </w:r>
    </w:p>
    <w:bookmarkEnd w:id="127"/>
    <w:bookmarkEnd w:id="128"/>
    <w:bookmarkStart w:id="132" w:name="sec-contribuciones"/>
    <w:p>
      <w:pPr>
        <w:pStyle w:val="Ttulo2"/>
      </w:pPr>
      <w:r>
        <w:t xml:space="preserve">Contribuciones científicas</w:t>
      </w:r>
    </w:p>
    <w:bookmarkStart w:id="129" w:name="X2e7af289f3df14f7e31f2445fc83a79cfc8b431"/>
    <w:p>
      <w:pPr>
        <w:pStyle w:val="Ttulo3"/>
      </w:pPr>
      <w:r>
        <w:t xml:space="preserve">Contribución metodológica: protocolo FOM-7</w:t>
      </w:r>
    </w:p>
    <w:p>
      <w:pPr>
        <w:pStyle w:val="FirstParagrap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pPr>
      <w:r>
        <w:t xml:space="preserve">El protocolo FOM-7 está disponible como código fuente reproducible con</w:t>
      </w:r>
      <w:r>
        <w:t xml:space="preserve"> </w:t>
      </w:r>
      <w:r>
        <w:t xml:space="preserve">trazabilidad de artefactos, satisfaciendo los criterios de reproducibilidad</w:t>
      </w:r>
      <w:r>
        <w:t xml:space="preserve"> </w:t>
      </w:r>
      <w:r>
        <w:t xml:space="preserve">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29"/>
    <w:bookmarkStart w:id="130" w:name="X93d1d918ce055ba24ba9e9f0b305f424c9a5ca8"/>
    <w:p>
      <w:pPr>
        <w:pStyle w:val="Ttulo3"/>
      </w:pPr>
      <w:r>
        <w:t xml:space="preserve">Contribución teórica: disociación fidelidad-estabilidad y taxonomía de métricas</w:t>
      </w:r>
    </w:p>
    <w:p>
      <w:pPr>
        <w:pStyle w:val="FirstParagraph"/>
      </w:pPr>
      <w:r>
        <w:t xml:space="preserve">La disociación empírica entre fidelidad y estabilidad, documentada con</w:t>
      </w:r>
      <w:r>
        <w:t xml:space="preserve"> </w:t>
      </w:r>
      <w:r>
        <w:t xml:space="preserve">tamaños de efecto de magnitud muy grande (</w:t>
      </w:r>
      <m:oMath>
        <m:sSub>
          <m:e>
            <m:r>
              <m:t>d</m:t>
            </m:r>
          </m:e>
          <m:sub>
            <m:r>
              <m:t>z</m:t>
            </m:r>
          </m:sub>
        </m:sSub>
        <m:r>
          <m:rPr>
            <m:sty m:val="p"/>
          </m:rPr>
          <m:t>&gt;</m:t>
        </m:r>
        <m:r>
          <m:t>2.8</m:t>
        </m:r>
      </m: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pPr>
      <w:r>
        <w:t xml:space="preserve">La taxonomía del Estudio C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30"/>
    <w:bookmarkStart w:id="131" w:name="X6583905c1b1630bf3acfdae91528ca52ef61481"/>
    <w:p>
      <w:pPr>
        <w:pStyle w:val="Ttulo3"/>
      </w:pPr>
      <w:r>
        <w:t xml:space="preserve">Contribución aplicada: criterios prescriptivos de selección de métodos XAI</w:t>
      </w:r>
    </w:p>
    <w:p>
      <w:pPr>
        <w:pStyle w:val="FirstParagrap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pPr>
      <w:r>
        <w:rPr>
          <w:b/>
          <w:bCs/>
        </w:rPr>
        <w:t xml:space="preserve">SHAP debe seleccionarse</w:t>
      </w:r>
      <w:r>
        <w:t xml:space="preserve"> </w:t>
      </w:r>
      <w:r>
        <w:t xml:space="preserve">como método primario en cualquier aplicación que</w:t>
      </w:r>
      <w:r>
        <w:t xml:space="preserve"> </w:t>
      </w:r>
      <w:r>
        <w:t xml:space="preserve">requiera fidelidad verificable (</w:t>
      </w:r>
      <m:oMath>
        <m:acc>
          <m:accPr>
            <m:chr m:val="‾"/>
          </m:accPr>
          <m:e>
            <m:r>
              <m:t>F</m:t>
            </m:r>
          </m:e>
        </m:acc>
        <m:r>
          <m:rPr>
            <m:sty m:val="p"/>
          </m:rPr>
          <m:t>≥</m:t>
        </m:r>
        <m:r>
          <m:t>0.80</m:t>
        </m:r>
      </m:oMath>
      <w:r>
        <w:t xml:space="preserve">) o consistencia</w:t>
      </w:r>
      <w:r>
        <w:t xml:space="preserve"> </w:t>
      </w:r>
      <w:r>
        <w:t xml:space="preserve">explicativa (</w:t>
      </w:r>
      <m:oMath>
        <m:acc>
          <m:accPr>
            <m:chr m:val="‾"/>
          </m:accPr>
          <m:e>
            <m:r>
              <m:t>S</m:t>
            </m:r>
          </m:e>
        </m:acc>
        <m:r>
          <m:rPr>
            <m:sty m:val="p"/>
          </m:rPr>
          <m:t>≥</m:t>
        </m:r>
        <m:r>
          <m:t>0.70</m:t>
        </m:r>
      </m: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pPr>
      <w:r>
        <w:rPr>
          <w:b/>
          <w:bCs/>
        </w:rPr>
        <w:t xml:space="preserve">Anchors debe descartarse</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pPr>
      <w:r>
        <w:rPr>
          <w:b/>
          <w:bCs/>
        </w:rPr>
        <w:t xml:space="preserve">DiCE es la única opción</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31"/>
    <w:bookmarkEnd w:id="132"/>
    <w:bookmarkStart w:id="133" w:name="sec-limitaciones"/>
    <w:p>
      <w:pPr>
        <w:pStyle w:val="Ttulo2"/>
      </w:pPr>
      <w:r>
        <w:t xml:space="preserve">Limitaciones del estudio</w:t>
      </w:r>
    </w:p>
    <w:p>
      <w:pPr>
        <w:pStyle w:val="FirstParagraph"/>
      </w:pPr>
      <w:r>
        <w:t xml:space="preserve">Cuatro limitaciones deben tenerse en cuenta al interpretar los resultados y</w:t>
      </w:r>
      <w:r>
        <w:t xml:space="preserve"> </w:t>
      </w:r>
      <w:r>
        <w:t xml:space="preserve">generalizar los criterios de selección.</w:t>
      </w:r>
    </w:p>
    <w:p>
      <w:pPr>
        <w:pStyle w:val="Textoindependiente"/>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Estudio C hace explícita esta limitación y la</w:t>
      </w:r>
      <w:r>
        <w:t xml:space="preserve"> </w:t>
      </w:r>
      <w:r>
        <w:t xml:space="preserve">localiza en los Ejes 2 y 4, pero los criterios de selección prescriptivos</w:t>
      </w:r>
      <w:r>
        <w:t xml:space="preserve"> </w:t>
      </w:r>
      <w:r>
        <w:t xml:space="preserve">derivados no incorporan preferencias de usuarios finales.</w:t>
      </w:r>
    </w:p>
    <w:p>
      <w:pPr>
        <w:pStyle w:val="Textoindependiente"/>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33"/>
    <w:bookmarkStart w:id="134" w:name="sec-futuro"/>
    <w:p>
      <w:pPr>
        <w:pStyle w:val="Ttulo2"/>
      </w:pPr>
      <w:r>
        <w:t xml:space="preserve">Líneas de investigación futura</w:t>
      </w:r>
    </w:p>
    <w:p>
      <w:pPr>
        <w:pStyle w:val="FirstParagraph"/>
      </w:pPr>
      <w:r>
        <w:t xml:space="preserve">Los resultados, las limitaciones y la taxonomía del Estudio C convergen en</w:t>
      </w:r>
      <w:r>
        <w:t xml:space="preserve"> </w:t>
      </w:r>
      <w:r>
        <w:t xml:space="preserve">señalar cinco extensiones de investigación con fundamento empírico:</w:t>
      </w:r>
    </w:p>
    <w:p>
      <w:pPr>
        <w:pStyle w:val="Textoindependiente"/>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pPr>
      <w:r>
        <w:rPr>
          <w:b/>
          <w:bCs/>
        </w:rPr>
        <w:t xml:space="preserve">2. Incorporación de evaluación human-centered.</w:t>
      </w:r>
      <w:r>
        <w:t xml:space="preserve"> </w:t>
      </w:r>
      <w:r>
        <w:t xml:space="preserve">La brecha identificada en</w:t>
      </w:r>
      <w:r>
        <w:t xml:space="preserve"> </w:t>
      </w:r>
      <w:r>
        <w:t xml:space="preserve">el Eje 2 (fuente de evidencia) de la taxonomía apunta directamente a la</w:t>
      </w:r>
      <w:r>
        <w:t xml:space="preserve"> </w:t>
      </w:r>
      <w:r>
        <w:t xml:space="preserve">necesidad de integrar estudios de usuario en el protocolo. Un estudio con</w:t>
      </w:r>
      <w:r>
        <w:t xml:space="preserve"> </w:t>
      </w:r>
      <w:r>
        <w:t xml:space="preserve">usuarios expertos (médicos, analistas de crédito) que evalúen la comprensión</w:t>
      </w:r>
      <w:r>
        <w:t xml:space="preserve"> </w:t>
      </w:r>
      <w:r>
        <w:t xml:space="preserve">de las explicaciones de SHAP y LIME complementaría los hallazgos funcionales</w:t>
      </w:r>
      <w:r>
        <w:t xml:space="preserve"> </w:t>
      </w:r>
      <w:r>
        <w:t xml:space="preserve">con evidencia de utilidad práctica, completando el espacio de evaluación</w:t>
      </w:r>
      <w:r>
        <w:t xml:space="preserve"> </w:t>
      </w:r>
      <w:r>
        <w:t xml:space="preserve">multi-eje.</w:t>
      </w:r>
    </w:p>
    <w:p>
      <w:pPr>
        <w:pStyle w:val="Textoindependiente"/>
      </w:pPr>
      <w:r>
        <w:rPr>
          <w:b/>
          <w:bCs/>
        </w:rPr>
        <w:t xml:space="preserve">3.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pPr>
      <w:r>
        <w:rPr>
          <w:b/>
          <w:bCs/>
        </w:rPr>
        <w:t xml:space="preserve">4.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pPr>
      <w:r>
        <w:rPr>
          <w:b/>
          <w:bCs/>
        </w:rPr>
        <w:t xml:space="preserve">5. Formalización del eje de comprehensibilidad en la taxonomía.</w:t>
      </w:r>
      <w:r>
        <w:t xml:space="preserve"> </w:t>
      </w:r>
      <w:r>
        <w:t xml:space="preserve">El Eje 4</w:t>
      </w:r>
      <w:r>
        <w:t xml:space="preserve"> </w:t>
      </w:r>
      <w:r>
        <w:t xml:space="preserve">(contexto de tarea) de la taxonomía incluye el contexto</w:t>
      </w:r>
      <w:r>
        <w:t xml:space="preserve"> </w:t>
      </w:r>
      <w:r>
        <w:rPr>
          <w:i/>
          <w:iCs/>
        </w:rPr>
        <w:t xml:space="preserve">usuario final</w:t>
      </w:r>
      <w:r>
        <w:t xml:space="preserve"> </w:t>
      </w:r>
      <w:r>
        <w:t xml:space="preserve">pero</w:t>
      </w:r>
      <w:r>
        <w:t xml:space="preserve"> </w:t>
      </w:r>
      <w:r>
        <w:t xml:space="preserve">no 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34"/>
    <w:bookmarkStart w:id="135" w:name="sec-sintesis"/>
    <w:p>
      <w:pPr>
        <w:pStyle w:val="Ttulo2"/>
      </w:pPr>
      <w:r>
        <w:t xml:space="preserve">Síntesis final</w:t>
      </w:r>
    </w:p>
    <w:p>
      <w:pPr>
        <w:pStyle w:val="FirstParagrap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en más de quince veces, los resultados no dejan</w:t>
      </w:r>
      <w:r>
        <w:t xml:space="preserve"> </w:t>
      </w:r>
      <w:r>
        <w:t xml:space="preserve">espacio para interpretaciones alternativas: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bookmarkEnd w:id="135"/>
    <w:bookmarkEnd w:id="136"/>
    <w:bookmarkStart w:id="262" w:name="referencias"/>
    <w:p>
      <w:pPr>
        <w:pStyle w:val="Ttulo1"/>
      </w:pPr>
      <w:r>
        <w:t xml:space="preserve">Referencias</w:t>
      </w:r>
    </w:p>
    <w:bookmarkStart w:id="261" w:name="refs"/>
    <w:bookmarkStart w:id="137" w:name="ref-ref_7"/>
    <w:p>
      <w:pPr>
        <w:pStyle w:val="Bibliography"/>
      </w:pPr>
      <w:r>
        <w:t xml:space="preserve">n.d.</w:t>
      </w:r>
    </w:p>
    <w:bookmarkEnd w:id="137"/>
    <w:bookmarkStart w:id="139" w:name="ref-abdul2018"/>
    <w:p>
      <w:pPr>
        <w:pStyle w:val="Bibliography"/>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r:id="rId138">
        <w:r>
          <w:rPr>
            <w:rStyle w:val="Hipervnculo"/>
          </w:rPr>
          <w:t xml:space="preserve">https://doi.org/10.1145/3173574.3174156</w:t>
        </w:r>
      </w:hyperlink>
      <w:r>
        <w:t xml:space="preserve">.</w:t>
      </w:r>
    </w:p>
    <w:bookmarkEnd w:id="139"/>
    <w:bookmarkStart w:id="141" w:name="ref-abdulkadir2023"/>
    <w:p>
      <w:pPr>
        <w:pStyle w:val="Bibliography"/>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r:id="rId140">
        <w:r>
          <w:rPr>
            <w:rStyle w:val="Hipervnculo"/>
          </w:rPr>
          <w:t xml:space="preserve">https://doi.org/10.1109/INES59045.2023.1030000</w:t>
        </w:r>
      </w:hyperlink>
      <w:r>
        <w:t xml:space="preserve">.</w:t>
      </w:r>
    </w:p>
    <w:bookmarkEnd w:id="141"/>
    <w:bookmarkStart w:id="143" w:name="ref-adadi2018"/>
    <w:p>
      <w:pPr>
        <w:pStyle w:val="Bibliography"/>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r:id="rId142">
        <w:r>
          <w:rPr>
            <w:rStyle w:val="Hipervnculo"/>
          </w:rPr>
          <w:t xml:space="preserve">https://doi.org/10.1109/access.2018.2870052</w:t>
        </w:r>
      </w:hyperlink>
      <w:r>
        <w:t xml:space="preserve">.</w:t>
      </w:r>
    </w:p>
    <w:bookmarkEnd w:id="143"/>
    <w:bookmarkStart w:id="144" w:name="ref-agarwal2022"/>
    <w:p>
      <w:pPr>
        <w:pStyle w:val="Bibliography"/>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44"/>
    <w:bookmarkStart w:id="146" w:name="ref-ali2023"/>
    <w:p>
      <w:pPr>
        <w:pStyle w:val="Bibliography"/>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r:id="rId145">
        <w:r>
          <w:rPr>
            <w:rStyle w:val="Hipervnculo"/>
          </w:rPr>
          <w:t xml:space="preserve">https://doi.org/10.1016/j.inffus.2023.101805</w:t>
        </w:r>
      </w:hyperlink>
      <w:r>
        <w:t xml:space="preserve">.</w:t>
      </w:r>
    </w:p>
    <w:bookmarkEnd w:id="146"/>
    <w:bookmarkStart w:id="148" w:name="ref-allen2024"/>
    <w:p>
      <w:pPr>
        <w:pStyle w:val="Bibliography"/>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r:id="rId147">
        <w:r>
          <w:rPr>
            <w:rStyle w:val="Hipervnculo"/>
          </w:rPr>
          <w:t xml:space="preserve">https://doi.org/10.1146/annurev-statistics-040120-030919</w:t>
        </w:r>
      </w:hyperlink>
      <w:r>
        <w:t xml:space="preserve">.</w:t>
      </w:r>
    </w:p>
    <w:bookmarkEnd w:id="148"/>
    <w:bookmarkStart w:id="150" w:name="ref-altukhi2025"/>
    <w:p>
      <w:pPr>
        <w:pStyle w:val="Bibliography"/>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r:id="rId149">
        <w:r>
          <w:rPr>
            <w:rStyle w:val="Hipervnculo"/>
          </w:rPr>
          <w:t xml:space="preserve">https://doi.org/10.3390/technologies13030093</w:t>
        </w:r>
      </w:hyperlink>
      <w:r>
        <w:t xml:space="preserve">.</w:t>
      </w:r>
    </w:p>
    <w:bookmarkEnd w:id="150"/>
    <w:bookmarkStart w:id="152" w:name="ref-angelov2021"/>
    <w:p>
      <w:pPr>
        <w:pStyle w:val="Bibliography"/>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r:id="rId151">
        <w:r>
          <w:rPr>
            <w:rStyle w:val="Hipervnculo"/>
          </w:rPr>
          <w:t xml:space="preserve">https://doi.org/10.1002/widm.1424</w:t>
        </w:r>
      </w:hyperlink>
      <w:r>
        <w:t xml:space="preserve">.</w:t>
      </w:r>
    </w:p>
    <w:bookmarkEnd w:id="152"/>
    <w:bookmarkStart w:id="154" w:name="ref-arrieta2019a"/>
    <w:p>
      <w:pPr>
        <w:pStyle w:val="Bibliography"/>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r:id="rId153">
        <w:r>
          <w:rPr>
            <w:rStyle w:val="Hipervnculo"/>
          </w:rPr>
          <w:t xml:space="preserve">https://doi.org/10.1016/j.inffus.2019.12.012</w:t>
        </w:r>
      </w:hyperlink>
      <w:r>
        <w:t xml:space="preserve">.</w:t>
      </w:r>
    </w:p>
    <w:bookmarkEnd w:id="154"/>
    <w:bookmarkStart w:id="156" w:name="ref-belle2021"/>
    <w:p>
      <w:pPr>
        <w:pStyle w:val="Bibliography"/>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r:id="rId155">
        <w:r>
          <w:rPr>
            <w:rStyle w:val="Hipervnculo"/>
          </w:rPr>
          <w:t xml:space="preserve">https://doi.org/10.3389/fdata.2021.688969</w:t>
        </w:r>
      </w:hyperlink>
      <w:r>
        <w:t xml:space="preserve">.</w:t>
      </w:r>
    </w:p>
    <w:bookmarkEnd w:id="156"/>
    <w:bookmarkStart w:id="158" w:name="ref-bhattacharya2024"/>
    <w:p>
      <w:pPr>
        <w:pStyle w:val="Bibliography"/>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r:id="rId157">
        <w:r>
          <w:rPr>
            <w:rStyle w:val="Hipervnculo"/>
          </w:rPr>
          <w:t xml:space="preserve">https://doi.org/10.1145/3631700.3664911</w:t>
        </w:r>
      </w:hyperlink>
      <w:r>
        <w:t xml:space="preserve">.</w:t>
      </w:r>
    </w:p>
    <w:bookmarkEnd w:id="158"/>
    <w:bookmarkStart w:id="160" w:name="ref-breiman2001"/>
    <w:p>
      <w:pPr>
        <w:pStyle w:val="Bibliography"/>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r:id="rId159">
        <w:r>
          <w:rPr>
            <w:rStyle w:val="Hipervnculo"/>
          </w:rPr>
          <w:t xml:space="preserve">https://doi.org/10.1023/a:1010933404324</w:t>
        </w:r>
      </w:hyperlink>
      <w:r>
        <w:t xml:space="preserve">.</w:t>
      </w:r>
    </w:p>
    <w:bookmarkEnd w:id="160"/>
    <w:bookmarkStart w:id="162" w:name="ref-burger2023"/>
    <w:p>
      <w:pPr>
        <w:pStyle w:val="Bibliography"/>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r:id="rId161">
        <w:r>
          <w:rPr>
            <w:rStyle w:val="Hipervnculo"/>
          </w:rPr>
          <w:t xml:space="preserve">https://doi.org/10.18653/v1/2023.emnlp-main.792</w:t>
        </w:r>
      </w:hyperlink>
      <w:r>
        <w:t xml:space="preserve">.</w:t>
      </w:r>
    </w:p>
    <w:bookmarkEnd w:id="162"/>
    <w:bookmarkStart w:id="164" w:name="ref-canha2025"/>
    <w:p>
      <w:pPr>
        <w:pStyle w:val="Bibliography"/>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r:id="rId163">
        <w:r>
          <w:rPr>
            <w:rStyle w:val="Hipervnculo"/>
          </w:rPr>
          <w:t xml:space="preserve">https://doi.org/10.1145/3737445</w:t>
        </w:r>
      </w:hyperlink>
      <w:r>
        <w:t xml:space="preserve">.</w:t>
      </w:r>
    </w:p>
    <w:bookmarkEnd w:id="164"/>
    <w:bookmarkStart w:id="166" w:name="ref-carvalho2019"/>
    <w:p>
      <w:pPr>
        <w:pStyle w:val="Bibliography"/>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r:id="rId165">
        <w:r>
          <w:rPr>
            <w:rStyle w:val="Hipervnculo"/>
          </w:rPr>
          <w:t xml:space="preserve">https://doi.org/10.3390/electronics8080832</w:t>
        </w:r>
      </w:hyperlink>
      <w:r>
        <w:t xml:space="preserve">.</w:t>
      </w:r>
    </w:p>
    <w:bookmarkEnd w:id="166"/>
    <w:bookmarkStart w:id="168" w:name="ref-demsar2006"/>
    <w:p>
      <w:pPr>
        <w:pStyle w:val="Bibliography"/>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r:id="rId167">
        <w:r>
          <w:rPr>
            <w:rStyle w:val="Hipervnculo"/>
          </w:rPr>
          <w:t xml:space="preserve">https://www.jmlr.org/papers/v7/demsar06a.html</w:t>
        </w:r>
      </w:hyperlink>
      <w:r>
        <w:t xml:space="preserve">.</w:t>
      </w:r>
    </w:p>
    <w:bookmarkEnd w:id="168"/>
    <w:bookmarkStart w:id="170" w:name="ref-doshi-velez2017"/>
    <w:p>
      <w:pPr>
        <w:pStyle w:val="Bibliography"/>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r:id="rId169">
        <w:r>
          <w:rPr>
            <w:rStyle w:val="Hipervnculo"/>
          </w:rPr>
          <w:t xml:space="preserve">https://doi.org/10.48550/arxiv.1702.08608</w:t>
        </w:r>
      </w:hyperlink>
      <w:r>
        <w:t xml:space="preserve">.</w:t>
      </w:r>
    </w:p>
    <w:bookmarkEnd w:id="170"/>
    <w:bookmarkStart w:id="172" w:name="ref-floridi2018"/>
    <w:p>
      <w:pPr>
        <w:pStyle w:val="Bibliography"/>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r:id="rId171">
        <w:r>
          <w:rPr>
            <w:rStyle w:val="Hipervnculo"/>
          </w:rPr>
          <w:t xml:space="preserve">https://doi.org/10.1007/s11023-018-9482-5</w:t>
        </w:r>
      </w:hyperlink>
      <w:r>
        <w:t xml:space="preserve">.</w:t>
      </w:r>
    </w:p>
    <w:bookmarkEnd w:id="172"/>
    <w:bookmarkStart w:id="174" w:name="ref-friedman1937"/>
    <w:p>
      <w:pPr>
        <w:pStyle w:val="Bibliography"/>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r:id="rId173">
        <w:r>
          <w:rPr>
            <w:rStyle w:val="Hipervnculo"/>
          </w:rPr>
          <w:t xml:space="preserve">https://doi.org/10.1080/01621459.1937.10503522</w:t>
        </w:r>
      </w:hyperlink>
      <w:r>
        <w:t xml:space="preserve">.</w:t>
      </w:r>
    </w:p>
    <w:bookmarkEnd w:id="174"/>
    <w:bookmarkStart w:id="176" w:name="ref-gilpin2018"/>
    <w:p>
      <w:pPr>
        <w:pStyle w:val="Bibliography"/>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r:id="rId175">
        <w:r>
          <w:rPr>
            <w:rStyle w:val="Hipervnculo"/>
          </w:rPr>
          <w:t xml:space="preserve">https://doi.org/10.1109/dsaa.2018.00018</w:t>
        </w:r>
      </w:hyperlink>
      <w:r>
        <w:t xml:space="preserve">.</w:t>
      </w:r>
    </w:p>
    <w:bookmarkEnd w:id="176"/>
    <w:bookmarkStart w:id="178" w:name="ref-guidotti2018"/>
    <w:p>
      <w:pPr>
        <w:pStyle w:val="Bibliography"/>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r:id="rId177">
        <w:r>
          <w:rPr>
            <w:rStyle w:val="Hipervnculo"/>
          </w:rPr>
          <w:t xml:space="preserve">https://doi.org/10.1145/3236009</w:t>
        </w:r>
      </w:hyperlink>
      <w:r>
        <w:t xml:space="preserve">.</w:t>
      </w:r>
    </w:p>
    <w:bookmarkEnd w:id="178"/>
    <w:bookmarkStart w:id="180" w:name="ref-hase2020"/>
    <w:p>
      <w:pPr>
        <w:pStyle w:val="Bibliography"/>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r:id="rId179">
        <w:r>
          <w:rPr>
            <w:rStyle w:val="Hipervnculo"/>
          </w:rPr>
          <w:t xml:space="preserve">https://doi.org/10.18653/v1/2020.acl-main.491</w:t>
        </w:r>
      </w:hyperlink>
      <w:r>
        <w:t xml:space="preserve">.</w:t>
      </w:r>
    </w:p>
    <w:bookmarkEnd w:id="180"/>
    <w:bookmarkStart w:id="182" w:name="ref-hassija2023"/>
    <w:p>
      <w:pPr>
        <w:pStyle w:val="Bibliography"/>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r:id="rId181">
        <w:r>
          <w:rPr>
            <w:rStyle w:val="Hipervnculo"/>
          </w:rPr>
          <w:t xml:space="preserve">https://doi.org/10.1007/s12559-023-10179-8</w:t>
        </w:r>
      </w:hyperlink>
      <w:r>
        <w:t xml:space="preserve">.</w:t>
      </w:r>
    </w:p>
    <w:bookmarkEnd w:id="182"/>
    <w:bookmarkStart w:id="183" w:name="ref-hedstrom2023"/>
    <w:p>
      <w:pPr>
        <w:pStyle w:val="Bibliography"/>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183"/>
    <w:bookmarkStart w:id="185" w:name="ref-hoffman2023"/>
    <w:p>
      <w:pPr>
        <w:pStyle w:val="Bibliography"/>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r:id="rId184">
        <w:r>
          <w:rPr>
            <w:rStyle w:val="Hipervnculo"/>
          </w:rPr>
          <w:t xml:space="preserve">https://doi.org/10.1007/s13218-023-00806-9</w:t>
        </w:r>
      </w:hyperlink>
      <w:r>
        <w:t xml:space="preserve">.</w:t>
      </w:r>
    </w:p>
    <w:bookmarkEnd w:id="185"/>
    <w:bookmarkStart w:id="187" w:name="ref-karimi2022"/>
    <w:p>
      <w:pPr>
        <w:pStyle w:val="Bibliography"/>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r:id="rId186">
        <w:r>
          <w:rPr>
            <w:rStyle w:val="Hipervnculo"/>
          </w:rPr>
          <w:t xml:space="preserve">https://doi.org/10.1145/3527848</w:t>
        </w:r>
      </w:hyperlink>
      <w:r>
        <w:t xml:space="preserve">.</w:t>
      </w:r>
    </w:p>
    <w:bookmarkEnd w:id="187"/>
    <w:bookmarkStart w:id="189" w:name="ref-kaur2020"/>
    <w:p>
      <w:pPr>
        <w:pStyle w:val="Bibliography"/>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r:id="rId188">
        <w:r>
          <w:rPr>
            <w:rStyle w:val="Hipervnculo"/>
          </w:rPr>
          <w:t xml:space="preserve">https://doi.org/10.1145/3313831.3376219</w:t>
        </w:r>
      </w:hyperlink>
      <w:r>
        <w:t xml:space="preserve">.</w:t>
      </w:r>
    </w:p>
    <w:bookmarkEnd w:id="189"/>
    <w:bookmarkStart w:id="191" w:name="ref-kohavi1996"/>
    <w:p>
      <w:pPr>
        <w:pStyle w:val="Bibliography"/>
      </w:pPr>
      <w:r>
        <w:t xml:space="preserve">Kohavi, Ron, and Barry Becker. 1996.</w:t>
      </w:r>
      <w:r>
        <w:t xml:space="preserve"> </w:t>
      </w:r>
      <w:r>
        <w:rPr>
          <w:i/>
          <w:iCs/>
        </w:rPr>
        <w:t xml:space="preserve">Adult Data Set</w:t>
      </w:r>
      <w:r>
        <w:t xml:space="preserve">. UCI Machine Learning Repository.</w:t>
      </w:r>
      <w:r>
        <w:t xml:space="preserve"> </w:t>
      </w:r>
      <w:hyperlink r:id="rId190">
        <w:r>
          <w:rPr>
            <w:rStyle w:val="Hipervnculo"/>
          </w:rPr>
          <w:t xml:space="preserve">https://archive.ics.uci.edu/dataset/2/adult</w:t>
        </w:r>
      </w:hyperlink>
      <w:r>
        <w:t xml:space="preserve">.</w:t>
      </w:r>
    </w:p>
    <w:bookmarkEnd w:id="191"/>
    <w:bookmarkStart w:id="193" w:name="ref-lakens2013"/>
    <w:p>
      <w:pPr>
        <w:pStyle w:val="Bibliography"/>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r:id="rId192">
        <w:r>
          <w:rPr>
            <w:rStyle w:val="Hipervnculo"/>
          </w:rPr>
          <w:t xml:space="preserve">https://doi.org/10.3389/fpsyg.2013.00863</w:t>
        </w:r>
      </w:hyperlink>
      <w:r>
        <w:t xml:space="preserve">.</w:t>
      </w:r>
    </w:p>
    <w:bookmarkEnd w:id="193"/>
    <w:bookmarkStart w:id="195" w:name="ref-langer2021"/>
    <w:p>
      <w:pPr>
        <w:pStyle w:val="Bibliography"/>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r:id="rId194">
        <w:r>
          <w:rPr>
            <w:rStyle w:val="Hipervnculo"/>
          </w:rPr>
          <w:t xml:space="preserve">https://doi.org/10.1016/j.artint.2021.103473</w:t>
        </w:r>
      </w:hyperlink>
      <w:r>
        <w:t xml:space="preserve">.</w:t>
      </w:r>
    </w:p>
    <w:bookmarkEnd w:id="195"/>
    <w:bookmarkStart w:id="197" w:name="ref-laugel2019"/>
    <w:p>
      <w:pPr>
        <w:pStyle w:val="Bibliography"/>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r:id="rId196">
        <w:r>
          <w:rPr>
            <w:rStyle w:val="Hipervnculo"/>
          </w:rPr>
          <w:t xml:space="preserve">https://doi.org/10.24963/ijcai.2019/388</w:t>
        </w:r>
      </w:hyperlink>
      <w:r>
        <w:t xml:space="preserve">.</w:t>
      </w:r>
    </w:p>
    <w:bookmarkEnd w:id="197"/>
    <w:bookmarkStart w:id="199" w:name="ref-linardatos2020"/>
    <w:p>
      <w:pPr>
        <w:pStyle w:val="Bibliography"/>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r:id="rId198">
        <w:r>
          <w:rPr>
            <w:rStyle w:val="Hipervnculo"/>
          </w:rPr>
          <w:t xml:space="preserve">https://doi.org/10.3390/e23010018</w:t>
        </w:r>
      </w:hyperlink>
      <w:r>
        <w:t xml:space="preserve">.</w:t>
      </w:r>
    </w:p>
    <w:bookmarkEnd w:id="199"/>
    <w:bookmarkStart w:id="201" w:name="ref-lipton2018"/>
    <w:p>
      <w:pPr>
        <w:pStyle w:val="Bibliography"/>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r:id="rId200">
        <w:r>
          <w:rPr>
            <w:rStyle w:val="Hipervnculo"/>
          </w:rPr>
          <w:t xml:space="preserve">https://doi.org/10.1145/3236386.3241340</w:t>
        </w:r>
      </w:hyperlink>
      <w:r>
        <w:t xml:space="preserve">.</w:t>
      </w:r>
    </w:p>
    <w:bookmarkEnd w:id="201"/>
    <w:bookmarkStart w:id="203" w:name="ref-lundberg2017"/>
    <w:p>
      <w:pPr>
        <w:pStyle w:val="Bibliography"/>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r:id="rId202">
        <w:r>
          <w:rPr>
            <w:rStyle w:val="Hipervnculo"/>
          </w:rPr>
          <w:t xml:space="preserve">https://doi.org/10.48550/arxiv.1705.07874</w:t>
        </w:r>
      </w:hyperlink>
      <w:r>
        <w:t xml:space="preserve">.</w:t>
      </w:r>
    </w:p>
    <w:bookmarkEnd w:id="203"/>
    <w:bookmarkStart w:id="205" w:name="ref-malwade2023"/>
    <w:p>
      <w:pPr>
        <w:pStyle w:val="Bibliography"/>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r:id="rId204">
        <w:r>
          <w:rPr>
            <w:rStyle w:val="Hipervnculo"/>
          </w:rPr>
          <w:t xml:space="preserve">https://doi.org/10.1145/3647444.3647912</w:t>
        </w:r>
      </w:hyperlink>
      <w:r>
        <w:t xml:space="preserve">.</w:t>
      </w:r>
    </w:p>
    <w:bookmarkEnd w:id="205"/>
    <w:bookmarkStart w:id="207" w:name="ref-marcinkevičs2023"/>
    <w:p>
      <w:pPr>
        <w:pStyle w:val="Bibliography"/>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r:id="rId206">
        <w:r>
          <w:rPr>
            <w:rStyle w:val="Hipervnculo"/>
          </w:rPr>
          <w:t xml:space="preserve">https://doi.org/10.1002/widm.1493</w:t>
        </w:r>
      </w:hyperlink>
      <w:r>
        <w:t xml:space="preserve">.</w:t>
      </w:r>
    </w:p>
    <w:bookmarkEnd w:id="207"/>
    <w:bookmarkStart w:id="209" w:name="ref-miller2019"/>
    <w:p>
      <w:pPr>
        <w:pStyle w:val="Bibliography"/>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r:id="rId208">
        <w:r>
          <w:rPr>
            <w:rStyle w:val="Hipervnculo"/>
          </w:rPr>
          <w:t xml:space="preserve">https://doi.org/10.1016/j.artint.2018.07.007</w:t>
        </w:r>
      </w:hyperlink>
      <w:r>
        <w:t xml:space="preserve">.</w:t>
      </w:r>
    </w:p>
    <w:bookmarkEnd w:id="209"/>
    <w:bookmarkStart w:id="211" w:name="ref-mittelstadt2019"/>
    <w:p>
      <w:pPr>
        <w:pStyle w:val="Bibliography"/>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r:id="rId210">
        <w:r>
          <w:rPr>
            <w:rStyle w:val="Hipervnculo"/>
          </w:rPr>
          <w:t xml:space="preserve">https://doi.org/10.1145/3287560.3287574</w:t>
        </w:r>
      </w:hyperlink>
      <w:r>
        <w:t xml:space="preserve">.</w:t>
      </w:r>
    </w:p>
    <w:bookmarkEnd w:id="211"/>
    <w:bookmarkStart w:id="213" w:name="ref-mohseni2021"/>
    <w:p>
      <w:pPr>
        <w:pStyle w:val="Bibliography"/>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r:id="rId212">
        <w:r>
          <w:rPr>
            <w:rStyle w:val="Hipervnculo"/>
          </w:rPr>
          <w:t xml:space="preserve">https://doi.org/10.1145/3387166</w:t>
        </w:r>
      </w:hyperlink>
      <w:r>
        <w:t xml:space="preserve">.</w:t>
      </w:r>
    </w:p>
    <w:bookmarkEnd w:id="213"/>
    <w:bookmarkStart w:id="215" w:name="ref-mothilal2020"/>
    <w:p>
      <w:pPr>
        <w:pStyle w:val="Bibliography"/>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r:id="rId214">
        <w:r>
          <w:rPr>
            <w:rStyle w:val="Hipervnculo"/>
          </w:rPr>
          <w:t xml:space="preserve">https://doi.org/10.1145/3351095.3372850</w:t>
        </w:r>
      </w:hyperlink>
      <w:r>
        <w:t xml:space="preserve">.</w:t>
      </w:r>
    </w:p>
    <w:bookmarkEnd w:id="215"/>
    <w:bookmarkStart w:id="217" w:name="ref-murdoch2019"/>
    <w:p>
      <w:pPr>
        <w:pStyle w:val="Bibliography"/>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r:id="rId216">
        <w:r>
          <w:rPr>
            <w:rStyle w:val="Hipervnculo"/>
          </w:rPr>
          <w:t xml:space="preserve">https://doi.org/10.1073/pnas.1900654116</w:t>
        </w:r>
      </w:hyperlink>
      <w:r>
        <w:t xml:space="preserve">.</w:t>
      </w:r>
    </w:p>
    <w:bookmarkEnd w:id="217"/>
    <w:bookmarkStart w:id="219" w:name="ref-nauta2023"/>
    <w:p>
      <w:pPr>
        <w:pStyle w:val="Bibliography"/>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r:id="rId218">
        <w:r>
          <w:rPr>
            <w:rStyle w:val="Hipervnculo"/>
          </w:rPr>
          <w:t xml:space="preserve">https://doi.org/10.1145/3583558</w:t>
        </w:r>
      </w:hyperlink>
      <w:r>
        <w:t xml:space="preserve">.</w:t>
      </w:r>
    </w:p>
    <w:bookmarkEnd w:id="219"/>
    <w:bookmarkStart w:id="221" w:name="ref-nemenyi1963"/>
    <w:p>
      <w:pPr>
        <w:pStyle w:val="Bibliography"/>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r:id="rId220">
        <w:r>
          <w:rPr>
            <w:rStyle w:val="Hipervnculo"/>
          </w:rPr>
          <w:t xml:space="preserve">https://catalog.princeton.edu/catalog/2081365</w:t>
        </w:r>
      </w:hyperlink>
      <w:r>
        <w:t xml:space="preserve">.</w:t>
      </w:r>
    </w:p>
    <w:bookmarkEnd w:id="221"/>
    <w:bookmarkStart w:id="222" w:name="ref-nizam2023"/>
    <w:p>
      <w:pPr>
        <w:pStyle w:val="Bibliography"/>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22"/>
    <w:bookmarkStart w:id="224" w:name="ref-nussberger2022"/>
    <w:p>
      <w:pPr>
        <w:pStyle w:val="Bibliography"/>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r:id="rId223">
        <w:r>
          <w:rPr>
            <w:rStyle w:val="Hipervnculo"/>
          </w:rPr>
          <w:t xml:space="preserve">https://doi.org/10.1038/s41467-022-33417-3</w:t>
        </w:r>
      </w:hyperlink>
      <w:r>
        <w:t xml:space="preserve">.</w:t>
      </w:r>
    </w:p>
    <w:bookmarkEnd w:id="224"/>
    <w:bookmarkStart w:id="226" w:name="ref-pawlicki2024"/>
    <w:p>
      <w:pPr>
        <w:pStyle w:val="Bibliography"/>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r:id="rId225">
        <w:r>
          <w:rPr>
            <w:rStyle w:val="Hipervnculo"/>
          </w:rPr>
          <w:t xml:space="preserve">https://doi.org/10.1016/j.neucom.2024.128282</w:t>
        </w:r>
      </w:hyperlink>
      <w:r>
        <w:t xml:space="preserve">.</w:t>
      </w:r>
    </w:p>
    <w:bookmarkEnd w:id="226"/>
    <w:bookmarkStart w:id="228" w:name="ref-poyiadzi2020"/>
    <w:p>
      <w:pPr>
        <w:pStyle w:val="Bibliography"/>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r:id="rId227">
        <w:r>
          <w:rPr>
            <w:rStyle w:val="Hipervnculo"/>
          </w:rPr>
          <w:t xml:space="preserve">https://doi.org/10.1145/3375627.3375850</w:t>
        </w:r>
      </w:hyperlink>
      <w:r>
        <w:t xml:space="preserve">.</w:t>
      </w:r>
    </w:p>
    <w:bookmarkEnd w:id="228"/>
    <w:bookmarkStart w:id="230" w:name="ref-ribeiro2016"/>
    <w:p>
      <w:pPr>
        <w:pStyle w:val="Bibliography"/>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r:id="rId229">
        <w:r>
          <w:rPr>
            <w:rStyle w:val="Hipervnculo"/>
          </w:rPr>
          <w:t xml:space="preserve">https://doi.org/10.1145/2939672.2939778</w:t>
        </w:r>
      </w:hyperlink>
      <w:r>
        <w:t xml:space="preserve">.</w:t>
      </w:r>
    </w:p>
    <w:bookmarkEnd w:id="230"/>
    <w:bookmarkStart w:id="232" w:name="ref-ribeiro2018"/>
    <w:p>
      <w:pPr>
        <w:pStyle w:val="Bibliography"/>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r:id="rId231">
        <w:r>
          <w:rPr>
            <w:rStyle w:val="Hipervnculo"/>
          </w:rPr>
          <w:t xml:space="preserve">https://doi.org/10.1609/aaai.v32i1.11491</w:t>
        </w:r>
      </w:hyperlink>
      <w:r>
        <w:t xml:space="preserve">.</w:t>
      </w:r>
    </w:p>
    <w:bookmarkEnd w:id="232"/>
    <w:bookmarkStart w:id="234" w:name="ref-zhang2024"/>
    <w:p>
      <w:pPr>
        <w:pStyle w:val="Bibliography"/>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r:id="rId233">
        <w:r>
          <w:rPr>
            <w:rStyle w:val="Hipervnculo"/>
          </w:rPr>
          <w:t xml:space="preserve">https://doi.org/10.1109/TPAMI.2023.3331846</w:t>
        </w:r>
      </w:hyperlink>
      <w:r>
        <w:t xml:space="preserve">.</w:t>
      </w:r>
    </w:p>
    <w:bookmarkEnd w:id="234"/>
    <w:bookmarkStart w:id="236" w:name="ref-rudin2022"/>
    <w:p>
      <w:pPr>
        <w:pStyle w:val="Bibliography"/>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r:id="rId235">
        <w:r>
          <w:rPr>
            <w:rStyle w:val="Hipervnculo"/>
          </w:rPr>
          <w:t xml:space="preserve">https://doi.org/10.1214/21-ss133</w:t>
        </w:r>
      </w:hyperlink>
      <w:r>
        <w:t xml:space="preserve">.</w:t>
      </w:r>
    </w:p>
    <w:bookmarkEnd w:id="236"/>
    <w:bookmarkStart w:id="238" w:name="ref-saarela2024"/>
    <w:p>
      <w:pPr>
        <w:pStyle w:val="Bibliography"/>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r:id="rId237">
        <w:r>
          <w:rPr>
            <w:rStyle w:val="Hipervnculo"/>
          </w:rPr>
          <w:t xml:space="preserve">https://doi.org/10.3390/app14198884</w:t>
        </w:r>
      </w:hyperlink>
      <w:r>
        <w:t xml:space="preserve">.</w:t>
      </w:r>
    </w:p>
    <w:bookmarkEnd w:id="238"/>
    <w:bookmarkStart w:id="240" w:name="ref-samek2019"/>
    <w:p>
      <w:pPr>
        <w:pStyle w:val="Bibliography"/>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r:id="rId239">
        <w:r>
          <w:rPr>
            <w:rStyle w:val="Hipervnculo"/>
          </w:rPr>
          <w:t xml:space="preserve">https://doi.org/10.1007/978-3-030-28954-6</w:t>
        </w:r>
      </w:hyperlink>
      <w:r>
        <w:t xml:space="preserve">.</w:t>
      </w:r>
    </w:p>
    <w:bookmarkEnd w:id="240"/>
    <w:bookmarkStart w:id="242" w:name="ref-schwalbe2023"/>
    <w:p>
      <w:pPr>
        <w:pStyle w:val="Bibliography"/>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r:id="rId241">
        <w:r>
          <w:rPr>
            <w:rStyle w:val="Hipervnculo"/>
          </w:rPr>
          <w:t xml:space="preserve">https://doi.org/10.1007/s10618-022-00867-8</w:t>
        </w:r>
      </w:hyperlink>
      <w:r>
        <w:t xml:space="preserve">.</w:t>
      </w:r>
    </w:p>
    <w:bookmarkEnd w:id="242"/>
    <w:bookmarkStart w:id="244" w:name="ref-slack2020"/>
    <w:p>
      <w:pPr>
        <w:pStyle w:val="Bibliography"/>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r:id="rId243">
        <w:r>
          <w:rPr>
            <w:rStyle w:val="Hipervnculo"/>
          </w:rPr>
          <w:t xml:space="preserve">https://doi.org/10.1145/3375627.3375830</w:t>
        </w:r>
      </w:hyperlink>
      <w:r>
        <w:t xml:space="preserve">.</w:t>
      </w:r>
    </w:p>
    <w:bookmarkEnd w:id="244"/>
    <w:bookmarkStart w:id="246" w:name="ref-sokol2020"/>
    <w:p>
      <w:pPr>
        <w:pStyle w:val="Bibliography"/>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r:id="rId245">
        <w:r>
          <w:rPr>
            <w:rStyle w:val="Hipervnculo"/>
          </w:rPr>
          <w:t xml:space="preserve">https://doi.org/10.1007/s13218-020-00637-y</w:t>
        </w:r>
      </w:hyperlink>
      <w:r>
        <w:t xml:space="preserve">.</w:t>
      </w:r>
    </w:p>
    <w:bookmarkEnd w:id="246"/>
    <w:bookmarkStart w:id="248" w:name="ref-tjoa2020"/>
    <w:p>
      <w:pPr>
        <w:pStyle w:val="Bibliography"/>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r:id="rId247">
        <w:r>
          <w:rPr>
            <w:rStyle w:val="Hipervnculo"/>
          </w:rPr>
          <w:t xml:space="preserve">https://doi.org/10.1109/TNNLS.2020.3027314</w:t>
        </w:r>
      </w:hyperlink>
      <w:r>
        <w:t xml:space="preserve">.</w:t>
      </w:r>
    </w:p>
    <w:bookmarkEnd w:id="248"/>
    <w:bookmarkStart w:id="250" w:name="ref-tomsett2020"/>
    <w:p>
      <w:pPr>
        <w:pStyle w:val="Bibliography"/>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r:id="rId249">
        <w:r>
          <w:rPr>
            <w:rStyle w:val="Hipervnculo"/>
          </w:rPr>
          <w:t xml:space="preserve">https://doi.org/10.1609/aaai.v34i04.6064</w:t>
        </w:r>
      </w:hyperlink>
      <w:r>
        <w:t xml:space="preserve">.</w:t>
      </w:r>
    </w:p>
    <w:bookmarkEnd w:id="250"/>
    <w:bookmarkStart w:id="252" w:name="ref-tripathy2024"/>
    <w:p>
      <w:pPr>
        <w:pStyle w:val="Bibliography"/>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r:id="rId251">
        <w:r>
          <w:rPr>
            <w:rStyle w:val="Hipervnculo"/>
          </w:rPr>
          <w:t xml:space="preserve">https://doi.org/10.1201/9781003442509</w:t>
        </w:r>
      </w:hyperlink>
      <w:r>
        <w:t xml:space="preserve">.</w:t>
      </w:r>
    </w:p>
    <w:bookmarkEnd w:id="252"/>
    <w:bookmarkStart w:id="254" w:name="ref-vandenbroeck2022"/>
    <w:p>
      <w:pPr>
        <w:pStyle w:val="Bibliography"/>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r:id="rId253">
        <w:r>
          <w:rPr>
            <w:rStyle w:val="Hipervnculo"/>
          </w:rPr>
          <w:t xml:space="preserve">https://doi.org/10.1613/jair.1.13283</w:t>
        </w:r>
      </w:hyperlink>
      <w:r>
        <w:t xml:space="preserve">.</w:t>
      </w:r>
    </w:p>
    <w:bookmarkEnd w:id="254"/>
    <w:bookmarkStart w:id="256" w:name="ref-wachter2017"/>
    <w:p>
      <w:pPr>
        <w:pStyle w:val="Bibliography"/>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r:id="rId255">
        <w:r>
          <w:rPr>
            <w:rStyle w:val="Hipervnculo"/>
          </w:rPr>
          <w:t xml:space="preserve">https://doi.org/10.2139/ssrn.3063289</w:t>
        </w:r>
      </w:hyperlink>
      <w:r>
        <w:t xml:space="preserve">.</w:t>
      </w:r>
    </w:p>
    <w:bookmarkEnd w:id="256"/>
    <w:bookmarkStart w:id="258"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257">
        <w:r>
          <w:rPr>
            <w:rStyle w:val="Hipervnculo"/>
          </w:rPr>
          <w:t xml:space="preserve">https://doi.org/10.2307/3001968</w:t>
        </w:r>
      </w:hyperlink>
      <w:r>
        <w:t xml:space="preserve">.</w:t>
      </w:r>
    </w:p>
    <w:bookmarkEnd w:id="258"/>
    <w:bookmarkStart w:id="260" w:name="ref-zheng2025"/>
    <w:p>
      <w:pPr>
        <w:pStyle w:val="Bibliography"/>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r:id="rId259">
        <w:r>
          <w:rPr>
            <w:rStyle w:val="Hipervnculo"/>
          </w:rPr>
          <w:t xml:space="preserve">https://trustai4s-lab.github.io/ffidelity</w:t>
        </w:r>
      </w:hyperlink>
      <w:r>
        <w:t xml:space="preserve">.</w:t>
      </w:r>
    </w:p>
    <w:bookmarkEnd w:id="260"/>
    <w:bookmarkEnd w:id="261"/>
    <w:bookmarkEnd w:id="262"/>
    <w:bookmarkStart w:id="266" w:name="apéndices"/>
    <w:p>
      <w:pPr>
        <w:pStyle w:val="Ttulo1"/>
      </w:pPr>
      <w:r>
        <w:t xml:space="preserve">Apéndices</w:t>
      </w:r>
    </w:p>
    <w:bookmarkStart w:id="263" w:name="apéndice-a-detalles-del-corpus-de-datos"/>
    <w:p>
      <w:pPr>
        <w:pStyle w:val="Ttulo2"/>
      </w:pPr>
      <w:r>
        <w:t xml:space="preserve">Apéndice A: Detalles del corpus de datos</w:t>
      </w:r>
    </w:p>
    <w:bookmarkEnd w:id="263"/>
    <w:bookmarkStart w:id="264" w:name="X099ba691e46175a7ccd6698c94b9cfe7ba4975a"/>
    <w:p>
      <w:pPr>
        <w:pStyle w:val="Ttulo2"/>
      </w:pPr>
      <w:r>
        <w:t xml:space="preserve">Apéndice B: Configuración de los modelos de caja negra</w:t>
      </w:r>
    </w:p>
    <w:bookmarkEnd w:id="264"/>
    <w:bookmarkStart w:id="265" w:name="X52f0a5c074bf6018d9e252527b969f7db490891"/>
    <w:p>
      <w:pPr>
        <w:pStyle w:val="Ttulo2"/>
      </w:pPr>
      <w:r>
        <w:t xml:space="preserve">Apéndice C: Prompts utilizados para la evaluación con LLMs</w:t>
      </w:r>
    </w:p>
    <w:bookmarkEnd w:id="265"/>
    <w:bookmarkEnd w:id="266"/>
    <w:sectPr w:rsidR="004A1446" w:rsidSect="0070096E">
      <w:headerReference r:id="rId9" w:type="even"/>
      <w:headerReference r: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259"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style>
  <w:style w:styleId="Ttulo1" w:type="paragraph">
    <w:name w:val="heading 1"/>
    <w:basedOn w:val="Normal"/>
    <w:next w:val="Normal"/>
    <w:link w:val="Ttulo1Car"/>
    <w:autoRedefine/>
    <w:uiPriority w:val="9"/>
    <w:qFormat/>
    <w:rsid w:val="00587376"/>
    <w:pPr>
      <w:keepNext/>
      <w:keepLines/>
      <w:spacing w:after="0" w:before="240" w:line="480" w:lineRule="auto"/>
      <w:jc w:val="center"/>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480" w:lineRule="auto"/>
      <w:outlineLvl w:val="1"/>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outlineLvl w:val="2"/>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ind w:left="1440"/>
      <w:outlineLvl w:val="3"/>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ind w:left="1440"/>
      <w:outlineLvl w:val="4"/>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240" w:lineRule="auto"/>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240" w:lineRule="auto"/>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pPr>
    <w:rPr>
      <w:lang w:eastAsia="es-MX"/>
    </w:rPr>
  </w:style>
  <w:style w:styleId="TDC3" w:type="paragraph">
    <w:name w:val="toc 3"/>
    <w:basedOn w:val="Normal"/>
    <w:next w:val="Normal"/>
    <w:autoRedefine/>
    <w:uiPriority w:val="39"/>
    <w:unhideWhenUsed/>
    <w:rsid w:val="00302EDB"/>
    <w:pPr>
      <w:spacing w:after="100" w:line="480" w:lineRule="auto"/>
      <w:ind w:left="482"/>
    </w:pPr>
  </w:style>
  <w:style w:styleId="TDC1" w:type="paragraph">
    <w:name w:val="toc 1"/>
    <w:basedOn w:val="Normal"/>
    <w:next w:val="Normal"/>
    <w:autoRedefine/>
    <w:uiPriority w:val="39"/>
    <w:unhideWhenUsed/>
    <w:rsid w:val="00302EDB"/>
    <w:pPr>
      <w:spacing w:after="100" w:line="480" w:lineRule="auto"/>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480" w:lineRule="auto"/>
      <w:ind w:left="238"/>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240" w:lineRule="auto"/>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480" w:lineRule="auto"/>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480" w:lineRule="auto"/>
      <w:ind w:left="720"/>
    </w:pPr>
  </w:style>
  <w:style w:styleId="TDC5" w:type="paragraph">
    <w:name w:val="toc 5"/>
    <w:basedOn w:val="Normal"/>
    <w:next w:val="Normal"/>
    <w:autoRedefine/>
    <w:uiPriority w:val="39"/>
    <w:unhideWhenUsed/>
    <w:rsid w:val="00302EDB"/>
    <w:pPr>
      <w:spacing w:after="100" w:line="480" w:lineRule="auto"/>
      <w:ind w:left="958"/>
    </w:pPr>
  </w:style>
  <w:style w:customStyle="1" w:styleId="Default" w:type="paragraph">
    <w:name w:val="Default"/>
    <w:rsid w:val="003C25F6"/>
    <w:pPr>
      <w:autoSpaceDE w:val="0"/>
      <w:autoSpaceDN w:val="0"/>
      <w:adjustRightInd w:val="0"/>
      <w:spacing w:after="0" w:line="240" w:lineRule="auto"/>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240" w:lineRule="auto"/>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hyperlink" Id="rId190" Target="https://archive.ics.uci.edu/dataset/2/adult" TargetMode="External" /><Relationship Type="http://schemas.openxmlformats.org/officeDocument/2006/relationships/hyperlink" Id="rId220" Target="https://catalog.princeton.edu/catalog/2081365" TargetMode="External" /><Relationship Type="http://schemas.openxmlformats.org/officeDocument/2006/relationships/hyperlink" Id="rId151" Target="https://doi.org/10.1002/widm.1424" TargetMode="External" /><Relationship Type="http://schemas.openxmlformats.org/officeDocument/2006/relationships/hyperlink" Id="rId206" Target="https://doi.org/10.1002/widm.1493" TargetMode="External" /><Relationship Type="http://schemas.openxmlformats.org/officeDocument/2006/relationships/hyperlink" Id="rId239" Target="https://doi.org/10.1007/978-3-030-28954-6" TargetMode="External" /><Relationship Type="http://schemas.openxmlformats.org/officeDocument/2006/relationships/hyperlink" Id="rId241" Target="https://doi.org/10.1007/s10618-022-00867-8" TargetMode="External" /><Relationship Type="http://schemas.openxmlformats.org/officeDocument/2006/relationships/hyperlink" Id="rId171" Target="https://doi.org/10.1007/s11023-018-9482-5" TargetMode="External" /><Relationship Type="http://schemas.openxmlformats.org/officeDocument/2006/relationships/hyperlink" Id="rId181" Target="https://doi.org/10.1007/s12559-023-10179-8" TargetMode="External" /><Relationship Type="http://schemas.openxmlformats.org/officeDocument/2006/relationships/hyperlink" Id="rId245" Target="https://doi.org/10.1007/s13218-020-00637-y" TargetMode="External" /><Relationship Type="http://schemas.openxmlformats.org/officeDocument/2006/relationships/hyperlink" Id="rId184" Target="https://doi.org/10.1007/s13218-023-00806-9" TargetMode="External" /><Relationship Type="http://schemas.openxmlformats.org/officeDocument/2006/relationships/hyperlink" Id="rId208" Target="https://doi.org/10.1016/j.artint.2018.07.007" TargetMode="External" /><Relationship Type="http://schemas.openxmlformats.org/officeDocument/2006/relationships/hyperlink" Id="rId194" Target="https://doi.org/10.1016/j.artint.2021.103473" TargetMode="External" /><Relationship Type="http://schemas.openxmlformats.org/officeDocument/2006/relationships/hyperlink" Id="rId153" Target="https://doi.org/10.1016/j.inffus.2019.12.012" TargetMode="External" /><Relationship Type="http://schemas.openxmlformats.org/officeDocument/2006/relationships/hyperlink" Id="rId145" Target="https://doi.org/10.1016/j.inffus.2023.101805" TargetMode="External" /><Relationship Type="http://schemas.openxmlformats.org/officeDocument/2006/relationships/hyperlink" Id="rId225" Target="https://doi.org/10.1016/j.neucom.2024.128282" TargetMode="External" /><Relationship Type="http://schemas.openxmlformats.org/officeDocument/2006/relationships/hyperlink" Id="rId159" Target="https://doi.org/10.1023/a:1010933404324" TargetMode="External" /><Relationship Type="http://schemas.openxmlformats.org/officeDocument/2006/relationships/hyperlink" Id="rId223" Target="https://doi.org/10.1038/s41467-022-33417-3" TargetMode="External" /><Relationship Type="http://schemas.openxmlformats.org/officeDocument/2006/relationships/hyperlink" Id="rId216" Target="https://doi.org/10.1073/pnas.1900654116" TargetMode="External" /><Relationship Type="http://schemas.openxmlformats.org/officeDocument/2006/relationships/hyperlink" Id="rId173" Target="https://doi.org/10.1080/01621459.1937.10503522" TargetMode="External" /><Relationship Type="http://schemas.openxmlformats.org/officeDocument/2006/relationships/hyperlink" Id="rId140" Target="https://doi.org/10.1109/INES59045.2023.1030000" TargetMode="External" /><Relationship Type="http://schemas.openxmlformats.org/officeDocument/2006/relationships/hyperlink" Id="rId247" Target="https://doi.org/10.1109/TNNLS.2020.3027314" TargetMode="External" /><Relationship Type="http://schemas.openxmlformats.org/officeDocument/2006/relationships/hyperlink" Id="rId233" Target="https://doi.org/10.1109/TPAMI.2023.3331846" TargetMode="External" /><Relationship Type="http://schemas.openxmlformats.org/officeDocument/2006/relationships/hyperlink" Id="rId142" Target="https://doi.org/10.1109/access.2018.2870052" TargetMode="External" /><Relationship Type="http://schemas.openxmlformats.org/officeDocument/2006/relationships/hyperlink" Id="rId175" Target="https://doi.org/10.1109/dsaa.2018.00018" TargetMode="External" /><Relationship Type="http://schemas.openxmlformats.org/officeDocument/2006/relationships/hyperlink" Id="rId229" Target="https://doi.org/10.1145/2939672.2939778" TargetMode="External" /><Relationship Type="http://schemas.openxmlformats.org/officeDocument/2006/relationships/hyperlink" Id="rId138" Target="https://doi.org/10.1145/3173574.3174156" TargetMode="External" /><Relationship Type="http://schemas.openxmlformats.org/officeDocument/2006/relationships/hyperlink" Id="rId177" Target="https://doi.org/10.1145/3236009" TargetMode="External" /><Relationship Type="http://schemas.openxmlformats.org/officeDocument/2006/relationships/hyperlink" Id="rId200" Target="https://doi.org/10.1145/3236386.3241340" TargetMode="External" /><Relationship Type="http://schemas.openxmlformats.org/officeDocument/2006/relationships/hyperlink" Id="rId210" Target="https://doi.org/10.1145/3287560.3287574" TargetMode="External" /><Relationship Type="http://schemas.openxmlformats.org/officeDocument/2006/relationships/hyperlink" Id="rId188" Target="https://doi.org/10.1145/3313831.3376219" TargetMode="External" /><Relationship Type="http://schemas.openxmlformats.org/officeDocument/2006/relationships/hyperlink" Id="rId214" Target="https://doi.org/10.1145/3351095.3372850" TargetMode="External" /><Relationship Type="http://schemas.openxmlformats.org/officeDocument/2006/relationships/hyperlink" Id="rId243" Target="https://doi.org/10.1145/3375627.3375830" TargetMode="External" /><Relationship Type="http://schemas.openxmlformats.org/officeDocument/2006/relationships/hyperlink" Id="rId227" Target="https://doi.org/10.1145/3375627.3375850" TargetMode="External" /><Relationship Type="http://schemas.openxmlformats.org/officeDocument/2006/relationships/hyperlink" Id="rId212" Target="https://doi.org/10.1145/3387166" TargetMode="External" /><Relationship Type="http://schemas.openxmlformats.org/officeDocument/2006/relationships/hyperlink" Id="rId186" Target="https://doi.org/10.1145/3527848" TargetMode="External" /><Relationship Type="http://schemas.openxmlformats.org/officeDocument/2006/relationships/hyperlink" Id="rId218" Target="https://doi.org/10.1145/3583558" TargetMode="External" /><Relationship Type="http://schemas.openxmlformats.org/officeDocument/2006/relationships/hyperlink" Id="rId157" Target="https://doi.org/10.1145/3631700.3664911" TargetMode="External" /><Relationship Type="http://schemas.openxmlformats.org/officeDocument/2006/relationships/hyperlink" Id="rId204" Target="https://doi.org/10.1145/3647444.3647912" TargetMode="External" /><Relationship Type="http://schemas.openxmlformats.org/officeDocument/2006/relationships/hyperlink" Id="rId163" Target="https://doi.org/10.1145/3737445" TargetMode="External" /><Relationship Type="http://schemas.openxmlformats.org/officeDocument/2006/relationships/hyperlink" Id="rId147" Target="https://doi.org/10.1146/annurev-statistics-040120-030919" TargetMode="External" /><Relationship Type="http://schemas.openxmlformats.org/officeDocument/2006/relationships/hyperlink" Id="rId251" Target="https://doi.org/10.1201/9781003442509" TargetMode="External" /><Relationship Type="http://schemas.openxmlformats.org/officeDocument/2006/relationships/hyperlink" Id="rId235" Target="https://doi.org/10.1214/21-ss133" TargetMode="External" /><Relationship Type="http://schemas.openxmlformats.org/officeDocument/2006/relationships/hyperlink" Id="rId231" Target="https://doi.org/10.1609/aaai.v32i1.11491" TargetMode="External" /><Relationship Type="http://schemas.openxmlformats.org/officeDocument/2006/relationships/hyperlink" Id="rId249" Target="https://doi.org/10.1609/aaai.v34i04.6064" TargetMode="External" /><Relationship Type="http://schemas.openxmlformats.org/officeDocument/2006/relationships/hyperlink" Id="rId253" Target="https://doi.org/10.1613/jair.1.13283" TargetMode="External" /><Relationship Type="http://schemas.openxmlformats.org/officeDocument/2006/relationships/hyperlink" Id="rId179" Target="https://doi.org/10.18653/v1/2020.acl-main.491" TargetMode="External" /><Relationship Type="http://schemas.openxmlformats.org/officeDocument/2006/relationships/hyperlink" Id="rId161" Target="https://doi.org/10.18653/v1/2023.emnlp-main.792" TargetMode="External" /><Relationship Type="http://schemas.openxmlformats.org/officeDocument/2006/relationships/hyperlink" Id="rId255" Target="https://doi.org/10.2139/ssrn.3063289" TargetMode="External" /><Relationship Type="http://schemas.openxmlformats.org/officeDocument/2006/relationships/hyperlink" Id="rId257" Target="https://doi.org/10.2307/3001968" TargetMode="External" /><Relationship Type="http://schemas.openxmlformats.org/officeDocument/2006/relationships/hyperlink" Id="rId196" Target="https://doi.org/10.24963/ijcai.2019/388" TargetMode="External" /><Relationship Type="http://schemas.openxmlformats.org/officeDocument/2006/relationships/hyperlink" Id="rId155" Target="https://doi.org/10.3389/fdata.2021.688969" TargetMode="External" /><Relationship Type="http://schemas.openxmlformats.org/officeDocument/2006/relationships/hyperlink" Id="rId192" Target="https://doi.org/10.3389/fpsyg.2013.00863" TargetMode="External" /><Relationship Type="http://schemas.openxmlformats.org/officeDocument/2006/relationships/hyperlink" Id="rId237" Target="https://doi.org/10.3390/app14198884" TargetMode="External" /><Relationship Type="http://schemas.openxmlformats.org/officeDocument/2006/relationships/hyperlink" Id="rId198" Target="https://doi.org/10.3390/e23010018" TargetMode="External" /><Relationship Type="http://schemas.openxmlformats.org/officeDocument/2006/relationships/hyperlink" Id="rId165" Target="https://doi.org/10.3390/electronics8080832" TargetMode="External" /><Relationship Type="http://schemas.openxmlformats.org/officeDocument/2006/relationships/hyperlink" Id="rId149" Target="https://doi.org/10.3390/technologies13030093" TargetMode="External" /><Relationship Type="http://schemas.openxmlformats.org/officeDocument/2006/relationships/hyperlink" Id="rId169" Target="https://doi.org/10.48550/arxiv.1702.08608" TargetMode="External" /><Relationship Type="http://schemas.openxmlformats.org/officeDocument/2006/relationships/hyperlink" Id="rId202" Target="https://doi.org/10.48550/arxiv.1705.07874" TargetMode="External" /><Relationship Type="http://schemas.openxmlformats.org/officeDocument/2006/relationships/hyperlink" Id="rId259" Target="https://trustai4s-lab.github.io/ffidelity" TargetMode="External" /><Relationship Type="http://schemas.openxmlformats.org/officeDocument/2006/relationships/hyperlink" Id="rId167"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190" Target="https://archive.ics.uci.edu/dataset/2/adult" TargetMode="External" /><Relationship Type="http://schemas.openxmlformats.org/officeDocument/2006/relationships/hyperlink" Id="rId220" Target="https://catalog.princeton.edu/catalog/2081365" TargetMode="External" /><Relationship Type="http://schemas.openxmlformats.org/officeDocument/2006/relationships/hyperlink" Id="rId151" Target="https://doi.org/10.1002/widm.1424" TargetMode="External" /><Relationship Type="http://schemas.openxmlformats.org/officeDocument/2006/relationships/hyperlink" Id="rId206" Target="https://doi.org/10.1002/widm.1493" TargetMode="External" /><Relationship Type="http://schemas.openxmlformats.org/officeDocument/2006/relationships/hyperlink" Id="rId239" Target="https://doi.org/10.1007/978-3-030-28954-6" TargetMode="External" /><Relationship Type="http://schemas.openxmlformats.org/officeDocument/2006/relationships/hyperlink" Id="rId241" Target="https://doi.org/10.1007/s10618-022-00867-8" TargetMode="External" /><Relationship Type="http://schemas.openxmlformats.org/officeDocument/2006/relationships/hyperlink" Id="rId171" Target="https://doi.org/10.1007/s11023-018-9482-5" TargetMode="External" /><Relationship Type="http://schemas.openxmlformats.org/officeDocument/2006/relationships/hyperlink" Id="rId181" Target="https://doi.org/10.1007/s12559-023-10179-8" TargetMode="External" /><Relationship Type="http://schemas.openxmlformats.org/officeDocument/2006/relationships/hyperlink" Id="rId245" Target="https://doi.org/10.1007/s13218-020-00637-y" TargetMode="External" /><Relationship Type="http://schemas.openxmlformats.org/officeDocument/2006/relationships/hyperlink" Id="rId184" Target="https://doi.org/10.1007/s13218-023-00806-9" TargetMode="External" /><Relationship Type="http://schemas.openxmlformats.org/officeDocument/2006/relationships/hyperlink" Id="rId208" Target="https://doi.org/10.1016/j.artint.2018.07.007" TargetMode="External" /><Relationship Type="http://schemas.openxmlformats.org/officeDocument/2006/relationships/hyperlink" Id="rId194" Target="https://doi.org/10.1016/j.artint.2021.103473" TargetMode="External" /><Relationship Type="http://schemas.openxmlformats.org/officeDocument/2006/relationships/hyperlink" Id="rId153" Target="https://doi.org/10.1016/j.inffus.2019.12.012" TargetMode="External" /><Relationship Type="http://schemas.openxmlformats.org/officeDocument/2006/relationships/hyperlink" Id="rId145" Target="https://doi.org/10.1016/j.inffus.2023.101805" TargetMode="External" /><Relationship Type="http://schemas.openxmlformats.org/officeDocument/2006/relationships/hyperlink" Id="rId225" Target="https://doi.org/10.1016/j.neucom.2024.128282" TargetMode="External" /><Relationship Type="http://schemas.openxmlformats.org/officeDocument/2006/relationships/hyperlink" Id="rId159" Target="https://doi.org/10.1023/a:1010933404324" TargetMode="External" /><Relationship Type="http://schemas.openxmlformats.org/officeDocument/2006/relationships/hyperlink" Id="rId223" Target="https://doi.org/10.1038/s41467-022-33417-3" TargetMode="External" /><Relationship Type="http://schemas.openxmlformats.org/officeDocument/2006/relationships/hyperlink" Id="rId216" Target="https://doi.org/10.1073/pnas.1900654116" TargetMode="External" /><Relationship Type="http://schemas.openxmlformats.org/officeDocument/2006/relationships/hyperlink" Id="rId173" Target="https://doi.org/10.1080/01621459.1937.10503522" TargetMode="External" /><Relationship Type="http://schemas.openxmlformats.org/officeDocument/2006/relationships/hyperlink" Id="rId140" Target="https://doi.org/10.1109/INES59045.2023.1030000" TargetMode="External" /><Relationship Type="http://schemas.openxmlformats.org/officeDocument/2006/relationships/hyperlink" Id="rId247" Target="https://doi.org/10.1109/TNNLS.2020.3027314" TargetMode="External" /><Relationship Type="http://schemas.openxmlformats.org/officeDocument/2006/relationships/hyperlink" Id="rId233" Target="https://doi.org/10.1109/TPAMI.2023.3331846" TargetMode="External" /><Relationship Type="http://schemas.openxmlformats.org/officeDocument/2006/relationships/hyperlink" Id="rId142" Target="https://doi.org/10.1109/access.2018.2870052" TargetMode="External" /><Relationship Type="http://schemas.openxmlformats.org/officeDocument/2006/relationships/hyperlink" Id="rId175" Target="https://doi.org/10.1109/dsaa.2018.00018" TargetMode="External" /><Relationship Type="http://schemas.openxmlformats.org/officeDocument/2006/relationships/hyperlink" Id="rId229" Target="https://doi.org/10.1145/2939672.2939778" TargetMode="External" /><Relationship Type="http://schemas.openxmlformats.org/officeDocument/2006/relationships/hyperlink" Id="rId138" Target="https://doi.org/10.1145/3173574.3174156" TargetMode="External" /><Relationship Type="http://schemas.openxmlformats.org/officeDocument/2006/relationships/hyperlink" Id="rId177" Target="https://doi.org/10.1145/3236009" TargetMode="External" /><Relationship Type="http://schemas.openxmlformats.org/officeDocument/2006/relationships/hyperlink" Id="rId200" Target="https://doi.org/10.1145/3236386.3241340" TargetMode="External" /><Relationship Type="http://schemas.openxmlformats.org/officeDocument/2006/relationships/hyperlink" Id="rId210" Target="https://doi.org/10.1145/3287560.3287574" TargetMode="External" /><Relationship Type="http://schemas.openxmlformats.org/officeDocument/2006/relationships/hyperlink" Id="rId188" Target="https://doi.org/10.1145/3313831.3376219" TargetMode="External" /><Relationship Type="http://schemas.openxmlformats.org/officeDocument/2006/relationships/hyperlink" Id="rId214" Target="https://doi.org/10.1145/3351095.3372850" TargetMode="External" /><Relationship Type="http://schemas.openxmlformats.org/officeDocument/2006/relationships/hyperlink" Id="rId243" Target="https://doi.org/10.1145/3375627.3375830" TargetMode="External" /><Relationship Type="http://schemas.openxmlformats.org/officeDocument/2006/relationships/hyperlink" Id="rId227" Target="https://doi.org/10.1145/3375627.3375850" TargetMode="External" /><Relationship Type="http://schemas.openxmlformats.org/officeDocument/2006/relationships/hyperlink" Id="rId212" Target="https://doi.org/10.1145/3387166" TargetMode="External" /><Relationship Type="http://schemas.openxmlformats.org/officeDocument/2006/relationships/hyperlink" Id="rId186" Target="https://doi.org/10.1145/3527848" TargetMode="External" /><Relationship Type="http://schemas.openxmlformats.org/officeDocument/2006/relationships/hyperlink" Id="rId218" Target="https://doi.org/10.1145/3583558" TargetMode="External" /><Relationship Type="http://schemas.openxmlformats.org/officeDocument/2006/relationships/hyperlink" Id="rId157" Target="https://doi.org/10.1145/3631700.3664911" TargetMode="External" /><Relationship Type="http://schemas.openxmlformats.org/officeDocument/2006/relationships/hyperlink" Id="rId204" Target="https://doi.org/10.1145/3647444.3647912" TargetMode="External" /><Relationship Type="http://schemas.openxmlformats.org/officeDocument/2006/relationships/hyperlink" Id="rId163" Target="https://doi.org/10.1145/3737445" TargetMode="External" /><Relationship Type="http://schemas.openxmlformats.org/officeDocument/2006/relationships/hyperlink" Id="rId147" Target="https://doi.org/10.1146/annurev-statistics-040120-030919" TargetMode="External" /><Relationship Type="http://schemas.openxmlformats.org/officeDocument/2006/relationships/hyperlink" Id="rId251" Target="https://doi.org/10.1201/9781003442509" TargetMode="External" /><Relationship Type="http://schemas.openxmlformats.org/officeDocument/2006/relationships/hyperlink" Id="rId235" Target="https://doi.org/10.1214/21-ss133" TargetMode="External" /><Relationship Type="http://schemas.openxmlformats.org/officeDocument/2006/relationships/hyperlink" Id="rId231" Target="https://doi.org/10.1609/aaai.v32i1.11491" TargetMode="External" /><Relationship Type="http://schemas.openxmlformats.org/officeDocument/2006/relationships/hyperlink" Id="rId249" Target="https://doi.org/10.1609/aaai.v34i04.6064" TargetMode="External" /><Relationship Type="http://schemas.openxmlformats.org/officeDocument/2006/relationships/hyperlink" Id="rId253" Target="https://doi.org/10.1613/jair.1.13283" TargetMode="External" /><Relationship Type="http://schemas.openxmlformats.org/officeDocument/2006/relationships/hyperlink" Id="rId179" Target="https://doi.org/10.18653/v1/2020.acl-main.491" TargetMode="External" /><Relationship Type="http://schemas.openxmlformats.org/officeDocument/2006/relationships/hyperlink" Id="rId161" Target="https://doi.org/10.18653/v1/2023.emnlp-main.792" TargetMode="External" /><Relationship Type="http://schemas.openxmlformats.org/officeDocument/2006/relationships/hyperlink" Id="rId255" Target="https://doi.org/10.2139/ssrn.3063289" TargetMode="External" /><Relationship Type="http://schemas.openxmlformats.org/officeDocument/2006/relationships/hyperlink" Id="rId257" Target="https://doi.org/10.2307/3001968" TargetMode="External" /><Relationship Type="http://schemas.openxmlformats.org/officeDocument/2006/relationships/hyperlink" Id="rId196" Target="https://doi.org/10.24963/ijcai.2019/388" TargetMode="External" /><Relationship Type="http://schemas.openxmlformats.org/officeDocument/2006/relationships/hyperlink" Id="rId155" Target="https://doi.org/10.3389/fdata.2021.688969" TargetMode="External" /><Relationship Type="http://schemas.openxmlformats.org/officeDocument/2006/relationships/hyperlink" Id="rId192" Target="https://doi.org/10.3389/fpsyg.2013.00863" TargetMode="External" /><Relationship Type="http://schemas.openxmlformats.org/officeDocument/2006/relationships/hyperlink" Id="rId237" Target="https://doi.org/10.3390/app14198884" TargetMode="External" /><Relationship Type="http://schemas.openxmlformats.org/officeDocument/2006/relationships/hyperlink" Id="rId198" Target="https://doi.org/10.3390/e23010018" TargetMode="External" /><Relationship Type="http://schemas.openxmlformats.org/officeDocument/2006/relationships/hyperlink" Id="rId165" Target="https://doi.org/10.3390/electronics8080832" TargetMode="External" /><Relationship Type="http://schemas.openxmlformats.org/officeDocument/2006/relationships/hyperlink" Id="rId149" Target="https://doi.org/10.3390/technologies13030093" TargetMode="External" /><Relationship Type="http://schemas.openxmlformats.org/officeDocument/2006/relationships/hyperlink" Id="rId169" Target="https://doi.org/10.48550/arxiv.1702.08608" TargetMode="External" /><Relationship Type="http://schemas.openxmlformats.org/officeDocument/2006/relationships/hyperlink" Id="rId202" Target="https://doi.org/10.48550/arxiv.1705.07874" TargetMode="External" /><Relationship Type="http://schemas.openxmlformats.org/officeDocument/2006/relationships/hyperlink" Id="rId259" Target="https://trustai4s-lab.github.io/ffidelity" TargetMode="External" /><Relationship Type="http://schemas.openxmlformats.org/officeDocument/2006/relationships/hyperlink" Id="rId167"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2026-05-04T02:48:52Z</dcterms:created>
  <dcterms:modified xsi:type="dcterms:W3CDTF">2026-05-04T02:48:52Z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