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pPr>
      <w:r>
        <w:t xml:space="preserve">Integración de Benchmarking Técnico, Protocolo Reproducible (FOM-7) y</w:t>
      </w:r>
      <w:r>
        <w:t xml:space="preserve"> </w:t>
      </w:r>
      <w:r>
        <w:t xml:space="preserve">Taxonomía de Métricas</w:t>
      </w:r>
    </w:p>
    <w:p>
      <w:pPr>
        <w:pStyle w:val="Textoindependiente"/>
      </w:pPr>
      <w:r>
        <w:br/>
      </w:r>
    </w:p>
    <w:bookmarkEnd w:id="25"/>
    <w:bookmarkStart w:id="26" w:name="resumen"/>
    <w:p>
      <w:pPr>
        <w:pStyle w:val="Ttulo1"/>
      </w:pPr>
      <w:r>
        <w:t xml:space="preserve">Resumen</w:t>
      </w:r>
    </w:p>
    <w:p>
      <w:pPr>
        <w:pStyle w:val="FirstParagrap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1996; Abdul Kadir et al. 2023; Bhattacharya and Verbert 2024)</w:t>
      </w:r>
    </w:p>
    <w:p>
      <w:pPr>
        <w:numPr>
          <w:ilvl w:val="0"/>
          <w:numId w:val="1001"/>
        </w:numPr>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pPr>
      <w:r>
        <w:t xml:space="preserve">Las hipótesis estadísticas formales se estructuran en torno a los tres ejes</w:t>
      </w:r>
      <w:r>
        <w:t xml:space="preserve"> </w:t>
      </w:r>
      <w:r>
        <w:t xml:space="preserve">confirmatorios de la investigación empírica.</w:t>
      </w:r>
    </w:p>
    <w:p>
      <w:pPr>
        <w:pStyle w:val="Textoindependiente"/>
      </w:pPr>
      <w:r>
        <w:rPr>
          <w:b/>
          <w:bCs/>
        </w:rPr>
        <w:t xml:space="preserve">H1 — Diferencias globales entre métodos (fidelidad)</w:t>
      </w:r>
    </w:p>
    <w:p>
      <w:pPr>
        <w:pStyle w:val="Textoindependiente"/>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pPr>
      <m:oMath>
        <m:sSub>
          <m:e>
            <m:r>
              <m:t>H</m:t>
            </m:r>
          </m:e>
          <m:sub>
            <m:r>
              <m:t>1</m:t>
            </m:r>
            <m:r>
              <m:rPr>
                <m:sty m:val="p"/>
              </m:rPr>
              <m:t>,</m:t>
            </m:r>
            <m:r>
              <m:t>1</m:t>
            </m:r>
          </m:sub>
        </m:sSub>
      </m:oMath>
      <w:r>
        <w:t xml:space="preserve">: Al menos un par de métodos difiere significativamente en fidelidad.</w:t>
      </w:r>
    </w:p>
    <w:p>
      <w:pPr>
        <w:pStyle w:val="Textoindependiente"/>
      </w:pPr>
      <w:r>
        <w:rPr>
          <w:b/>
          <w:bCs/>
        </w:rPr>
        <w:t xml:space="preserve">H2 — Diferencias globales entre métodos (estabilidad)</w:t>
      </w:r>
    </w:p>
    <w:p>
      <w:pPr>
        <w:pStyle w:val="Textoindependiente"/>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pPr>
      <m:oMath>
        <m:sSub>
          <m:e>
            <m:r>
              <m:t>H</m:t>
            </m:r>
          </m:e>
          <m:sub>
            <m:r>
              <m:t>1</m:t>
            </m:r>
            <m:r>
              <m:rPr>
                <m:sty m:val="p"/>
              </m:rPr>
              <m:t>,</m:t>
            </m:r>
            <m:r>
              <m:t>2</m:t>
            </m:r>
          </m:sub>
        </m:sSub>
      </m:oMath>
      <w:r>
        <w:t xml:space="preserve">: Al menos un par de métodos difiere significativamente en estabilidad.</w:t>
      </w:r>
    </w:p>
    <w:p>
      <w:pPr>
        <w:pStyle w:val="Textoindependiente"/>
      </w:pPr>
      <w:r>
        <w:rPr>
          <w:b/>
          <w:bCs/>
        </w:rPr>
        <w:t xml:space="preserve">H3 — Trade-off calidad-coste SHAP vs. LIME</w:t>
      </w:r>
    </w:p>
    <w:p>
      <w:pPr>
        <w:pStyle w:val="Textoindependiente"/>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pPr>
      <w:r>
        <w:rPr>
          <w:b/>
          <w:bCs/>
        </w:rPr>
        <w:t xml:space="preserve">P1 — Reproducibilidad del protocolo (proposición)</w:t>
      </w:r>
    </w:p>
    <w:p>
      <w:pPr>
        <w:pStyle w:val="Textoindependiente"/>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pPr>
      <w:r>
        <w:rPr>
          <w:b/>
          <w:bCs/>
        </w:rPr>
        <w:t xml:space="preserve">Criterios de inclusión:</w:t>
      </w:r>
    </w:p>
    <w:p>
      <w:pPr>
        <w:pStyle w:val="Compact"/>
        <w:numPr>
          <w:ilvl w:val="0"/>
          <w:numId w:val="1002"/>
        </w:numPr>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pPr>
      <w:r>
        <w:t xml:space="preserve">Celdas para las que existen artefactos en ambos métodos comparados (SHAP y</w:t>
      </w:r>
      <w:r>
        <w:t xml:space="preserve"> </w:t>
      </w:r>
      <w:r>
        <w:t xml:space="preserve">LIME) para el análisis pareado del Estudio B.</w:t>
      </w:r>
    </w:p>
    <w:p>
      <w:pPr>
        <w:pStyle w:val="FirstParagraph"/>
      </w:pPr>
      <w:r>
        <w:rPr>
          <w:b/>
          <w:bCs/>
        </w:rPr>
        <w:t xml:space="preserve">Criterios de exclusión:</w:t>
      </w:r>
    </w:p>
    <w:p>
      <w:pPr>
        <w:pStyle w:val="Compact"/>
        <w:numPr>
          <w:ilvl w:val="0"/>
          <w:numId w:val="1003"/>
        </w:numPr>
      </w:pPr>
      <w:r>
        <w:t xml:space="preserve">Artefactos vacíos o con esquema incompatible detectados en la auditoría de</w:t>
      </w:r>
      <w:r>
        <w:t xml:space="preserve"> </w:t>
      </w:r>
      <w:r>
        <w:t xml:space="preserve">integridad (puerta 3 del protocolo FOM-7).</w:t>
      </w:r>
    </w:p>
    <w:p>
      <w:pPr>
        <w:pStyle w:val="Compact"/>
        <w:numPr>
          <w:ilvl w:val="0"/>
          <w:numId w:val="1003"/>
        </w:numPr>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pPr>
      <w:r>
        <w:rPr>
          <w:b/>
          <w:bCs/>
        </w:rPr>
        <w:t xml:space="preserve">Coste computacional</w:t>
      </w:r>
      <w:r>
        <w:t xml:space="preserve">: tiempo de ejecución en milisegundos por instancia</w:t>
      </w:r>
      <w:r>
        <w:t xml:space="preserve"> </w:t>
      </w:r>
      <w:r>
        <w:t xml:space="preserve">(dirección: menor es mejor).</w:t>
      </w:r>
    </w:p>
    <w:p>
      <w:pPr>
        <w:pStyle w:val="FirstParagraph"/>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pPr>
      <w:r>
        <w:t xml:space="preserve">Las siete puertas secuenciales son:</w:t>
      </w:r>
    </w:p>
    <w:p>
      <w:pPr>
        <w:pStyle w:val="Compact"/>
        <w:numPr>
          <w:ilvl w:val="0"/>
          <w:numId w:val="1005"/>
        </w:numPr>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4" w:name="X5df853d312351836bad75f10c25fdcfe7ebc358"/>
    <w:p>
      <w:pPr>
        <w:pStyle w:val="Ttulo1"/>
      </w:pPr>
      <w:r>
        <w:t xml:space="preserve">Marco teórico específico / fundamentos conceptuales</w:t>
      </w:r>
    </w:p>
    <w:bookmarkStart w:id="44" w:name="X7133ed101bf9a9b0f87ccc84aa7c501df9ebcd7"/>
    <w:p>
      <w:pPr>
        <w:pStyle w:val="Ttulo2"/>
      </w:pPr>
      <w:r>
        <w:t xml:space="preserve">Estado del arte en XAI e interpretabilidad agnóstica</w:t>
      </w:r>
    </w:p>
    <w:p>
      <w:pPr>
        <w:pStyle w:val="FirstParagraph"/>
      </w:pPr>
      <w:r>
        <w:t xml:space="preserve">El campo de la Inteligencia Artificial Explicable (XAI) ha experimentado una</w:t>
      </w:r>
      <w:r>
        <w:t xml:space="preserve"> </w:t>
      </w:r>
      <w:r>
        <w:t xml:space="preserve">expansión sin precedentes en la última década, consolidándose como un pilar</w:t>
      </w:r>
      <w:r>
        <w:t xml:space="preserve"> </w:t>
      </w:r>
      <w:r>
        <w:t xml:space="preserve">crítico para la adopción de modelos de caja negra en sectores de alta</w:t>
      </w:r>
      <w:r>
        <w:t xml:space="preserve"> </w:t>
      </w:r>
      <w:r>
        <w:t xml:space="preserve">responsabilidad. Las revisiones sistemáticas más recientes</w:t>
      </w:r>
      <w:r>
        <w:t xml:space="preserve"> </w:t>
      </w:r>
      <w:r>
        <w:t xml:space="preserve">(Abdul Kadir et al. 2023; Canha et al. 2025)</w:t>
      </w:r>
      <w:r>
        <w:t xml:space="preserve"> </w:t>
      </w:r>
      <w:r>
        <w:t xml:space="preserve">coinciden en que, si bien la literatura ha producido un crecimiento</w:t>
      </w:r>
      <w:r>
        <w:t xml:space="preserve"> </w:t>
      </w:r>
      <w:r>
        <w:t xml:space="preserve">asintótico en el número de algoritmos propuestos —destacando métodos líderes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el</w:t>
      </w:r>
      <w:r>
        <w:t xml:space="preserve"> </w:t>
      </w:r>
      <w:r>
        <w:t xml:space="preserve">desarrollo de protocolos de evaluación estandarizados no ha seguido el mismo</w:t>
      </w:r>
      <w:r>
        <w:t xml:space="preserve"> </w:t>
      </w:r>
      <w:r>
        <w:t xml:space="preserve">ritmo. De hecho, un análisis basado en la metodología PRISMA realizado por</w:t>
      </w:r>
      <w:r>
        <w:t xml:space="preserve"> </w:t>
      </w:r>
      <w:r>
        <w:t xml:space="preserve">Abdul Kadir et al. (2023)</w:t>
      </w:r>
      <w:r>
        <w:t xml:space="preserve"> </w:t>
      </w:r>
      <w:r>
        <w:t xml:space="preserve">revela que, a pesar de la madurez percibida del área, solo una</w:t>
      </w:r>
      <w:r>
        <w:t xml:space="preserve"> </w:t>
      </w:r>
      <w:r>
        <w:t xml:space="preserve">fracción marginal de la producción científica (estimada en un 14%) incorpora</w:t>
      </w:r>
      <w:r>
        <w:t xml:space="preserve"> </w:t>
      </w:r>
      <w:r>
        <w:t xml:space="preserve">marcos de evaluación cuantitativa rigurosos, limitándose mayoritariamente a</w:t>
      </w:r>
      <w:r>
        <w:t xml:space="preserve"> </w:t>
      </w:r>
      <w:r>
        <w:t xml:space="preserve">validaciones cualitativas o anecdóticas.</w:t>
      </w:r>
    </w:p>
    <w:p>
      <w:pPr>
        <w:pStyle w:val="Textoindependiente"/>
      </w:pPr>
      <w:r>
        <w:t xml:space="preserve">Esta fragmentación ha dado lugar a lo que</w:t>
      </w:r>
      <w:r>
        <w:t xml:space="preserve"> </w:t>
      </w:r>
      <w:r>
        <w:t xml:space="preserve">Pawlicki et al. (2024)</w:t>
      </w:r>
      <w:r>
        <w:t xml:space="preserve"> </w:t>
      </w:r>
      <w:r>
        <w:t xml:space="preserve">define como una</w:t>
      </w:r>
      <w:r>
        <w:t xml:space="preserve"> </w:t>
      </w:r>
      <w:r>
        <w:t xml:space="preserve">proliferación de métricas inconexas, donde la duplicidad de criterios y la falta</w:t>
      </w:r>
      <w:r>
        <w:t xml:space="preserve"> </w:t>
      </w:r>
      <w:r>
        <w:t xml:space="preserve">de consenso sobre las propiedades fundamentales de una explicación (como la</w:t>
      </w:r>
      <w:r>
        <w:t xml:space="preserve"> </w:t>
      </w:r>
      <w:r>
        <w:t xml:space="preserve">fidelidad, la estabilidad y la robustez) dificultan la comparación objetiva</w:t>
      </w:r>
      <w:r>
        <w:t xml:space="preserve"> </w:t>
      </w:r>
      <w:r>
        <w:t xml:space="preserve">entre aproximaciones. Investigaciones contemporáneas</w:t>
      </w:r>
      <w:r>
        <w:t xml:space="preserve"> </w:t>
      </w:r>
      <w:r>
        <w:t xml:space="preserve">(Bhattacharya and Verbert 2024; Nizam and Zafar 2023)</w:t>
      </w:r>
      <w:r>
        <w:t xml:space="preserve"> </w:t>
      </w:r>
      <w:r>
        <w:t xml:space="preserve">argumentan que la falta de un estándar unificado impide valorar la</w:t>
      </w:r>
      <w:r>
        <w:t xml:space="preserve"> </w:t>
      </w:r>
      <w:r>
        <w:t xml:space="preserve">explicabilidad de manera multidimensional, ignorando a menudo el hecho de que</w:t>
      </w:r>
      <w:r>
        <w:t xml:space="preserve"> </w:t>
      </w:r>
      <w:r>
        <w:t xml:space="preserve">los sistemas de IA modernos no solo requieren precisión técnica, sino también</w:t>
      </w:r>
      <w:r>
        <w:t xml:space="preserve"> </w:t>
      </w:r>
      <w:r>
        <w:t xml:space="preserve">validez semántica para sus destinatarios humanos. En respuesta a este vacío, han</w:t>
      </w:r>
      <w:r>
        <w:t xml:space="preserve"> </w:t>
      </w:r>
      <w:r>
        <w:t xml:space="preserve">surgido ecosistemas de benchmarking integrales como Quantus</w:t>
      </w:r>
      <w:r>
        <w:t xml:space="preserve"> </w:t>
      </w:r>
      <w:r>
        <w:t xml:space="preserve">(Hedström et al. 2023)</w:t>
      </w:r>
      <w:r>
        <w:t xml:space="preserve"> </w:t>
      </w:r>
      <w:r>
        <w:t xml:space="preserve">y</w:t>
      </w:r>
      <w:r>
        <w:t xml:space="preserve"> </w:t>
      </w:r>
      <w:r>
        <w:t xml:space="preserve">OpenXAI</w:t>
      </w:r>
      <w:r>
        <w:t xml:space="preserve"> </w:t>
      </w:r>
      <w:r>
        <w:t xml:space="preserve">(Agarwal et al. 2022)</w:t>
      </w:r>
      <w:r>
        <w:t xml:space="preserve">, los cuales intentan sistematizar el proceso de</w:t>
      </w:r>
      <w:r>
        <w:t xml:space="preserve"> </w:t>
      </w:r>
      <w:r>
        <w:t xml:space="preserve">quantificación mediante toolkits automatizados que agrupan métricas por afinidad</w:t>
      </w:r>
      <w:r>
        <w:t xml:space="preserve"> </w:t>
      </w:r>
      <w:r>
        <w:t xml:space="preserve">lógica. Sin embargo, como señala</w:t>
      </w:r>
      <w:r>
        <w:t xml:space="preserve"> </w:t>
      </w:r>
      <w:r>
        <w:t xml:space="preserve">Zheng et al. (2025)</w:t>
      </w:r>
      <w:r>
        <w:t xml:space="preserve">, incluso estos marcos enfrentan retos</w:t>
      </w:r>
      <w:r>
        <w:t xml:space="preserve"> </w:t>
      </w:r>
      <w:r>
        <w:t xml:space="preserve">técnicos significativos, como la inestabilidad de las métricas ante datos fuera</w:t>
      </w:r>
      <w:r>
        <w:t xml:space="preserve"> </w:t>
      </w:r>
      <w:r>
        <w:t xml:space="preserve">de la distribución (OOD), lo que subraya la necesidad de seguir evolucionando</w:t>
      </w:r>
      <w:r>
        <w:t xml:space="preserve"> </w:t>
      </w:r>
      <w:r>
        <w:t xml:space="preserve">hacia marcos de evaluación multinivel y más robustos, tal como se propone en el</w:t>
      </w:r>
      <w:r>
        <w:t xml:space="preserve"> </w:t>
      </w:r>
      <w:r>
        <w:t xml:space="preserve">presente estudio.</w:t>
      </w:r>
    </w:p>
    <w:bookmarkEnd w:id="44"/>
    <w:bookmarkStart w:id="45" w:name="fundamentos-de-ia-de-caja-negra"/>
    <w:p>
      <w:pPr>
        <w:pStyle w:val="Ttulo2"/>
      </w:pPr>
      <w:r>
        <w:t xml:space="preserve">Fundamentos de IA de caja negra</w:t>
      </w:r>
    </w:p>
    <w:p>
      <w:pPr>
        <w:pStyle w:val="FirstParagraph"/>
      </w:pPr>
      <w:r>
        <w:t xml:space="preserve">Para comprender el estado actual de la XAI, es imperativo analizar la naturaleza</w:t>
      </w:r>
      <w:r>
        <w:t xml:space="preserve"> </w:t>
      </w:r>
      <w:r>
        <w:t xml:space="preserve">técnica de la</w:t>
      </w:r>
      <w:r>
        <w:t xml:space="preserve"> </w:t>
      </w:r>
      <w:r>
        <w:t xml:space="preserve">“caja negra”</w:t>
      </w:r>
      <w:r>
        <w:t xml:space="preserve"> </w:t>
      </w:r>
      <w:r>
        <w:t xml:space="preserve">(</w:t>
      </w:r>
      <w:r>
        <w:rPr>
          <w:i/>
          <w:iCs/>
        </w:rPr>
        <w:t xml:space="preserve">black-box models</w:t>
      </w:r>
      <w:r>
        <w:t xml:space="preserve">). La evolución de la IA ha pasado</w:t>
      </w:r>
      <w:r>
        <w:t xml:space="preserve"> </w:t>
      </w:r>
      <w:r>
        <w:t xml:space="preserve">de modelos estadísticos transparentes —como la regresión lineal o árboles de</w:t>
      </w:r>
      <w:r>
        <w:t xml:space="preserve"> </w:t>
      </w:r>
      <w:r>
        <w:t xml:space="preserve">decisión simples— a sistemas cuya lógica interna es inescrutable debido a su</w:t>
      </w:r>
      <w:r>
        <w:t xml:space="preserve"> </w:t>
      </w:r>
      <w:r>
        <w:t xml:space="preserve">altísima dimensionalidad y no linealidad. Los modelos de ensamble (Random Forest,</w:t>
      </w:r>
      <w:r>
        <w:t xml:space="preserve"> </w:t>
      </w:r>
      <w:r>
        <w:t xml:space="preserve">XGBoost) y las Redes Neuronales Profundas (DNN) logran niveles de precisión</w:t>
      </w:r>
      <w:r>
        <w:t xml:space="preserve"> </w:t>
      </w:r>
      <w:r>
        <w:t xml:space="preserve">sobresalientes sacrificando la interpretabilidad directa. Esta opacidad no es un</w:t>
      </w:r>
      <w:r>
        <w:t xml:space="preserve"> </w:t>
      </w:r>
      <w:r>
        <w:t xml:space="preserve">fallo de diseño, sino una consecuencia de la complejidad requerida para capturar</w:t>
      </w:r>
      <w:r>
        <w:t xml:space="preserve"> </w:t>
      </w:r>
      <w:r>
        <w:t xml:space="preserve">patrones en datos no estructurados. Como señalan</w:t>
      </w:r>
      <w:r>
        <w:t xml:space="preserve"> </w:t>
      </w:r>
      <w:r>
        <w:t xml:space="preserve">Canha et al. (2025)</w:t>
      </w:r>
      <w:r>
        <w:t xml:space="preserve"> </w:t>
      </w:r>
      <w:r>
        <w:t xml:space="preserve">y</w:t>
      </w:r>
      <w:r>
        <w:t xml:space="preserve"> </w:t>
      </w:r>
      <w:r>
        <w:t xml:space="preserve">Pawlicki et al. (2024)</w:t>
      </w:r>
      <w:r>
        <w:t xml:space="preserve">, esto</w:t>
      </w:r>
      <w:r>
        <w:t xml:space="preserve"> </w:t>
      </w:r>
      <w:r>
        <w:t xml:space="preserve">genera un</w:t>
      </w:r>
      <w:r>
        <w:t xml:space="preserve"> </w:t>
      </w:r>
      <w:r>
        <w:t xml:space="preserve">“dilema de confianza”</w:t>
      </w:r>
      <w:r>
        <w:t xml:space="preserve"> </w:t>
      </w:r>
      <w:r>
        <w:t xml:space="preserve">donde el usuario debe aceptar una decisión sin</w:t>
      </w:r>
      <w:r>
        <w:t xml:space="preserve"> </w:t>
      </w:r>
      <w:r>
        <w:t xml:space="preserve">acceso a su proceso deductivo, marcando el punto de partida para las técnicas de</w:t>
      </w:r>
      <w:r>
        <w:t xml:space="preserve"> </w:t>
      </w:r>
      <w:r>
        <w:t xml:space="preserve">explicabilidad agnóstica.</w:t>
      </w:r>
    </w:p>
    <w:bookmarkEnd w:id="45"/>
    <w:bookmarkStart w:id="46" w:name="interpretabilidad-y-explicabilidad"/>
    <w:p>
      <w:pPr>
        <w:pStyle w:val="Ttulo2"/>
      </w:pPr>
      <w:r>
        <w:t xml:space="preserve">Interpretabilidad y explicabilidad</w:t>
      </w:r>
    </w:p>
    <w:p>
      <w:pPr>
        <w:pStyle w:val="FirstParagraph"/>
      </w:pPr>
      <w:r>
        <w:t xml:space="preserve">A pesar de que los términos</w:t>
      </w:r>
      <w:r>
        <w:t xml:space="preserve"> </w:t>
      </w:r>
      <w:r>
        <w:t xml:space="preserve">“interpretabilidad”</w:t>
      </w:r>
      <w:r>
        <w:t xml:space="preserve"> </w:t>
      </w:r>
      <w:r>
        <w:t xml:space="preserve">y</w:t>
      </w:r>
      <w:r>
        <w:t xml:space="preserve"> </w:t>
      </w:r>
      <w:r>
        <w:t xml:space="preserve">“explicabilidad”</w:t>
      </w:r>
      <w:r>
        <w:t xml:space="preserve"> </w:t>
      </w:r>
      <w:r>
        <w:t xml:space="preserve">se utilizan a</w:t>
      </w:r>
      <w:r>
        <w:t xml:space="preserve"> </w:t>
      </w:r>
      <w:r>
        <w:t xml:space="preserve">menudo como sinónimos en la literatura técnica, revisiones sistemáticas de gran</w:t>
      </w:r>
      <w:r>
        <w:t xml:space="preserve"> </w:t>
      </w:r>
      <w:r>
        <w:t xml:space="preserve">escala destacadas por</w:t>
      </w:r>
      <w:r>
        <w:t xml:space="preserve"> </w:t>
      </w:r>
      <w:r>
        <w:t xml:space="preserve">Abdul Kadir et al. (2023)</w:t>
      </w:r>
      <w:r>
        <w:t xml:space="preserve"> </w:t>
      </w:r>
      <w:r>
        <w:t xml:space="preserve">destacan una falta de consenso</w:t>
      </w:r>
      <w:r>
        <w:t xml:space="preserve"> </w:t>
      </w:r>
      <w:r>
        <w:t xml:space="preserve">terminológico que fragmenta el campo. Para los propósitos de este marco</w:t>
      </w:r>
      <w:r>
        <w:t xml:space="preserve"> </w:t>
      </w:r>
      <w:r>
        <w:t xml:space="preserve">multinivel, es fundamental establecer una distinción operativa basada en el</w:t>
      </w:r>
      <w:r>
        <w:t xml:space="preserve"> </w:t>
      </w:r>
      <w:r>
        <w:t xml:space="preserve">destinatario final de la información: el ser humano. Mientras que la</w:t>
      </w:r>
      <w:r>
        <w:t xml:space="preserve"> </w:t>
      </w:r>
      <w:r>
        <w:t xml:space="preserve">interpretabilidad se asocia frecuentemente con la transparencia intrínseca de los</w:t>
      </w:r>
      <w:r>
        <w:t xml:space="preserve"> </w:t>
      </w:r>
      <w:r>
        <w:t xml:space="preserve">mecanismos internos de un modelo, la explicabilidad emerge como un concepto que</w:t>
      </w:r>
      <w:r>
        <w:t xml:space="preserve"> </w:t>
      </w:r>
      <w:r>
        <w:t xml:space="preserve">busca traducir esa complejidad en un lenguaje comprensible para el usuario</w:t>
      </w:r>
      <w:r>
        <w:t xml:space="preserve"> </w:t>
      </w:r>
      <w:r>
        <w:t xml:space="preserve">(Canha et al. 2025)</w:t>
      </w:r>
      <w:r>
        <w:t xml:space="preserve">.</w:t>
      </w:r>
    </w:p>
    <w:p>
      <w:pPr>
        <w:pStyle w:val="Textoindependiente"/>
      </w:pPr>
      <w:r>
        <w:t xml:space="preserve">Siguiendo la propuesta de</w:t>
      </w:r>
      <w:r>
        <w:t xml:space="preserve"> </w:t>
      </w:r>
      <w:r>
        <w:t xml:space="preserve">Linardatos et al. (2021)</w:t>
      </w:r>
      <w:r>
        <w:t xml:space="preserve">, se define la interpretabilidad como la</w:t>
      </w:r>
      <w:r>
        <w:t xml:space="preserve"> </w:t>
      </w:r>
      <w:r>
        <w:t xml:space="preserve">capacidad de discernir la mecánica interna de un sistema sin necesidad de conocer</w:t>
      </w:r>
      <w:r>
        <w:t xml:space="preserve"> </w:t>
      </w:r>
      <w:r>
        <w:t xml:space="preserve">el</w:t>
      </w:r>
      <w:r>
        <w:t xml:space="preserve"> </w:t>
      </w:r>
      <w:r>
        <w:t xml:space="preserve">“porqué”</w:t>
      </w:r>
      <w:r>
        <w:t xml:space="preserve"> </w:t>
      </w:r>
      <w:r>
        <w:t xml:space="preserve">profundo de cada decisión, conectando primordialmente con la</w:t>
      </w:r>
      <w:r>
        <w:t xml:space="preserve"> </w:t>
      </w:r>
      <w:r>
        <w:t xml:space="preserve">intuición técnica. Por el contrario, la explicabilidad añade una</w:t>
      </w:r>
      <w:r>
        <w:t xml:space="preserve"> </w:t>
      </w:r>
      <w:r>
        <w:t xml:space="preserve">“capa de</w:t>
      </w:r>
      <w:r>
        <w:t xml:space="preserve"> </w:t>
      </w:r>
      <w:r>
        <w:t xml:space="preserve">razonamiento”</w:t>
      </w:r>
      <w:r>
        <w:t xml:space="preserve"> </w:t>
      </w:r>
      <w:r>
        <w:t xml:space="preserve">(</w:t>
      </w:r>
      <w:r>
        <w:rPr>
          <w:i/>
          <w:iCs/>
        </w:rPr>
        <w:t xml:space="preserve">reasoning layer</w:t>
      </w:r>
      <w:r>
        <w:t xml:space="preserve">) sobre los mecanismos técnicos para clarificar</w:t>
      </w:r>
      <w:r>
        <w:t xml:space="preserve"> </w:t>
      </w:r>
      <w:r>
        <w:t xml:space="preserve">el proceso lógico que condujo a una salida específica</w:t>
      </w:r>
      <w:r>
        <w:t xml:space="preserve"> </w:t>
      </w:r>
      <w:r>
        <w:t xml:space="preserve">(Canha et al. 2025)</w:t>
      </w:r>
      <w:r>
        <w:t xml:space="preserve">. Esta</w:t>
      </w:r>
      <w:r>
        <w:t xml:space="preserve"> </w:t>
      </w:r>
      <w:r>
        <w:t xml:space="preserve">distinción es especialmente relevante para esta tesis, ya que justifica la</w:t>
      </w:r>
      <w:r>
        <w:t xml:space="preserve"> </w:t>
      </w:r>
      <w:r>
        <w:t xml:space="preserve">necesidad de no solo evaluar la</w:t>
      </w:r>
      <w:r>
        <w:t xml:space="preserve"> </w:t>
      </w:r>
      <w:r>
        <w:t xml:space="preserve">“fidelidad”</w:t>
      </w:r>
      <w:r>
        <w:t xml:space="preserve"> </w:t>
      </w:r>
      <w:r>
        <w:t xml:space="preserve">al modelo (parámetro técnico), sino</w:t>
      </w:r>
      <w:r>
        <w:t xml:space="preserve"> </w:t>
      </w:r>
      <w:r>
        <w:t xml:space="preserve">también la</w:t>
      </w:r>
      <w:r>
        <w:t xml:space="preserve"> </w:t>
      </w:r>
      <w:r>
        <w:t xml:space="preserve">“coherencia semántica”</w:t>
      </w:r>
      <w:r>
        <w:t xml:space="preserve"> </w:t>
      </w:r>
      <w:r>
        <w:t xml:space="preserve">(capa de razonamiento humano) sustentada por</w:t>
      </w:r>
      <w:r>
        <w:t xml:space="preserve"> </w:t>
      </w:r>
      <w:r>
        <w:t xml:space="preserve">criterios multidimensionales</w:t>
      </w:r>
      <w:r>
        <w:t xml:space="preserve"> </w:t>
      </w:r>
      <w:r>
        <w:t xml:space="preserve">(Bhattacharya and Verbert 2024)</w:t>
      </w:r>
      <w:r>
        <w:t xml:space="preserve">.</w:t>
      </w:r>
    </w:p>
    <w:bookmarkEnd w:id="46"/>
    <w:bookmarkStart w:id="53" w:name="criterios-de-evaluación-de-explicaciones"/>
    <w:p>
      <w:pPr>
        <w:pStyle w:val="Ttulo2"/>
      </w:pPr>
      <w:r>
        <w:t xml:space="preserve">Criterios de evaluación de explicaciones</w:t>
      </w:r>
    </w:p>
    <w:p>
      <w:pPr>
        <w:pStyle w:val="FirstParagraph"/>
      </w:pPr>
      <w:r>
        <w:t xml:space="preserve">La evaluación de la calidad de una explicación es un proceso multidimensional que</w:t>
      </w:r>
      <w:r>
        <w:t xml:space="preserve"> </w:t>
      </w:r>
      <w:r>
        <w:t xml:space="preserve">requiere la cuantificación de diversas propiedades funcionales. A continuación,</w:t>
      </w:r>
      <w:r>
        <w:t xml:space="preserve"> </w:t>
      </w:r>
      <w:r>
        <w:t xml:space="preserve">se detallan los criterios técnicos fundamentales adoptados en este estudio,</w:t>
      </w:r>
      <w:r>
        <w:t xml:space="preserve"> </w:t>
      </w:r>
      <w:r>
        <w:t xml:space="preserve">sustentados en la jerarquía funcional propuesta por</w:t>
      </w:r>
      <w:r>
        <w:t xml:space="preserve"> </w:t>
      </w:r>
      <w:r>
        <w:t xml:space="preserve">Canha et al. (2025)</w:t>
      </w:r>
      <w:r>
        <w:t xml:space="preserve"> </w:t>
      </w:r>
      <w:r>
        <w:t xml:space="preserve">y los marcos de</w:t>
      </w:r>
      <w:r>
        <w:t xml:space="preserve"> </w:t>
      </w:r>
      <w:r>
        <w:t xml:space="preserve">benchmarking de</w:t>
      </w:r>
      <w:r>
        <w:t xml:space="preserve"> </w:t>
      </w:r>
      <w:r>
        <w:t xml:space="preserve">Agarwal et al. (2022)</w:t>
      </w:r>
      <w:r>
        <w:t xml:space="preserve">.</w:t>
      </w:r>
    </w:p>
    <w:bookmarkStart w:id="47" w:name="fidelidad"/>
    <w:p>
      <w:pPr>
        <w:pStyle w:val="Ttulo3"/>
      </w:pPr>
      <w:r>
        <w:t xml:space="preserve">Fidelidad</w:t>
      </w:r>
    </w:p>
    <w:p>
      <w:pPr>
        <w:pStyle w:val="FirstParagraph"/>
      </w:pPr>
      <w:r>
        <w:t xml:space="preserve">La fidelidad (</w:t>
      </w:r>
      <w:r>
        <w:t xml:space="preserve">) mide el grado en que un método de explicación</w:t>
      </w:r>
      <w:r>
        <w:t xml:space="preserve"> </w:t>
      </w:r>
      <w:r>
        <w:t xml:space="preserve">logra representar el verdadero proceso deductivo del modelo de caja negra.</w:t>
      </w:r>
      <w:r>
        <w:t xml:space="preserve"> </w:t>
      </w:r>
      <w:r>
        <w:t xml:space="preserve">Siguiendo la definición de</w:t>
      </w:r>
      <w:r>
        <w:t xml:space="preserve"> </w:t>
      </w:r>
      <w:r>
        <w:t xml:space="preserve">Canha et al. (2025)</w:t>
      </w:r>
      <w:r>
        <w:t xml:space="preserve">, esta se operacionaliza a menudo como el</w:t>
      </w:r>
      <w:r>
        <w:t xml:space="preserve"> </w:t>
      </w:r>
      <w:r>
        <w:t xml:space="preserve">“acuerdo del sustituto”</w:t>
      </w:r>
      <w:r>
        <w:t xml:space="preserve"> </w:t>
      </w:r>
      <w:r>
        <w:t xml:space="preserve">(</w:t>
      </w:r>
      <w:r>
        <w:t xml:space="preserve">), formulado como:</w:t>
      </w:r>
    </w:p>
    <w:p>
      <w:pPr>
        <w:pStyle w:val="Textoindependiente"/>
      </w:pPr>
      <m:oMathPara>
        <m:oMathParaPr>
          <m:jc m:val="center"/>
        </m:oMathParaPr>
        <m:oMath>
          <m:sSub>
            <m:e>
              <m:r>
                <m:t>m</m:t>
              </m:r>
            </m:e>
            <m:sub>
              <m:r>
                <m:t>f</m:t>
              </m:r>
              <m:r>
                <m:t>i</m:t>
              </m:r>
              <m:r>
                <m:t>d</m:t>
              </m:r>
            </m:sub>
          </m:sSub>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r>
                <m:t>b</m:t>
              </m:r>
              <m:r>
                <m:rPr>
                  <m:sty m:val="p"/>
                </m:rPr>
                <m:t>(</m:t>
              </m:r>
              <m:sSub>
                <m:e>
                  <m:r>
                    <m:t>x</m:t>
                  </m:r>
                </m:e>
                <m:sub>
                  <m:r>
                    <m:t>i</m:t>
                  </m:r>
                </m:sub>
              </m:sSub>
              <m:r>
                <m:rPr>
                  <m:sty m:val="p"/>
                </m:rPr>
                <m:t>)</m:t>
              </m:r>
              <m:r>
                <m:rPr>
                  <m:sty m:val="p"/>
                </m:rPr>
                <m:t>−</m:t>
              </m:r>
              <m:r>
                <m:t>s</m:t>
              </m:r>
              <m:r>
                <m:rPr>
                  <m:sty m:val="p"/>
                </m:rPr>
                <m:t>(</m:t>
              </m:r>
              <m:sSub>
                <m:e>
                  <m:r>
                    <m:t>x</m:t>
                  </m:r>
                </m:e>
                <m:sub>
                  <m:r>
                    <m:t>i</m:t>
                  </m:r>
                </m:sub>
              </m:sSub>
              <m:r>
                <m:rPr>
                  <m:sty m:val="p"/>
                </m:rPr>
                <m:t>)</m:t>
              </m:r>
              <m:r>
                <m:rPr>
                  <m:sty m:val="p"/>
                </m:rPr>
                <m:t>|</m:t>
              </m:r>
            </m:num>
            <m:den>
              <m:r>
                <m:t>N</m:t>
              </m:r>
              <m:r>
                <m:rPr>
                  <m:sty m:val="p"/>
                </m:rPr>
                <m:t>⋅</m:t>
              </m:r>
              <m:r>
                <m:rPr>
                  <m:sty m:val="p"/>
                </m:rPr>
                <m:t>max</m:t>
              </m:r>
              <m:r>
                <m:rPr>
                  <m:sty m:val="p"/>
                </m:rPr>
                <m:t>(</m:t>
              </m:r>
              <m:r>
                <m:t>b</m:t>
              </m:r>
              <m:r>
                <m:rPr>
                  <m:sty m:val="p"/>
                </m:rPr>
                <m:t>(</m:t>
              </m:r>
              <m:r>
                <m:t>x</m:t>
              </m:r>
              <m:r>
                <m:rPr>
                  <m:sty m:val="p"/>
                </m:rPr>
                <m:t>)</m:t>
              </m:r>
              <m:r>
                <m:rPr>
                  <m:sty m:val="p"/>
                </m:rPr>
                <m:t>)</m:t>
              </m:r>
            </m:den>
          </m:f>
        </m:oMath>
      </m:oMathPara>
    </w:p>
    <w:p>
      <w:pPr>
        <w:pStyle w:val="FirstParagraph"/>
      </w:pPr>
      <w:r>
        <w:t xml:space="preserve">Donde</w:t>
      </w:r>
      <w:r>
        <w:t xml:space="preserve"> </w:t>
      </w:r>
      <m:oMath>
        <m:r>
          <m:t>b</m:t>
        </m:r>
        <m:r>
          <m:rPr>
            <m:sty m:val="p"/>
          </m:rPr>
          <m:t>(</m:t>
        </m:r>
        <m:r>
          <m:t>x</m:t>
        </m:r>
        <m:r>
          <m:rPr>
            <m:sty m:val="p"/>
          </m:rPr>
          <m:t>)</m:t>
        </m:r>
      </m:oMath>
      <w:r>
        <w:t xml:space="preserve"> </w:t>
      </w:r>
      <w:r>
        <w:t xml:space="preserve">representa la salida del modelo de caja negra y</w:t>
      </w:r>
      <w:r>
        <w:t xml:space="preserve"> </w:t>
      </w:r>
      <m:oMath>
        <m:r>
          <m:t>s</m:t>
        </m:r>
        <m:r>
          <m:rPr>
            <m:sty m:val="p"/>
          </m:rPr>
          <m:t>(</m:t>
        </m:r>
        <m:r>
          <m:t>x</m:t>
        </m:r>
        <m:r>
          <m:rPr>
            <m:sty m:val="p"/>
          </m:rPr>
          <m:t>)</m:t>
        </m:r>
      </m:oMath>
      <w:r>
        <w:t xml:space="preserve"> </w:t>
      </w:r>
      <w:r>
        <w:t xml:space="preserve">la del modelo</w:t>
      </w:r>
      <w:r>
        <w:t xml:space="preserve"> </w:t>
      </w:r>
      <w:r>
        <w:t xml:space="preserve">sustituto o aproximación local. Es vital distinguir la fidelidad de la</w:t>
      </w:r>
      <w:r>
        <w:t xml:space="preserve"> </w:t>
      </w:r>
      <w:r>
        <w:t xml:space="preserve">fehaciencia (</w:t>
      </w:r>
      <w:r>
        <w:t xml:space="preserve">), ya que un modelo puede ser fiel en su</w:t>
      </w:r>
      <w:r>
        <w:t xml:space="preserve"> </w:t>
      </w:r>
      <w:r>
        <w:t xml:space="preserve">mimetismo predictivo pero no necesariamente fehaciente en capturar la lógica</w:t>
      </w:r>
      <w:r>
        <w:t xml:space="preserve"> </w:t>
      </w:r>
      <w:r>
        <w:t xml:space="preserve">causal subyacente</w:t>
      </w:r>
      <w:r>
        <w:t xml:space="preserve"> </w:t>
      </w:r>
      <w:r>
        <w:t xml:space="preserve">(Zheng et al. 2025)</w:t>
      </w:r>
      <w:r>
        <w:t xml:space="preserve">.</w:t>
      </w:r>
    </w:p>
    <w:bookmarkEnd w:id="47"/>
    <w:bookmarkStart w:id="48" w:name="estabilidad"/>
    <w:p>
      <w:pPr>
        <w:pStyle w:val="Ttulo3"/>
      </w:pPr>
      <w:r>
        <w:t xml:space="preserve">Estabilidad</w:t>
      </w:r>
    </w:p>
    <w:p>
      <w:pPr>
        <w:pStyle w:val="FirstParagraph"/>
      </w:pPr>
      <w:r>
        <w:t xml:space="preserve">La estabilidad evalúa la consistencia de las explicaciones ante variaciones</w:t>
      </w:r>
      <w:r>
        <w:t xml:space="preserve"> </w:t>
      </w:r>
      <w:r>
        <w:t xml:space="preserve">mínimas en los datos de entrada que no alteran la predicción del modelo. Se</w:t>
      </w:r>
      <w:r>
        <w:t xml:space="preserve"> </w:t>
      </w:r>
      <w:r>
        <w:t xml:space="preserve">formaliza comúnmente mediante la Estabilidad de Entrada Relativa (</w:t>
      </w:r>
      <m:oMath>
        <m:r>
          <m:t>R</m:t>
        </m:r>
        <m:r>
          <m:t>I</m:t>
        </m:r>
        <m:r>
          <m:t>S</m:t>
        </m:r>
      </m:oMath>
      <w:r>
        <w:t xml:space="preserve">), que</w:t>
      </w:r>
      <w:r>
        <w:t xml:space="preserve"> </w:t>
      </w:r>
      <w:r>
        <w:t xml:space="preserve">estima la sensibilidad del explicador ante perturbaciones en el vecindario de</w:t>
      </w:r>
      <w:r>
        <w:t xml:space="preserve"> </w:t>
      </w:r>
      <m:oMath>
        <m:r>
          <m:t>x</m:t>
        </m:r>
      </m:oMath>
      <w:r>
        <w:t xml:space="preserve"> </w:t>
      </w:r>
      <w:r>
        <w:t xml:space="preserve">(Agarwal et al. 2022)</w:t>
      </w:r>
      <w:r>
        <w:t xml:space="preserve">:</w:t>
      </w:r>
    </w:p>
    <w:p>
      <w:pPr>
        <w:pStyle w:val="Textoindependiente"/>
      </w:pPr>
      <m:oMathPara>
        <m:oMathParaPr>
          <m:jc m:val="center"/>
        </m:oMathParaPr>
        <m:oMath>
          <m:r>
            <m:t>R</m:t>
          </m:r>
          <m:r>
            <m:t>I</m:t>
          </m:r>
          <m:r>
            <m:t>S</m:t>
          </m:r>
          <m:r>
            <m:rPr>
              <m:sty m:val="p"/>
            </m:rPr>
            <m:t>=</m:t>
          </m:r>
          <m:limLow>
            <m:e>
              <m:r>
                <m:rPr>
                  <m:sty m:val="p"/>
                </m:rPr>
                <m:t>max</m:t>
              </m:r>
            </m:e>
            <m:lim>
              <m:sSup>
                <m:e>
                  <m:r>
                    <m:t>x</m:t>
                  </m:r>
                </m:e>
                <m:sup>
                  <m:r>
                    <m:rPr>
                      <m:sty m:val="p"/>
                    </m:rPr>
                    <m:t>′</m:t>
                  </m:r>
                </m:sup>
              </m:sSup>
            </m:lim>
          </m:limLow>
          <m:f>
            <m:fPr>
              <m:type m:val="bar"/>
            </m:fPr>
            <m:num>
              <m:r>
                <m:rPr>
                  <m:sty m:val="p"/>
                </m:rPr>
                <m:t>|</m:t>
              </m:r>
              <m:r>
                <m:rPr>
                  <m:sty m:val="p"/>
                </m:rPr>
                <m:t>|</m:t>
              </m:r>
              <m:r>
                <m:t>e</m:t>
              </m:r>
              <m:r>
                <m:t>x</m:t>
              </m:r>
              <m:r>
                <m:rPr>
                  <m:sty m:val="p"/>
                </m:rPr>
                <m:t>(</m:t>
              </m:r>
              <m:r>
                <m:t>x</m:t>
              </m:r>
              <m:r>
                <m:rPr>
                  <m:sty m:val="p"/>
                </m:rPr>
                <m:t>)</m:t>
              </m:r>
              <m:r>
                <m:rPr>
                  <m:sty m:val="p"/>
                </m:rPr>
                <m:t>−</m:t>
              </m:r>
              <m:r>
                <m:t>e</m:t>
              </m:r>
              <m:r>
                <m:t>x</m:t>
              </m:r>
              <m:r>
                <m:rPr>
                  <m:sty m:val="p"/>
                </m:rPr>
                <m:t>(</m:t>
              </m:r>
              <m:sSup>
                <m:e>
                  <m:r>
                    <m:t>x</m:t>
                  </m:r>
                </m:e>
                <m:sup>
                  <m:r>
                    <m:rPr>
                      <m:sty m:val="p"/>
                    </m:rPr>
                    <m:t>′</m:t>
                  </m:r>
                </m:sup>
              </m:sSup>
              <m:r>
                <m:rPr>
                  <m:sty m:val="p"/>
                </m:rPr>
                <m:t>)</m:t>
              </m:r>
              <m:r>
                <m:rPr>
                  <m:sty m:val="p"/>
                </m:rPr>
                <m:t>|</m:t>
              </m:r>
              <m:r>
                <m:rPr>
                  <m:sty m:val="p"/>
                </m:rPr>
                <m:t>|</m:t>
              </m:r>
            </m:num>
            <m:den>
              <m:r>
                <m:rPr>
                  <m:sty m:val="p"/>
                </m:rPr>
                <m:t>|</m:t>
              </m:r>
              <m:r>
                <m:rPr>
                  <m:sty m:val="p"/>
                </m:rPr>
                <m:t>|</m:t>
              </m:r>
              <m:r>
                <m:t>x</m:t>
              </m:r>
              <m:r>
                <m:rPr>
                  <m:sty m:val="p"/>
                </m:rPr>
                <m:t>−</m:t>
              </m:r>
              <m:sSup>
                <m:e>
                  <m:r>
                    <m:t>x</m:t>
                  </m:r>
                </m:e>
                <m:sup>
                  <m:r>
                    <m:rPr>
                      <m:sty m:val="p"/>
                    </m:rPr>
                    <m:t>′</m:t>
                  </m:r>
                </m:sup>
              </m:sSup>
              <m:r>
                <m:rPr>
                  <m:sty m:val="p"/>
                </m:rPr>
                <m:t>|</m:t>
              </m:r>
              <m:r>
                <m:rPr>
                  <m:sty m:val="p"/>
                </m:rPr>
                <m:t>|</m:t>
              </m:r>
            </m:den>
          </m:f>
        </m:oMath>
      </m:oMathPara>
    </w:p>
    <w:p>
      <w:pPr>
        <w:pStyle w:val="FirstParagraph"/>
      </w:pPr>
      <w:r>
        <w:t xml:space="preserve">Donde</w:t>
      </w:r>
      <w:r>
        <w:t xml:space="preserve"> </w:t>
      </w:r>
      <m:oMath>
        <m:r>
          <m:t>e</m:t>
        </m:r>
        <m:r>
          <m:t>x</m:t>
        </m:r>
        <m:r>
          <m:rPr>
            <m:sty m:val="p"/>
          </m:rPr>
          <m:t>(</m:t>
        </m:r>
        <m:r>
          <m:t>x</m:t>
        </m:r>
        <m:r>
          <m:rPr>
            <m:sty m:val="p"/>
          </m:rPr>
          <m:t>)</m:t>
        </m:r>
      </m:oMath>
      <w:r>
        <w:t xml:space="preserve"> </w:t>
      </w:r>
      <w:r>
        <w:t xml:space="preserve">es la importancia de características generada para la instancia</w:t>
      </w:r>
      <w:r>
        <w:t xml:space="preserve"> </w:t>
      </w:r>
      <m:oMath>
        <m:r>
          <m:t>x</m:t>
        </m:r>
      </m:oMath>
      <w:r>
        <w:t xml:space="preserve">. Una</w:t>
      </w:r>
      <w:r>
        <w:t xml:space="preserve"> </w:t>
      </w:r>
      <m:oMath>
        <m:r>
          <m:t>R</m:t>
        </m:r>
        <m:r>
          <m:t>I</m:t>
        </m:r>
        <m:r>
          <m:t>S</m:t>
        </m:r>
      </m:oMath>
      <w:r>
        <w:t xml:space="preserve"> </w:t>
      </w:r>
      <w:r>
        <w:t xml:space="preserve">elevada señala una fragilidad técnica, indicando que cambios</w:t>
      </w:r>
      <w:r>
        <w:t xml:space="preserve"> </w:t>
      </w:r>
      <w:r>
        <w:t xml:space="preserve">imperceptibles en los datos pueden generar interpretaciones contradictorias.</w:t>
      </w:r>
    </w:p>
    <w:bookmarkEnd w:id="48"/>
    <w:bookmarkStart w:id="49" w:name="robustez"/>
    <w:p>
      <w:pPr>
        <w:pStyle w:val="Ttulo3"/>
      </w:pPr>
      <w:r>
        <w:t xml:space="preserve">Robustez</w:t>
      </w:r>
    </w:p>
    <w:p>
      <w:pPr>
        <w:pStyle w:val="FirstParagraph"/>
      </w:pPr>
      <w:r>
        <w:t xml:space="preserve">A diferencia de la estabilidad, la robustez se enfoca en la resistencia del</w:t>
      </w:r>
      <w:r>
        <w:t xml:space="preserve"> </w:t>
      </w:r>
      <w:r>
        <w:t xml:space="preserve">explicador ante ataques adversarios o cambios significativos en la distribución.</w:t>
      </w:r>
      <w:r>
        <w:t xml:space="preserve"> </w:t>
      </w:r>
      <w:r>
        <w:t xml:space="preserve">Como identifica</w:t>
      </w:r>
      <w:r>
        <w:t xml:space="preserve"> </w:t>
      </w:r>
      <w:r>
        <w:t xml:space="preserve">Zheng et al. (2025)</w:t>
      </w:r>
      <w:r>
        <w:t xml:space="preserve">, muchas métricas tradicionales fallan al operar con</w:t>
      </w:r>
      <w:r>
        <w:t xml:space="preserve"> </w:t>
      </w:r>
      <w:r>
        <w:t xml:space="preserve">datos</w:t>
      </w:r>
      <w:r>
        <w:t xml:space="preserve"> </w:t>
      </w:r>
      <w:r>
        <w:t xml:space="preserve">“fuera de la distribución”</w:t>
      </w:r>
      <w:r>
        <w:t xml:space="preserve"> </w:t>
      </w:r>
      <w:r>
        <w:t xml:space="preserve">(OOD), por lo que la robustez técnica implica</w:t>
      </w:r>
      <w:r>
        <w:t xml:space="preserve"> </w:t>
      </w:r>
      <w:r>
        <w:t xml:space="preserve">garantizar que el explicador mantenga su validez incluso cuando el modelo</w:t>
      </w:r>
      <w:r>
        <w:t xml:space="preserve"> </w:t>
      </w:r>
      <w:r>
        <w:t xml:space="preserve">enfrenta instancias atípicas.</w:t>
      </w:r>
    </w:p>
    <w:bookmarkEnd w:id="49"/>
    <w:bookmarkStart w:id="50" w:name="sparsity-complejidad"/>
    <w:p>
      <w:pPr>
        <w:pStyle w:val="Ttulo3"/>
      </w:pPr>
      <w:r>
        <w:t xml:space="preserve">Sparsity / complejidad</w:t>
      </w:r>
    </w:p>
    <w:p>
      <w:pPr>
        <w:pStyle w:val="FirstParagraph"/>
      </w:pPr>
      <w:r>
        <w:t xml:space="preserve">La complejidad de una explicación debe estar alineada con las capacidades</w:t>
      </w:r>
      <w:r>
        <w:t xml:space="preserve"> </w:t>
      </w:r>
      <w:r>
        <w:t xml:space="preserve">cognitivas humanas.</w:t>
      </w:r>
      <w:r>
        <w:t xml:space="preserve"> </w:t>
      </w:r>
      <w:r>
        <w:t xml:space="preserve">Canha et al. (2025)</w:t>
      </w:r>
      <w:r>
        <w:t xml:space="preserve"> </w:t>
      </w:r>
      <w:r>
        <w:t xml:space="preserve">recurre a la</w:t>
      </w:r>
      <w:r>
        <w:t xml:space="preserve"> </w:t>
      </w:r>
      <w:r>
        <w:t xml:space="preserve">“Ley de Miller”</w:t>
      </w:r>
      <w:r>
        <w:t xml:space="preserve"> </w:t>
      </w:r>
      <w:r>
        <w:t xml:space="preserve">para fundamentar este</w:t>
      </w:r>
      <w:r>
        <w:t xml:space="preserve"> </w:t>
      </w:r>
      <w:r>
        <w:t xml:space="preserve">criterio, sugiriendo que el tamaño óptimo de una explicación informativa debe</w:t>
      </w:r>
      <w:r>
        <w:t xml:space="preserve"> </w:t>
      </w:r>
      <w:r>
        <w:t xml:space="preserve">mantenerse en un rango de</w:t>
      </w:r>
      <w:r>
        <w:t xml:space="preserve"> </w:t>
      </w:r>
      <m:oMath>
        <m:r>
          <m:t>7</m:t>
        </m:r>
        <m:r>
          <m:rPr>
            <m:sty m:val="p"/>
          </m:rPr>
          <m:t>±</m:t>
        </m:r>
        <m:r>
          <m:t>2</m:t>
        </m:r>
      </m:oMath>
      <w:r>
        <w:t xml:space="preserve"> </w:t>
      </w:r>
      <w:r>
        <w:t xml:space="preserve">elementos resaltados. Una explicación con</w:t>
      </w:r>
      <w:r>
        <w:t xml:space="preserve"> </w:t>
      </w:r>
      <w:r>
        <w:t xml:space="preserve">baja cardinalidad (alta</w:t>
      </w:r>
      <w:r>
        <w:t xml:space="preserve"> </w:t>
      </w:r>
      <w:r>
        <w:t xml:space="preserve">) es preferible para reducir la carga</w:t>
      </w:r>
      <w:r>
        <w:t xml:space="preserve"> </w:t>
      </w:r>
      <w:r>
        <w:t xml:space="preserve">cognitiva sin sacrificar la información crítica.</w:t>
      </w:r>
    </w:p>
    <w:bookmarkEnd w:id="50"/>
    <w:bookmarkStart w:id="51" w:name="coste-computacional"/>
    <w:p>
      <w:pPr>
        <w:pStyle w:val="Ttulo3"/>
      </w:pPr>
      <w:r>
        <w:t xml:space="preserve">Coste computacional</w:t>
      </w:r>
    </w:p>
    <w:p>
      <w:pPr>
        <w:pStyle w:val="FirstParagraph"/>
      </w:pPr>
      <w:r>
        <w:t xml:space="preserve">La eficiencia computacional es un criterio pragmático indispensable. Existe una</w:t>
      </w:r>
      <w:r>
        <w:t xml:space="preserve"> </w:t>
      </w:r>
      <w:r>
        <w:t xml:space="preserve">compensación (</w:t>
      </w:r>
      <w:r>
        <w:t xml:space="preserve">) intrínseca entre la fidelidad de métodos como</w:t>
      </w:r>
      <w:r>
        <w:t xml:space="preserve"> </w:t>
      </w:r>
      <w:r>
        <w:t xml:space="preserve">KernelSHAP —que requieren miles de evaluaciones del modelo— y la rapidez de</w:t>
      </w:r>
      <w:r>
        <w:t xml:space="preserve"> </w:t>
      </w:r>
      <w:r>
        <w:t xml:space="preserve">aproximaciones lineales como LIME. Este estudio adopta métricas de latencia de</w:t>
      </w:r>
      <w:r>
        <w:t xml:space="preserve"> </w:t>
      </w:r>
      <w:r>
        <w:t xml:space="preserve">inferencia para valorar la viabilidad del despliegue bajo demanda.</w:t>
      </w:r>
    </w:p>
    <w:bookmarkEnd w:id="51"/>
    <w:bookmarkStart w:id="52" w:name="Xe00b4760c98b12ecb7c034848753f29957e3d9e"/>
    <w:p>
      <w:pPr>
        <w:pStyle w:val="Ttulo3"/>
      </w:pPr>
      <w:r>
        <w:t xml:space="preserve">Alineación causal y sensibilidad contrafactual</w:t>
      </w:r>
    </w:p>
    <w:p>
      <w:pPr>
        <w:pStyle w:val="FirstParagraph"/>
      </w:pPr>
      <w:r>
        <w:t xml:space="preserve">Finalmente, se introduce la alineación causal, que evalúa si las características</w:t>
      </w:r>
      <w:r>
        <w:t xml:space="preserve"> </w:t>
      </w:r>
      <w:r>
        <w:t xml:space="preserve">identificadas corresponden a relaciones lógicas reales en el dominio de</w:t>
      </w:r>
      <w:r>
        <w:t xml:space="preserve"> </w:t>
      </w:r>
      <w:r>
        <w:t xml:space="preserve">aplicación. Este criterio se complementa con la sensibilidad contrafactual, que</w:t>
      </w:r>
      <w:r>
        <w:t xml:space="preserve"> </w:t>
      </w:r>
      <w:r>
        <w:t xml:space="preserve">responde a cambios mínimos necesarios para invertir la decisión del modelo,</w:t>
      </w:r>
      <w:r>
        <w:t xml:space="preserve"> </w:t>
      </w:r>
      <w:r>
        <w:t xml:space="preserve">proporcionando una validación semántica que trasciende la métrica puramente</w:t>
      </w:r>
      <w:r>
        <w:t xml:space="preserve"> </w:t>
      </w:r>
      <w:r>
        <w:t xml:space="preserve">matemática</w:t>
      </w:r>
      <w:r>
        <w:t xml:space="preserve"> </w:t>
      </w:r>
      <w:r>
        <w:t xml:space="preserve">(Bhattacharya and Verbert 2024;</w:t>
      </w:r>
      <w:r>
        <w:t xml:space="preserve"> </w:t>
      </w:r>
      <w:r>
        <w:t xml:space="preserve">Reif et al.</w:t>
      </w:r>
      <w:r>
        <w:t xml:space="preserve"> </w:t>
      </w:r>
      <w:r>
        <w:t xml:space="preserve">2024)</w:t>
      </w:r>
      <w:r>
        <w:t xml:space="preserve">.</w:t>
      </w:r>
    </w:p>
    <w:bookmarkEnd w:id="52"/>
    <w:bookmarkEnd w:id="53"/>
    <w:bookmarkEnd w:id="54"/>
    <w:bookmarkStart w:id="93" w:name="marco-empírico-y-diseño-experimental"/>
    <w:p>
      <w:pPr>
        <w:pStyle w:val="Ttulo1"/>
      </w:pPr>
      <w:r>
        <w:t xml:space="preserve">Marco empírico y diseño experimental</w:t>
      </w:r>
    </w:p>
    <w:p>
      <w:pPr>
        <w:pStyle w:val="FirstParagrap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pPr>
      <w:r>
        <w:t xml:space="preserve">Además de estos dos estudios confirmativos, la tesis incorpora una capa</w:t>
      </w:r>
      <w:r>
        <w:t xml:space="preserve"> </w:t>
      </w:r>
      <w:r>
        <w:t xml:space="preserve">descriptiva de validación humana de explicaciones. Esta capa se usa para</w:t>
      </w:r>
      <w:r>
        <w:t xml:space="preserve"> </w:t>
      </w:r>
      <w:r>
        <w:t xml:space="preserve">evaluar dimensiones semánticas de calidad —claridad, completitud, concisión,</w:t>
      </w:r>
      <w:r>
        <w:t xml:space="preserve"> </w:t>
      </w:r>
      <w:r>
        <w:t xml:space="preserve">plausibilidad y utilidad para auditoría— que no pueden inferirse directamente</w:t>
      </w:r>
      <w:r>
        <w:t xml:space="preserve"> </w:t>
      </w:r>
      <w:r>
        <w:t xml:space="preserve">de las métricas funcionales de EXP2. Su rol es complementario: no modifica el</w:t>
      </w:r>
      <w:r>
        <w:t xml:space="preserve"> </w:t>
      </w:r>
      <w:r>
        <w:t xml:space="preserve">diseño factorial ni los contrastes H1–H3, pero permite interpretar si las</w:t>
      </w:r>
      <w:r>
        <w:t xml:space="preserve"> </w:t>
      </w:r>
      <w:r>
        <w:t xml:space="preserve">explicaciones producidas por los métodos XAI son percibidas como artefactos</w:t>
      </w:r>
      <w:r>
        <w:t xml:space="preserve"> </w:t>
      </w:r>
      <w:r>
        <w:t xml:space="preserve">comprensibles y útiles por evaluadores humanos.</w:t>
      </w:r>
    </w:p>
    <w:bookmarkStart w:id="58" w:name="fases-experimentales-exp1-y-exp2"/>
    <w:p>
      <w:pPr>
        <w:pStyle w:val="Ttulo2"/>
      </w:pPr>
      <w:r>
        <w:t xml:space="preserve">Fases experimentales: EXP1 y EXP2</w:t>
      </w:r>
    </w:p>
    <w:p>
      <w:pPr>
        <w:pStyle w:val="FirstParagrap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6" w:name="X32cac70d6076bcfbcdceb21da7e13d3984b2a1d"/>
    <w:p>
      <w:pPr>
        <w:pStyle w:val="Ttulo3"/>
      </w:pPr>
      <w:r>
        <w:t xml:space="preserve">Fase de calibración y reproducibilidad (EXP1)</w:t>
      </w:r>
    </w:p>
    <w:p>
      <w:pPr>
        <w:pStyle w:val="FirstParagrap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5"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5"/>
          <w:p/>
        </w:tc>
      </w:tr>
    </w:tbl>
    <w:p>
      <w:pPr>
        <w:pStyle w:val="Textoindependiente"/>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6"/>
    <w:bookmarkStart w:id="57" w:name="X88dee61532cae681dfa2cfeee2779c5c9929176"/>
    <w:p>
      <w:pPr>
        <w:pStyle w:val="Ttulo3"/>
      </w:pPr>
      <w:r>
        <w:t xml:space="preserve">Fase de benchmark primario de robustez (EXP2)</w:t>
      </w:r>
    </w:p>
    <w:p>
      <w:pPr>
        <w:pStyle w:val="FirstParagrap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7"/>
    <w:bookmarkEnd w:id="58"/>
    <w:bookmarkStart w:id="62" w:name="Xb179eb5e9b7cbdb0e78e991d72b8aeee41d8932"/>
    <w:p>
      <w:pPr>
        <w:pStyle w:val="Ttulo2"/>
      </w:pPr>
      <w:r>
        <w:t xml:space="preserve">Conjunto de datos y protocolo de preprocesamiento</w:t>
      </w:r>
    </w:p>
    <w:bookmarkStart w:id="59" w:name="descripción-del-conjunto-de-datos"/>
    <w:p>
      <w:pPr>
        <w:pStyle w:val="Ttulo3"/>
      </w:pPr>
      <w:r>
        <w:t xml:space="preserve">Descripción del conjunto de datos</w:t>
      </w:r>
    </w:p>
    <w:p>
      <w:pPr>
        <w:pStyle w:val="FirstParagraph"/>
      </w:pPr>
      <w:r>
        <w:t xml:space="preserve">Ambos estudios utilizan el conjunto de datos UCI Adult Income</w:t>
      </w:r>
      <w:r>
        <w:t xml:space="preserve"> </w:t>
      </w:r>
      <w:r>
        <w:t xml:space="preserve">(Breiman 2001; Kohavi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59"/>
    <w:bookmarkStart w:id="60" w:name="carga-limpieza-y-partición"/>
    <w:p>
      <w:pPr>
        <w:pStyle w:val="Ttulo3"/>
      </w:pPr>
      <w:r>
        <w:t xml:space="preserve">Carga, limpieza y partición</w:t>
      </w:r>
    </w:p>
    <w:p>
      <w:pPr>
        <w:pStyle w:val="FirstParagrap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pPr>
      <w:r>
        <w:t xml:space="preserve">La partición sigue el esquema estratificado:</w:t>
      </w:r>
    </w:p>
    <w:p>
      <w:pPr>
        <w:pStyle w:val="Textoindependiente"/>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0"/>
    <w:bookmarkStart w:id="61" w:name="controles-de-fuga-de-datos"/>
    <w:p>
      <w:pPr>
        <w:pStyle w:val="Ttulo3"/>
      </w:pPr>
      <w:r>
        <w:t xml:space="preserve">Controles de fuga de datos</w:t>
      </w:r>
    </w:p>
    <w:p>
      <w:pPr>
        <w:pStyle w:val="FirstParagraph"/>
      </w:pPr>
      <w:r>
        <w:t xml:space="preserve">Los cuatro controles de fuga de datos se aplican de forma uniforme a todos</w:t>
      </w:r>
      <w:r>
        <w:t xml:space="preserve"> </w:t>
      </w:r>
      <w:r>
        <w:t xml:space="preserve">los métodos explicadores:</w:t>
      </w:r>
    </w:p>
    <w:p>
      <w:pPr>
        <w:pStyle w:val="Compact"/>
        <w:numPr>
          <w:ilvl w:val="0"/>
          <w:numId w:val="1006"/>
        </w:numPr>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pPr>
      <w:r>
        <w:t xml:space="preserve">Las explicaciones se generan sobre el espacio de características</w:t>
      </w:r>
      <w:r>
        <w:t xml:space="preserve"> </w:t>
      </w:r>
      <w:r>
        <w:t xml:space="preserve">transformado que el modelo usó durante el entrenamiento.</w:t>
      </w:r>
    </w:p>
    <w:bookmarkEnd w:id="61"/>
    <w:bookmarkEnd w:id="62"/>
    <w:bookmarkStart w:id="64" w:name="X810bf4db8899260d734480c9f59b02e6a2182a3"/>
    <w:p>
      <w:pPr>
        <w:pStyle w:val="Ttulo2"/>
      </w:pPr>
      <w:r>
        <w:t xml:space="preserve">Diseño factorial del benchmark primario (EXP2)</w:t>
      </w:r>
    </w:p>
    <w:p>
      <w:pPr>
        <w:pStyle w:val="FirstParagraph"/>
      </w:pPr>
      <w:r>
        <w:t xml:space="preserve">El benchmark primario adopta una estructura factorial cruzada de cuatro</w:t>
      </w:r>
      <w:r>
        <w:t xml:space="preserve"> </w:t>
      </w:r>
      <w:r>
        <w:t xml:space="preserve">factores:</w:t>
      </w:r>
    </w:p>
    <w:p>
      <w:pPr>
        <w:pStyle w:val="Textoindependiente"/>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pPr>
      <w:r>
        <w:t xml:space="preserve">donde:</w:t>
      </w:r>
    </w:p>
    <w:p>
      <w:pPr>
        <w:pStyle w:val="Compact"/>
        <w:numPr>
          <w:ilvl w:val="0"/>
          <w:numId w:val="1007"/>
        </w:numPr>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7"/>
        </w:numPr>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7"/>
        </w:numPr>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7"/>
        </w:numPr>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pPr>
      <w:r>
        <w:t xml:space="preserve">El tamaño del diseño planificado es:</w:t>
      </w:r>
    </w:p>
    <w:p>
      <w:pPr>
        <w:pStyle w:val="Textoindependiente"/>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3" w:name="X7f3be01e797123bdbedac923d646584591998bc"/>
    <w:p>
      <w:pPr>
        <w:pStyle w:val="Ttulo3"/>
      </w:pPr>
      <w:r>
        <w:t xml:space="preserve">Jerarquía de análisis y unidad inferencial</w:t>
      </w:r>
    </w:p>
    <w:p>
      <w:pPr>
        <w:pStyle w:val="FirstParagraph"/>
      </w:pPr>
      <w:r>
        <w:t xml:space="preserve">Para evitar la pseudo-replicación, el análisis adopta una estructura</w:t>
      </w:r>
      <w:r>
        <w:t xml:space="preserve"> </w:t>
      </w:r>
      <w:r>
        <w:t xml:space="preserve">jerárquica de tres niveles:</w:t>
      </w:r>
    </w:p>
    <w:p>
      <w:pPr>
        <w:pStyle w:val="Compact"/>
        <w:numPr>
          <w:ilvl w:val="0"/>
          <w:numId w:val="1008"/>
        </w:numPr>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08"/>
        </w:numPr>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3"/>
    <w:bookmarkEnd w:id="64"/>
    <w:bookmarkStart w:id="67" w:name="Xa1b63f5b80ef9314faeb5aae6b8d7e743e4217a"/>
    <w:p>
      <w:pPr>
        <w:pStyle w:val="Ttulo2"/>
      </w:pPr>
      <w:r>
        <w:t xml:space="preserve">Protocolo de muestreo de instancias y configuración de explicadores</w:t>
      </w:r>
    </w:p>
    <w:bookmarkStart w:id="65" w:name="X22a27531824c8c7d79a9c6abca6e13f987fd35c"/>
    <w:p>
      <w:pPr>
        <w:pStyle w:val="Ttulo3"/>
      </w:pPr>
      <w:r>
        <w:t xml:space="preserve">Muestreo estratificado por cuadrante de error</w:t>
      </w:r>
    </w:p>
    <w:p>
      <w:pPr>
        <w:pStyle w:val="FirstParagrap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5"/>
    <w:bookmarkStart w:id="66" w:name="configuración-de-los-explicadores"/>
    <w:p>
      <w:pPr>
        <w:pStyle w:val="Ttulo3"/>
      </w:pPr>
      <w:r>
        <w:t xml:space="preserve">Configuración de los explicadores</w:t>
      </w:r>
    </w:p>
    <w:p>
      <w:pPr>
        <w:pStyle w:val="FirstParagrap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6"/>
    <w:bookmarkEnd w:id="67"/>
    <w:bookmarkStart w:id="75" w:name="operacionalización-de-las-métricas"/>
    <w:p>
      <w:pPr>
        <w:pStyle w:val="Ttulo2"/>
      </w:pPr>
      <w:r>
        <w:t xml:space="preserve">Operacionalización de las métricas</w:t>
      </w:r>
    </w:p>
    <w:p>
      <w:pPr>
        <w:pStyle w:val="FirstParagrap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68" w:name="fidelidad-1"/>
    <w:p>
      <w:pPr>
        <w:pStyle w:val="Ttulo3"/>
      </w:pPr>
      <w:r>
        <w:t xml:space="preserve">Fidelidad</w:t>
      </w:r>
    </w:p>
    <w:p>
      <w:pPr>
        <w:pStyle w:val="FirstParagrap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68"/>
    <w:bookmarkStart w:id="69" w:name="estabilidad-1"/>
    <w:p>
      <w:pPr>
        <w:pStyle w:val="Ttulo3"/>
      </w:pPr>
      <w:r>
        <w:t xml:space="preserve">Estabilidad</w:t>
      </w:r>
    </w:p>
    <w:p>
      <w:pPr>
        <w:pStyle w:val="FirstParagraph"/>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69"/>
    <w:bookmarkStart w:id="70" w:name="parsimonia"/>
    <w:p>
      <w:pPr>
        <w:pStyle w:val="Ttulo3"/>
      </w:pPr>
      <w:r>
        <w:t xml:space="preserve">Parsimonia</w:t>
      </w:r>
    </w:p>
    <w:p>
      <w:pPr>
        <w:pStyle w:val="FirstParagraph"/>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0"/>
    <w:bookmarkStart w:id="71" w:name="brecha-de-fidelidad"/>
    <w:p>
      <w:pPr>
        <w:pStyle w:val="Ttulo3"/>
      </w:pPr>
      <w:r>
        <w:t xml:space="preserve">Brecha de fidelidad</w:t>
      </w:r>
    </w:p>
    <w:p>
      <w:pPr>
        <w:pStyle w:val="FirstParagraph"/>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1"/>
    <w:bookmarkStart w:id="72" w:name="coste-computacional-1"/>
    <w:p>
      <w:pPr>
        <w:pStyle w:val="Ttulo3"/>
      </w:pPr>
      <w:r>
        <w:t xml:space="preserve">Coste computacional</w:t>
      </w:r>
    </w:p>
    <w:p>
      <w:pPr>
        <w:pStyle w:val="FirstParagraph"/>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2"/>
    <w:bookmarkStart w:id="74"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3"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3"/>
          <w:p/>
        </w:tc>
      </w:tr>
    </w:tbl>
    <w:bookmarkEnd w:id="74"/>
    <w:bookmarkEnd w:id="75"/>
    <w:bookmarkStart w:id="77" w:name="capa-de-validación-humana-complementaria"/>
    <w:p>
      <w:pPr>
        <w:pStyle w:val="Ttulo2"/>
      </w:pPr>
      <w:r>
        <w:t xml:space="preserve">Capa de validación humana complementaria</w:t>
      </w:r>
    </w:p>
    <w:p>
      <w:pPr>
        <w:pStyle w:val="FirstParagraph"/>
      </w:pPr>
      <w:r>
        <w:t xml:space="preserve">La validación humana se diseñó como una capa posterior al benchmark funcional.</w:t>
      </w:r>
      <w:r>
        <w:t xml:space="preserve"> </w:t>
      </w:r>
      <w:r>
        <w:t xml:space="preserve">Su unidad de observación es la anotación humana sobre un caso de explicación,</w:t>
      </w:r>
      <w:r>
        <w:t xml:space="preserve"> </w:t>
      </w:r>
      <w:r>
        <w:t xml:space="preserve">no la celda factorial</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de EXP2. Cada caso presenta una explicación</w:t>
      </w:r>
      <w:r>
        <w:t xml:space="preserve"> </w:t>
      </w:r>
      <w:r>
        <w:t xml:space="preserve">normalizada junto con metadatos de contexto: conjunto de datos, método</w:t>
      </w:r>
      <w:r>
        <w:t xml:space="preserve"> </w:t>
      </w:r>
      <w:r>
        <w:t xml:space="preserve">explicador, cuadrante de predicción (TP/TN/FP/FN), predicción y etiqueta</w:t>
      </w:r>
      <w:r>
        <w:t xml:space="preserve"> </w:t>
      </w:r>
      <w:r>
        <w:t xml:space="preserve">verdadera. Para reducir sesgos de expectativa, los evaluadores no reciben las</w:t>
      </w:r>
      <w:r>
        <w:t xml:space="preserve"> </w:t>
      </w:r>
      <w:r>
        <w:t xml:space="preserve">métricas automáticas ni los scores producidos por jueces LLM durante la tarea.</w:t>
      </w:r>
    </w:p>
    <w:p>
      <w:pPr>
        <w:pStyle w:val="Textoindependiente"/>
      </w:pPr>
      <w:r>
        <w:t xml:space="preserve">El instrumento de anotación usa cinco ítems Likert de 1 a 5:</w:t>
      </w:r>
    </w:p>
    <w:tbl>
      <w:tblPr>
        <w:tblStyle w:val="Table"/>
        <w:tblW w:type="pct" w:w="5000"/>
        <w:tblLayout w:type="fixed"/>
        <w:tblLook w:firstRow="0" w:lastRow="0" w:firstColumn="0" w:lastColumn="0" w:noHBand="0" w:noVBand="0" w:val="0000"/>
      </w:tblPr>
      <w:tblGrid>
        <w:gridCol w:w="7920"/>
      </w:tblGrid>
      <w:tr>
        <w:tc>
          <w:tcPr/>
          <w:bookmarkStart w:id="76" w:name="tbl-human-validation-instrument"/>
          <w:p>
            <w:pPr>
              <w:jc w:val="center"/>
            </w:pPr>
            <w:pPr>
              <w:jc w:val="left"/>
              <w:spacing w:before="200"/>
              <w:pStyle w:val="ImageCaption"/>
            </w:pPr>
            <w:r>
              <w:t xml:space="preserve">Table 4.3: Dimensiones del instrumento de validación humana.</w:t>
            </w:r>
          </w:p>
          <w:tbl>
            <w:tblPr>
              <w:tblStyle w:val="Table"/>
              <w:tblW w:type="pct" w:w="5000"/>
              <w:tblLayout w:type="fixed"/>
              <w:tblLook w:firstRow="1" w:lastRow="0" w:firstColumn="0" w:lastColumn="0" w:noHBand="0" w:noVBand="0" w:val="0020"/>
            </w:tblPr>
            <w:tblGrid>
              <w:gridCol w:w="2795"/>
              <w:gridCol w:w="3416"/>
              <w:gridCol w:w="1708"/>
            </w:tblGrid>
            <w:tr>
              <w:trPr>
                <w:tblHeader w:val="on"/>
              </w:trPr>
              <w:tc>
                <w:tcPr/>
                <w:p>
                  <w:pPr>
                    <w:pStyle w:val="Compact"/>
                    <w:jc w:val="center"/>
                  </w:pPr>
                  <w:r>
                    <w:t xml:space="preserve">Dimensión humana</w:t>
                  </w:r>
                </w:p>
              </w:tc>
              <w:tc>
                <w:tcPr/>
                <w:p>
                  <w:pPr>
                    <w:pStyle w:val="Compact"/>
                    <w:jc w:val="center"/>
                  </w:pPr>
                  <w:r>
                    <w:t xml:space="preserve">Pregunta operacional</w:t>
                  </w:r>
                </w:p>
              </w:tc>
              <w:tc>
                <w:tcPr/>
                <w:p>
                  <w:pPr>
                    <w:pStyle w:val="Compact"/>
                    <w:jc w:val="center"/>
                  </w:pPr>
                  <w:r>
                    <w:t xml:space="preserve">Dirección</w:t>
                  </w:r>
                </w:p>
              </w:tc>
            </w:tr>
            <w:tr>
              <w:tc>
                <w:tcPr/>
                <w:p>
                  <w:pPr>
                    <w:pStyle w:val="Compact"/>
                    <w:jc w:val="center"/>
                  </w:pPr>
                  <w:r>
                    <w:t xml:space="preserve">Claridad</w:t>
                  </w:r>
                </w:p>
              </w:tc>
              <w:tc>
                <w:tcPr/>
                <w:p>
                  <w:pPr>
                    <w:pStyle w:val="Compact"/>
                    <w:jc w:val="center"/>
                  </w:pPr>
                  <w:r>
                    <w:t xml:space="preserve">La explicación es fácil de entender.</w:t>
                  </w:r>
                </w:p>
              </w:tc>
              <w:tc>
                <w:tcPr/>
                <w:p>
                  <w:pPr>
                    <w:pStyle w:val="Compact"/>
                    <w:jc w:val="center"/>
                  </w:pPr>
                  <m:oMath>
                    <m:r>
                      <m:rPr>
                        <m:sty m:val="p"/>
                      </m:rPr>
                      <m:t>↑</m:t>
                    </m:r>
                  </m:oMath>
                </w:p>
              </w:tc>
            </w:tr>
            <w:tr>
              <w:tc>
                <w:tcPr/>
                <w:p>
                  <w:pPr>
                    <w:pStyle w:val="Compact"/>
                    <w:jc w:val="center"/>
                  </w:pPr>
                  <w:r>
                    <w:t xml:space="preserve">Completitud</w:t>
                  </w:r>
                </w:p>
              </w:tc>
              <w:tc>
                <w:tcPr/>
                <w:p>
                  <w:pPr>
                    <w:pStyle w:val="Compact"/>
                    <w:jc w:val="center"/>
                  </w:pPr>
                  <w:r>
                    <w:t xml:space="preserve">La explicación cubre suficientemente por qué el modelo decidió así.</w:t>
                  </w:r>
                </w:p>
              </w:tc>
              <w:tc>
                <w:tcPr/>
                <w:p>
                  <w:pPr>
                    <w:pStyle w:val="Compact"/>
                    <w:jc w:val="center"/>
                  </w:pPr>
                  <m:oMath>
                    <m:r>
                      <m:rPr>
                        <m:sty m:val="p"/>
                      </m:rPr>
                      <m:t>↑</m:t>
                    </m:r>
                  </m:oMath>
                </w:p>
              </w:tc>
            </w:tr>
            <w:tr>
              <w:tc>
                <w:tcPr/>
                <w:p>
                  <w:pPr>
                    <w:pStyle w:val="Compact"/>
                    <w:jc w:val="center"/>
                  </w:pPr>
                  <w:r>
                    <w:t xml:space="preserve">Concisión</w:t>
                  </w:r>
                </w:p>
              </w:tc>
              <w:tc>
                <w:tcPr/>
                <w:p>
                  <w:pPr>
                    <w:pStyle w:val="Compact"/>
                    <w:jc w:val="center"/>
                  </w:pPr>
                  <w:r>
                    <w:t xml:space="preserve">La explicación es concisa y no excesivamente extensa.</w:t>
                  </w:r>
                </w:p>
              </w:tc>
              <w:tc>
                <w:tcPr/>
                <w:p>
                  <w:pPr>
                    <w:pStyle w:val="Compact"/>
                    <w:jc w:val="center"/>
                  </w:pPr>
                  <m:oMath>
                    <m:r>
                      <m:rPr>
                        <m:sty m:val="p"/>
                      </m:rPr>
                      <m:t>↑</m:t>
                    </m:r>
                  </m:oMath>
                </w:p>
              </w:tc>
            </w:tr>
            <w:tr>
              <w:tc>
                <w:tcPr/>
                <w:p>
                  <w:pPr>
                    <w:pStyle w:val="Compact"/>
                    <w:jc w:val="center"/>
                  </w:pPr>
                  <w:r>
                    <w:t xml:space="preserve">Plausibilidad</w:t>
                  </w:r>
                </w:p>
              </w:tc>
              <w:tc>
                <w:tcPr/>
                <w:p>
                  <w:pPr>
                    <w:pStyle w:val="Compact"/>
                    <w:jc w:val="center"/>
                  </w:pPr>
                  <w:r>
                    <w:t xml:space="preserve">La explicación tiene sentido práctico en el dominio.</w:t>
                  </w:r>
                </w:p>
              </w:tc>
              <w:tc>
                <w:tcPr/>
                <w:p>
                  <w:pPr>
                    <w:pStyle w:val="Compact"/>
                    <w:jc w:val="center"/>
                  </w:pPr>
                  <m:oMath>
                    <m:r>
                      <m:rPr>
                        <m:sty m:val="p"/>
                      </m:rPr>
                      <m:t>↑</m:t>
                    </m:r>
                  </m:oMath>
                </w:p>
              </w:tc>
            </w:tr>
            <w:tr>
              <w:tc>
                <w:tcPr/>
                <w:p>
                  <w:pPr>
                    <w:pStyle w:val="Compact"/>
                    <w:jc w:val="center"/>
                  </w:pPr>
                  <w:r>
                    <w:t xml:space="preserve">Utilidad para auditoría</w:t>
                  </w:r>
                </w:p>
              </w:tc>
              <w:tc>
                <w:tcPr/>
                <w:p>
                  <w:pPr>
                    <w:pStyle w:val="Compact"/>
                    <w:jc w:val="center"/>
                  </w:pPr>
                  <w:r>
                    <w:t xml:space="preserve">La explicación serviría para revisar si el modelo decide de forma justa o razonable.</w:t>
                  </w:r>
                </w:p>
              </w:tc>
              <w:tc>
                <w:tcPr/>
                <w:p>
                  <w:pPr>
                    <w:pStyle w:val="Compact"/>
                    <w:jc w:val="center"/>
                  </w:pPr>
                  <m:oMath>
                    <m:r>
                      <m:rPr>
                        <m:sty m:val="p"/>
                      </m:rPr>
                      <m:t>↑</m:t>
                    </m:r>
                  </m:oMath>
                </w:p>
              </w:tc>
            </w:tr>
          </w:tbl>
          <w:bookmarkEnd w:id="76"/>
          <w:p/>
        </w:tc>
      </w:tr>
    </w:tbl>
    <w:p>
      <w:pPr>
        <w:pStyle w:val="Textoindependiente"/>
      </w:pPr>
      <w:r>
        <w:t xml:space="preserve">El archivo consolidado de respuestas humanas se mantiene en</w:t>
      </w:r>
      <w:r>
        <w:t xml:space="preserve"> </w:t>
      </w:r>
      <w:r>
        <w:rPr>
          <w:rStyle w:val="VerbatimChar"/>
        </w:rPr>
        <w:t xml:space="preserve">experiments/exp4_llm_evaluation/human_validation_responses.csv</w:t>
      </w:r>
      <w:r>
        <w:t xml:space="preserve">. El análisis</w:t>
      </w:r>
      <w:r>
        <w:t xml:space="preserve"> </w:t>
      </w:r>
      <w:r>
        <w:t xml:space="preserve">descriptivo se genera a partir de este archivo y se almacena en</w:t>
      </w:r>
      <w:r>
        <w:t xml:space="preserve"> </w:t>
      </w:r>
      <w:r>
        <w:rPr>
          <w:rStyle w:val="VerbatimChar"/>
        </w:rPr>
        <w:t xml:space="preserve">outputs/analysis/exp4_llm_evaluation/human_validation_rerun/</w:t>
      </w:r>
      <w:r>
        <w:t xml:space="preserve">. Dado que esta</w:t>
      </w:r>
      <w:r>
        <w:t xml:space="preserve"> </w:t>
      </w:r>
      <w:r>
        <w:t xml:space="preserve">capa no fue planificada como contraste confirmativo entre métodos, los</w:t>
      </w:r>
      <w:r>
        <w:t xml:space="preserve"> </w:t>
      </w:r>
      <w:r>
        <w:t xml:space="preserve">resultados se interpretan como evidencia descriptiva y de validez de constructo:</w:t>
      </w:r>
      <w:r>
        <w:t xml:space="preserve"> </w:t>
      </w:r>
      <w:r>
        <w:t xml:space="preserve">sirven para identificar perfiles semánticos, variabilidad entre dimensiones y</w:t>
      </w:r>
      <w:r>
        <w:t xml:space="preserve"> </w:t>
      </w:r>
      <w:r>
        <w:t xml:space="preserve">necesidades de calibración humano–LLM, no para reemplazar las pruebas</w:t>
      </w:r>
      <w:r>
        <w:t xml:space="preserve"> </w:t>
      </w:r>
      <w:r>
        <w:t xml:space="preserve">estadísticas de EXP2.</w:t>
      </w:r>
    </w:p>
    <w:bookmarkEnd w:id="77"/>
    <w:bookmarkStart w:id="78" w:name="protocolo-de-operación-fom-7"/>
    <w:p>
      <w:pPr>
        <w:pStyle w:val="Ttulo2"/>
      </w:pPr>
      <w:r>
        <w:t xml:space="preserve">Protocolo de operación FOM-7</w:t>
      </w:r>
    </w:p>
    <w:p>
      <w:pPr>
        <w:pStyle w:val="FirstParagrap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pPr>
      <w:r>
        <w:t xml:space="preserve">El flujo compacto del protocolo es:</w:t>
      </w:r>
    </w:p>
    <w:p>
      <w:pPr>
        <w:pStyle w:val="Textoindependiente"/>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8"/>
    <w:bookmarkStart w:id="83" w:name="X70736bc07e73377e919d2c60f119994d057bf14"/>
    <w:p>
      <w:pPr>
        <w:pStyle w:val="Ttulo2"/>
      </w:pPr>
      <w:r>
        <w:t xml:space="preserve">Cobertura de artefactos y análisis del impacto de datos faltantes</w:t>
      </w:r>
    </w:p>
    <w:bookmarkStart w:id="81" w:name="inventario-de-cobertura"/>
    <w:p>
      <w:pPr>
        <w:pStyle w:val="Ttulo3"/>
      </w:pPr>
      <w:r>
        <w:t xml:space="preserve">Inventario de cobertura</w:t>
      </w:r>
    </w:p>
    <w:p>
      <w:pPr>
        <w:pStyle w:val="FirstParagrap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9" w:name="tbl-coverage"/>
          <w:p>
            <w:pPr>
              <w:jc w:val="center"/>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9"/>
          <w:p/>
        </w:tc>
      </w:tr>
    </w:tbl>
    <w:p>
      <w:pPr>
        <w:pStyle w:val="Textoindependiente"/>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0" w:name="tbl-coverage-method"/>
          <w:p>
            <w:pPr>
              <w:jc w:val="center"/>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80"/>
          <w:p/>
        </w:tc>
      </w:tr>
    </w:tbl>
    <w:bookmarkEnd w:id="81"/>
    <w:bookmarkStart w:id="82" w:name="Xcb4396ffd8bf23e7b418105a9e8d3fef7075c0b"/>
    <w:p>
      <w:pPr>
        <w:pStyle w:val="Ttulo3"/>
      </w:pPr>
      <w:r>
        <w:t xml:space="preserve">Evaluación cuantitativa del impacto estadístico</w:t>
      </w:r>
    </w:p>
    <w:p>
      <w:pPr>
        <w:pStyle w:val="FirstParagrap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2"/>
    <w:bookmarkEnd w:id="83"/>
    <w:bookmarkStart w:id="91" w:name="plan-de-inferencia-estadística"/>
    <w:p>
      <w:pPr>
        <w:pStyle w:val="Ttulo2"/>
      </w:pPr>
      <w:r>
        <w:t xml:space="preserve">Plan de inferencia estadística</w:t>
      </w:r>
    </w:p>
    <w:bookmarkStart w:id="84" w:name="estudio-a-test-omnibus-de-friedman"/>
    <w:p>
      <w:pPr>
        <w:pStyle w:val="Ttulo3"/>
      </w:pPr>
      <w:r>
        <w:t xml:space="preserve">Estudio A: test omnibus de Friedman</w:t>
      </w:r>
    </w:p>
    <w:p>
      <w:pPr>
        <w:pStyle w:val="FirstParagraph"/>
      </w:pPr>
      <w:r>
        <w:t xml:space="preserve">Para contrastar H1 y H2, se aplica el test de Friedman</w:t>
      </w:r>
      <w:r>
        <w:t xml:space="preserve"> </w:t>
      </w:r>
      <w:r>
        <w:t xml:space="preserve">(Friedman 1937)</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(Demšar 2006)</w:t>
      </w:r>
      <w:r>
        <w:t xml:space="preserve">. El tamaño del efecto se reporta mediante la</w:t>
      </w:r>
      <w:r>
        <w:t xml:space="preserve"> </w:t>
      </w:r>
      <m:oMath>
        <m:r>
          <m:t>W</m:t>
        </m:r>
      </m:oMath>
      <w:r>
        <w:t xml:space="preserve"> </w:t>
      </w:r>
      <w:r>
        <w:t xml:space="preserve">de Kendall:</w:t>
      </w:r>
    </w:p>
    <w:p>
      <w:pPr>
        <w:pStyle w:val="Textoindependiente"/>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pPr>
      <w:r>
        <w:t xml:space="preserve">donde</w:t>
      </w:r>
      <w:r>
        <w:t xml:space="preserve"> </w:t>
      </w:r>
      <m:oMath>
        <m:r>
          <m:t>W</m:t>
        </m:r>
        <m:r>
          <m:rPr>
            <m:sty m:val="p"/>
          </m:rPr>
          <m:t>=</m:t>
        </m:r>
        <m:r>
          <m:t>1</m:t>
        </m:r>
      </m:oMath>
      <w:r>
        <w:t xml:space="preserve"> </w:t>
      </w:r>
      <w:r>
        <w:t xml:space="preserve">indica concordancia perfecta entre bloques.</w:t>
      </w:r>
    </w:p>
    <w:bookmarkEnd w:id="84"/>
    <w:bookmarkStart w:id="85" w:name="localización-post-hoc-nemenyi"/>
    <w:p>
      <w:pPr>
        <w:pStyle w:val="Ttulo3"/>
      </w:pPr>
      <w:r>
        <w:t xml:space="preserve">Localización post-hoc: Nemenyi</w:t>
      </w:r>
    </w:p>
    <w:p>
      <w:pPr>
        <w:pStyle w:val="FirstParagraph"/>
      </w:pPr>
      <w:r>
        <w:t xml:space="preserve">Cuando Friedman rechaza</w:t>
      </w:r>
      <w:r>
        <w:t xml:space="preserve"> </w:t>
      </w:r>
      <m:oMath>
        <m:sSub>
          <m:e>
            <m:r>
              <m:t>H</m:t>
            </m:r>
          </m:e>
          <m:sub>
            <m:r>
              <m:t>0</m:t>
            </m:r>
          </m:sub>
        </m:sSub>
      </m:oMath>
      <w:r>
        <w:t xml:space="preserve">, se aplica la prueba post-hoc de Nemenyi</w:t>
      </w:r>
      <w:r>
        <w:t xml:space="preserve"> </w:t>
      </w:r>
      <w:r>
        <w:t xml:space="preserve">(Nemenyi 1963)</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5"/>
    <w:bookmarkStart w:id="86" w:name="X82a710d830240cc18776e0ef609d9e71b3f53e7"/>
    <w:p>
      <w:pPr>
        <w:pStyle w:val="Ttulo3"/>
      </w:pPr>
      <w:r>
        <w:t xml:space="preserve">Wilcoxon pareado: conjuntos de 45 y 75 celdas</w:t>
      </w:r>
    </w:p>
    <w:p>
      <w:pPr>
        <w:pStyle w:val="FirstParagrap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09"/>
        </w:numPr>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09"/>
        </w:numPr>
      </w:pPr>
      <w:r>
        <w:rPr>
          <w:b/>
          <w:bCs/>
        </w:rPr>
        <w:t xml:space="preserve">Wilcoxon-75</w:t>
      </w:r>
      <w:r>
        <w:t xml:space="preserve">: 75 celdas completas (análisis de sensibilidad que incluye</w:t>
      </w:r>
      <w:r>
        <w:t xml:space="preserve"> </w:t>
      </w:r>
      <w:r>
        <w:t xml:space="preserve">SVM y MLP con KernelSHAP).</w:t>
      </w:r>
    </w:p>
    <w:p>
      <w:pPr>
        <w:pStyle w:val="FirstParagraph"/>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(Lakens 2013)</w:t>
      </w:r>
      <w:r>
        <w:t xml:space="preserve">:</w:t>
      </w:r>
    </w:p>
    <w:p>
      <w:pPr>
        <w:pStyle w:val="Textoindependiente"/>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6"/>
    <w:bookmarkStart w:id="88" w:name="control-de-multiplicidad"/>
    <w:p>
      <w:pPr>
        <w:pStyle w:val="Ttulo3"/>
      </w:pPr>
      <w:r>
        <w:t xml:space="preserve">Control de multiplicidad</w:t>
      </w:r>
    </w:p>
    <w:p>
      <w:pPr>
        <w:pStyle w:val="FirstParagrap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7" w:name="tbl-stat-plan"/>
          <w:p>
            <w:pPr>
              <w:jc w:val="center"/>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7"/>
          <w:p/>
        </w:tc>
      </w:tr>
    </w:tbl>
    <w:bookmarkEnd w:id="88"/>
    <w:bookmarkStart w:id="90"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9" w:name="tbl-hypo-plan"/>
          <w:p>
            <w:pPr>
              <w:jc w:val="center"/>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9"/>
          <w:p/>
        </w:tc>
      </w:tr>
    </w:tbl>
    <w:bookmarkEnd w:id="90"/>
    <w:bookmarkEnd w:id="91"/>
    <w:bookmarkStart w:id="92" w:name="trazabilidad-y-reproducibilidad"/>
    <w:p>
      <w:pPr>
        <w:pStyle w:val="Ttulo2"/>
      </w:pPr>
      <w:r>
        <w:t xml:space="preserve">Trazabilidad y reproducibilidad</w:t>
      </w:r>
    </w:p>
    <w:p>
      <w:pPr>
        <w:pStyle w:val="FirstParagrap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pPr>
      <w:r>
        <w:rPr>
          <w:rStyle w:val="VerbatimChar"/>
        </w:rPr>
        <w:t xml:space="preserve">outputs/batch_results.csv</w:t>
      </w:r>
      <w:r>
        <w:t xml:space="preserve"> </w:t>
      </w:r>
      <w:r>
        <w:t xml:space="preserve">— superposición de recuperación (30 filas).</w:t>
      </w:r>
    </w:p>
    <w:p>
      <w:pPr>
        <w:pStyle w:val="Compact"/>
        <w:numPr>
          <w:ilvl w:val="0"/>
          <w:numId w:val="1010"/>
        </w:numPr>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2"/>
    <w:bookmarkEnd w:id="93"/>
    <w:bookmarkStart w:id="127" w:name="resultados-y-discusión"/>
    <w:p>
      <w:pPr>
        <w:pStyle w:val="Ttulo1"/>
      </w:pPr>
      <w:r>
        <w:t xml:space="preserve">Resultados y discusión</w:t>
      </w:r>
    </w:p>
    <w:p>
      <w:pPr>
        <w:pStyle w:val="FirstParagrap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A continuación se</w:t>
      </w:r>
      <w:r>
        <w:t xml:space="preserve"> </w:t>
      </w:r>
      <w:r>
        <w:t xml:space="preserve">incorpora una capa complementaria de validación humana de las explicaciones</w:t>
      </w:r>
      <w:r>
        <w:t xml:space="preserve"> </w:t>
      </w:r>
      <w:r>
        <w:t xml:space="preserve">generadas, orientada a dimensiones semánticas y de utilidad que no son</w:t>
      </w:r>
      <w:r>
        <w:t xml:space="preserve"> </w:t>
      </w:r>
      <w:r>
        <w:t xml:space="preserve">capturadas por las métricas funcionales automáticas. La discusión integradora</w:t>
      </w:r>
      <w:r>
        <w:t xml:space="preserve"> </w:t>
      </w:r>
      <w:r>
        <w:t xml:space="preserve">al final del capítulo articula los hallazgos con la literatura y deriva</w:t>
      </w:r>
      <w:r>
        <w:t xml:space="preserve"> </w:t>
      </w:r>
      <w:r>
        <w:t xml:space="preserve">criterios operativos de selección de métodos.</w:t>
      </w:r>
    </w:p>
    <w:p>
      <w:pPr>
        <w:pStyle w:val="Textoindependiente"/>
      </w:pPr>
      <w:r>
        <w:t xml:space="preserve">Los resultados confirmativos de H1–H3 y P1 se calcularon a partir de los</w:t>
      </w:r>
      <w:r>
        <w:t xml:space="preserve"> </w:t>
      </w:r>
      <w:r>
        <w:t xml:space="preserve">artefactos de la etapa de benchmark primario de robustez (EXP2), compuesta por</w:t>
      </w:r>
      <w:r>
        <w:t xml:space="preserve"> </w:t>
      </w:r>
      <w:r>
        <w:t xml:space="preserve">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 La validación humana se</w:t>
      </w:r>
      <w:r>
        <w:t xml:space="preserve"> </w:t>
      </w:r>
      <w:r>
        <w:t xml:space="preserve">reporta como análisis descriptivo complementario sobre el archivo</w:t>
      </w:r>
      <w:r>
        <w:t xml:space="preserve"> </w:t>
      </w:r>
      <w:r>
        <w:rPr>
          <w:rStyle w:val="VerbatimChar"/>
        </w:rPr>
        <w:t xml:space="preserve">experiments/exp4_llm_evaluation/human_validation_responses.csv</w:t>
      </w:r>
      <w:r>
        <w:t xml:space="preserve">; no altera</w:t>
      </w:r>
      <w:r>
        <w:t xml:space="preserve"> </w:t>
      </w:r>
      <w:r>
        <w:t xml:space="preserve">los contrastes inferenciales de EXP2, sino que añade evidencia</w:t>
      </w:r>
      <w:r>
        <w:t xml:space="preserve"> </w:t>
      </w:r>
      <w:r>
        <w:rPr>
          <w:i/>
          <w:iCs/>
        </w:rPr>
        <w:t xml:space="preserve">human-centered</w:t>
      </w:r>
      <w:r>
        <w:t xml:space="preserve"> </w:t>
      </w:r>
      <w:r>
        <w:t xml:space="preserve">sobre la percepción de calidad de las explicaciones.</w:t>
      </w:r>
    </w:p>
    <w:bookmarkStart w:id="94" w:name="X265f56e886428ba30debc49e85dcc5a7469d3ae"/>
    <w:p>
      <w:pPr>
        <w:pStyle w:val="Ttulo2"/>
      </w:pPr>
      <w:r>
        <w:t xml:space="preserve">Descripción general de la cobertura analítica</w:t>
      </w:r>
    </w:p>
    <w:p>
      <w:pPr>
        <w:pStyle w:val="FirstParagrap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1"/>
        </w:numPr>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1"/>
        </w:numPr>
      </w:pPr>
      <w:r>
        <w:rPr>
          <w:b/>
          <w:bCs/>
        </w:rPr>
        <w:t xml:space="preserve">LIME</w:t>
      </w:r>
      <w:r>
        <w:t xml:space="preserve">: 75 de 75 celdas (100%). Cobertura completa.</w:t>
      </w:r>
    </w:p>
    <w:p>
      <w:pPr>
        <w:numPr>
          <w:ilvl w:val="0"/>
          <w:numId w:val="1011"/>
        </w:numPr>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1"/>
        </w:numPr>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4"/>
    <w:bookmarkStart w:id="100" w:name="sec-estudio-a"/>
    <w:p>
      <w:pPr>
        <w:pStyle w:val="Ttulo2"/>
      </w:pPr>
      <w:r>
        <w:t xml:space="preserve">Estudio A: Análisis omnibus multimétrico (H1 y H2)</w:t>
      </w:r>
    </w:p>
    <w:bookmarkStart w:id="97" w:name="X41be5df394949178755daa825e68dc45d5470c0"/>
    <w:p>
      <w:pPr>
        <w:pStyle w:val="Ttulo3"/>
      </w:pPr>
      <w:r>
        <w:t xml:space="preserve">H1: Diferencias entre métodos en fidelidad</w:t>
      </w:r>
    </w:p>
    <w:p>
      <w:pPr>
        <w:pStyle w:val="FirstParagraph"/>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5"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5"/>
          <w:p/>
        </w:tc>
      </w:tr>
    </w:tbl>
    <w:p>
      <w:pPr>
        <w:pStyle w:val="Textoindependiente"/>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6"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6"/>
          <w:p/>
        </w:tc>
      </w:tr>
    </w:tbl>
    <w:p>
      <w:pPr>
        <w:pStyle w:val="Textoindependiente"/>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7"/>
    <w:bookmarkStart w:id="99" w:name="X117d71016dd8839ee57c9e60cc09d0400ac5f3d"/>
    <w:p>
      <w:pPr>
        <w:pStyle w:val="Ttulo3"/>
      </w:pPr>
      <w:r>
        <w:t xml:space="preserve">H2: Diferencias entre métodos en estabilidad</w:t>
      </w:r>
    </w:p>
    <w:p>
      <w:pPr>
        <w:pStyle w:val="FirstParagraph"/>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8"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8"/>
          <w:p/>
        </w:tc>
      </w:tr>
    </w:tbl>
    <w:p>
      <w:pPr>
        <w:pStyle w:val="Textoindependiente"/>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2"/>
        </w:numPr>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2"/>
        </w:numPr>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2"/>
        </w:numPr>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2"/>
        </w:numPr>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2"/>
        </w:numPr>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2"/>
        </w:numPr>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9"/>
    <w:bookmarkEnd w:id="100"/>
    <w:bookmarkStart w:id="104" w:name="sec-estudio-b"/>
    <w:p>
      <w:pPr>
        <w:pStyle w:val="Ttulo2"/>
      </w:pPr>
      <w:r>
        <w:t xml:space="preserve">Estudio B: Análisis pareado SHAP-LIME y trade-off calidad-coste (H3)</w:t>
      </w:r>
    </w:p>
    <w:p>
      <w:pPr>
        <w:pStyle w:val="FirstParagraph"/>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2" w:name="diferencias-en-métricas-de-calidad"/>
    <w:p>
      <w:pPr>
        <w:pStyle w:val="Ttulo3"/>
      </w:pPr>
      <w:r>
        <w:t xml:space="preserve">Diferencias en métricas de calidad</w:t>
      </w:r>
    </w:p>
    <w:p>
      <w:pPr>
        <w:pStyle w:val="FirstParagraph"/>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1"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1"/>
          <w:p/>
        </w:tc>
      </w:tr>
    </w:tbl>
    <w:p>
      <w:pPr>
        <w:pStyle w:val="Textoindependiente"/>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(2013)</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2"/>
    <w:bookmarkStart w:id="103" w:name="X2c15e0a178907c68bf437d0d85cae845d1c590b"/>
    <w:p>
      <w:pPr>
        <w:pStyle w:val="Ttulo3"/>
      </w:pPr>
      <w:r>
        <w:t xml:space="preserve">Verificación del requisito de multiplicidad</w:t>
      </w:r>
    </w:p>
    <w:p>
      <w:pPr>
        <w:pStyle w:val="FirstParagrap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3"/>
    <w:bookmarkEnd w:id="104"/>
    <w:bookmarkStart w:id="106" w:name="sec-p1"/>
    <w:p>
      <w:pPr>
        <w:pStyle w:val="Ttulo2"/>
      </w:pPr>
      <w:r>
        <w:t xml:space="preserve">Proposición P1: Reproducibilidad del protocolo FOM-7</w:t>
      </w:r>
    </w:p>
    <w:p>
      <w:pPr>
        <w:pStyle w:val="FirstParagrap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5"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5"/>
          <w:p/>
        </w:tc>
      </w:tr>
    </w:tbl>
    <w:p>
      <w:pPr>
        <w:pStyle w:val="Textoindependiente"/>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6"/>
    <w:bookmarkStart w:id="114" w:name="sec-validacion-humana"/>
    <w:p>
      <w:pPr>
        <w:pStyle w:val="Ttulo2"/>
      </w:pPr>
      <w:r>
        <w:t xml:space="preserve">Validación humana de calidad explicativa</w:t>
      </w:r>
    </w:p>
    <w:p>
      <w:pPr>
        <w:pStyle w:val="FirstParagraph"/>
      </w:pPr>
      <w:r>
        <w:t xml:space="preserve">Las métricas funcionales anteriores evalúan propiedades observables del</w:t>
      </w:r>
      <w:r>
        <w:t xml:space="preserve"> </w:t>
      </w:r>
      <w:r>
        <w:t xml:space="preserve">explicador respecto al modelo: fidelidad, estabilidad, parsimonia, relevancia</w:t>
      </w:r>
      <w:r>
        <w:t xml:space="preserve"> </w:t>
      </w:r>
      <w:r>
        <w:t xml:space="preserve">causal local y coste. Sin embargo, una explicación también debe ser evaluada</w:t>
      </w:r>
      <w:r>
        <w:t xml:space="preserve"> </w:t>
      </w:r>
      <w:r>
        <w:t xml:space="preserve">como artefacto interpretativo: debe ser clara, suficientemente completa,</w:t>
      </w:r>
      <w:r>
        <w:t xml:space="preserve"> </w:t>
      </w:r>
      <w:r>
        <w:t xml:space="preserve">concisa, plausible en el dominio y útil para tareas de auditoría. Para explorar</w:t>
      </w:r>
      <w:r>
        <w:t xml:space="preserve"> </w:t>
      </w:r>
      <w:r>
        <w:t xml:space="preserve">esta capa</w:t>
      </w:r>
      <w:r>
        <w:t xml:space="preserve"> </w:t>
      </w:r>
      <w:r>
        <w:rPr>
          <w:i/>
          <w:iCs/>
        </w:rPr>
        <w:t xml:space="preserve">human-centered</w:t>
      </w:r>
      <w:r>
        <w:t xml:space="preserve">, se consolidó un estudio de validación humana con</w:t>
      </w:r>
      <w:r>
        <w:t xml:space="preserve"> </w:t>
      </w:r>
      <w:r>
        <w:t xml:space="preserve">120 anotaciones sobre 60 casos de explicación, almacenado en</w:t>
      </w:r>
      <w:r>
        <w:t xml:space="preserve"> </w:t>
      </w:r>
      <w:r>
        <w:rPr>
          <w:rStyle w:val="VerbatimChar"/>
        </w:rPr>
        <w:t xml:space="preserve">experiments/exp4_llm_evaluation/human_validation_responses.csv</w:t>
      </w:r>
      <w:r>
        <w:t xml:space="preserve">.</w:t>
      </w:r>
    </w:p>
    <w:p>
      <w:pPr>
        <w:pStyle w:val="Textoindependiente"/>
      </w:pPr>
      <w:r>
        <w:t xml:space="preserve">La muestra incluye 12 anotadores, cada uno con 10 evaluaciones:</w:t>
      </w:r>
      <w:r>
        <w:t xml:space="preserve"> </w:t>
      </w:r>
      <w:r>
        <w:rPr>
          <w:rStyle w:val="VerbatimChar"/>
        </w:rPr>
        <w:t xml:space="preserve">JonH</w:t>
      </w:r>
      <w:r>
        <w:t xml:space="preserve">,</w:t>
      </w:r>
      <w:r>
        <w:t xml:space="preserve"> </w:t>
      </w:r>
      <w:r>
        <w:rPr>
          <w:rStyle w:val="VerbatimChar"/>
        </w:rPr>
        <w:t xml:space="preserve">Steward</w:t>
      </w:r>
      <w:r>
        <w:t xml:space="preserve"> </w:t>
      </w:r>
      <w:r>
        <w:t xml:space="preserve">y</w:t>
      </w:r>
      <w:r>
        <w:t xml:space="preserve"> </w:t>
      </w:r>
      <w:r>
        <w:rPr>
          <w:rStyle w:val="VerbatimChar"/>
        </w:rPr>
        <w:t xml:space="preserve">annotator_01</w:t>
      </w:r>
      <w:r>
        <w:t xml:space="preserve">–</w:t>
      </w:r>
      <w:r>
        <w:rPr>
          <w:rStyle w:val="VerbatimChar"/>
        </w:rPr>
        <w:t xml:space="preserve">annotator_10</w:t>
      </w:r>
      <w:r>
        <w:t xml:space="preserve">. Los casos proceden de tres</w:t>
      </w:r>
      <w:r>
        <w:t xml:space="preserve"> </w:t>
      </w:r>
      <w:r>
        <w:t xml:space="preserve">conjuntos de datos tabulares: Adult Income (75 anotaciones), German Credit</w:t>
      </w:r>
      <w:r>
        <w:t xml:space="preserve"> </w:t>
      </w:r>
      <w:r>
        <w:t xml:space="preserve">(35) y Breast Cancer (10). También cubren cuatro métodos de explicación:</w:t>
      </w:r>
      <w:r>
        <w:t xml:space="preserve"> </w:t>
      </w:r>
      <w:r>
        <w:t xml:space="preserve">Anchors (32 anotaciones), SHAP (31), LIME (30) y DiCE (27). La distribución por</w:t>
      </w:r>
      <w:r>
        <w:t xml:space="preserve"> </w:t>
      </w:r>
      <w:r>
        <w:t xml:space="preserve">cuadrante de predicción es razonablemente balanceada para un piloto:</w:t>
      </w:r>
      <w:r>
        <w:t xml:space="preserve"> </w:t>
      </w:r>
      <w:r>
        <w:t xml:space="preserve">verdaderos positivos (39), falsos positivos (30), falsos negativos (26) y</w:t>
      </w:r>
      <w:r>
        <w:t xml:space="preserve"> </w:t>
      </w:r>
      <w:r>
        <w:t xml:space="preserve">verdaderos negativos (25).</w:t>
      </w:r>
    </w:p>
    <w:p>
      <w:pPr>
        <w:pStyle w:val="Textoindependiente"/>
      </w:pPr>
      <w:r>
        <w:t xml:space="preserve">Cada anotación utiliza una escala Likert de 1 a 5 en cinco dimensiones:</w:t>
      </w:r>
    </w:p>
    <w:p>
      <w:pPr>
        <w:pStyle w:val="Compact"/>
        <w:numPr>
          <w:ilvl w:val="0"/>
          <w:numId w:val="1013"/>
        </w:numPr>
      </w:pPr>
      <w:r>
        <w:rPr>
          <w:b/>
          <w:bCs/>
        </w:rPr>
        <w:t xml:space="preserve">Claridad:</w:t>
      </w:r>
      <w:r>
        <w:t xml:space="preserve"> </w:t>
      </w:r>
      <w:r>
        <w:t xml:space="preserve">si la explicación es fácil de entender.</w:t>
      </w:r>
    </w:p>
    <w:p>
      <w:pPr>
        <w:pStyle w:val="Compact"/>
        <w:numPr>
          <w:ilvl w:val="0"/>
          <w:numId w:val="1013"/>
        </w:numPr>
      </w:pPr>
      <w:r>
        <w:rPr>
          <w:b/>
          <w:bCs/>
        </w:rPr>
        <w:t xml:space="preserve">Completitud:</w:t>
      </w:r>
      <w:r>
        <w:t xml:space="preserve"> </w:t>
      </w:r>
      <w:r>
        <w:t xml:space="preserve">si la explicación cubre suficientemente por qué el modelo</w:t>
      </w:r>
      <w:r>
        <w:t xml:space="preserve"> </w:t>
      </w:r>
      <w:r>
        <w:t xml:space="preserve">produjo la predicción.</w:t>
      </w:r>
    </w:p>
    <w:p>
      <w:pPr>
        <w:pStyle w:val="Compact"/>
        <w:numPr>
          <w:ilvl w:val="0"/>
          <w:numId w:val="1013"/>
        </w:numPr>
      </w:pPr>
      <w:r>
        <w:rPr>
          <w:b/>
          <w:bCs/>
        </w:rPr>
        <w:t xml:space="preserve">Concisión:</w:t>
      </w:r>
      <w:r>
        <w:t xml:space="preserve"> </w:t>
      </w:r>
      <w:r>
        <w:t xml:space="preserve">si la explicación evita información excesiva o redundante.</w:t>
      </w:r>
    </w:p>
    <w:p>
      <w:pPr>
        <w:pStyle w:val="Compact"/>
        <w:numPr>
          <w:ilvl w:val="0"/>
          <w:numId w:val="1013"/>
        </w:numPr>
      </w:pPr>
      <w:r>
        <w:rPr>
          <w:b/>
          <w:bCs/>
        </w:rPr>
        <w:t xml:space="preserve">Plausibilidad:</w:t>
      </w:r>
      <w:r>
        <w:t xml:space="preserve"> </w:t>
      </w:r>
      <w:r>
        <w:t xml:space="preserve">si la explicación tiene sentido práctico en el dominio.</w:t>
      </w:r>
    </w:p>
    <w:p>
      <w:pPr>
        <w:pStyle w:val="Compact"/>
        <w:numPr>
          <w:ilvl w:val="0"/>
          <w:numId w:val="1013"/>
        </w:numPr>
      </w:pPr>
      <w:r>
        <w:rPr>
          <w:b/>
          <w:bCs/>
        </w:rPr>
        <w:t xml:space="preserve">Utilidad para auditoría:</w:t>
      </w:r>
      <w:r>
        <w:t xml:space="preserve"> </w:t>
      </w:r>
      <w:r>
        <w:t xml:space="preserve">si la explicación serviría para revisar o</w:t>
      </w:r>
      <w:r>
        <w:t xml:space="preserve"> </w:t>
      </w:r>
      <w:r>
        <w:t xml:space="preserve">cuestionar la decisión del modelo.</w:t>
      </w:r>
    </w:p>
    <w:p>
      <w:pPr>
        <w:pStyle w:val="FirstParagraph"/>
      </w:pPr>
      <w:r>
        <w:t xml:space="preserve">La Tabla</w:t>
      </w:r>
      <w:r>
        <w:t xml:space="preserve"> </w:t>
      </w:r>
      <w:hyperlink w:anchor="tbl-human-validation-summary">
        <w:r>
          <w:rPr>
            <w:rStyle w:val="Hipervnculo"/>
          </w:rPr>
          <w:t xml:space="preserve">Table 5.6</w:t>
        </w:r>
      </w:hyperlink>
      <w:r>
        <w:t xml:space="preserve"> </w:t>
      </w:r>
      <w:r>
        <w:t xml:space="preserve">resume los resultados globales. Las</w:t>
      </w:r>
      <w:r>
        <w:t xml:space="preserve"> </w:t>
      </w:r>
      <w:r>
        <w:t xml:space="preserve">medias muestran una estructura clara: claridad, completitud, plausibilidad y</w:t>
      </w:r>
      <w:r>
        <w:t xml:space="preserve"> </w:t>
      </w:r>
      <w:r>
        <w:t xml:space="preserve">utilidad de auditoría se sitúan en la zona positiva de la escala, mientras que</w:t>
      </w:r>
      <w:r>
        <w:t xml:space="preserve"> </w:t>
      </w:r>
      <w:r>
        <w:t xml:space="preserve">concisión es sustancialmente inferior.</w:t>
      </w:r>
    </w:p>
    <w:tbl>
      <w:tblPr>
        <w:tblStyle w:val="Table"/>
        <w:tblW w:type="pct" w:w="5000"/>
        <w:tblLayout w:type="fixed"/>
        <w:tblLook w:firstRow="0" w:lastRow="0" w:firstColumn="0" w:lastColumn="0" w:noHBand="0" w:noVBand="0" w:val="0000"/>
      </w:tblPr>
      <w:tblGrid>
        <w:gridCol w:w="7920"/>
      </w:tblGrid>
      <w:tr>
        <w:tc>
          <w:tcPr/>
          <w:bookmarkStart w:id="107" w:name="tbl-human-validation-summary"/>
          <w:p>
            <w:pPr>
              <w:jc w:val="center"/>
            </w:pPr>
            <w:pPr>
              <w:jc w:val="left"/>
              <w:spacing w:before="200"/>
              <w:pStyle w:val="ImageCaption"/>
            </w:pPr>
            <w:r>
              <w:t xml:space="preserve">Table 5.6: Resumen descriptivo de la validación humana de explicaciones (</w:t>
            </w:r>
            <m:oMath>
              <m:r>
                <m:t>n</m:t>
              </m:r>
              <m:r>
                <m:rPr>
                  <m:sty m:val="p"/>
                </m:rPr>
                <m:t>=</m:t>
              </m:r>
              <m:r>
                <m:t>120</m:t>
              </m:r>
            </m:oMath>
            <w:r>
              <w:t xml:space="preserve"> </w:t>
            </w:r>
            <w:r>
              <w:t xml:space="preserve">anotaciones). Fuente:</w:t>
            </w:r>
            <w:r>
              <w:t xml:space="preserve"> </w:t>
            </w:r>
            <w:r>
              <w:rPr>
                <w:rStyle w:val="VerbatimChar"/>
              </w:rPr>
              <w:t xml:space="preserve">human_validation_rerun/human_validation_dimension_summary.csv</w:t>
            </w:r>
            <w:r>
              <w:t xml:space="preserve">.</w:t>
            </w:r>
          </w:p>
          <w:tbl>
            <w:tblPr>
              <w:tblStyle w:val="Table"/>
              <w:tblW w:type="pct" w:w="5000"/>
              <w:tblLayout w:type="fixed"/>
              <w:tblLook w:firstRow="1" w:lastRow="0" w:firstColumn="0" w:lastColumn="0" w:noHBand="0" w:noVBand="0" w:val="0020"/>
            </w:tblPr>
            <w:tblGrid>
              <w:gridCol w:w="1262"/>
              <w:gridCol w:w="573"/>
              <w:gridCol w:w="803"/>
              <w:gridCol w:w="1033"/>
              <w:gridCol w:w="1606"/>
              <w:gridCol w:w="688"/>
              <w:gridCol w:w="688"/>
              <w:gridCol w:w="1262"/>
            </w:tblGrid>
            <w:tr>
              <w:trPr>
                <w:tblHeader w:val="on"/>
              </w:trPr>
              <w:tc>
                <w:tcPr/>
                <w:p>
                  <w:pPr>
                    <w:pStyle w:val="Compact"/>
                    <w:jc w:val="center"/>
                  </w:pPr>
                  <w:r>
                    <w:t xml:space="preserve">Dimensión</w:t>
                  </w:r>
                </w:p>
              </w:tc>
              <w:tc>
                <w:tcPr/>
                <w:p>
                  <w:pPr>
                    <w:pStyle w:val="Compact"/>
                    <w:jc w:val="right"/>
                    <w:jc w:val="center"/>
                  </w:pPr>
                  <m:oMath>
                    <m:r>
                      <m:t>n</m:t>
                    </m:r>
                  </m:oMath>
                </w:p>
              </w:tc>
              <w:tc>
                <w:tcPr/>
                <w:p>
                  <w:pPr>
                    <w:pStyle w:val="Compact"/>
                    <w:jc w:val="right"/>
                    <w:jc w:val="center"/>
                  </w:pPr>
                  <w:r>
                    <w:t xml:space="preserve">Media</w:t>
                  </w:r>
                </w:p>
              </w:tc>
              <w:tc>
                <w:tcPr/>
                <w:p>
                  <w:pPr>
                    <w:pStyle w:val="Compact"/>
                    <w:jc w:val="right"/>
                    <w:jc w:val="center"/>
                  </w:pPr>
                  <w:r>
                    <w:t xml:space="preserve">Mediana</w:t>
                  </w:r>
                </w:p>
              </w:tc>
              <w:tc>
                <w:tcPr/>
                <w:p>
                  <w:pPr>
                    <w:pStyle w:val="Compact"/>
                    <w:jc w:val="right"/>
                    <w:jc w:val="center"/>
                  </w:pPr>
                  <w:r>
                    <w:t xml:space="preserve">Desv. típica</w:t>
                  </w:r>
                </w:p>
              </w:tc>
              <w:tc>
                <w:tcPr/>
                <w:p>
                  <w:pPr>
                    <w:pStyle w:val="Compact"/>
                    <w:jc w:val="right"/>
                    <w:jc w:val="center"/>
                  </w:pPr>
                  <w:r>
                    <w:t xml:space="preserve">Mín.</w:t>
                  </w:r>
                </w:p>
              </w:tc>
              <w:tc>
                <w:tcPr/>
                <w:p>
                  <w:pPr>
                    <w:pStyle w:val="Compact"/>
                    <w:jc w:val="right"/>
                    <w:jc w:val="center"/>
                  </w:pPr>
                  <w:r>
                    <w:t xml:space="preserve">Máx.</w:t>
                  </w:r>
                </w:p>
              </w:tc>
              <w:tc>
                <w:tcPr/>
                <w:p>
                  <w:pPr>
                    <w:pStyle w:val="Compact"/>
                    <w:jc w:val="right"/>
                    <w:jc w:val="center"/>
                  </w:pPr>
                  <w:r>
                    <w:t xml:space="preserve">%</w:t>
                  </w:r>
                  <w:r>
                    <w:t xml:space="preserve"> </w:t>
                  </w:r>
                  <m:oMath>
                    <m:r>
                      <m:rPr>
                        <m:sty m:val="p"/>
                      </m:rPr>
                      <m:t>≥</m:t>
                    </m:r>
                    <m:r>
                      <m:t>4</m:t>
                    </m:r>
                  </m:oMath>
                </w:p>
              </w:tc>
            </w:tr>
            <w:tr>
              <w:tc>
                <w:tcPr/>
                <w:p>
                  <w:pPr>
                    <w:pStyle w:val="Compact"/>
                    <w:jc w:val="center"/>
                  </w:pPr>
                  <w:r>
                    <w:t xml:space="preserve">Claridad</w:t>
                  </w:r>
                </w:p>
              </w:tc>
              <w:tc>
                <w:tcPr/>
                <w:p>
                  <w:pPr>
                    <w:pStyle w:val="Compact"/>
                    <w:jc w:val="right"/>
                    <w:jc w:val="center"/>
                  </w:pPr>
                  <w:r>
                    <w:t xml:space="preserve">120</w:t>
                  </w:r>
                </w:p>
              </w:tc>
              <w:tc>
                <w:tcPr/>
                <w:p>
                  <w:pPr>
                    <w:pStyle w:val="Compact"/>
                    <w:jc w:val="right"/>
                    <w:jc w:val="center"/>
                  </w:pPr>
                  <w:r>
                    <w:t xml:space="preserve">3.73</w:t>
                  </w:r>
                </w:p>
              </w:tc>
              <w:tc>
                <w:tcPr/>
                <w:p>
                  <w:pPr>
                    <w:pStyle w:val="Compact"/>
                    <w:jc w:val="right"/>
                    <w:jc w:val="center"/>
                  </w:pPr>
                  <w:r>
                    <w:t xml:space="preserve">4</w:t>
                  </w:r>
                </w:p>
              </w:tc>
              <w:tc>
                <w:tcPr/>
                <w:p>
                  <w:pPr>
                    <w:pStyle w:val="Compact"/>
                    <w:jc w:val="right"/>
                    <w:jc w:val="center"/>
                  </w:pPr>
                  <w:r>
                    <w:t xml:space="preserve">0.44</w:t>
                  </w:r>
                </w:p>
              </w:tc>
              <w:tc>
                <w:tcPr/>
                <w:p>
                  <w:pPr>
                    <w:pStyle w:val="Compact"/>
                    <w:jc w:val="right"/>
                    <w:jc w:val="center"/>
                  </w:pPr>
                  <w:r>
                    <w:t xml:space="preserve">3</w:t>
                  </w:r>
                </w:p>
              </w:tc>
              <w:tc>
                <w:tcPr/>
                <w:p>
                  <w:pPr>
                    <w:pStyle w:val="Compact"/>
                    <w:jc w:val="right"/>
                    <w:jc w:val="center"/>
                  </w:pPr>
                  <w:r>
                    <w:t xml:space="preserve">4</w:t>
                  </w:r>
                </w:p>
              </w:tc>
              <w:tc>
                <w:tcPr/>
                <w:p>
                  <w:pPr>
                    <w:pStyle w:val="Compact"/>
                    <w:jc w:val="right"/>
                    <w:jc w:val="center"/>
                  </w:pPr>
                  <w:r>
                    <w:t xml:space="preserve">73.3%</w:t>
                  </w:r>
                </w:p>
              </w:tc>
            </w:tr>
            <w:tr>
              <w:tc>
                <w:tcPr/>
                <w:p>
                  <w:pPr>
                    <w:pStyle w:val="Compact"/>
                    <w:jc w:val="center"/>
                  </w:pPr>
                  <w:r>
                    <w:t xml:space="preserve">Completitud</w:t>
                  </w:r>
                </w:p>
              </w:tc>
              <w:tc>
                <w:tcPr/>
                <w:p>
                  <w:pPr>
                    <w:pStyle w:val="Compact"/>
                    <w:jc w:val="right"/>
                    <w:jc w:val="center"/>
                  </w:pPr>
                  <w:r>
                    <w:t xml:space="preserve">120</w:t>
                  </w:r>
                </w:p>
              </w:tc>
              <w:tc>
                <w:tcPr/>
                <w:p>
                  <w:pPr>
                    <w:pStyle w:val="Compact"/>
                    <w:jc w:val="right"/>
                    <w:jc w:val="center"/>
                  </w:pPr>
                  <w:r>
                    <w:t xml:space="preserve">3.57</w:t>
                  </w:r>
                </w:p>
              </w:tc>
              <w:tc>
                <w:tcPr/>
                <w:p>
                  <w:pPr>
                    <w:pStyle w:val="Compact"/>
                    <w:jc w:val="right"/>
                    <w:jc w:val="center"/>
                  </w:pPr>
                  <w:r>
                    <w:t xml:space="preserve">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72.5%</w:t>
                  </w:r>
                </w:p>
              </w:tc>
            </w:tr>
            <w:tr>
              <w:tc>
                <w:tcPr/>
                <w:p>
                  <w:pPr>
                    <w:pStyle w:val="Compact"/>
                    <w:jc w:val="center"/>
                  </w:pPr>
                  <w:r>
                    <w:t xml:space="preserve">Concisión</w:t>
                  </w:r>
                </w:p>
              </w:tc>
              <w:tc>
                <w:tcPr/>
                <w:p>
                  <w:pPr>
                    <w:pStyle w:val="Compact"/>
                    <w:jc w:val="right"/>
                    <w:jc w:val="center"/>
                  </w:pPr>
                  <w:r>
                    <w:t xml:space="preserve">120</w:t>
                  </w:r>
                </w:p>
              </w:tc>
              <w:tc>
                <w:tcPr/>
                <w:p>
                  <w:pPr>
                    <w:pStyle w:val="Compact"/>
                    <w:jc w:val="right"/>
                    <w:jc w:val="center"/>
                  </w:pPr>
                  <w:r>
                    <w:t xml:space="preserve">2.18</w:t>
                  </w:r>
                </w:p>
              </w:tc>
              <w:tc>
                <w:tcPr/>
                <w:p>
                  <w:pPr>
                    <w:pStyle w:val="Compact"/>
                    <w:jc w:val="right"/>
                    <w:jc w:val="center"/>
                  </w:pPr>
                  <w:r>
                    <w:t xml:space="preserve">2</w:t>
                  </w:r>
                </w:p>
              </w:tc>
              <w:tc>
                <w:tcPr/>
                <w:p>
                  <w:pPr>
                    <w:pStyle w:val="Compact"/>
                    <w:jc w:val="right"/>
                    <w:jc w:val="center"/>
                  </w:pPr>
                  <w:r>
                    <w:t xml:space="preserve">0.56</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8.3%</w:t>
                  </w:r>
                </w:p>
              </w:tc>
            </w:tr>
            <w:tr>
              <w:tc>
                <w:tcPr/>
                <w:p>
                  <w:pPr>
                    <w:pStyle w:val="Compact"/>
                    <w:jc w:val="center"/>
                  </w:pPr>
                  <w:r>
                    <w:t xml:space="preserve">Plausibilidad</w:t>
                  </w:r>
                </w:p>
              </w:tc>
              <w:tc>
                <w:tcPr/>
                <w:p>
                  <w:pPr>
                    <w:pStyle w:val="Compact"/>
                    <w:jc w:val="right"/>
                    <w:jc w:val="center"/>
                  </w:pPr>
                  <w:r>
                    <w:t xml:space="preserve">120</w:t>
                  </w:r>
                </w:p>
              </w:tc>
              <w:tc>
                <w:tcPr/>
                <w:p>
                  <w:pPr>
                    <w:pStyle w:val="Compact"/>
                    <w:jc w:val="right"/>
                    <w:jc w:val="center"/>
                  </w:pPr>
                  <w:r>
                    <w:t xml:space="preserve">3.76</w:t>
                  </w:r>
                </w:p>
              </w:tc>
              <w:tc>
                <w:tcPr/>
                <w:p>
                  <w:pPr>
                    <w:pStyle w:val="Compact"/>
                    <w:jc w:val="right"/>
                    <w:jc w:val="center"/>
                  </w:pPr>
                  <w:r>
                    <w:t xml:space="preserve">4</w:t>
                  </w:r>
                </w:p>
              </w:tc>
              <w:tc>
                <w:tcPr/>
                <w:p>
                  <w:pPr>
                    <w:pStyle w:val="Compact"/>
                    <w:jc w:val="right"/>
                    <w:jc w:val="center"/>
                  </w:pPr>
                  <w:r>
                    <w:t xml:space="preserve">0.45</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76.7%</w:t>
                  </w:r>
                </w:p>
              </w:tc>
            </w:tr>
            <w:tr>
              <w:tc>
                <w:tcPr/>
                <w:p>
                  <w:pPr>
                    <w:pStyle w:val="Compact"/>
                    <w:jc w:val="center"/>
                  </w:pPr>
                  <w:r>
                    <w:t xml:space="preserve">Utilidad para auditoría</w:t>
                  </w:r>
                </w:p>
              </w:tc>
              <w:tc>
                <w:tcPr/>
                <w:p>
                  <w:pPr>
                    <w:pStyle w:val="Compact"/>
                    <w:jc w:val="right"/>
                    <w:jc w:val="center"/>
                  </w:pPr>
                  <w:r>
                    <w:t xml:space="preserve">120</w:t>
                  </w:r>
                </w:p>
              </w:tc>
              <w:tc>
                <w:tcPr/>
                <w:p>
                  <w:pPr>
                    <w:pStyle w:val="Compact"/>
                    <w:jc w:val="right"/>
                    <w:jc w:val="center"/>
                  </w:pPr>
                  <w:r>
                    <w:t xml:space="preserve">3.83</w:t>
                  </w:r>
                </w:p>
              </w:tc>
              <w:tc>
                <w:tcPr/>
                <w:p>
                  <w:pPr>
                    <w:pStyle w:val="Compact"/>
                    <w:jc w:val="right"/>
                    <w:jc w:val="center"/>
                  </w:pPr>
                  <w:r>
                    <w:t xml:space="preserve">4</w:t>
                  </w:r>
                </w:p>
              </w:tc>
              <w:tc>
                <w:tcPr/>
                <w:p>
                  <w:pPr>
                    <w:pStyle w:val="Compact"/>
                    <w:jc w:val="right"/>
                    <w:jc w:val="center"/>
                  </w:pPr>
                  <w:r>
                    <w:t xml:space="preserve">0.75</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62.5%</w:t>
                  </w:r>
                </w:p>
              </w:tc>
            </w:tr>
          </w:tbl>
          <w:bookmarkEnd w:id="107"/>
          <w:p/>
        </w:tc>
      </w:tr>
    </w:tbl>
    <w:p>
      <w:pPr>
        <w:pStyle w:val="Textoindependiente"/>
      </w:pPr>
      <w:r>
        <w:t xml:space="preserve">El hallazgo más importante es la disociación entre adecuación semántica y</w:t>
      </w:r>
      <w:r>
        <w:t xml:space="preserve"> </w:t>
      </w:r>
      <w:r>
        <w:t xml:space="preserve">compacidad. Las explicaciones son juzgadas mayoritariamente como claras</w:t>
      </w:r>
      <w:r>
        <w:t xml:space="preserve"> </w:t>
      </w:r>
      <w:r>
        <w:t xml:space="preserve">(73.3% de puntuaciones</w:t>
      </w:r>
      <w:r>
        <w:t xml:space="preserve"> </w:t>
      </w:r>
      <m:oMath>
        <m:r>
          <m:rPr>
            <m:sty m:val="p"/>
          </m:rPr>
          <m:t>≥</m:t>
        </m:r>
        <m:r>
          <m:t>4</m:t>
        </m:r>
      </m:oMath>
      <w:r>
        <w:t xml:space="preserve">), plausibles (76.7%) y útiles para auditoría</w:t>
      </w:r>
      <w:r>
        <w:t xml:space="preserve"> </w:t>
      </w:r>
      <w:r>
        <w:t xml:space="preserve">(62.5%), pero solo el 8.3% alcanza puntuaciones</w:t>
      </w:r>
      <w:r>
        <w:t xml:space="preserve"> </w:t>
      </w:r>
      <m:oMath>
        <m:r>
          <m:rPr>
            <m:sty m:val="p"/>
          </m:rPr>
          <m:t>≥</m:t>
        </m:r>
        <m:r>
          <m:t>4</m:t>
        </m:r>
      </m:oMath>
      <w:r>
        <w:t xml:space="preserve"> </w:t>
      </w:r>
      <w:r>
        <w:t xml:space="preserve">en concisión. En</w:t>
      </w:r>
      <w:r>
        <w:t xml:space="preserve"> </w:t>
      </w:r>
      <w:r>
        <w:t xml:space="preserve">otras palabras, los participantes no están rechazando las explicaciones por</w:t>
      </w:r>
      <w:r>
        <w:t xml:space="preserve"> </w:t>
      </w:r>
      <w:r>
        <w:t xml:space="preserve">incomprensibles; las perciben como razonablemente informativas, pero demasiado</w:t>
      </w:r>
      <w:r>
        <w:t xml:space="preserve"> </w:t>
      </w:r>
      <w:r>
        <w:t xml:space="preserve">largas, densas o poco depuradas como artefactos comunicativos. Este patrón</w:t>
      </w:r>
      <w:r>
        <w:t xml:space="preserve"> </w:t>
      </w:r>
      <w:r>
        <w:t xml:space="preserve">refuerza el argumento central de la tesis: la calidad explicativa no es</w:t>
      </w:r>
      <w:r>
        <w:t xml:space="preserve"> </w:t>
      </w:r>
      <w:r>
        <w:t xml:space="preserve">unidimensional, y una métrica de parsimonia estructural no sustituye una</w:t>
      </w:r>
      <w:r>
        <w:t xml:space="preserve"> </w:t>
      </w:r>
      <w:r>
        <w:t xml:space="preserve">evaluación humana de concisión.</w:t>
      </w:r>
    </w:p>
    <w:p>
      <w:pPr>
        <w:pStyle w:val="Textoindependiente"/>
      </w:pPr>
      <w:r>
        <w:t xml:space="preserve">La completitud merece una lectura específica. Una inspección inicial del</w:t>
      </w:r>
      <w:r>
        <w:t xml:space="preserve"> </w:t>
      </w:r>
      <w:r>
        <w:t xml:space="preserve">endpoint de Render sugería un posible efecto techo, porque la exportación viva</w:t>
      </w:r>
      <w:r>
        <w:t xml:space="preserve"> </w:t>
      </w:r>
      <w:r>
        <w:t xml:space="preserve">reportaba completitud igual a 4 para las anotaciones actualmente expuestas. Sin</w:t>
      </w:r>
      <w:r>
        <w:t xml:space="preserve"> </w:t>
      </w:r>
      <w:r>
        <w:t xml:space="preserve">embargo, el archivo consolidado usado para análisis contiene variación real:</w:t>
      </w:r>
      <w:r>
        <w:t xml:space="preserve"> </w:t>
      </w:r>
      <w:r>
        <w:t xml:space="preserve">87 puntuaciones de 4, 16 de 3, 15 de 2 y 2 de 1. Por tanto, la completitud no</w:t>
      </w:r>
      <w:r>
        <w:t xml:space="preserve"> </w:t>
      </w:r>
      <w:r>
        <w:t xml:space="preserve">debe tratarse como dimensión plana. Su media (3.57) es positiva, pero su</w:t>
      </w:r>
      <w:r>
        <w:t xml:space="preserve"> </w:t>
      </w:r>
      <w:r>
        <w:t xml:space="preserve">desviación típica (0.78) es la más alta entre claridad, completitud,</w:t>
      </w:r>
      <w:r>
        <w:t xml:space="preserve"> </w:t>
      </w:r>
      <w:r>
        <w:t xml:space="preserve">concisión y plausibilidad. Esto indica que los evaluadores distinguen entre</w:t>
      </w:r>
      <w:r>
        <w:t xml:space="preserve"> </w:t>
      </w:r>
      <w:r>
        <w:t xml:space="preserve">explicaciones que</w:t>
      </w:r>
      <w:r>
        <w:t xml:space="preserve"> </w:t>
      </w:r>
      <w:r>
        <w:t xml:space="preserve">“mencionan factores”</w:t>
      </w:r>
      <w:r>
        <w:t xml:space="preserve"> </w:t>
      </w:r>
      <w:r>
        <w:t xml:space="preserve">y explicaciones que cubren de forma</w:t>
      </w:r>
      <w:r>
        <w:t xml:space="preserve"> </w:t>
      </w:r>
      <w:r>
        <w:t xml:space="preserve">suficiente la lógica de la decisión.</w:t>
      </w:r>
    </w:p>
    <w:p>
      <w:pPr>
        <w:pStyle w:val="Textoindependiente"/>
      </w:pPr>
      <w:r>
        <w:t xml:space="preserve">La Tabla</w:t>
      </w:r>
      <w:r>
        <w:t xml:space="preserve"> </w:t>
      </w:r>
      <w:hyperlink w:anchor="tbl-human-validation-agreement">
        <w:r>
          <w:rPr>
            <w:rStyle w:val="Hipervnculo"/>
          </w:rPr>
          <w:t xml:space="preserve">Table 5.7</w:t>
        </w:r>
      </w:hyperlink>
      <w:r>
        <w:t xml:space="preserve"> </w:t>
      </w:r>
      <w:r>
        <w:t xml:space="preserve">muestra un resumen simple de acuerdo</w:t>
      </w:r>
      <w:r>
        <w:t xml:space="preserve"> </w:t>
      </w:r>
      <w:r>
        <w:t xml:space="preserve">entre anotadores para los casos con solapamiento. La claridad y la</w:t>
      </w:r>
      <w:r>
        <w:t xml:space="preserve"> </w:t>
      </w:r>
      <w:r>
        <w:t xml:space="preserve">plausibilidad presentan los acuerdos más altos, mientras que completitud y</w:t>
      </w:r>
      <w:r>
        <w:t xml:space="preserve"> </w:t>
      </w:r>
      <w:r>
        <w:t xml:space="preserve">utilidad para auditoría son más variables.</w:t>
      </w:r>
    </w:p>
    <w:tbl>
      <w:tblPr>
        <w:tblStyle w:val="Table"/>
        <w:tblW w:type="pct" w:w="5000"/>
        <w:tblLayout w:type="fixed"/>
        <w:tblLook w:firstRow="0" w:lastRow="0" w:firstColumn="0" w:lastColumn="0" w:noHBand="0" w:noVBand="0" w:val="0000"/>
      </w:tblPr>
      <w:tblGrid>
        <w:gridCol w:w="7920"/>
      </w:tblGrid>
      <w:tr>
        <w:tc>
          <w:tcPr/>
          <w:bookmarkStart w:id="108" w:name="tbl-human-validation-agreement"/>
          <w:p>
            <w:pPr>
              <w:jc w:val="center"/>
            </w:pPr>
            <w:pPr>
              <w:jc w:val="left"/>
              <w:spacing w:before="200"/>
              <w:pStyle w:val="ImageCaption"/>
            </w:pPr>
            <w:r>
              <w:t xml:space="preserve">Table 5.7: Acuerdo pareado entre anotadores para casos con más de una evaluación.</w:t>
            </w:r>
            <w:r>
              <w:t xml:space="preserve"> </w:t>
            </w:r>
            <w:r>
              <w:t xml:space="preserve">Fuente:</w:t>
            </w:r>
            <w:r>
              <w:t xml:space="preserve"> </w:t>
            </w:r>
            <w:r>
              <w:rPr>
                <w:rStyle w:val="VerbatimChar"/>
              </w:rPr>
              <w:t xml:space="preserve">human_validation_rerun/human_validation_pairwise_agreement.csv</w:t>
            </w:r>
            <w:r>
              <w:t xml:space="preserve">.</w:t>
            </w:r>
            <w:r>
              <w:t xml:space="preserve"> </w:t>
            </w:r>
          </w:p>
          <w:tbl>
            <w:tblPr>
              <w:tblStyle w:val="Table"/>
              <w:tblW w:type="pct" w:w="5000"/>
              <w:tblLayout w:type="fixed"/>
              <w:tblLook w:firstRow="1" w:lastRow="0" w:firstColumn="0" w:lastColumn="0" w:noHBand="0" w:noVBand="0" w:val="0020"/>
            </w:tblPr>
            <w:tblGrid>
              <w:gridCol w:w="898"/>
              <w:gridCol w:w="1959"/>
              <w:gridCol w:w="1306"/>
              <w:gridCol w:w="2204"/>
              <w:gridCol w:w="1551"/>
            </w:tblGrid>
            <w:tr>
              <w:trPr>
                <w:tblHeader w:val="on"/>
              </w:trPr>
              <w:tc>
                <w:tcPr/>
                <w:p>
                  <w:pPr>
                    <w:pStyle w:val="Compact"/>
                    <w:jc w:val="center"/>
                  </w:pPr>
                  <w:r>
                    <w:t xml:space="preserve">Dimensión</w:t>
                  </w:r>
                </w:p>
              </w:tc>
              <w:tc>
                <w:tcPr/>
                <w:p>
                  <w:pPr>
                    <w:pStyle w:val="Compact"/>
                    <w:jc w:val="right"/>
                    <w:jc w:val="center"/>
                  </w:pPr>
                  <w:r>
                    <w:t xml:space="preserve">Comparaciones pareadas</w:t>
                  </w:r>
                </w:p>
              </w:tc>
              <w:tc>
                <w:tcPr/>
                <w:p>
                  <w:pPr>
                    <w:pStyle w:val="Compact"/>
                    <w:jc w:val="right"/>
                    <w:jc w:val="center"/>
                  </w:pPr>
                  <w:r>
                    <w:t xml:space="preserve">Acuerdo exacto</w:t>
                  </w:r>
                </w:p>
              </w:tc>
              <w:tc>
                <w:tcPr/>
                <w:p>
                  <w:pPr>
                    <w:pStyle w:val="Compact"/>
                    <w:jc w:val="right"/>
                    <w:jc w:val="center"/>
                  </w:pPr>
                  <w:r>
                    <w:t xml:space="preserve">Diferencia absoluta media</w:t>
                  </w:r>
                </w:p>
              </w:tc>
              <w:tc>
                <w:tcPr/>
                <w:p>
                  <w:pPr>
                    <w:pStyle w:val="Compact"/>
                    <w:jc w:val="right"/>
                    <w:jc w:val="center"/>
                  </w:pPr>
                  <w:r>
                    <w:t xml:space="preserve">Diferencia máxima</w:t>
                  </w:r>
                </w:p>
              </w:tc>
            </w:tr>
            <w:tr>
              <w:tc>
                <w:tcPr/>
                <w:p>
                  <w:pPr>
                    <w:pStyle w:val="Compact"/>
                    <w:jc w:val="center"/>
                  </w:pPr>
                  <w:r>
                    <w:t xml:space="preserve">Claridad</w:t>
                  </w:r>
                </w:p>
              </w:tc>
              <w:tc>
                <w:tcPr/>
                <w:p>
                  <w:pPr>
                    <w:pStyle w:val="Compact"/>
                    <w:jc w:val="right"/>
                    <w:jc w:val="center"/>
                  </w:pPr>
                  <w:r>
                    <w:t xml:space="preserve">91</w:t>
                  </w:r>
                </w:p>
              </w:tc>
              <w:tc>
                <w:tcPr/>
                <w:p>
                  <w:pPr>
                    <w:pStyle w:val="Compact"/>
                    <w:jc w:val="right"/>
                    <w:jc w:val="center"/>
                  </w:pPr>
                  <w:r>
                    <w:t xml:space="preserve">0.91</w:t>
                  </w:r>
                </w:p>
              </w:tc>
              <w:tc>
                <w:tcPr/>
                <w:p>
                  <w:pPr>
                    <w:pStyle w:val="Compact"/>
                    <w:jc w:val="right"/>
                    <w:jc w:val="center"/>
                  </w:pPr>
                  <w:r>
                    <w:t xml:space="preserve">0.09</w:t>
                  </w:r>
                </w:p>
              </w:tc>
              <w:tc>
                <w:tcPr/>
                <w:p>
                  <w:pPr>
                    <w:pStyle w:val="Compact"/>
                    <w:jc w:val="right"/>
                    <w:jc w:val="center"/>
                  </w:pPr>
                  <w:r>
                    <w:t xml:space="preserve">1</w:t>
                  </w:r>
                </w:p>
              </w:tc>
            </w:tr>
            <w:tr>
              <w:tc>
                <w:tcPr/>
                <w:p>
                  <w:pPr>
                    <w:pStyle w:val="Compact"/>
                    <w:jc w:val="center"/>
                  </w:pPr>
                  <w:r>
                    <w:t xml:space="preserve">Completitud</w:t>
                  </w:r>
                </w:p>
              </w:tc>
              <w:tc>
                <w:tcPr/>
                <w:p>
                  <w:pPr>
                    <w:pStyle w:val="Compact"/>
                    <w:jc w:val="right"/>
                    <w:jc w:val="center"/>
                  </w:pPr>
                  <w:r>
                    <w:t xml:space="preserve">91</w:t>
                  </w:r>
                </w:p>
              </w:tc>
              <w:tc>
                <w:tcPr/>
                <w:p>
                  <w:pPr>
                    <w:pStyle w:val="Compact"/>
                    <w:jc w:val="right"/>
                    <w:jc w:val="center"/>
                  </w:pPr>
                  <w:r>
                    <w:t xml:space="preserve">0.53</w:t>
                  </w:r>
                </w:p>
              </w:tc>
              <w:tc>
                <w:tcPr/>
                <w:p>
                  <w:pPr>
                    <w:pStyle w:val="Compact"/>
                    <w:jc w:val="right"/>
                    <w:jc w:val="center"/>
                  </w:pPr>
                  <w:r>
                    <w:t xml:space="preserve">0.70</w:t>
                  </w:r>
                </w:p>
              </w:tc>
              <w:tc>
                <w:tcPr/>
                <w:p>
                  <w:pPr>
                    <w:pStyle w:val="Compact"/>
                    <w:jc w:val="right"/>
                    <w:jc w:val="center"/>
                  </w:pPr>
                  <w:r>
                    <w:t xml:space="preserve">3</w:t>
                  </w:r>
                </w:p>
              </w:tc>
            </w:tr>
            <w:tr>
              <w:tc>
                <w:tcPr/>
                <w:p>
                  <w:pPr>
                    <w:pStyle w:val="Compact"/>
                    <w:jc w:val="center"/>
                  </w:pPr>
                  <w:r>
                    <w:t xml:space="preserve">Concisión</w:t>
                  </w:r>
                </w:p>
              </w:tc>
              <w:tc>
                <w:tcPr/>
                <w:p>
                  <w:pPr>
                    <w:pStyle w:val="Compact"/>
                    <w:jc w:val="right"/>
                    <w:jc w:val="center"/>
                  </w:pPr>
                  <w:r>
                    <w:t xml:space="preserve">91</w:t>
                  </w:r>
                </w:p>
              </w:tc>
              <w:tc>
                <w:tcPr/>
                <w:p>
                  <w:pPr>
                    <w:pStyle w:val="Compact"/>
                    <w:jc w:val="right"/>
                    <w:jc w:val="center"/>
                  </w:pPr>
                  <w:r>
                    <w:t xml:space="preserve">0.79</w:t>
                  </w:r>
                </w:p>
              </w:tc>
              <w:tc>
                <w:tcPr/>
                <w:p>
                  <w:pPr>
                    <w:pStyle w:val="Compact"/>
                    <w:jc w:val="right"/>
                    <w:jc w:val="center"/>
                  </w:pPr>
                  <w:r>
                    <w:t xml:space="preserve">0.38</w:t>
                  </w:r>
                </w:p>
              </w:tc>
              <w:tc>
                <w:tcPr/>
                <w:p>
                  <w:pPr>
                    <w:pStyle w:val="Compact"/>
                    <w:jc w:val="right"/>
                    <w:jc w:val="center"/>
                  </w:pPr>
                  <w:r>
                    <w:t xml:space="preserve">2</w:t>
                  </w:r>
                </w:p>
              </w:tc>
            </w:tr>
            <w:tr>
              <w:tc>
                <w:tcPr/>
                <w:p>
                  <w:pPr>
                    <w:pStyle w:val="Compact"/>
                    <w:jc w:val="center"/>
                  </w:pPr>
                  <w:r>
                    <w:t xml:space="preserve">Plausibilidad</w:t>
                  </w:r>
                </w:p>
              </w:tc>
              <w:tc>
                <w:tcPr/>
                <w:p>
                  <w:pPr>
                    <w:pStyle w:val="Compact"/>
                    <w:jc w:val="right"/>
                    <w:jc w:val="center"/>
                  </w:pPr>
                  <w:r>
                    <w:t xml:space="preserve">91</w:t>
                  </w:r>
                </w:p>
              </w:tc>
              <w:tc>
                <w:tcPr/>
                <w:p>
                  <w:pPr>
                    <w:pStyle w:val="Compact"/>
                    <w:jc w:val="right"/>
                    <w:jc w:val="center"/>
                  </w:pPr>
                  <w:r>
                    <w:t xml:space="preserve">0.88</w:t>
                  </w:r>
                </w:p>
              </w:tc>
              <w:tc>
                <w:tcPr/>
                <w:p>
                  <w:pPr>
                    <w:pStyle w:val="Compact"/>
                    <w:jc w:val="right"/>
                    <w:jc w:val="center"/>
                  </w:pPr>
                  <w:r>
                    <w:t xml:space="preserve">0.13</w:t>
                  </w:r>
                </w:p>
              </w:tc>
              <w:tc>
                <w:tcPr/>
                <w:p>
                  <w:pPr>
                    <w:pStyle w:val="Compact"/>
                    <w:jc w:val="right"/>
                    <w:jc w:val="center"/>
                  </w:pPr>
                  <w:r>
                    <w:t xml:space="preserve">2</w:t>
                  </w:r>
                </w:p>
              </w:tc>
            </w:tr>
            <w:tr>
              <w:tc>
                <w:tcPr/>
                <w:p>
                  <w:pPr>
                    <w:pStyle w:val="Compact"/>
                    <w:jc w:val="center"/>
                  </w:pPr>
                  <w:r>
                    <w:t xml:space="preserve">Utilidad para auditoría</w:t>
                  </w:r>
                </w:p>
              </w:tc>
              <w:tc>
                <w:tcPr/>
                <w:p>
                  <w:pPr>
                    <w:pStyle w:val="Compact"/>
                    <w:jc w:val="right"/>
                    <w:jc w:val="center"/>
                  </w:pPr>
                  <w:r>
                    <w:t xml:space="preserve">91</w:t>
                  </w:r>
                </w:p>
              </w:tc>
              <w:tc>
                <w:tcPr/>
                <w:p>
                  <w:pPr>
                    <w:pStyle w:val="Compact"/>
                    <w:jc w:val="right"/>
                    <w:jc w:val="center"/>
                  </w:pPr>
                  <w:r>
                    <w:t xml:space="preserve">0.60</w:t>
                  </w:r>
                </w:p>
              </w:tc>
              <w:tc>
                <w:tcPr/>
                <w:p>
                  <w:pPr>
                    <w:pStyle w:val="Compact"/>
                    <w:jc w:val="right"/>
                    <w:jc w:val="center"/>
                  </w:pPr>
                  <w:r>
                    <w:t xml:space="preserve">0.44</w:t>
                  </w:r>
                </w:p>
              </w:tc>
              <w:tc>
                <w:tcPr/>
                <w:p>
                  <w:pPr>
                    <w:pStyle w:val="Compact"/>
                    <w:jc w:val="right"/>
                    <w:jc w:val="center"/>
                  </w:pPr>
                  <w:r>
                    <w:t xml:space="preserve">2</w:t>
                  </w:r>
                </w:p>
              </w:tc>
            </w:tr>
          </w:tbl>
          <w:bookmarkEnd w:id="108"/>
          <w:p/>
        </w:tc>
      </w:tr>
    </w:tbl>
    <w:p>
      <w:pPr>
        <w:pStyle w:val="Textoindependiente"/>
      </w:pPr>
      <w:r>
        <w:t xml:space="preserve">Este patrón tiene implicaciones metodológicas. Claridad y plausibilidad</w:t>
      </w:r>
      <w:r>
        <w:t xml:space="preserve"> </w:t>
      </w:r>
      <w:r>
        <w:t xml:space="preserve">parecen funcionar como constructos perceptivos relativamente estables: los</w:t>
      </w:r>
      <w:r>
        <w:t xml:space="preserve"> </w:t>
      </w:r>
      <w:r>
        <w:t xml:space="preserve">anotadores tienden a coincidir sobre si una explicación se entiende y si tiene</w:t>
      </w:r>
      <w:r>
        <w:t xml:space="preserve"> </w:t>
      </w:r>
      <w:r>
        <w:t xml:space="preserve">sentido práctico. En cambio, completitud y utilidad para auditoría requieren</w:t>
      </w:r>
      <w:r>
        <w:t xml:space="preserve"> </w:t>
      </w:r>
      <w:r>
        <w:t xml:space="preserve">inferencias más exigentes sobre la tarea: qué información sería suficiente</w:t>
      </w:r>
      <w:r>
        <w:t xml:space="preserve"> </w:t>
      </w:r>
      <w:r>
        <w:t xml:space="preserve">para justificar una predicción y qué información permitiría auditarla. Por</w:t>
      </w:r>
      <w:r>
        <w:t xml:space="preserve"> </w:t>
      </w:r>
      <w:r>
        <w:t xml:space="preserve">ello, su menor acuerdo no invalida la dimensión; más bien muestra que son</w:t>
      </w:r>
      <w:r>
        <w:t xml:space="preserve"> </w:t>
      </w:r>
      <w:r>
        <w:t xml:space="preserve">constructos de mayor carga contextual. En términos de diseño experimental,</w:t>
      </w:r>
      <w:r>
        <w:t xml:space="preserve"> </w:t>
      </w:r>
      <w:r>
        <w:t xml:space="preserve">estas dimensiones deben reportarse separadamente y no deben agregarse sin</w:t>
      </w:r>
      <w:r>
        <w:t xml:space="preserve"> </w:t>
      </w:r>
      <w:r>
        <w:t xml:space="preserve">examinar su fiabilidad.</w:t>
      </w:r>
    </w:p>
    <w:bookmarkStart w:id="110" w:name="diferencias-descriptivas-por-método"/>
    <w:p>
      <w:pPr>
        <w:pStyle w:val="Ttulo3"/>
      </w:pPr>
      <w:r>
        <w:t xml:space="preserve">Diferencias descriptivas por método</w:t>
      </w:r>
    </w:p>
    <w:p>
      <w:pPr>
        <w:pStyle w:val="FirstParagraph"/>
      </w:pPr>
      <w:r>
        <w:t xml:space="preserve">La Tabla</w:t>
      </w:r>
      <w:r>
        <w:t xml:space="preserve"> </w:t>
      </w:r>
      <w:hyperlink w:anchor="tbl-human-validation-explainer">
        <w:r>
          <w:rPr>
            <w:rStyle w:val="Hipervnculo"/>
          </w:rPr>
          <w:t xml:space="preserve">Table 5.8</w:t>
        </w:r>
      </w:hyperlink>
      <w:r>
        <w:t xml:space="preserve"> </w:t>
      </w:r>
      <w:r>
        <w:t xml:space="preserve">resume las medias humanas por método.</w:t>
      </w:r>
      <w:r>
        <w:t xml:space="preserve"> </w:t>
      </w:r>
      <w:r>
        <w:t xml:space="preserve">Los resultados no deben leerse como contrastes inferenciales definitivos,</w:t>
      </w:r>
      <w:r>
        <w:t xml:space="preserve"> </w:t>
      </w:r>
      <w:r>
        <w:t xml:space="preserve">porque el muestreo no fue diseñado como prueba confirmativa entre explicadores;</w:t>
      </w:r>
      <w:r>
        <w:t xml:space="preserve"> </w:t>
      </w:r>
      <w:r>
        <w:t xml:space="preserve">sí ofrecen, no obstante, señales útiles sobre el perfil semántico de cada</w:t>
      </w:r>
      <w:r>
        <w:t xml:space="preserve"> </w:t>
      </w:r>
      <w:r>
        <w:t xml:space="preserve">método.</w:t>
      </w:r>
    </w:p>
    <w:tbl>
      <w:tblPr>
        <w:tblStyle w:val="Table"/>
        <w:tblW w:type="pct" w:w="5000"/>
        <w:tblLayout w:type="fixed"/>
        <w:tblLook w:firstRow="0" w:lastRow="0" w:firstColumn="0" w:lastColumn="0" w:noHBand="0" w:noVBand="0" w:val="0000"/>
      </w:tblPr>
      <w:tblGrid>
        <w:gridCol w:w="7920"/>
      </w:tblGrid>
      <w:tr>
        <w:tc>
          <w:tcPr/>
          <w:bookmarkStart w:id="109" w:name="tbl-human-validation-explainer"/>
          <w:p>
            <w:pPr>
              <w:jc w:val="center"/>
            </w:pPr>
            <w:pPr>
              <w:jc w:val="left"/>
              <w:spacing w:before="200"/>
              <w:pStyle w:val="ImageCaption"/>
            </w:pPr>
            <w:r>
              <w:t xml:space="preserve">Table 5.8: Medias de validación humana por método de explicación. Fuente:</w:t>
            </w:r>
            <w:r>
              <w:t xml:space="preserve"> </w:t>
            </w:r>
            <w:r>
              <w:rPr>
                <w:rStyle w:val="VerbatimChar"/>
              </w:rPr>
              <w:t xml:space="preserve">human_validation_rerun/human_validation_by_explainer.csv</w:t>
            </w:r>
            <w:r>
              <w:t xml:space="preserve">.</w:t>
            </w:r>
            <w:r>
              <w:t xml:space="preserve"> </w:t>
            </w:r>
          </w:p>
          <w:tbl>
            <w:tblPr>
              <w:tblStyle w:val="Table"/>
              <w:tblW w:type="pct" w:w="5000"/>
              <w:tblLayout w:type="fixed"/>
              <w:tblLook w:firstRow="1" w:lastRow="0" w:firstColumn="0" w:lastColumn="0" w:noHBand="0" w:noVBand="0" w:val="0020"/>
            </w:tblPr>
            <w:tblGrid>
              <w:gridCol w:w="772"/>
              <w:gridCol w:w="482"/>
              <w:gridCol w:w="965"/>
              <w:gridCol w:w="1255"/>
              <w:gridCol w:w="1062"/>
              <w:gridCol w:w="1448"/>
              <w:gridCol w:w="1931"/>
            </w:tblGrid>
            <w:tr>
              <w:trPr>
                <w:tblHeader w:val="on"/>
              </w:trPr>
              <w:tc>
                <w:tcPr/>
                <w:p>
                  <w:pPr>
                    <w:pStyle w:val="Compact"/>
                    <w:jc w:val="center"/>
                  </w:pPr>
                  <w:r>
                    <w:t xml:space="preserve">Método</w:t>
                  </w:r>
                </w:p>
              </w:tc>
              <w:tc>
                <w:tcPr/>
                <w:p>
                  <w:pPr>
                    <w:pStyle w:val="Compact"/>
                    <w:jc w:val="right"/>
                    <w:jc w:val="center"/>
                  </w:pPr>
                  <m:oMath>
                    <m:r>
                      <m:t>n</m:t>
                    </m:r>
                  </m:oMath>
                </w:p>
              </w:tc>
              <w:tc>
                <w:tcPr/>
                <w:p>
                  <w:pPr>
                    <w:pStyle w:val="Compact"/>
                    <w:jc w:val="right"/>
                    <w:jc w:val="center"/>
                  </w:pPr>
                  <w:r>
                    <w:t xml:space="preserve">Claridad</w:t>
                  </w:r>
                </w:p>
              </w:tc>
              <w:tc>
                <w:tcPr/>
                <w:p>
                  <w:pPr>
                    <w:pStyle w:val="Compact"/>
                    <w:jc w:val="right"/>
                    <w:jc w:val="center"/>
                  </w:pPr>
                  <w:r>
                    <w:t xml:space="preserve">Completitud</w:t>
                  </w:r>
                </w:p>
              </w:tc>
              <w:tc>
                <w:tcPr/>
                <w:p>
                  <w:pPr>
                    <w:pStyle w:val="Compact"/>
                    <w:jc w:val="right"/>
                    <w:jc w:val="center"/>
                  </w:pPr>
                  <w:r>
                    <w:t xml:space="preserve">Concisión</w:t>
                  </w:r>
                </w:p>
              </w:tc>
              <w:tc>
                <w:tcPr/>
                <w:p>
                  <w:pPr>
                    <w:pStyle w:val="Compact"/>
                    <w:jc w:val="right"/>
                    <w:jc w:val="center"/>
                  </w:pPr>
                  <w:r>
                    <w:t xml:space="preserve">Plausibilidad</w:t>
                  </w:r>
                </w:p>
              </w:tc>
              <w:tc>
                <w:tcPr/>
                <w:p>
                  <w:pPr>
                    <w:pStyle w:val="Compact"/>
                    <w:jc w:val="right"/>
                    <w:jc w:val="center"/>
                  </w:pPr>
                  <w:r>
                    <w:t xml:space="preserve">Utilidad auditoría</w:t>
                  </w:r>
                </w:p>
              </w:tc>
            </w:tr>
            <w:tr>
              <w:tc>
                <w:tcPr/>
                <w:p>
                  <w:pPr>
                    <w:pStyle w:val="Compact"/>
                    <w:jc w:val="center"/>
                  </w:pPr>
                  <w:r>
                    <w:t xml:space="preserve">Anchors</w:t>
                  </w:r>
                </w:p>
              </w:tc>
              <w:tc>
                <w:tcPr/>
                <w:p>
                  <w:pPr>
                    <w:pStyle w:val="Compact"/>
                    <w:jc w:val="right"/>
                    <w:jc w:val="center"/>
                  </w:pPr>
                  <w:r>
                    <w:t xml:space="preserve">32</w:t>
                  </w:r>
                </w:p>
              </w:tc>
              <w:tc>
                <w:tcPr/>
                <w:p>
                  <w:pPr>
                    <w:pStyle w:val="Compact"/>
                    <w:jc w:val="right"/>
                    <w:jc w:val="center"/>
                  </w:pPr>
                  <w:r>
                    <w:t xml:space="preserve">3.97</w:t>
                  </w:r>
                </w:p>
              </w:tc>
              <w:tc>
                <w:tcPr/>
                <w:p>
                  <w:pPr>
                    <w:pStyle w:val="Compact"/>
                    <w:jc w:val="right"/>
                    <w:jc w:val="center"/>
                  </w:pPr>
                  <w:r>
                    <w:t xml:space="preserve">3.44</w:t>
                  </w:r>
                </w:p>
              </w:tc>
              <w:tc>
                <w:tcPr/>
                <w:p>
                  <w:pPr>
                    <w:pStyle w:val="Compact"/>
                    <w:jc w:val="right"/>
                    <w:jc w:val="center"/>
                  </w:pPr>
                  <w:r>
                    <w:t xml:space="preserve">2.19</w:t>
                  </w:r>
                </w:p>
              </w:tc>
              <w:tc>
                <w:tcPr/>
                <w:p>
                  <w:pPr>
                    <w:pStyle w:val="Compact"/>
                    <w:jc w:val="right"/>
                    <w:jc w:val="center"/>
                  </w:pPr>
                  <w:r>
                    <w:t xml:space="preserve">3.97</w:t>
                  </w:r>
                </w:p>
              </w:tc>
              <w:tc>
                <w:tcPr/>
                <w:p>
                  <w:pPr>
                    <w:pStyle w:val="Compact"/>
                    <w:jc w:val="right"/>
                    <w:jc w:val="center"/>
                  </w:pPr>
                  <w:r>
                    <w:t xml:space="preserve">3.63</w:t>
                  </w:r>
                </w:p>
              </w:tc>
            </w:tr>
            <w:tr>
              <w:tc>
                <w:tcPr/>
                <w:p>
                  <w:pPr>
                    <w:pStyle w:val="Compact"/>
                    <w:jc w:val="center"/>
                  </w:pPr>
                  <w:r>
                    <w:t xml:space="preserve">DiCE</w:t>
                  </w:r>
                </w:p>
              </w:tc>
              <w:tc>
                <w:tcPr/>
                <w:p>
                  <w:pPr>
                    <w:pStyle w:val="Compact"/>
                    <w:jc w:val="right"/>
                    <w:jc w:val="center"/>
                  </w:pPr>
                  <w:r>
                    <w:t xml:space="preserve">27</w:t>
                  </w:r>
                </w:p>
              </w:tc>
              <w:tc>
                <w:tcPr/>
                <w:p>
                  <w:pPr>
                    <w:pStyle w:val="Compact"/>
                    <w:jc w:val="right"/>
                    <w:jc w:val="center"/>
                  </w:pPr>
                  <w:r>
                    <w:t xml:space="preserve">3.85</w:t>
                  </w:r>
                </w:p>
              </w:tc>
              <w:tc>
                <w:tcPr/>
                <w:p>
                  <w:pPr>
                    <w:pStyle w:val="Compact"/>
                    <w:jc w:val="right"/>
                    <w:jc w:val="center"/>
                  </w:pPr>
                  <w:r>
                    <w:t xml:space="preserve">3.59</w:t>
                  </w:r>
                </w:p>
              </w:tc>
              <w:tc>
                <w:tcPr/>
                <w:p>
                  <w:pPr>
                    <w:pStyle w:val="Compact"/>
                    <w:jc w:val="right"/>
                    <w:jc w:val="center"/>
                  </w:pPr>
                  <w:r>
                    <w:t xml:space="preserve">2.22</w:t>
                  </w:r>
                </w:p>
              </w:tc>
              <w:tc>
                <w:tcPr/>
                <w:p>
                  <w:pPr>
                    <w:pStyle w:val="Compact"/>
                    <w:jc w:val="right"/>
                    <w:jc w:val="center"/>
                  </w:pPr>
                  <w:r>
                    <w:t xml:space="preserve">3.89</w:t>
                  </w:r>
                </w:p>
              </w:tc>
              <w:tc>
                <w:tcPr/>
                <w:p>
                  <w:pPr>
                    <w:pStyle w:val="Compact"/>
                    <w:jc w:val="right"/>
                    <w:jc w:val="center"/>
                  </w:pPr>
                  <w:r>
                    <w:t xml:space="preserve">3.59</w:t>
                  </w:r>
                </w:p>
              </w:tc>
            </w:tr>
            <w:tr>
              <w:tc>
                <w:tcPr/>
                <w:p>
                  <w:pPr>
                    <w:pStyle w:val="Compact"/>
                    <w:jc w:val="center"/>
                  </w:pPr>
                  <w:r>
                    <w:t xml:space="preserve">LIME</w:t>
                  </w:r>
                </w:p>
              </w:tc>
              <w:tc>
                <w:tcPr/>
                <w:p>
                  <w:pPr>
                    <w:pStyle w:val="Compact"/>
                    <w:jc w:val="right"/>
                    <w:jc w:val="center"/>
                  </w:pPr>
                  <w:r>
                    <w:t xml:space="preserve">30</w:t>
                  </w:r>
                </w:p>
              </w:tc>
              <w:tc>
                <w:tcPr/>
                <w:p>
                  <w:pPr>
                    <w:pStyle w:val="Compact"/>
                    <w:jc w:val="right"/>
                    <w:jc w:val="center"/>
                  </w:pPr>
                  <w:r>
                    <w:t xml:space="preserve">3.40</w:t>
                  </w:r>
                </w:p>
              </w:tc>
              <w:tc>
                <w:tcPr/>
                <w:p>
                  <w:pPr>
                    <w:pStyle w:val="Compact"/>
                    <w:jc w:val="right"/>
                    <w:jc w:val="center"/>
                  </w:pPr>
                  <w:r>
                    <w:t xml:space="preserve">3.60</w:t>
                  </w:r>
                </w:p>
              </w:tc>
              <w:tc>
                <w:tcPr/>
                <w:p>
                  <w:pPr>
                    <w:pStyle w:val="Compact"/>
                    <w:jc w:val="right"/>
                    <w:jc w:val="center"/>
                  </w:pPr>
                  <w:r>
                    <w:t xml:space="preserve">2.07</w:t>
                  </w:r>
                </w:p>
              </w:tc>
              <w:tc>
                <w:tcPr/>
                <w:p>
                  <w:pPr>
                    <w:pStyle w:val="Compact"/>
                    <w:jc w:val="right"/>
                    <w:jc w:val="center"/>
                  </w:pPr>
                  <w:r>
                    <w:t xml:space="preserve">3.37</w:t>
                  </w:r>
                </w:p>
              </w:tc>
              <w:tc>
                <w:tcPr/>
                <w:p>
                  <w:pPr>
                    <w:pStyle w:val="Compact"/>
                    <w:jc w:val="right"/>
                    <w:jc w:val="center"/>
                  </w:pPr>
                  <w:r>
                    <w:t xml:space="preserve">4.47</w:t>
                  </w:r>
                </w:p>
              </w:tc>
            </w:tr>
            <w:tr>
              <w:tc>
                <w:tcPr/>
                <w:p>
                  <w:pPr>
                    <w:pStyle w:val="Compact"/>
                    <w:jc w:val="center"/>
                  </w:pPr>
                  <w:r>
                    <w:t xml:space="preserve">SHAP</w:t>
                  </w:r>
                </w:p>
              </w:tc>
              <w:tc>
                <w:tcPr/>
                <w:p>
                  <w:pPr>
                    <w:pStyle w:val="Compact"/>
                    <w:jc w:val="right"/>
                    <w:jc w:val="center"/>
                  </w:pPr>
                  <w:r>
                    <w:t xml:space="preserve">31</w:t>
                  </w:r>
                </w:p>
              </w:tc>
              <w:tc>
                <w:tcPr/>
                <w:p>
                  <w:pPr>
                    <w:pStyle w:val="Compact"/>
                    <w:jc w:val="right"/>
                    <w:jc w:val="center"/>
                  </w:pPr>
                  <w:r>
                    <w:t xml:space="preserve">3.71</w:t>
                  </w:r>
                </w:p>
              </w:tc>
              <w:tc>
                <w:tcPr/>
                <w:p>
                  <w:pPr>
                    <w:pStyle w:val="Compact"/>
                    <w:jc w:val="right"/>
                    <w:jc w:val="center"/>
                  </w:pPr>
                  <w:r>
                    <w:t xml:space="preserve">3.65</w:t>
                  </w:r>
                </w:p>
              </w:tc>
              <w:tc>
                <w:tcPr/>
                <w:p>
                  <w:pPr>
                    <w:pStyle w:val="Compact"/>
                    <w:jc w:val="right"/>
                    <w:jc w:val="center"/>
                  </w:pPr>
                  <w:r>
                    <w:t xml:space="preserve">2.23</w:t>
                  </w:r>
                </w:p>
              </w:tc>
              <w:tc>
                <w:tcPr/>
                <w:p>
                  <w:pPr>
                    <w:pStyle w:val="Compact"/>
                    <w:jc w:val="right"/>
                    <w:jc w:val="center"/>
                  </w:pPr>
                  <w:r>
                    <w:t xml:space="preserve">3.81</w:t>
                  </w:r>
                </w:p>
              </w:tc>
              <w:tc>
                <w:tcPr/>
                <w:p>
                  <w:pPr>
                    <w:pStyle w:val="Compact"/>
                    <w:jc w:val="right"/>
                    <w:jc w:val="center"/>
                  </w:pPr>
                  <w:r>
                    <w:t xml:space="preserve">3.65</w:t>
                  </w:r>
                </w:p>
              </w:tc>
            </w:tr>
          </w:tbl>
          <w:bookmarkEnd w:id="109"/>
          <w:p/>
        </w:tc>
      </w:tr>
    </w:tbl>
    <w:p>
      <w:pPr>
        <w:pStyle w:val="Textoindependiente"/>
      </w:pPr>
      <w:r>
        <w:t xml:space="preserve">El perfil por método matiza los resultados funcionales de EXP2. Anchors obtiene</w:t>
      </w:r>
      <w:r>
        <w:t xml:space="preserve"> </w:t>
      </w:r>
      <w:r>
        <w:t xml:space="preserve">las medias más altas de claridad y plausibilidad, probablemente porque sus</w:t>
      </w:r>
      <w:r>
        <w:t xml:space="preserve"> </w:t>
      </w:r>
      <w:r>
        <w:t xml:space="preserve">explicaciones en forma de regla son fáciles de reconocer como condiciones</w:t>
      </w:r>
      <w:r>
        <w:t xml:space="preserve"> </w:t>
      </w:r>
      <w:r>
        <w:t xml:space="preserve">discretas. DiCE también es percibido como claro y plausible, aunque su utilidad</w:t>
      </w:r>
      <w:r>
        <w:t xml:space="preserve"> </w:t>
      </w:r>
      <w:r>
        <w:t xml:space="preserve">de auditoría es moderada. SHAP mantiene un perfil equilibrado, sin extremos</w:t>
      </w:r>
      <w:r>
        <w:t xml:space="preserve"> </w:t>
      </w:r>
      <w:r>
        <w:t xml:space="preserve">marcados. LIME, en cambio, presenta el contraste más interesante: es el método</w:t>
      </w:r>
      <w:r>
        <w:t xml:space="preserve"> </w:t>
      </w:r>
      <w:r>
        <w:t xml:space="preserve">con menor claridad y plausibilidad, pero con mayor utilidad para auditoría</w:t>
      </w:r>
      <w:r>
        <w:t xml:space="preserve"> </w:t>
      </w:r>
      <w:r>
        <w:t xml:space="preserve">(4.47). Esta disociación sugiere que una explicación puede ser menos elegante</w:t>
      </w:r>
      <w:r>
        <w:t xml:space="preserve"> </w:t>
      </w:r>
      <w:r>
        <w:t xml:space="preserve">o menos natural como texto, pero aun así resultar útil para inspeccionar</w:t>
      </w:r>
      <w:r>
        <w:t xml:space="preserve"> </w:t>
      </w:r>
      <w:r>
        <w:t xml:space="preserve">factores de decisión.</w:t>
      </w:r>
    </w:p>
    <w:p>
      <w:pPr>
        <w:pStyle w:val="Textoindependiente"/>
      </w:pPr>
      <w:r>
        <w:t xml:space="preserve">La lectura integrada con los resultados funcionales es importante. En EXP2,</w:t>
      </w:r>
      <w:r>
        <w:t xml:space="preserve"> </w:t>
      </w:r>
      <w:r>
        <w:t xml:space="preserve">SHAP domina en fidelidad y estabilidad, mientras que LIME es estructuralmente</w:t>
      </w:r>
      <w:r>
        <w:t xml:space="preserve"> </w:t>
      </w:r>
      <w:r>
        <w:t xml:space="preserve">inestable. La validación humana no revierte esa conclusión, pero añade una</w:t>
      </w:r>
      <w:r>
        <w:t xml:space="preserve"> </w:t>
      </w:r>
      <w:r>
        <w:t xml:space="preserve">capa de interpretación: los usuarios pueden atribuir utilidad de auditoría a</w:t>
      </w:r>
      <w:r>
        <w:t xml:space="preserve"> </w:t>
      </w:r>
      <w:r>
        <w:t xml:space="preserve">explicaciones LIME aun cuando el método sea técnicamente inestable. Por tanto,</w:t>
      </w:r>
      <w:r>
        <w:t xml:space="preserve"> </w:t>
      </w:r>
      <w:r>
        <w:t xml:space="preserve">la recomendación prescriptiva no debe ser</w:t>
      </w:r>
      <w:r>
        <w:t xml:space="preserve"> </w:t>
      </w:r>
      <w:r>
        <w:t xml:space="preserve">“LIME es inútil”</w:t>
      </w:r>
      <w:r>
        <w:t xml:space="preserve">, sino más precisa:</w:t>
      </w:r>
      <w:r>
        <w:t xml:space="preserve"> </w:t>
      </w:r>
      <w:r>
        <w:t xml:space="preserve">LIME puede ser percibido como útil para inspección local, pero no debe usarse</w:t>
      </w:r>
      <w:r>
        <w:t xml:space="preserve"> </w:t>
      </w:r>
      <w:r>
        <w:t xml:space="preserve">como base de auditoría comparativa o longitudinal si se requiere consistencia.</w:t>
      </w:r>
    </w:p>
    <w:bookmarkEnd w:id="110"/>
    <w:bookmarkStart w:id="112" w:name="Xdd33d5bd6eeb298ae5014e247b7064adfcad624"/>
    <w:p>
      <w:pPr>
        <w:pStyle w:val="Ttulo3"/>
      </w:pPr>
      <w:r>
        <w:t xml:space="preserve">Diferencias descriptivas por conjunto de datos</w:t>
      </w:r>
    </w:p>
    <w:p>
      <w:pPr>
        <w:pStyle w:val="FirstParagraph"/>
      </w:pPr>
      <w:r>
        <w:t xml:space="preserve">La Tabla</w:t>
      </w:r>
      <w:r>
        <w:t xml:space="preserve"> </w:t>
      </w:r>
      <w:hyperlink w:anchor="tbl-human-validation-dataset">
        <w:r>
          <w:rPr>
            <w:rStyle w:val="Hipervnculo"/>
          </w:rPr>
          <w:t xml:space="preserve">Table 5.9</w:t>
        </w:r>
      </w:hyperlink>
      <w:r>
        <w:t xml:space="preserve"> </w:t>
      </w:r>
      <w:r>
        <w:t xml:space="preserve">muestra que German Credit alcanza las</w:t>
      </w:r>
      <w:r>
        <w:t xml:space="preserve"> </w:t>
      </w:r>
      <w:r>
        <w:t xml:space="preserve">medias más altas en claridad y plausibilidad, mientras que Adult Income obtiene</w:t>
      </w:r>
      <w:r>
        <w:t xml:space="preserve"> </w:t>
      </w:r>
      <w:r>
        <w:t xml:space="preserve">la mayor utilidad para auditoría. Breast Cancer debe interpretarse con cautela</w:t>
      </w:r>
      <w:r>
        <w:t xml:space="preserve"> </w:t>
      </w:r>
      <w:r>
        <w:t xml:space="preserve">por su tamaño reducido (</w:t>
      </w:r>
      <m:oMath>
        <m:r>
          <m:t>n</m:t>
        </m:r>
        <m:r>
          <m:rPr>
            <m:sty m:val="p"/>
          </m:rPr>
          <m:t>=</m:t>
        </m:r>
        <m:r>
          <m:t>10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tbl-human-validation-dataset"/>
          <w:p>
            <w:pPr>
              <w:jc w:val="center"/>
            </w:pPr>
            <w:pPr>
              <w:jc w:val="left"/>
              <w:spacing w:before="200"/>
              <w:pStyle w:val="ImageCaption"/>
            </w:pPr>
            <w:r>
              <w:t xml:space="preserve">Table 5.9: Medias de validación humana por conjunto de datos. Fuente:</w:t>
            </w:r>
            <w:r>
              <w:t xml:space="preserve"> </w:t>
            </w:r>
            <w:r>
              <w:rPr>
                <w:rStyle w:val="VerbatimChar"/>
              </w:rPr>
              <w:t xml:space="preserve">human_validation_rerun/human_validation_by_dataset.csv</w:t>
            </w:r>
            <w:r>
              <w:t xml:space="preserve">.</w:t>
            </w:r>
            <w:r>
              <w:t xml:space="preserve"> </w:t>
            </w:r>
          </w:p>
          <w:tbl>
            <w:tblPr>
              <w:tblStyle w:val="Table"/>
              <w:tblW w:type="pct" w:w="5000"/>
              <w:tblLayout w:type="fixed"/>
              <w:tblLook w:firstRow="1" w:lastRow="0" w:firstColumn="0" w:lastColumn="0" w:noHBand="0" w:noVBand="0" w:val="0020"/>
            </w:tblPr>
            <w:tblGrid>
              <w:gridCol w:w="1618"/>
              <w:gridCol w:w="425"/>
              <w:gridCol w:w="851"/>
              <w:gridCol w:w="1107"/>
              <w:gridCol w:w="936"/>
              <w:gridCol w:w="1277"/>
              <w:gridCol w:w="1703"/>
            </w:tblGrid>
            <w:tr>
              <w:trPr>
                <w:tblHeader w:val="on"/>
              </w:trPr>
              <w:tc>
                <w:tcPr/>
                <w:p>
                  <w:pPr>
                    <w:pStyle w:val="Compact"/>
                    <w:jc w:val="center"/>
                  </w:pPr>
                  <w:r>
                    <w:t xml:space="preserve">Conjunto de datos</w:t>
                  </w:r>
                </w:p>
              </w:tc>
              <w:tc>
                <w:tcPr/>
                <w:p>
                  <w:pPr>
                    <w:pStyle w:val="Compact"/>
                    <w:jc w:val="right"/>
                    <w:jc w:val="center"/>
                  </w:pPr>
                  <m:oMath>
                    <m:r>
                      <m:t>n</m:t>
                    </m:r>
                  </m:oMath>
                </w:p>
              </w:tc>
              <w:tc>
                <w:tcPr/>
                <w:p>
                  <w:pPr>
                    <w:pStyle w:val="Compact"/>
                    <w:jc w:val="right"/>
                    <w:jc w:val="center"/>
                  </w:pPr>
                  <w:r>
                    <w:t xml:space="preserve">Claridad</w:t>
                  </w:r>
                </w:p>
              </w:tc>
              <w:tc>
                <w:tcPr/>
                <w:p>
                  <w:pPr>
                    <w:pStyle w:val="Compact"/>
                    <w:jc w:val="right"/>
                    <w:jc w:val="center"/>
                  </w:pPr>
                  <w:r>
                    <w:t xml:space="preserve">Completitud</w:t>
                  </w:r>
                </w:p>
              </w:tc>
              <w:tc>
                <w:tcPr/>
                <w:p>
                  <w:pPr>
                    <w:pStyle w:val="Compact"/>
                    <w:jc w:val="right"/>
                    <w:jc w:val="center"/>
                  </w:pPr>
                  <w:r>
                    <w:t xml:space="preserve">Concisión</w:t>
                  </w:r>
                </w:p>
              </w:tc>
              <w:tc>
                <w:tcPr/>
                <w:p>
                  <w:pPr>
                    <w:pStyle w:val="Compact"/>
                    <w:jc w:val="right"/>
                    <w:jc w:val="center"/>
                  </w:pPr>
                  <w:r>
                    <w:t xml:space="preserve">Plausibilidad</w:t>
                  </w:r>
                </w:p>
              </w:tc>
              <w:tc>
                <w:tcPr/>
                <w:p>
                  <w:pPr>
                    <w:pStyle w:val="Compact"/>
                    <w:jc w:val="right"/>
                    <w:jc w:val="center"/>
                  </w:pPr>
                  <w:r>
                    <w:t xml:space="preserve">Utilidad auditoría</w:t>
                  </w:r>
                </w:p>
              </w:tc>
            </w:tr>
            <w:tr>
              <w:tc>
                <w:tcPr/>
                <w:p>
                  <w:pPr>
                    <w:pStyle w:val="Compact"/>
                    <w:jc w:val="center"/>
                  </w:pPr>
                  <w:r>
                    <w:t xml:space="preserve">Adult Income</w:t>
                  </w:r>
                </w:p>
              </w:tc>
              <w:tc>
                <w:tcPr/>
                <w:p>
                  <w:pPr>
                    <w:pStyle w:val="Compact"/>
                    <w:jc w:val="right"/>
                    <w:jc w:val="center"/>
                  </w:pPr>
                  <w:r>
                    <w:t xml:space="preserve">75</w:t>
                  </w:r>
                </w:p>
              </w:tc>
              <w:tc>
                <w:tcPr/>
                <w:p>
                  <w:pPr>
                    <w:pStyle w:val="Compact"/>
                    <w:jc w:val="right"/>
                    <w:jc w:val="center"/>
                  </w:pPr>
                  <w:r>
                    <w:t xml:space="preserve">3.65</w:t>
                  </w:r>
                </w:p>
              </w:tc>
              <w:tc>
                <w:tcPr/>
                <w:p>
                  <w:pPr>
                    <w:pStyle w:val="Compact"/>
                    <w:jc w:val="right"/>
                    <w:jc w:val="center"/>
                  </w:pPr>
                  <w:r>
                    <w:t xml:space="preserve">3.63</w:t>
                  </w:r>
                </w:p>
              </w:tc>
              <w:tc>
                <w:tcPr/>
                <w:p>
                  <w:pPr>
                    <w:pStyle w:val="Compact"/>
                    <w:jc w:val="right"/>
                    <w:jc w:val="center"/>
                  </w:pPr>
                  <w:r>
                    <w:t xml:space="preserve">2.16</w:t>
                  </w:r>
                </w:p>
              </w:tc>
              <w:tc>
                <w:tcPr/>
                <w:p>
                  <w:pPr>
                    <w:pStyle w:val="Compact"/>
                    <w:jc w:val="right"/>
                    <w:jc w:val="center"/>
                  </w:pPr>
                  <w:r>
                    <w:t xml:space="preserve">3.64</w:t>
                  </w:r>
                </w:p>
              </w:tc>
              <w:tc>
                <w:tcPr/>
                <w:p>
                  <w:pPr>
                    <w:pStyle w:val="Compact"/>
                    <w:jc w:val="right"/>
                    <w:jc w:val="center"/>
                  </w:pPr>
                  <w:r>
                    <w:t xml:space="preserve">4.04</w:t>
                  </w:r>
                </w:p>
              </w:tc>
            </w:tr>
            <w:tr>
              <w:tc>
                <w:tcPr/>
                <w:p>
                  <w:pPr>
                    <w:pStyle w:val="Compact"/>
                    <w:jc w:val="center"/>
                  </w:pPr>
                  <w:r>
                    <w:t xml:space="preserve">Breast Cancer</w:t>
                  </w:r>
                </w:p>
              </w:tc>
              <w:tc>
                <w:tcPr/>
                <w:p>
                  <w:pPr>
                    <w:pStyle w:val="Compact"/>
                    <w:jc w:val="right"/>
                    <w:jc w:val="center"/>
                  </w:pPr>
                  <w:r>
                    <w:t xml:space="preserve">10</w:t>
                  </w:r>
                </w:p>
              </w:tc>
              <w:tc>
                <w:tcPr/>
                <w:p>
                  <w:pPr>
                    <w:pStyle w:val="Compact"/>
                    <w:jc w:val="right"/>
                    <w:jc w:val="center"/>
                  </w:pPr>
                  <w:r>
                    <w:t xml:space="preserve">3.50</w:t>
                  </w:r>
                </w:p>
              </w:tc>
              <w:tc>
                <w:tcPr/>
                <w:p>
                  <w:pPr>
                    <w:pStyle w:val="Compact"/>
                    <w:jc w:val="right"/>
                    <w:jc w:val="center"/>
                  </w:pPr>
                  <w:r>
                    <w:t xml:space="preserve">3.70</w:t>
                  </w:r>
                </w:p>
              </w:tc>
              <w:tc>
                <w:tcPr/>
                <w:p>
                  <w:pPr>
                    <w:pStyle w:val="Compact"/>
                    <w:jc w:val="right"/>
                    <w:jc w:val="center"/>
                  </w:pPr>
                  <w:r>
                    <w:t xml:space="preserve">2.40</w:t>
                  </w:r>
                </w:p>
              </w:tc>
              <w:tc>
                <w:tcPr/>
                <w:p>
                  <w:pPr>
                    <w:pStyle w:val="Compact"/>
                    <w:jc w:val="right"/>
                    <w:jc w:val="center"/>
                  </w:pPr>
                  <w:r>
                    <w:t xml:space="preserve">3.80</w:t>
                  </w:r>
                </w:p>
              </w:tc>
              <w:tc>
                <w:tcPr/>
                <w:p>
                  <w:pPr>
                    <w:pStyle w:val="Compact"/>
                    <w:jc w:val="right"/>
                    <w:jc w:val="center"/>
                  </w:pPr>
                  <w:r>
                    <w:t xml:space="preserve">3.20</w:t>
                  </w:r>
                </w:p>
              </w:tc>
            </w:tr>
            <w:tr>
              <w:tc>
                <w:tcPr/>
                <w:p>
                  <w:pPr>
                    <w:pStyle w:val="Compact"/>
                    <w:jc w:val="center"/>
                  </w:pPr>
                  <w:r>
                    <w:t xml:space="preserve">German Credit</w:t>
                  </w:r>
                </w:p>
              </w:tc>
              <w:tc>
                <w:tcPr/>
                <w:p>
                  <w:pPr>
                    <w:pStyle w:val="Compact"/>
                    <w:jc w:val="right"/>
                    <w:jc w:val="center"/>
                  </w:pPr>
                  <w:r>
                    <w:t xml:space="preserve">35</w:t>
                  </w:r>
                </w:p>
              </w:tc>
              <w:tc>
                <w:tcPr/>
                <w:p>
                  <w:pPr>
                    <w:pStyle w:val="Compact"/>
                    <w:jc w:val="right"/>
                    <w:jc w:val="center"/>
                  </w:pPr>
                  <w:r>
                    <w:t xml:space="preserve">3.97</w:t>
                  </w:r>
                </w:p>
              </w:tc>
              <w:tc>
                <w:tcPr/>
                <w:p>
                  <w:pPr>
                    <w:pStyle w:val="Compact"/>
                    <w:jc w:val="right"/>
                    <w:jc w:val="center"/>
                  </w:pPr>
                  <w:r>
                    <w:t xml:space="preserve">3.40</w:t>
                  </w:r>
                </w:p>
              </w:tc>
              <w:tc>
                <w:tcPr/>
                <w:p>
                  <w:pPr>
                    <w:pStyle w:val="Compact"/>
                    <w:jc w:val="right"/>
                    <w:jc w:val="center"/>
                  </w:pPr>
                  <w:r>
                    <w:t xml:space="preserve">2.14</w:t>
                  </w:r>
                </w:p>
              </w:tc>
              <w:tc>
                <w:tcPr/>
                <w:p>
                  <w:pPr>
                    <w:pStyle w:val="Compact"/>
                    <w:jc w:val="right"/>
                    <w:jc w:val="center"/>
                  </w:pPr>
                  <w:r>
                    <w:t xml:space="preserve">4.00</w:t>
                  </w:r>
                </w:p>
              </w:tc>
              <w:tc>
                <w:tcPr/>
                <w:p>
                  <w:pPr>
                    <w:pStyle w:val="Compact"/>
                    <w:jc w:val="right"/>
                    <w:jc w:val="center"/>
                  </w:pPr>
                  <w:r>
                    <w:t xml:space="preserve">3.57</w:t>
                  </w:r>
                </w:p>
              </w:tc>
            </w:tr>
          </w:tbl>
          <w:bookmarkEnd w:id="111"/>
          <w:p/>
        </w:tc>
      </w:tr>
    </w:tbl>
    <w:p>
      <w:pPr>
        <w:pStyle w:val="Textoindependiente"/>
      </w:pPr>
      <w:r>
        <w:t xml:space="preserve">La diferencia Adult–German Credit sugiere que el contexto semántico del</w:t>
      </w:r>
      <w:r>
        <w:t xml:space="preserve"> </w:t>
      </w:r>
      <w:r>
        <w:t xml:space="preserve">dominio influye en la valoración humana. Las explicaciones de German Credit</w:t>
      </w:r>
      <w:r>
        <w:t xml:space="preserve"> </w:t>
      </w:r>
      <w:r>
        <w:t xml:space="preserve">pueden parecer más plausibles por contener variables financieras familiares</w:t>
      </w:r>
      <w:r>
        <w:t xml:space="preserve"> </w:t>
      </w:r>
      <w:r>
        <w:t xml:space="preserve">(duración, monto del crédito, historial), mientras que Adult Income genera</w:t>
      </w:r>
      <w:r>
        <w:t xml:space="preserve"> </w:t>
      </w:r>
      <w:r>
        <w:t xml:space="preserve">mayor utilidad de auditoría porque sus atributos sociales y laborales invitan</w:t>
      </w:r>
      <w:r>
        <w:t xml:space="preserve"> </w:t>
      </w:r>
      <w:r>
        <w:t xml:space="preserve">a revisar sesgos o criterios sensibles. Este resultado apoya la necesidad de</w:t>
      </w:r>
      <w:r>
        <w:t xml:space="preserve"> </w:t>
      </w:r>
      <w:r>
        <w:t xml:space="preserve">reportar la evaluación XAI por contexto de tarea y no solo por método.</w:t>
      </w:r>
    </w:p>
    <w:bookmarkEnd w:id="112"/>
    <w:bookmarkStart w:id="113" w:name="implicaciones-para-la-tesis"/>
    <w:p>
      <w:pPr>
        <w:pStyle w:val="Ttulo3"/>
      </w:pPr>
      <w:r>
        <w:t xml:space="preserve">Implicaciones para la tesis</w:t>
      </w:r>
    </w:p>
    <w:p>
      <w:pPr>
        <w:pStyle w:val="FirstParagraph"/>
      </w:pPr>
      <w:r>
        <w:t xml:space="preserve">La validación humana modifica el alcance empírico de la tesis en tres formas.</w:t>
      </w:r>
      <w:r>
        <w:t xml:space="preserve"> </w:t>
      </w:r>
      <w:r>
        <w:t xml:space="preserve">Primero, transforma la dimensión</w:t>
      </w:r>
      <w:r>
        <w:t xml:space="preserve"> </w:t>
      </w:r>
      <w:r>
        <w:rPr>
          <w:i/>
          <w:iCs/>
        </w:rPr>
        <w:t xml:space="preserve">human-centered</w:t>
      </w:r>
      <w:r>
        <w:t xml:space="preserve"> </w:t>
      </w:r>
      <w:r>
        <w:t xml:space="preserve">de una extensión futura a</w:t>
      </w:r>
      <w:r>
        <w:t xml:space="preserve"> </w:t>
      </w:r>
      <w:r>
        <w:t xml:space="preserve">una capa descriptiva piloto con datos reales. Segundo, confirma por una fuente</w:t>
      </w:r>
      <w:r>
        <w:t xml:space="preserve"> </w:t>
      </w:r>
      <w:r>
        <w:t xml:space="preserve">independiente que las dimensiones de calidad explicativa son separables:</w:t>
      </w:r>
      <w:r>
        <w:t xml:space="preserve"> </w:t>
      </w:r>
      <w:r>
        <w:t xml:space="preserve">claridad, completitud, concisión, plausibilidad y utilidad de auditoría no se</w:t>
      </w:r>
      <w:r>
        <w:t xml:space="preserve"> </w:t>
      </w:r>
      <w:r>
        <w:t xml:space="preserve">mueven como un único factor. Tercero, muestra que los criterios técnicos y los</w:t>
      </w:r>
      <w:r>
        <w:t xml:space="preserve"> </w:t>
      </w:r>
      <w:r>
        <w:t xml:space="preserve">juicios humanos pueden divergir de forma informativa. SHAP domina métricas</w:t>
      </w:r>
      <w:r>
        <w:t xml:space="preserve"> </w:t>
      </w:r>
      <w:r>
        <w:t xml:space="preserve">funcionales; LIME puede conservar utilidad percibida para auditoría; Anchors</w:t>
      </w:r>
      <w:r>
        <w:t xml:space="preserve"> </w:t>
      </w:r>
      <w:r>
        <w:t xml:space="preserve">puede ser semánticamente claro aunque tenga cobertura y estabilidad limitadas.</w:t>
      </w:r>
    </w:p>
    <w:p>
      <w:pPr>
        <w:pStyle w:val="Textoindependiente"/>
      </w:pPr>
      <w:r>
        <w:t xml:space="preserve">Estas observaciones no sustituyen los contrastes confirmativos de H1–H3. Su</w:t>
      </w:r>
      <w:r>
        <w:t xml:space="preserve"> </w:t>
      </w:r>
      <w:r>
        <w:t xml:space="preserve">rol es complementar el benchmark funcional con evidencia de percepción humana</w:t>
      </w:r>
      <w:r>
        <w:t xml:space="preserve"> </w:t>
      </w:r>
      <w:r>
        <w:t xml:space="preserve">y delimitar la siguiente fase de validación: estimar la concordancia entre</w:t>
      </w:r>
      <w:r>
        <w:t xml:space="preserve"> </w:t>
      </w:r>
      <w:r>
        <w:t xml:space="preserve">evaluadores humanos y jueces LLM sobre las mismas dimensiones semánticas.</w:t>
      </w:r>
    </w:p>
    <w:bookmarkEnd w:id="113"/>
    <w:bookmarkEnd w:id="114"/>
    <w:bookmarkStart w:id="119" w:name="sec-perfiles"/>
    <w:p>
      <w:pPr>
        <w:pStyle w:val="Ttulo2"/>
      </w:pPr>
      <w:r>
        <w:t xml:space="preserve">Perfil multidimensional por método</w:t>
      </w:r>
    </w:p>
    <w:p>
      <w:pPr>
        <w:pStyle w:val="FirstParagrap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5" w:name="shap"/>
    <w:p>
      <w:pPr>
        <w:pStyle w:val="Ttulo3"/>
      </w:pPr>
      <w:r>
        <w:t xml:space="preserve">SHAP</w:t>
      </w:r>
    </w:p>
    <w:p>
      <w:pPr>
        <w:pStyle w:val="FirstParagrap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5"/>
    <w:bookmarkStart w:id="116" w:name="lime"/>
    <w:p>
      <w:pPr>
        <w:pStyle w:val="Ttulo3"/>
      </w:pPr>
      <w:r>
        <w:t xml:space="preserve">LIME</w:t>
      </w:r>
    </w:p>
    <w:p>
      <w:pPr>
        <w:pStyle w:val="FirstParagrap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16"/>
    <w:bookmarkStart w:id="117" w:name="anchors"/>
    <w:p>
      <w:pPr>
        <w:pStyle w:val="Ttulo3"/>
      </w:pPr>
      <w:r>
        <w:t xml:space="preserve">Anchors</w:t>
      </w:r>
    </w:p>
    <w:p>
      <w:pPr>
        <w:pStyle w:val="FirstParagrap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7"/>
    <w:bookmarkStart w:id="118" w:name="dice"/>
    <w:p>
      <w:pPr>
        <w:pStyle w:val="Ttulo3"/>
      </w:pPr>
      <w:r>
        <w:t xml:space="preserve">DiCE</w:t>
      </w:r>
    </w:p>
    <w:p>
      <w:pPr>
        <w:pStyle w:val="FirstParagrap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18"/>
    <w:bookmarkEnd w:id="119"/>
    <w:bookmarkStart w:id="122" w:name="sec-transversal"/>
    <w:p>
      <w:pPr>
        <w:pStyle w:val="Ttulo2"/>
      </w:pPr>
      <w:r>
        <w:t xml:space="preserve">Análisis transversal: efecto del modelo base y del tamaño de muestra</w:t>
      </w:r>
    </w:p>
    <w:bookmarkStart w:id="120" w:name="Xd0dc4cebb30e80d859f681a41b6366a7a2cd5a6"/>
    <w:p>
      <w:pPr>
        <w:pStyle w:val="Ttulo3"/>
      </w:pPr>
      <w:r>
        <w:t xml:space="preserve">Efecto del modelo base sobre las métricas</w:t>
      </w:r>
    </w:p>
    <w:p>
      <w:pPr>
        <w:pStyle w:val="FirstParagrap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20"/>
    <w:bookmarkStart w:id="121" w:name="X4b1cce5291d3b83ee4e2fe33ac88be27315f5a8"/>
    <w:p>
      <w:pPr>
        <w:pStyle w:val="Ttulo3"/>
      </w:pPr>
      <w:r>
        <w:t xml:space="preserve">Efecto del tamaño de muestra estratificado</w:t>
      </w:r>
    </w:p>
    <w:p>
      <w:pPr>
        <w:pStyle w:val="FirstParagraph"/>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21"/>
    <w:bookmarkEnd w:id="122"/>
    <w:bookmarkStart w:id="126" w:name="sec-discusion"/>
    <w:p>
      <w:pPr>
        <w:pStyle w:val="Ttulo2"/>
      </w:pPr>
      <w:r>
        <w:t xml:space="preserve">Discusión</w:t>
      </w:r>
    </w:p>
    <w:bookmarkStart w:id="123" w:name="interpretación-conjunta-de-h1-h2-y-h3"/>
    <w:p>
      <w:pPr>
        <w:pStyle w:val="Ttulo3"/>
      </w:pPr>
      <w:r>
        <w:t xml:space="preserve">Interpretación conjunta de H1, H2 y H3</w:t>
      </w:r>
    </w:p>
    <w:p>
      <w:pPr>
        <w:pStyle w:val="FirstParagrap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23"/>
    <w:bookmarkStart w:id="124" w:name="Xc1ed5f3543a7dd0de955900be27cfdca3c1471a"/>
    <w:p>
      <w:pPr>
        <w:pStyle w:val="Ttulo3"/>
      </w:pPr>
      <w:r>
        <w:t xml:space="preserve">Trade-off calidad-coste y criterios de selección operativa</w:t>
      </w:r>
    </w:p>
    <w:p>
      <w:pPr>
        <w:pStyle w:val="FirstParagrap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24"/>
    <w:bookmarkStart w:id="125" w:name="X99626a17a471bd5fb48825a2c4d4fcdcb69bcee"/>
    <w:p>
      <w:pPr>
        <w:pStyle w:val="Ttulo3"/>
      </w:pPr>
      <w:r>
        <w:t xml:space="preserve">Contribuciones, limitaciones y extensiones</w:t>
      </w:r>
    </w:p>
    <w:p>
      <w:pPr>
        <w:pStyle w:val="FirstParagrap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25"/>
    <w:bookmarkEnd w:id="126"/>
    <w:bookmarkEnd w:id="127"/>
    <w:bookmarkStart w:id="144" w:name="conclusiones"/>
    <w:p>
      <w:pPr>
        <w:pStyle w:val="Ttulo1"/>
      </w:pPr>
      <w:r>
        <w:t xml:space="preserve">Conclusiones</w:t>
      </w:r>
    </w:p>
    <w:p>
      <w:pPr>
        <w:pStyle w:val="FirstParagrap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 Como capa empírica complementaria, la</w:t>
      </w:r>
      <w:r>
        <w:t xml:space="preserve"> </w:t>
      </w:r>
      <w:r>
        <w:t xml:space="preserve">tesis incorpora además una validación humana piloto de 120 anotaciones que</w:t>
      </w:r>
      <w:r>
        <w:t xml:space="preserve"> </w:t>
      </w:r>
      <w:r>
        <w:t xml:space="preserve">examina dimensiones semánticas de calidad explicativa no observables mediante</w:t>
      </w:r>
      <w:r>
        <w:t xml:space="preserve"> </w:t>
      </w:r>
      <w:r>
        <w:t xml:space="preserve">las métricas funcionales automáticas.</w:t>
      </w:r>
    </w:p>
    <w:bookmarkStart w:id="130" w:name="sec-respuesta"/>
    <w:p>
      <w:pPr>
        <w:pStyle w:val="Ttulo2"/>
      </w:pPr>
      <w:r>
        <w:t xml:space="preserve">Respuesta al problema de investigación e hipótesis</w:t>
      </w:r>
    </w:p>
    <w:p>
      <w:pPr>
        <w:pStyle w:val="FirstParagrap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8"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8"/>
          <w:p/>
        </w:tc>
      </w:tr>
    </w:tbl>
    <w:p>
      <w:pPr>
        <w:pStyle w:val="Textoindependiente"/>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9"/>
          <w:p/>
        </w:tc>
      </w:tr>
    </w:tbl>
    <w:p>
      <w:pPr>
        <w:pStyle w:val="Textoindependiente"/>
      </w:pPr>
      <w:r>
        <w:t xml:space="preserve">Además de estos objetivos confirmativos, la tesis produjo una capa descriptiva</w:t>
      </w:r>
      <w:r>
        <w:t xml:space="preserve"> </w:t>
      </w:r>
      <w:r>
        <w:t xml:space="preserve">de validación humana de explicaciones. Esta capa no modifica la resolución de</w:t>
      </w:r>
      <w:r>
        <w:t xml:space="preserve"> </w:t>
      </w:r>
      <w:r>
        <w:t xml:space="preserve">H1–H3, pero amplía la interpretación de los resultados al mostrar que las</w:t>
      </w:r>
      <w:r>
        <w:t xml:space="preserve"> </w:t>
      </w:r>
      <w:r>
        <w:t xml:space="preserve">explicaciones son valoradas positivamente en claridad, completitud,</w:t>
      </w:r>
      <w:r>
        <w:t xml:space="preserve"> </w:t>
      </w:r>
      <w:r>
        <w:t xml:space="preserve">plausibilidad y utilidad de auditoría, mientras que la concisión constituye la</w:t>
      </w:r>
      <w:r>
        <w:t xml:space="preserve"> </w:t>
      </w:r>
      <w:r>
        <w:t xml:space="preserve">debilidad perceptiva más marcada. La evidencia humana refuerza la tesis central</w:t>
      </w:r>
      <w:r>
        <w:t xml:space="preserve"> </w:t>
      </w:r>
      <w:r>
        <w:t xml:space="preserve">de que la calidad explicativa es multidimensional y que los resultados</w:t>
      </w:r>
      <w:r>
        <w:t xml:space="preserve"> </w:t>
      </w:r>
      <w:r>
        <w:t xml:space="preserve">funcionales deben complementarse con evidencia semántica cuando las</w:t>
      </w:r>
      <w:r>
        <w:t xml:space="preserve"> </w:t>
      </w:r>
      <w:r>
        <w:t xml:space="preserve">afirmaciones se refieren a comprensión o utilidad para auditoría.</w:t>
      </w:r>
    </w:p>
    <w:bookmarkEnd w:id="130"/>
    <w:bookmarkStart w:id="136" w:name="sec-taxonomia"/>
    <w:p>
      <w:pPr>
        <w:pStyle w:val="Ttulo2"/>
      </w:pPr>
      <w:r>
        <w:t xml:space="preserve">Estudio C: Taxonomía estructurada del espacio de métricas de evaluación XAI</w:t>
      </w:r>
    </w:p>
    <w:bookmarkStart w:id="131" w:name="motivación-y-posicionamiento"/>
    <w:p>
      <w:pPr>
        <w:pStyle w:val="Ttulo3"/>
      </w:pPr>
      <w:r>
        <w:t xml:space="preserve">Motivación y posicionamiento</w:t>
      </w:r>
    </w:p>
    <w:p>
      <w:pPr>
        <w:pStyle w:val="FirstParagrap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31"/>
    <w:bookmarkStart w:id="132" w:name="los-cuatro-ejes-de-la-taxonomía"/>
    <w:p>
      <w:pPr>
        <w:pStyle w:val="Ttulo3"/>
      </w:pPr>
      <w:r>
        <w:t xml:space="preserve">Los cuatro ejes de la taxonomía</w:t>
      </w:r>
    </w:p>
    <w:p>
      <w:pPr>
        <w:pStyle w:val="FirstParagraph"/>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pPr>
      <w:r>
        <w:t xml:space="preserve">Este eje clasifica la dimensión de la explicación que la métrica interroga. Se</w:t>
      </w:r>
      <w:r>
        <w:t xml:space="preserve"> </w:t>
      </w:r>
      <w:r>
        <w:t xml:space="preserve">identifican cinco objetivos primarios:</w:t>
      </w:r>
    </w:p>
    <w:p>
      <w:pPr>
        <w:pStyle w:val="Compact"/>
        <w:numPr>
          <w:ilvl w:val="0"/>
          <w:numId w:val="1014"/>
        </w:numPr>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4"/>
        </w:numPr>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4"/>
        </w:numPr>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4"/>
        </w:numPr>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4"/>
        </w:numPr>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pPr>
      <w:r>
        <w:t xml:space="preserve">Las métricas se diferencian por la operación que genera la señal de evaluación.</w:t>
      </w:r>
      <w:r>
        <w:t xml:space="preserve"> </w:t>
      </w:r>
      <w:r>
        <w:t xml:space="preserve">Se distinguen cuatro fuentes:</w:t>
      </w:r>
    </w:p>
    <w:p>
      <w:pPr>
        <w:pStyle w:val="Compact"/>
        <w:numPr>
          <w:ilvl w:val="0"/>
          <w:numId w:val="1015"/>
        </w:numPr>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5"/>
        </w:numPr>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5"/>
        </w:numPr>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5"/>
        </w:numPr>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6"/>
        </w:numPr>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6"/>
        </w:numPr>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6"/>
        </w:numPr>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6"/>
        </w:numPr>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6"/>
        </w:numPr>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6"/>
        </w:numPr>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7"/>
        </w:numPr>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7"/>
        </w:numPr>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7"/>
        </w:numPr>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7"/>
        </w:numPr>
      </w:pPr>
      <w:r>
        <w:rPr>
          <w:i/>
          <w:iCs/>
        </w:rPr>
        <w:t xml:space="preserve">Diagnóstico de modelos y depuración</w:t>
      </w:r>
      <w:r>
        <w:t xml:space="preserve">: requiere fidelidad causal local y</w:t>
      </w:r>
      <w:r>
        <w:t xml:space="preserve"> </w:t>
      </w:r>
      <w:r>
        <w:t xml:space="preserve">cobertura; la eficiencia es secundaria.</w:t>
      </w:r>
    </w:p>
    <w:bookmarkEnd w:id="132"/>
    <w:bookmarkStart w:id="134" w:name="Xc578c0836cd38dc2fc367c6ce0cfc8bb694bc01"/>
    <w:p>
      <w:pPr>
        <w:pStyle w:val="Ttulo3"/>
      </w:pPr>
      <w:r>
        <w:t xml:space="preserve">Mapeo de las métricas del benchmark a la taxonomía</w:t>
      </w:r>
    </w:p>
    <w:p>
      <w:pPr>
        <w:pStyle w:val="FirstParagrap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33"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33"/>
          <w:p/>
        </w:tc>
      </w:tr>
    </w:tbl>
    <w:bookmarkEnd w:id="134"/>
    <w:bookmarkStart w:id="135" w:name="contribución-teórica-de-la-taxonomía"/>
    <w:p>
      <w:pPr>
        <w:pStyle w:val="Ttulo3"/>
      </w:pPr>
      <w:r>
        <w:t xml:space="preserve">Contribución teórica de la taxonomía</w:t>
      </w:r>
    </w:p>
    <w:p>
      <w:pPr>
        <w:pStyle w:val="FirstParagrap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pPr>
      <w:r>
        <w:rPr>
          <w:b/>
          <w:bCs/>
        </w:rPr>
        <w:t xml:space="preserve">Segunda afirmación:</w:t>
      </w:r>
      <w:r>
        <w:t xml:space="preserve"> </w:t>
      </w:r>
      <w:r>
        <w:t xml:space="preserve">La taxonomía evidencia qué parte del espacio de</w:t>
      </w:r>
      <w:r>
        <w:t xml:space="preserve"> </w:t>
      </w:r>
      <w:r>
        <w:t xml:space="preserve">evaluación cubre cada fuente de evidencia. El benchmark EXP2 es</w:t>
      </w:r>
      <w:r>
        <w:t xml:space="preserve"> </w:t>
      </w:r>
      <w:r>
        <w:rPr>
          <w:i/>
          <w:iCs/>
        </w:rPr>
        <w:t xml:space="preserve">functionally-grounded</w:t>
      </w:r>
      <w:r>
        <w:t xml:space="preserve"> </w:t>
      </w:r>
      <w:r>
        <w:t xml:space="preserve">por diseño, siguiendo la clasificación de Canha et al.</w:t>
      </w:r>
      <w:r>
        <w:t xml:space="preserve"> </w:t>
      </w:r>
      <w:r>
        <w:t xml:space="preserve">(2025)</w:t>
      </w:r>
      <w:r>
        <w:t xml:space="preserve">, y por tanto no puede justificar por sí solo afirmaciones sobre</w:t>
      </w:r>
      <w:r>
        <w:t xml:space="preserve"> </w:t>
      </w:r>
      <w:r>
        <w:t xml:space="preserve">comprensión o utilidad percibida. La validación humana piloto añadida en esta</w:t>
      </w:r>
      <w:r>
        <w:t xml:space="preserve"> </w:t>
      </w:r>
      <w:r>
        <w:t xml:space="preserve">tesis cubre parcialmente esa brecha al evaluar claridad, completitud,</w:t>
      </w:r>
      <w:r>
        <w:t xml:space="preserve"> </w:t>
      </w:r>
      <w:r>
        <w:t xml:space="preserve">concisión, plausibilidad y utilidad de auditoría. La taxonomía permite</w:t>
      </w:r>
      <w:r>
        <w:t xml:space="preserve"> </w:t>
      </w:r>
      <w:r>
        <w:t xml:space="preserve">mantener separadas ambas capas: métricas funcionales para afirmaciones sobre</w:t>
      </w:r>
      <w:r>
        <w:t xml:space="preserve"> </w:t>
      </w:r>
      <w:r>
        <w:t xml:space="preserve">comportamiento del explicador frente al modelo, y ratings humanos para</w:t>
      </w:r>
      <w:r>
        <w:t xml:space="preserve"> </w:t>
      </w:r>
      <w:r>
        <w:t xml:space="preserve">afirmaciones descriptivas sobre la recepción semántica de las explicaciones.</w:t>
      </w:r>
    </w:p>
    <w:bookmarkEnd w:id="135"/>
    <w:bookmarkEnd w:id="136"/>
    <w:bookmarkStart w:id="140" w:name="sec-contribuciones"/>
    <w:p>
      <w:pPr>
        <w:pStyle w:val="Ttulo2"/>
      </w:pPr>
      <w:r>
        <w:t xml:space="preserve">Contribuciones científicas</w:t>
      </w:r>
    </w:p>
    <w:bookmarkStart w:id="137" w:name="X2e7af289f3df14f7e31f2445fc83a79cfc8b431"/>
    <w:p>
      <w:pPr>
        <w:pStyle w:val="Ttulo3"/>
      </w:pPr>
      <w:r>
        <w:t xml:space="preserve">Contribución metodológica: protocolo FOM-7</w:t>
      </w:r>
    </w:p>
    <w:p>
      <w:pPr>
        <w:pStyle w:val="FirstParagrap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37"/>
    <w:bookmarkStart w:id="138" w:name="X93d1d918ce055ba24ba9e9f0b305f424c9a5ca8"/>
    <w:p>
      <w:pPr>
        <w:pStyle w:val="Ttulo3"/>
      </w:pPr>
      <w:r>
        <w:t xml:space="preserve">Contribución teórica: disociación fidelidad-estabilidad y taxonomía de métricas</w:t>
      </w:r>
    </w:p>
    <w:p>
      <w:pPr>
        <w:pStyle w:val="FirstParagraph"/>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(Bhattacharya and Verbert 2024; Canha et al. 2025)</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functionally-grounded, incluyendo la comprehensibilidad percibida por el usuario</w:t>
      </w:r>
      <w:r>
        <w:t xml:space="preserve"> </w:t>
      </w:r>
      <w:r>
        <w:t xml:space="preserve">(Bhattacharya and Verbert 2024; Arrieta 2019a)</w:t>
      </w:r>
      <w:r>
        <w:t xml:space="preserve">. La validación humana piloto incorporada en</w:t>
      </w:r>
      <w:r>
        <w:t xml:space="preserve"> </w:t>
      </w:r>
      <w:r>
        <w:t xml:space="preserve">el Capítulo 4 muestra que esta dimensión no es solo conceptual: claridad y</w:t>
      </w:r>
      <w:r>
        <w:t xml:space="preserve"> </w:t>
      </w:r>
      <w:r>
        <w:t xml:space="preserve">plausibilidad presentan alto acuerdo entre anotadores, mientras que</w:t>
      </w:r>
      <w:r>
        <w:t xml:space="preserve"> </w:t>
      </w:r>
      <w:r>
        <w:t xml:space="preserve">completitud y utilidad de auditoría son más variables. La taxonomía integra y</w:t>
      </w:r>
      <w:r>
        <w:t xml:space="preserve"> </w:t>
      </w:r>
      <w:r>
        <w:t xml:space="preserve">extiende los marcos previos de Schwalbe y Finzel</w:t>
      </w:r>
      <w:r>
        <w:t xml:space="preserve"> </w:t>
      </w:r>
      <w:r>
        <w:t xml:space="preserve">(2023)</w:t>
      </w:r>
      <w:r>
        <w:t xml:space="preserve">, Abdulkadir</w:t>
      </w:r>
      <w:r>
        <w:t xml:space="preserve"> </w:t>
      </w:r>
      <w:r>
        <w:t xml:space="preserve">et al.</w:t>
      </w:r>
      <w:r>
        <w:t xml:space="preserve"> </w:t>
      </w:r>
      <w:r>
        <w:t xml:space="preserve">(2023)</w:t>
      </w:r>
      <w:r>
        <w:t xml:space="preserve"> </w:t>
      </w:r>
      <w:r>
        <w:t xml:space="preserve">y Canha et al.</w:t>
      </w:r>
      <w:r>
        <w:t xml:space="preserve"> </w:t>
      </w:r>
      <w:r>
        <w:t xml:space="preserve">(2025)</w:t>
      </w:r>
      <w:r>
        <w:t xml:space="preserve">, alineándola</w:t>
      </w:r>
      <w:r>
        <w:t xml:space="preserve"> </w:t>
      </w:r>
      <w:r>
        <w:t xml:space="preserve">explícitamente con el espacio experimental del benchmark.</w:t>
      </w:r>
    </w:p>
    <w:bookmarkEnd w:id="138"/>
    <w:bookmarkStart w:id="139" w:name="X6583905c1b1630bf3acfdae91528ca52ef61481"/>
    <w:p>
      <w:pPr>
        <w:pStyle w:val="Ttulo3"/>
      </w:pPr>
      <w:r>
        <w:t xml:space="preserve">Contribución aplicada: criterios prescriptivos de selección de métodos XAI</w:t>
      </w:r>
    </w:p>
    <w:p>
      <w:pPr>
        <w:pStyle w:val="FirstParagrap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9"/>
    <w:bookmarkEnd w:id="140"/>
    <w:bookmarkStart w:id="141" w:name="sec-limitaciones"/>
    <w:p>
      <w:pPr>
        <w:pStyle w:val="Ttulo2"/>
      </w:pPr>
      <w:r>
        <w:t xml:space="preserve">Limitaciones del estudio</w:t>
      </w:r>
    </w:p>
    <w:p>
      <w:pPr>
        <w:pStyle w:val="FirstParagraph"/>
      </w:pPr>
      <w:r>
        <w:t xml:space="preserve">Cuatro limitaciones deben tenerse en cuenta al interpretar los resultados y</w:t>
      </w:r>
      <w:r>
        <w:t xml:space="preserve"> </w:t>
      </w:r>
      <w:r>
        <w:t xml:space="preserve">generalizar los criterios de selección.</w:t>
      </w:r>
    </w:p>
    <w:p>
      <w:pPr>
        <w:pStyle w:val="Textoindependiente"/>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pPr>
      <w:r>
        <w:rPr>
          <w:b/>
          <w:bCs/>
        </w:rPr>
        <w:t xml:space="preserve">Alcance piloto de la evaluación human-centered.</w:t>
      </w:r>
      <w:r>
        <w:t xml:space="preserve"> </w:t>
      </w:r>
      <w:r>
        <w:t xml:space="preserve">La tesis incorpora una</w:t>
      </w:r>
      <w:r>
        <w:t xml:space="preserve"> </w:t>
      </w:r>
      <w:r>
        <w:t xml:space="preserve">validación humana descriptiva de 120 anotaciones, suficiente para demostrar que</w:t>
      </w:r>
      <w:r>
        <w:t xml:space="preserve"> </w:t>
      </w:r>
      <w:r>
        <w:t xml:space="preserve">las dimensiones semánticas de calidad son observables y no redundantes. Sin</w:t>
      </w:r>
      <w:r>
        <w:t xml:space="preserve"> </w:t>
      </w:r>
      <w:r>
        <w:t xml:space="preserve">embargo, esta capa no sustituye un estudio de usuarios confirmativo con</w:t>
      </w:r>
      <w:r>
        <w:t xml:space="preserve"> </w:t>
      </w:r>
      <w:r>
        <w:t xml:space="preserve">participantes expertos, tareas controladas y análisis de acuerdo humano–LLM.</w:t>
      </w:r>
      <w:r>
        <w:t xml:space="preserve"> </w:t>
      </w:r>
      <w:r>
        <w:t xml:space="preserve">Por tanto, los criterios prescriptivos derivados del benchmark funcional deben</w:t>
      </w:r>
      <w:r>
        <w:t xml:space="preserve"> </w:t>
      </w:r>
      <w:r>
        <w:t xml:space="preserve">seguirse interpretando principalmente como criterios técnicos; las preferencias</w:t>
      </w:r>
      <w:r>
        <w:t xml:space="preserve"> </w:t>
      </w:r>
      <w:r>
        <w:t xml:space="preserve">de usuarios finales solo quedan cubiertas de forma exploratoria.</w:t>
      </w:r>
    </w:p>
    <w:p>
      <w:pPr>
        <w:pStyle w:val="Textoindependiente"/>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41"/>
    <w:bookmarkStart w:id="142" w:name="sec-futuro"/>
    <w:p>
      <w:pPr>
        <w:pStyle w:val="Ttulo2"/>
      </w:pPr>
      <w:r>
        <w:t xml:space="preserve">Líneas de investigación futura</w:t>
      </w:r>
    </w:p>
    <w:p>
      <w:pPr>
        <w:pStyle w:val="FirstParagraph"/>
      </w:pPr>
      <w:r>
        <w:t xml:space="preserve">Los resultados, las limitaciones y la taxonomía del Estudio C convergen en</w:t>
      </w:r>
      <w:r>
        <w:t xml:space="preserve"> </w:t>
      </w:r>
      <w:r>
        <w:t xml:space="preserve">señalar cinco extensiones de investigación con fundamento empírico:</w:t>
      </w:r>
    </w:p>
    <w:p>
      <w:pPr>
        <w:pStyle w:val="Textoindependiente"/>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pPr>
      <w:r>
        <w:rPr>
          <w:b/>
          <w:bCs/>
        </w:rPr>
        <w:t xml:space="preserve">2. Ampliación de la evaluación human-centered.</w:t>
      </w:r>
      <w:r>
        <w:t xml:space="preserve"> </w:t>
      </w:r>
      <w:r>
        <w:t xml:space="preserve">La validación humana piloto</w:t>
      </w:r>
      <w:r>
        <w:t xml:space="preserve"> </w:t>
      </w:r>
      <w:r>
        <w:t xml:space="preserve">de esta tesis debe ampliarse hacia estudios de usuario confirmativos. Un</w:t>
      </w:r>
      <w:r>
        <w:t xml:space="preserve"> </w:t>
      </w:r>
      <w:r>
        <w:t xml:space="preserve">estudio con usuarios expertos (médicos, analistas de crédito) que evalúen</w:t>
      </w:r>
      <w:r>
        <w:t xml:space="preserve"> </w:t>
      </w:r>
      <w:r>
        <w:t xml:space="preserve">comprensión, completitud y utilidad de auditoría bajo tareas controladas</w:t>
      </w:r>
      <w:r>
        <w:t xml:space="preserve"> </w:t>
      </w:r>
      <w:r>
        <w:t xml:space="preserve">permitiría estimar con mayor precisión la validez externa de los ratings</w:t>
      </w:r>
      <w:r>
        <w:t xml:space="preserve"> </w:t>
      </w:r>
      <w:r>
        <w:t xml:space="preserve">observados y contrastar la concordancia entre evaluadores humanos y jueces LLM.</w:t>
      </w:r>
    </w:p>
    <w:p>
      <w:pPr>
        <w:pStyle w:val="Textoindependiente"/>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pPr>
      <w:r>
        <w:rPr>
          <w:b/>
          <w:bCs/>
        </w:rPr>
        <w:t xml:space="preserve">5.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42"/>
    <w:bookmarkStart w:id="143" w:name="sec-sintesis"/>
    <w:p>
      <w:pPr>
        <w:pStyle w:val="Ttulo2"/>
      </w:pPr>
      <w:r>
        <w:t xml:space="preserve">Síntesis final</w:t>
      </w:r>
    </w:p>
    <w:p>
      <w:pPr>
        <w:pStyle w:val="FirstParagrap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43"/>
    <w:bookmarkEnd w:id="144"/>
    <w:bookmarkStart w:id="231" w:name="referencias"/>
    <w:p>
      <w:pPr>
        <w:pStyle w:val="Ttulo1"/>
      </w:pPr>
      <w:r>
        <w:t xml:space="preserve">Referencias</w:t>
      </w:r>
    </w:p>
    <w:bookmarkStart w:id="230" w:name="refs"/>
    <w:bookmarkStart w:id="145" w:name="ref-ref_7"/>
    <w:p>
      <w:pPr>
        <w:pStyle w:val="Bibliography"/>
      </w:pPr>
      <w:r>
        <w:t xml:space="preserve">n.d.</w:t>
      </w:r>
    </w:p>
    <w:bookmarkEnd w:id="145"/>
    <w:bookmarkStart w:id="147" w:name="ref-abdulkadir2023"/>
    <w:p>
      <w:pPr>
        <w:pStyle w:val="Bibliography"/>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46">
        <w:r>
          <w:rPr>
            <w:rStyle w:val="Hipervnculo"/>
          </w:rPr>
          <w:t xml:space="preserve">https://doi.org/10.1109/INES59045.2023.1030000</w:t>
        </w:r>
      </w:hyperlink>
      <w:r>
        <w:t xml:space="preserve">.</w:t>
      </w:r>
    </w:p>
    <w:bookmarkEnd w:id="147"/>
    <w:bookmarkStart w:id="149" w:name="ref-adadi2018"/>
    <w:p>
      <w:pPr>
        <w:pStyle w:val="Bibliography"/>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8">
        <w:r>
          <w:rPr>
            <w:rStyle w:val="Hipervnculo"/>
          </w:rPr>
          <w:t xml:space="preserve">https://doi.org/10.1109/access.2018.2870052</w:t>
        </w:r>
      </w:hyperlink>
      <w:r>
        <w:t xml:space="preserve">.</w:t>
      </w:r>
    </w:p>
    <w:bookmarkEnd w:id="149"/>
    <w:bookmarkStart w:id="150" w:name="ref-agarwal2022"/>
    <w:p>
      <w:pPr>
        <w:pStyle w:val="Bibliography"/>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50"/>
    <w:bookmarkStart w:id="152" w:name="ref-ali2023"/>
    <w:p>
      <w:pPr>
        <w:pStyle w:val="Bibliography"/>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51">
        <w:r>
          <w:rPr>
            <w:rStyle w:val="Hipervnculo"/>
          </w:rPr>
          <w:t xml:space="preserve">https://doi.org/10.1016/j.inffus.2023.101805</w:t>
        </w:r>
      </w:hyperlink>
      <w:r>
        <w:t xml:space="preserve">.</w:t>
      </w:r>
    </w:p>
    <w:bookmarkEnd w:id="152"/>
    <w:bookmarkStart w:id="154" w:name="ref-allen2024"/>
    <w:p>
      <w:pPr>
        <w:pStyle w:val="Bibliography"/>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53">
        <w:r>
          <w:rPr>
            <w:rStyle w:val="Hipervnculo"/>
          </w:rPr>
          <w:t xml:space="preserve">https://doi.org/10.1146/annurev-statistics-040120-030919</w:t>
        </w:r>
      </w:hyperlink>
      <w:r>
        <w:t xml:space="preserve">.</w:t>
      </w:r>
    </w:p>
    <w:bookmarkEnd w:id="154"/>
    <w:bookmarkStart w:id="156" w:name="ref-altukhi2025"/>
    <w:p>
      <w:pPr>
        <w:pStyle w:val="Bibliography"/>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55">
        <w:r>
          <w:rPr>
            <w:rStyle w:val="Hipervnculo"/>
          </w:rPr>
          <w:t xml:space="preserve">https://doi.org/10.3390/technologies13030093</w:t>
        </w:r>
      </w:hyperlink>
      <w:r>
        <w:t xml:space="preserve">.</w:t>
      </w:r>
    </w:p>
    <w:bookmarkEnd w:id="156"/>
    <w:bookmarkStart w:id="158" w:name="ref-angelov2021"/>
    <w:p>
      <w:pPr>
        <w:pStyle w:val="Bibliography"/>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57">
        <w:r>
          <w:rPr>
            <w:rStyle w:val="Hipervnculo"/>
          </w:rPr>
          <w:t xml:space="preserve">https://doi.org/10.1002/widm.1424</w:t>
        </w:r>
      </w:hyperlink>
      <w:r>
        <w:t xml:space="preserve">.</w:t>
      </w:r>
    </w:p>
    <w:bookmarkEnd w:id="158"/>
    <w:bookmarkStart w:id="160" w:name="ref-arrieta2019a"/>
    <w:p>
      <w:pPr>
        <w:pStyle w:val="Bibliography"/>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9">
        <w:r>
          <w:rPr>
            <w:rStyle w:val="Hipervnculo"/>
          </w:rPr>
          <w:t xml:space="preserve">https://doi.org/10.1016/j.inffus.2019.12.012</w:t>
        </w:r>
      </w:hyperlink>
      <w:r>
        <w:t xml:space="preserve">.</w:t>
      </w:r>
    </w:p>
    <w:bookmarkEnd w:id="160"/>
    <w:bookmarkStart w:id="162" w:name="ref-belle2021"/>
    <w:p>
      <w:pPr>
        <w:pStyle w:val="Bibliography"/>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61">
        <w:r>
          <w:rPr>
            <w:rStyle w:val="Hipervnculo"/>
          </w:rPr>
          <w:t xml:space="preserve">https://doi.org/10.3389/fdata.2021.688969</w:t>
        </w:r>
      </w:hyperlink>
      <w:r>
        <w:t xml:space="preserve">.</w:t>
      </w:r>
    </w:p>
    <w:bookmarkEnd w:id="162"/>
    <w:bookmarkStart w:id="164" w:name="ref-bhattacharya2024"/>
    <w:p>
      <w:pPr>
        <w:pStyle w:val="Bibliography"/>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63">
        <w:r>
          <w:rPr>
            <w:rStyle w:val="Hipervnculo"/>
          </w:rPr>
          <w:t xml:space="preserve">https://doi.org/10.1145/3631700.3664911</w:t>
        </w:r>
      </w:hyperlink>
      <w:r>
        <w:t xml:space="preserve">.</w:t>
      </w:r>
    </w:p>
    <w:bookmarkEnd w:id="164"/>
    <w:bookmarkStart w:id="166" w:name="ref-breiman2001"/>
    <w:p>
      <w:pPr>
        <w:pStyle w:val="Bibliography"/>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65">
        <w:r>
          <w:rPr>
            <w:rStyle w:val="Hipervnculo"/>
          </w:rPr>
          <w:t xml:space="preserve">https://doi.org/10.1023/a:1010933404324</w:t>
        </w:r>
      </w:hyperlink>
      <w:r>
        <w:t xml:space="preserve">.</w:t>
      </w:r>
    </w:p>
    <w:bookmarkEnd w:id="166"/>
    <w:bookmarkStart w:id="168" w:name="ref-canha2025"/>
    <w:p>
      <w:pPr>
        <w:pStyle w:val="Bibliography"/>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67">
        <w:r>
          <w:rPr>
            <w:rStyle w:val="Hipervnculo"/>
          </w:rPr>
          <w:t xml:space="preserve">https://doi.org/10.1145/3737445</w:t>
        </w:r>
      </w:hyperlink>
      <w:r>
        <w:t xml:space="preserve">.</w:t>
      </w:r>
    </w:p>
    <w:bookmarkEnd w:id="168"/>
    <w:bookmarkStart w:id="170" w:name="ref-demsar2006"/>
    <w:p>
      <w:pPr>
        <w:pStyle w:val="Bibliography"/>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r:id="rId169">
        <w:r>
          <w:rPr>
            <w:rStyle w:val="Hipervnculo"/>
          </w:rPr>
          <w:t xml:space="preserve">https://jmlr.org/papers/v7/demsar06a.html</w:t>
        </w:r>
      </w:hyperlink>
      <w:r>
        <w:t xml:space="preserve">.</w:t>
      </w:r>
    </w:p>
    <w:bookmarkEnd w:id="170"/>
    <w:bookmarkStart w:id="172" w:name="ref-doshi-velez2017"/>
    <w:p>
      <w:pPr>
        <w:pStyle w:val="Bibliography"/>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71">
        <w:r>
          <w:rPr>
            <w:rStyle w:val="Hipervnculo"/>
          </w:rPr>
          <w:t xml:space="preserve">https://doi.org/10.48550/arxiv.1702.08608</w:t>
        </w:r>
      </w:hyperlink>
      <w:r>
        <w:t xml:space="preserve">.</w:t>
      </w:r>
    </w:p>
    <w:bookmarkEnd w:id="172"/>
    <w:bookmarkStart w:id="174" w:name="ref-floridi2018"/>
    <w:p>
      <w:pPr>
        <w:pStyle w:val="Bibliography"/>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73">
        <w:r>
          <w:rPr>
            <w:rStyle w:val="Hipervnculo"/>
          </w:rPr>
          <w:t xml:space="preserve">https://doi.org/10.1007/s11023-018-9482-5</w:t>
        </w:r>
      </w:hyperlink>
      <w:r>
        <w:t xml:space="preserve">.</w:t>
      </w:r>
    </w:p>
    <w:bookmarkEnd w:id="174"/>
    <w:bookmarkStart w:id="176" w:name="ref-friedman1937"/>
    <w:p>
      <w:pPr>
        <w:pStyle w:val="Bibliography"/>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r:id="rId175">
        <w:r>
          <w:rPr>
            <w:rStyle w:val="Hipervnculo"/>
          </w:rPr>
          <w:t xml:space="preserve">https://doi.org/10.1080/01621459.1937.10503522</w:t>
        </w:r>
      </w:hyperlink>
      <w:r>
        <w:t xml:space="preserve">.</w:t>
      </w:r>
    </w:p>
    <w:bookmarkEnd w:id="176"/>
    <w:bookmarkStart w:id="178" w:name="ref-gilpin2018"/>
    <w:p>
      <w:pPr>
        <w:pStyle w:val="Bibliography"/>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77">
        <w:r>
          <w:rPr>
            <w:rStyle w:val="Hipervnculo"/>
          </w:rPr>
          <w:t xml:space="preserve">https://doi.org/10.1109/dsaa.2018.00018</w:t>
        </w:r>
      </w:hyperlink>
      <w:r>
        <w:t xml:space="preserve">.</w:t>
      </w:r>
    </w:p>
    <w:bookmarkEnd w:id="178"/>
    <w:bookmarkStart w:id="180" w:name="ref-hassija2023"/>
    <w:p>
      <w:pPr>
        <w:pStyle w:val="Bibliography"/>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79">
        <w:r>
          <w:rPr>
            <w:rStyle w:val="Hipervnculo"/>
          </w:rPr>
          <w:t xml:space="preserve">https://doi.org/10.1007/s12559-023-10179-8</w:t>
        </w:r>
      </w:hyperlink>
      <w:r>
        <w:t xml:space="preserve">.</w:t>
      </w:r>
    </w:p>
    <w:bookmarkEnd w:id="180"/>
    <w:bookmarkStart w:id="181" w:name="ref-hedstrom2023"/>
    <w:p>
      <w:pPr>
        <w:pStyle w:val="Bibliography"/>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81"/>
    <w:bookmarkStart w:id="183" w:name="ref-kohavi1996"/>
    <w:p>
      <w:pPr>
        <w:pStyle w:val="Bibliography"/>
      </w:pPr>
      <w:r>
        <w:t xml:space="preserve">Kohavi, Ron. 1996.</w:t>
      </w:r>
      <w:r>
        <w:t xml:space="preserve"> </w:t>
      </w:r>
      <w:r>
        <w:t xml:space="preserve">“Scaling up the Accuracy of Naive-Bayes Classifiers: A Decision-Tree Hybrid.”</w:t>
      </w:r>
      <w:r>
        <w:t xml:space="preserve"> </w:t>
      </w:r>
      <w:r>
        <w:rPr>
          <w:i/>
          <w:iCs/>
        </w:rPr>
        <w:t xml:space="preserve">Proceedings of the Second International Conference on Knowledge Discovery and Data Mining</w:t>
      </w:r>
      <w:r>
        <w:t xml:space="preserve">, 202–7.</w:t>
      </w:r>
      <w:r>
        <w:t xml:space="preserve"> </w:t>
      </w:r>
      <w:hyperlink r:id="rId182">
        <w:r>
          <w:rPr>
            <w:rStyle w:val="Hipervnculo"/>
          </w:rPr>
          <w:t xml:space="preserve">https://www.aaai.org/Papers/KDD/1996/KDD96-033.pdf</w:t>
        </w:r>
      </w:hyperlink>
      <w:r>
        <w:t xml:space="preserve">.</w:t>
      </w:r>
    </w:p>
    <w:bookmarkEnd w:id="183"/>
    <w:bookmarkStart w:id="185" w:name="ref-lakens2013"/>
    <w:p>
      <w:pPr>
        <w:pStyle w:val="Bibliography"/>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r:id="rId184">
        <w:r>
          <w:rPr>
            <w:rStyle w:val="Hipervnculo"/>
          </w:rPr>
          <w:t xml:space="preserve">https://doi.org/10.3389/fpsyg.2013.00863</w:t>
        </w:r>
      </w:hyperlink>
      <w:r>
        <w:t xml:space="preserve">.</w:t>
      </w:r>
    </w:p>
    <w:bookmarkEnd w:id="185"/>
    <w:bookmarkStart w:id="187" w:name="ref-linardatos2021"/>
    <w:p>
      <w:pPr>
        <w:pStyle w:val="Bibliography"/>
      </w:pPr>
      <w:r>
        <w:t xml:space="preserve">Linardatos, Pantelis, Vasilis Papastefanopoulos, and Sotiris Kotsiantis. 2021.</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r:id="rId186">
        <w:r>
          <w:rPr>
            <w:rStyle w:val="Hipervnculo"/>
          </w:rPr>
          <w:t xml:space="preserve">https://doi.org/10.3390/e23010018</w:t>
        </w:r>
      </w:hyperlink>
      <w:r>
        <w:t xml:space="preserve">.</w:t>
      </w:r>
    </w:p>
    <w:bookmarkEnd w:id="187"/>
    <w:bookmarkStart w:id="188" w:name="ref-linardatos2020"/>
    <w:p>
      <w:pPr>
        <w:pStyle w:val="Bibliography"/>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86">
        <w:r>
          <w:rPr>
            <w:rStyle w:val="Hipervnculo"/>
          </w:rPr>
          <w:t xml:space="preserve">https://doi.org/10.3390/e23010018</w:t>
        </w:r>
      </w:hyperlink>
      <w:r>
        <w:t xml:space="preserve">.</w:t>
      </w:r>
    </w:p>
    <w:bookmarkEnd w:id="188"/>
    <w:bookmarkStart w:id="190" w:name="ref-lipton2018"/>
    <w:p>
      <w:pPr>
        <w:pStyle w:val="Bibliography"/>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189">
        <w:r>
          <w:rPr>
            <w:rStyle w:val="Hipervnculo"/>
          </w:rPr>
          <w:t xml:space="preserve">https://doi.org/10.1145/3236386.3241340</w:t>
        </w:r>
      </w:hyperlink>
      <w:r>
        <w:t xml:space="preserve">.</w:t>
      </w:r>
    </w:p>
    <w:bookmarkEnd w:id="190"/>
    <w:bookmarkStart w:id="192" w:name="ref-lundberg2017"/>
    <w:p>
      <w:pPr>
        <w:pStyle w:val="Bibliography"/>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191">
        <w:r>
          <w:rPr>
            <w:rStyle w:val="Hipervnculo"/>
          </w:rPr>
          <w:t xml:space="preserve">https://doi.org/10.48550/arxiv.1705.07874</w:t>
        </w:r>
      </w:hyperlink>
      <w:r>
        <w:t xml:space="preserve">.</w:t>
      </w:r>
    </w:p>
    <w:bookmarkEnd w:id="192"/>
    <w:bookmarkStart w:id="194" w:name="ref-malwade2023"/>
    <w:p>
      <w:pPr>
        <w:pStyle w:val="Bibliography"/>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193">
        <w:r>
          <w:rPr>
            <w:rStyle w:val="Hipervnculo"/>
          </w:rPr>
          <w:t xml:space="preserve">https://doi.org/10.1145/3647444.3647912</w:t>
        </w:r>
      </w:hyperlink>
      <w:r>
        <w:t xml:space="preserve">.</w:t>
      </w:r>
    </w:p>
    <w:bookmarkEnd w:id="194"/>
    <w:bookmarkStart w:id="196" w:name="ref-marcinkevičs2023"/>
    <w:p>
      <w:pPr>
        <w:pStyle w:val="Bibliography"/>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195">
        <w:r>
          <w:rPr>
            <w:rStyle w:val="Hipervnculo"/>
          </w:rPr>
          <w:t xml:space="preserve">https://doi.org/10.1002/widm.1493</w:t>
        </w:r>
      </w:hyperlink>
      <w:r>
        <w:t xml:space="preserve">.</w:t>
      </w:r>
    </w:p>
    <w:bookmarkEnd w:id="196"/>
    <w:bookmarkStart w:id="198" w:name="ref-mittelstadt2019"/>
    <w:p>
      <w:pPr>
        <w:pStyle w:val="Bibliography"/>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197">
        <w:r>
          <w:rPr>
            <w:rStyle w:val="Hipervnculo"/>
          </w:rPr>
          <w:t xml:space="preserve">https://doi.org/10.1145/3287560.3287574</w:t>
        </w:r>
      </w:hyperlink>
      <w:r>
        <w:t xml:space="preserve">.</w:t>
      </w:r>
    </w:p>
    <w:bookmarkEnd w:id="198"/>
    <w:bookmarkStart w:id="200" w:name="ref-mothilal2020"/>
    <w:p>
      <w:pPr>
        <w:pStyle w:val="Bibliography"/>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199">
        <w:r>
          <w:rPr>
            <w:rStyle w:val="Hipervnculo"/>
          </w:rPr>
          <w:t xml:space="preserve">https://doi.org/10.1145/3351095.3372850</w:t>
        </w:r>
      </w:hyperlink>
      <w:r>
        <w:t xml:space="preserve">.</w:t>
      </w:r>
    </w:p>
    <w:bookmarkEnd w:id="200"/>
    <w:bookmarkStart w:id="202" w:name="ref-murdoch2019"/>
    <w:p>
      <w:pPr>
        <w:pStyle w:val="Bibliography"/>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201">
        <w:r>
          <w:rPr>
            <w:rStyle w:val="Hipervnculo"/>
          </w:rPr>
          <w:t xml:space="preserve">https://doi.org/10.1073/pnas.1900654116</w:t>
        </w:r>
      </w:hyperlink>
      <w:r>
        <w:t xml:space="preserve">.</w:t>
      </w:r>
    </w:p>
    <w:bookmarkEnd w:id="202"/>
    <w:bookmarkStart w:id="203" w:name="ref-nemenyi1963"/>
    <w:p>
      <w:pPr>
        <w:pStyle w:val="Bibliography"/>
      </w:pPr>
      <w:r>
        <w:t xml:space="preserve">Nemenyi, Peter Bjorn. 1963.</w:t>
      </w:r>
      <w:r>
        <w:t xml:space="preserve"> </w:t>
      </w:r>
      <w:r>
        <w:t xml:space="preserve">“Distribution-Free Multiple Comparisons.”</w:t>
      </w:r>
      <w:r>
        <w:t xml:space="preserve"> </w:t>
      </w:r>
      <w:r>
        <w:rPr>
          <w:i/>
          <w:iCs/>
        </w:rPr>
        <w:t xml:space="preserve">PhD Thesis, Princeton University</w:t>
      </w:r>
      <w:r>
        <w:t xml:space="preserve">.</w:t>
      </w:r>
    </w:p>
    <w:bookmarkEnd w:id="203"/>
    <w:bookmarkStart w:id="204" w:name="ref-nizam2023"/>
    <w:p>
      <w:pPr>
        <w:pStyle w:val="Bibliography"/>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04"/>
    <w:bookmarkStart w:id="206" w:name="ref-nussberger2022"/>
    <w:p>
      <w:pPr>
        <w:pStyle w:val="Bibliography"/>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205">
        <w:r>
          <w:rPr>
            <w:rStyle w:val="Hipervnculo"/>
          </w:rPr>
          <w:t xml:space="preserve">https://doi.org/10.1038/s41467-022-33417-3</w:t>
        </w:r>
      </w:hyperlink>
      <w:r>
        <w:t xml:space="preserve">.</w:t>
      </w:r>
    </w:p>
    <w:bookmarkEnd w:id="206"/>
    <w:bookmarkStart w:id="208" w:name="ref-pawlicki2024"/>
    <w:p>
      <w:pPr>
        <w:pStyle w:val="Bibliography"/>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207">
        <w:r>
          <w:rPr>
            <w:rStyle w:val="Hipervnculo"/>
          </w:rPr>
          <w:t xml:space="preserve">https://doi.org/10.1016/j.neucom.2024.128282</w:t>
        </w:r>
      </w:hyperlink>
      <w:r>
        <w:t xml:space="preserve">.</w:t>
      </w:r>
    </w:p>
    <w:bookmarkEnd w:id="208"/>
    <w:bookmarkStart w:id="209" w:name="ref-reif2024"/>
    <w:p>
      <w:pPr>
        <w:pStyle w:val="Bibliography"/>
      </w:pPr>
      <w:r>
        <w:t xml:space="preserve">Reif, E. et al.</w:t>
      </w:r>
      <w:r>
        <w:t xml:space="preserve"> 2024.</w:t>
      </w:r>
      <w:r>
        <w:t xml:space="preserve"> </w:t>
      </w:r>
      <w:r>
        <w:t xml:space="preserve">“Evidence of a Social Evaluation Penalty for Using AI.”</w:t>
      </w:r>
      <w:r>
        <w:t xml:space="preserve"> </w:t>
      </w:r>
      <w:r>
        <w:rPr>
          <w:i/>
          <w:iCs/>
        </w:rPr>
        <w:t xml:space="preserve">Research Note</w:t>
      </w:r>
      <w:r>
        <w:t xml:space="preserve">.</w:t>
      </w:r>
    </w:p>
    <w:bookmarkEnd w:id="209"/>
    <w:bookmarkStart w:id="211" w:name="ref-ribeiro2016"/>
    <w:p>
      <w:pPr>
        <w:pStyle w:val="Bibliography"/>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210">
        <w:r>
          <w:rPr>
            <w:rStyle w:val="Hipervnculo"/>
          </w:rPr>
          <w:t xml:space="preserve">https://doi.org/10.1145/2939672.2939778</w:t>
        </w:r>
      </w:hyperlink>
      <w:r>
        <w:t xml:space="preserve">.</w:t>
      </w:r>
    </w:p>
    <w:bookmarkEnd w:id="211"/>
    <w:bookmarkStart w:id="213" w:name="ref-ribeiro2018"/>
    <w:p>
      <w:pPr>
        <w:pStyle w:val="Bibliography"/>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212">
        <w:r>
          <w:rPr>
            <w:rStyle w:val="Hipervnculo"/>
          </w:rPr>
          <w:t xml:space="preserve">https://doi.org/10.1609/aaai.v32i1.11491</w:t>
        </w:r>
      </w:hyperlink>
      <w:r>
        <w:t xml:space="preserve">.</w:t>
      </w:r>
    </w:p>
    <w:bookmarkEnd w:id="213"/>
    <w:bookmarkStart w:id="215" w:name="ref-rudin2022"/>
    <w:p>
      <w:pPr>
        <w:pStyle w:val="Bibliography"/>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214">
        <w:r>
          <w:rPr>
            <w:rStyle w:val="Hipervnculo"/>
          </w:rPr>
          <w:t xml:space="preserve">https://doi.org/10.1214/21-ss133</w:t>
        </w:r>
      </w:hyperlink>
      <w:r>
        <w:t xml:space="preserve">.</w:t>
      </w:r>
    </w:p>
    <w:bookmarkEnd w:id="215"/>
    <w:bookmarkStart w:id="217" w:name="ref-saarela2024"/>
    <w:p>
      <w:pPr>
        <w:pStyle w:val="Bibliography"/>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216">
        <w:r>
          <w:rPr>
            <w:rStyle w:val="Hipervnculo"/>
          </w:rPr>
          <w:t xml:space="preserve">https://doi.org/10.3390/app14198884</w:t>
        </w:r>
      </w:hyperlink>
      <w:r>
        <w:t xml:space="preserve">.</w:t>
      </w:r>
    </w:p>
    <w:bookmarkEnd w:id="217"/>
    <w:bookmarkStart w:id="219" w:name="ref-samek2019"/>
    <w:p>
      <w:pPr>
        <w:pStyle w:val="Bibliography"/>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18">
        <w:r>
          <w:rPr>
            <w:rStyle w:val="Hipervnculo"/>
          </w:rPr>
          <w:t xml:space="preserve">https://doi.org/10.1007/978-3-030-28954-6</w:t>
        </w:r>
      </w:hyperlink>
      <w:r>
        <w:t xml:space="preserve">.</w:t>
      </w:r>
    </w:p>
    <w:bookmarkEnd w:id="219"/>
    <w:bookmarkStart w:id="221" w:name="ref-schwalbe2023"/>
    <w:p>
      <w:pPr>
        <w:pStyle w:val="Bibliography"/>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20">
        <w:r>
          <w:rPr>
            <w:rStyle w:val="Hipervnculo"/>
          </w:rPr>
          <w:t xml:space="preserve">https://doi.org/10.1007/s10618-022-00867-8</w:t>
        </w:r>
      </w:hyperlink>
      <w:r>
        <w:t xml:space="preserve">.</w:t>
      </w:r>
    </w:p>
    <w:bookmarkEnd w:id="221"/>
    <w:bookmarkStart w:id="223" w:name="ref-tripathy2024"/>
    <w:p>
      <w:pPr>
        <w:pStyle w:val="Bibliography"/>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22">
        <w:r>
          <w:rPr>
            <w:rStyle w:val="Hipervnculo"/>
          </w:rPr>
          <w:t xml:space="preserve">https://doi.org/10.1201/9781003442509</w:t>
        </w:r>
      </w:hyperlink>
      <w:r>
        <w:t xml:space="preserve">.</w:t>
      </w:r>
    </w:p>
    <w:bookmarkEnd w:id="223"/>
    <w:bookmarkStart w:id="225" w:name="ref-wachter2017"/>
    <w:p>
      <w:pPr>
        <w:pStyle w:val="Bibliography"/>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24">
        <w:r>
          <w:rPr>
            <w:rStyle w:val="Hipervnculo"/>
          </w:rPr>
          <w:t xml:space="preserve">https://doi.org/10.2139/ssrn.3063289</w:t>
        </w:r>
      </w:hyperlink>
      <w:r>
        <w:t xml:space="preserve">.</w:t>
      </w:r>
    </w:p>
    <w:bookmarkEnd w:id="225"/>
    <w:bookmarkStart w:id="227"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226">
        <w:r>
          <w:rPr>
            <w:rStyle w:val="Hipervnculo"/>
          </w:rPr>
          <w:t xml:space="preserve">https://doi.org/10.2307/3001968</w:t>
        </w:r>
      </w:hyperlink>
      <w:r>
        <w:t xml:space="preserve">.</w:t>
      </w:r>
    </w:p>
    <w:bookmarkEnd w:id="227"/>
    <w:bookmarkStart w:id="229" w:name="ref-zheng2025"/>
    <w:p>
      <w:pPr>
        <w:pStyle w:val="Bibliography"/>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28">
        <w:r>
          <w:rPr>
            <w:rStyle w:val="Hipervnculo"/>
          </w:rPr>
          <w:t xml:space="preserve">https://trustai4s-lab.github.io/ffidelity</w:t>
        </w:r>
      </w:hyperlink>
      <w:r>
        <w:t xml:space="preserve">.</w:t>
      </w:r>
    </w:p>
    <w:bookmarkEnd w:id="229"/>
    <w:bookmarkEnd w:id="230"/>
    <w:bookmarkEnd w:id="231"/>
    <w:bookmarkStart w:id="235" w:name="apéndices"/>
    <w:p>
      <w:pPr>
        <w:pStyle w:val="Ttulo1"/>
      </w:pPr>
      <w:r>
        <w:t xml:space="preserve">Apéndices</w:t>
      </w:r>
    </w:p>
    <w:bookmarkStart w:id="232" w:name="apéndice-a-detalles-del-corpus-de-datos"/>
    <w:p>
      <w:pPr>
        <w:pStyle w:val="Ttulo2"/>
      </w:pPr>
      <w:r>
        <w:t xml:space="preserve">Apéndice A: Detalles del corpus de datos</w:t>
      </w:r>
    </w:p>
    <w:bookmarkEnd w:id="232"/>
    <w:bookmarkStart w:id="233" w:name="X099ba691e46175a7ccd6698c94b9cfe7ba4975a"/>
    <w:p>
      <w:pPr>
        <w:pStyle w:val="Ttulo2"/>
      </w:pPr>
      <w:r>
        <w:t xml:space="preserve">Apéndice B: Configuración de los modelos de caja negra</w:t>
      </w:r>
    </w:p>
    <w:bookmarkEnd w:id="233"/>
    <w:bookmarkStart w:id="234" w:name="X52f0a5c074bf6018d9e252527b969f7db490891"/>
    <w:p>
      <w:pPr>
        <w:pStyle w:val="Ttulo2"/>
      </w:pPr>
      <w:r>
        <w:t xml:space="preserve">Apéndice C: Prompts utilizados para la evaluación con LLMs</w:t>
      </w:r>
    </w:p>
    <w:bookmarkEnd w:id="234"/>
    <w:bookmarkEnd w:id="235"/>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240" w:lineRule="auto"/>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57" Target="https://doi.org/10.1002/widm.1424" TargetMode="External" /><Relationship Type="http://schemas.openxmlformats.org/officeDocument/2006/relationships/hyperlink" Id="rId195" Target="https://doi.org/10.1002/widm.1493" TargetMode="External" /><Relationship Type="http://schemas.openxmlformats.org/officeDocument/2006/relationships/hyperlink" Id="rId218" Target="https://doi.org/10.1007/978-3-030-28954-6" TargetMode="External" /><Relationship Type="http://schemas.openxmlformats.org/officeDocument/2006/relationships/hyperlink" Id="rId220" Target="https://doi.org/10.1007/s10618-022-00867-8" TargetMode="External" /><Relationship Type="http://schemas.openxmlformats.org/officeDocument/2006/relationships/hyperlink" Id="rId173" Target="https://doi.org/10.1007/s11023-018-9482-5" TargetMode="External" /><Relationship Type="http://schemas.openxmlformats.org/officeDocument/2006/relationships/hyperlink" Id="rId179" Target="https://doi.org/10.1007/s12559-023-10179-8" TargetMode="External" /><Relationship Type="http://schemas.openxmlformats.org/officeDocument/2006/relationships/hyperlink" Id="rId159" Target="https://doi.org/10.1016/j.inffus.2019.12.012" TargetMode="External" /><Relationship Type="http://schemas.openxmlformats.org/officeDocument/2006/relationships/hyperlink" Id="rId151" Target="https://doi.org/10.1016/j.inffus.2023.101805" TargetMode="External" /><Relationship Type="http://schemas.openxmlformats.org/officeDocument/2006/relationships/hyperlink" Id="rId207" Target="https://doi.org/10.1016/j.neucom.2024.128282" TargetMode="External" /><Relationship Type="http://schemas.openxmlformats.org/officeDocument/2006/relationships/hyperlink" Id="rId165" Target="https://doi.org/10.1023/a:1010933404324" TargetMode="External" /><Relationship Type="http://schemas.openxmlformats.org/officeDocument/2006/relationships/hyperlink" Id="rId205" Target="https://doi.org/10.1038/s41467-022-33417-3" TargetMode="External" /><Relationship Type="http://schemas.openxmlformats.org/officeDocument/2006/relationships/hyperlink" Id="rId201" Target="https://doi.org/10.1073/pnas.1900654116" TargetMode="External" /><Relationship Type="http://schemas.openxmlformats.org/officeDocument/2006/relationships/hyperlink" Id="rId175" Target="https://doi.org/10.1080/01621459.1937.10503522" TargetMode="External" /><Relationship Type="http://schemas.openxmlformats.org/officeDocument/2006/relationships/hyperlink" Id="rId146" Target="https://doi.org/10.1109/INES59045.2023.1030000" TargetMode="External" /><Relationship Type="http://schemas.openxmlformats.org/officeDocument/2006/relationships/hyperlink" Id="rId148" Target="https://doi.org/10.1109/access.2018.2870052" TargetMode="External" /><Relationship Type="http://schemas.openxmlformats.org/officeDocument/2006/relationships/hyperlink" Id="rId177" Target="https://doi.org/10.1109/dsaa.2018.00018" TargetMode="External" /><Relationship Type="http://schemas.openxmlformats.org/officeDocument/2006/relationships/hyperlink" Id="rId210" Target="https://doi.org/10.1145/2939672.2939778" TargetMode="External" /><Relationship Type="http://schemas.openxmlformats.org/officeDocument/2006/relationships/hyperlink" Id="rId189" Target="https://doi.org/10.1145/3236386.3241340" TargetMode="External" /><Relationship Type="http://schemas.openxmlformats.org/officeDocument/2006/relationships/hyperlink" Id="rId197" Target="https://doi.org/10.1145/3287560.3287574" TargetMode="External" /><Relationship Type="http://schemas.openxmlformats.org/officeDocument/2006/relationships/hyperlink" Id="rId199" Target="https://doi.org/10.1145/3351095.3372850" TargetMode="External" /><Relationship Type="http://schemas.openxmlformats.org/officeDocument/2006/relationships/hyperlink" Id="rId163" Target="https://doi.org/10.1145/3631700.3664911" TargetMode="External" /><Relationship Type="http://schemas.openxmlformats.org/officeDocument/2006/relationships/hyperlink" Id="rId193" Target="https://doi.org/10.1145/3647444.3647912" TargetMode="External" /><Relationship Type="http://schemas.openxmlformats.org/officeDocument/2006/relationships/hyperlink" Id="rId167" Target="https://doi.org/10.1145/3737445" TargetMode="External" /><Relationship Type="http://schemas.openxmlformats.org/officeDocument/2006/relationships/hyperlink" Id="rId153" Target="https://doi.org/10.1146/annurev-statistics-040120-030919" TargetMode="External" /><Relationship Type="http://schemas.openxmlformats.org/officeDocument/2006/relationships/hyperlink" Id="rId222" Target="https://doi.org/10.1201/9781003442509" TargetMode="External" /><Relationship Type="http://schemas.openxmlformats.org/officeDocument/2006/relationships/hyperlink" Id="rId214" Target="https://doi.org/10.1214/21-ss133" TargetMode="External" /><Relationship Type="http://schemas.openxmlformats.org/officeDocument/2006/relationships/hyperlink" Id="rId212" Target="https://doi.org/10.1609/aaai.v32i1.11491" TargetMode="External" /><Relationship Type="http://schemas.openxmlformats.org/officeDocument/2006/relationships/hyperlink" Id="rId224" Target="https://doi.org/10.2139/ssrn.3063289" TargetMode="External" /><Relationship Type="http://schemas.openxmlformats.org/officeDocument/2006/relationships/hyperlink" Id="rId226" Target="https://doi.org/10.2307/3001968" TargetMode="External" /><Relationship Type="http://schemas.openxmlformats.org/officeDocument/2006/relationships/hyperlink" Id="rId161" Target="https://doi.org/10.3389/fdata.2021.688969" TargetMode="External" /><Relationship Type="http://schemas.openxmlformats.org/officeDocument/2006/relationships/hyperlink" Id="rId184" Target="https://doi.org/10.3389/fpsyg.2013.00863" TargetMode="External" /><Relationship Type="http://schemas.openxmlformats.org/officeDocument/2006/relationships/hyperlink" Id="rId216" Target="https://doi.org/10.3390/app14198884" TargetMode="External" /><Relationship Type="http://schemas.openxmlformats.org/officeDocument/2006/relationships/hyperlink" Id="rId186" Target="https://doi.org/10.3390/e23010018" TargetMode="External" /><Relationship Type="http://schemas.openxmlformats.org/officeDocument/2006/relationships/hyperlink" Id="rId155" Target="https://doi.org/10.3390/technologies13030093" TargetMode="External" /><Relationship Type="http://schemas.openxmlformats.org/officeDocument/2006/relationships/hyperlink" Id="rId171" Target="https://doi.org/10.48550/arxiv.1702.08608" TargetMode="External" /><Relationship Type="http://schemas.openxmlformats.org/officeDocument/2006/relationships/hyperlink" Id="rId191" Target="https://doi.org/10.48550/arxiv.1705.07874" TargetMode="External" /><Relationship Type="http://schemas.openxmlformats.org/officeDocument/2006/relationships/hyperlink" Id="rId169" Target="https://jmlr.org/papers/v7/demsar06a.html" TargetMode="External" /><Relationship Type="http://schemas.openxmlformats.org/officeDocument/2006/relationships/hyperlink" Id="rId228" Target="https://trustai4s-lab.github.io/ffidelity" TargetMode="External" /><Relationship Type="http://schemas.openxmlformats.org/officeDocument/2006/relationships/hyperlink" Id="rId182" Target="https://www.aaai.org/Papers/KDD/1996/KDD96-033.pdf"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2/widm.1424" TargetMode="External" /><Relationship Type="http://schemas.openxmlformats.org/officeDocument/2006/relationships/hyperlink" Id="rId195" Target="https://doi.org/10.1002/widm.1493" TargetMode="External" /><Relationship Type="http://schemas.openxmlformats.org/officeDocument/2006/relationships/hyperlink" Id="rId218" Target="https://doi.org/10.1007/978-3-030-28954-6" TargetMode="External" /><Relationship Type="http://schemas.openxmlformats.org/officeDocument/2006/relationships/hyperlink" Id="rId220" Target="https://doi.org/10.1007/s10618-022-00867-8" TargetMode="External" /><Relationship Type="http://schemas.openxmlformats.org/officeDocument/2006/relationships/hyperlink" Id="rId173" Target="https://doi.org/10.1007/s11023-018-9482-5" TargetMode="External" /><Relationship Type="http://schemas.openxmlformats.org/officeDocument/2006/relationships/hyperlink" Id="rId179" Target="https://doi.org/10.1007/s12559-023-10179-8" TargetMode="External" /><Relationship Type="http://schemas.openxmlformats.org/officeDocument/2006/relationships/hyperlink" Id="rId159" Target="https://doi.org/10.1016/j.inffus.2019.12.012" TargetMode="External" /><Relationship Type="http://schemas.openxmlformats.org/officeDocument/2006/relationships/hyperlink" Id="rId151" Target="https://doi.org/10.1016/j.inffus.2023.101805" TargetMode="External" /><Relationship Type="http://schemas.openxmlformats.org/officeDocument/2006/relationships/hyperlink" Id="rId207" Target="https://doi.org/10.1016/j.neucom.2024.128282" TargetMode="External" /><Relationship Type="http://schemas.openxmlformats.org/officeDocument/2006/relationships/hyperlink" Id="rId165" Target="https://doi.org/10.1023/a:1010933404324" TargetMode="External" /><Relationship Type="http://schemas.openxmlformats.org/officeDocument/2006/relationships/hyperlink" Id="rId205" Target="https://doi.org/10.1038/s41467-022-33417-3" TargetMode="External" /><Relationship Type="http://schemas.openxmlformats.org/officeDocument/2006/relationships/hyperlink" Id="rId201" Target="https://doi.org/10.1073/pnas.1900654116" TargetMode="External" /><Relationship Type="http://schemas.openxmlformats.org/officeDocument/2006/relationships/hyperlink" Id="rId175" Target="https://doi.org/10.1080/01621459.1937.10503522" TargetMode="External" /><Relationship Type="http://schemas.openxmlformats.org/officeDocument/2006/relationships/hyperlink" Id="rId146" Target="https://doi.org/10.1109/INES59045.2023.1030000" TargetMode="External" /><Relationship Type="http://schemas.openxmlformats.org/officeDocument/2006/relationships/hyperlink" Id="rId148" Target="https://doi.org/10.1109/access.2018.2870052" TargetMode="External" /><Relationship Type="http://schemas.openxmlformats.org/officeDocument/2006/relationships/hyperlink" Id="rId177" Target="https://doi.org/10.1109/dsaa.2018.00018" TargetMode="External" /><Relationship Type="http://schemas.openxmlformats.org/officeDocument/2006/relationships/hyperlink" Id="rId210" Target="https://doi.org/10.1145/2939672.2939778" TargetMode="External" /><Relationship Type="http://schemas.openxmlformats.org/officeDocument/2006/relationships/hyperlink" Id="rId189" Target="https://doi.org/10.1145/3236386.3241340" TargetMode="External" /><Relationship Type="http://schemas.openxmlformats.org/officeDocument/2006/relationships/hyperlink" Id="rId197" Target="https://doi.org/10.1145/3287560.3287574" TargetMode="External" /><Relationship Type="http://schemas.openxmlformats.org/officeDocument/2006/relationships/hyperlink" Id="rId199" Target="https://doi.org/10.1145/3351095.3372850" TargetMode="External" /><Relationship Type="http://schemas.openxmlformats.org/officeDocument/2006/relationships/hyperlink" Id="rId163" Target="https://doi.org/10.1145/3631700.3664911" TargetMode="External" /><Relationship Type="http://schemas.openxmlformats.org/officeDocument/2006/relationships/hyperlink" Id="rId193" Target="https://doi.org/10.1145/3647444.3647912" TargetMode="External" /><Relationship Type="http://schemas.openxmlformats.org/officeDocument/2006/relationships/hyperlink" Id="rId167" Target="https://doi.org/10.1145/3737445" TargetMode="External" /><Relationship Type="http://schemas.openxmlformats.org/officeDocument/2006/relationships/hyperlink" Id="rId153" Target="https://doi.org/10.1146/annurev-statistics-040120-030919" TargetMode="External" /><Relationship Type="http://schemas.openxmlformats.org/officeDocument/2006/relationships/hyperlink" Id="rId222" Target="https://doi.org/10.1201/9781003442509" TargetMode="External" /><Relationship Type="http://schemas.openxmlformats.org/officeDocument/2006/relationships/hyperlink" Id="rId214" Target="https://doi.org/10.1214/21-ss133" TargetMode="External" /><Relationship Type="http://schemas.openxmlformats.org/officeDocument/2006/relationships/hyperlink" Id="rId212" Target="https://doi.org/10.1609/aaai.v32i1.11491" TargetMode="External" /><Relationship Type="http://schemas.openxmlformats.org/officeDocument/2006/relationships/hyperlink" Id="rId224" Target="https://doi.org/10.2139/ssrn.3063289" TargetMode="External" /><Relationship Type="http://schemas.openxmlformats.org/officeDocument/2006/relationships/hyperlink" Id="rId226" Target="https://doi.org/10.2307/3001968" TargetMode="External" /><Relationship Type="http://schemas.openxmlformats.org/officeDocument/2006/relationships/hyperlink" Id="rId161" Target="https://doi.org/10.3389/fdata.2021.688969" TargetMode="External" /><Relationship Type="http://schemas.openxmlformats.org/officeDocument/2006/relationships/hyperlink" Id="rId184" Target="https://doi.org/10.3389/fpsyg.2013.00863" TargetMode="External" /><Relationship Type="http://schemas.openxmlformats.org/officeDocument/2006/relationships/hyperlink" Id="rId216" Target="https://doi.org/10.3390/app14198884" TargetMode="External" /><Relationship Type="http://schemas.openxmlformats.org/officeDocument/2006/relationships/hyperlink" Id="rId186" Target="https://doi.org/10.3390/e23010018" TargetMode="External" /><Relationship Type="http://schemas.openxmlformats.org/officeDocument/2006/relationships/hyperlink" Id="rId155" Target="https://doi.org/10.3390/technologies13030093" TargetMode="External" /><Relationship Type="http://schemas.openxmlformats.org/officeDocument/2006/relationships/hyperlink" Id="rId171" Target="https://doi.org/10.48550/arxiv.1702.08608" TargetMode="External" /><Relationship Type="http://schemas.openxmlformats.org/officeDocument/2006/relationships/hyperlink" Id="rId191" Target="https://doi.org/10.48550/arxiv.1705.07874" TargetMode="External" /><Relationship Type="http://schemas.openxmlformats.org/officeDocument/2006/relationships/hyperlink" Id="rId169" Target="https://jmlr.org/papers/v7/demsar06a.html" TargetMode="External" /><Relationship Type="http://schemas.openxmlformats.org/officeDocument/2006/relationships/hyperlink" Id="rId228" Target="https://trustai4s-lab.github.io/ffidelity" TargetMode="External" /><Relationship Type="http://schemas.openxmlformats.org/officeDocument/2006/relationships/hyperlink" Id="rId182" Target="https://www.aaai.org/Papers/KDD/1996/KDD96-033.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2026-05-02T04:31:00Z</dcterms:created>
  <dcterms:modified xsi:type="dcterms:W3CDTF">2026-05-02T04:31:00Z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