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jc w:val="center"/>
      </w:pPr>
      <w:r>
        <w:rPr>
          <w:color w:val="000000"/>
        </w:rPr>
        <w:t xml:space="preserve">De la explicación a la evidencia: fundamentos, aplicaciones y evaluación auditable de la inteligencia artificial explicable</w:t>
      </w:r>
    </w:p>
    <w:p>
      <w:pPr>
        <w:pStyle w:val="Author"/>
        <w:spacing w:line="360" w:lineRule="auto"/>
        <w:jc w:val="center"/>
      </w:pPr>
      <w:r>
        <w:rPr>
          <w:color w:val="000000"/>
        </w:rPr>
        <w:t xml:space="preserve">Jonathan Herrera-Vásquez, Universidad Americana de Europa (UNADE)</w:t>
      </w:r>
    </w:p>
    <w:p>
      <w:pPr>
        <w:pStyle w:val="Author"/>
        <w:spacing w:line="360" w:lineRule="auto"/>
        <w:jc w:val="center"/>
      </w:pPr>
      <w:r>
        <w:rPr>
          <w:b/>
          <w:bCs/>
          <w:color w:val="000000"/>
        </w:rPr>
        <w:t xml:space="preserve">Recuento de Palabras:</w:t>
      </w:r>
      <w:r>
        <w:rPr>
          <w:color w:val="000000"/>
        </w:rPr>
        <w:t xml:space="preserve"> </w:t>
      </w:r>
      <w:r>
        <w:rPr>
          <w:color w:val="000000"/>
        </w:rPr>
        <w:t xml:space="preserve">8,019 palabras</w:t>
      </w:r>
    </w:p>
    <w:bookmarkStart w:id="11" w:name="resumen-y-palabras-clave"/>
    <w:p>
      <w:pPr>
        <w:pStyle w:val="Heading1"/>
        <w:spacing w:line="360" w:lineRule="auto"/>
        <w:jc w:val="left"/>
      </w:pPr>
      <w:r>
        <w:rPr>
          <w:color w:val="000000"/>
        </w:rPr>
        <w:t xml:space="preserve">Resumen y palabras clave</w:t>
      </w:r>
    </w:p>
    <w:bookmarkStart w:id="9" w:name="resumen"/>
    <w:p>
      <w:pPr>
        <w:pStyle w:val="Heading2"/>
        <w:spacing w:line="360" w:lineRule="auto"/>
        <w:jc w:val="left"/>
      </w:pPr>
      <w:r>
        <w:rPr>
          <w:color w:val="000000"/>
        </w:rPr>
        <w:t xml:space="preserve">Resumen</w:t>
      </w:r>
    </w:p>
    <w:p>
      <w:pPr>
        <w:pStyle w:val="FirstParagraph"/>
        <w:spacing w:line="360" w:lineRule="auto"/>
        <w:jc w:val="both"/>
      </w:pPr>
      <w:r>
        <w:rPr>
          <w:color w:val="000000"/>
        </w:rPr>
        <w:t xml:space="preserve">Comprender</w:t>
      </w:r>
      <w:r>
        <w:rPr>
          <w:color w:val="000000"/>
        </w:rPr>
        <w:t xml:space="preserve"> </w:t>
      </w:r>
      <w:r>
        <w:rPr>
          <w:i/>
          <w:iCs/>
          <w:color w:val="000000"/>
        </w:rPr>
        <w:t xml:space="preserve">por qué</w:t>
      </w:r>
      <w:r>
        <w:rPr>
          <w:color w:val="000000"/>
        </w:rPr>
        <w:t xml:space="preserve"> </w:t>
      </w:r>
      <w:r>
        <w:rPr>
          <w:color w:val="000000"/>
        </w:rPr>
        <w:t xml:space="preserve">un modelo de aprendizaje automático emite un veredicto crítico es un imperativo ético, técnico y regulatorio en finanzas, medicina y justicia. La ingeniería de datos tradicional asegura observabilidad mediante esquemas deterministas, linaje y pruebas unitarias. No obstante, al incorporar modelos de caja negra no lineales (ensambles o redes neuronales), la telemetría convencional queda ciega ante la lógica interna que determina la predicción.</w:t>
      </w:r>
    </w:p>
    <w:p>
      <w:pPr>
        <w:pStyle w:val="BodyText"/>
        <w:spacing w:line="360" w:lineRule="auto"/>
        <w:jc w:val="both"/>
      </w:pPr>
      <w:r>
        <w:rPr>
          <w:color w:val="000000"/>
        </w:rPr>
        <w:t xml:space="preserve">Para resolver esta opacidad surge la Inteligencia Artificial Explicable (</w:t>
      </w:r>
      <w:r>
        <w:rPr>
          <w:i/>
          <w:iCs/>
          <w:color w:val="000000"/>
        </w:rPr>
        <w:t xml:space="preserve">Explainable Artificial Intelligence</w:t>
      </w:r>
      <w:r>
        <w:rPr>
          <w:color w:val="000000"/>
        </w:rPr>
        <w:t xml:space="preserve">, XAI). Sin embargo, herramientas como LIME, SHAP, Anchors y DiCE exhiben con frecuencia discrepancias, inestabilidad o latencias excesivas ante una misma instancia, revelando la ausencia de un estándar formal de validación.</w:t>
      </w:r>
    </w:p>
    <w:p>
      <w:pPr>
        <w:pStyle w:val="BodyText"/>
        <w:spacing w:line="360" w:lineRule="auto"/>
        <w:jc w:val="both"/>
      </w:pPr>
      <w:r>
        <w:rPr>
          <w:color w:val="000000"/>
        </w:rPr>
        <w:t xml:space="preserve">Este capítulo examina rigurosamente los métodos agnósticos de XAI y formaliza el protocolo</w:t>
      </w:r>
      <w:r>
        <w:rPr>
          <w:color w:val="000000"/>
        </w:rPr>
        <w:t xml:space="preserve"> </w:t>
      </w:r>
      <w:r>
        <w:rPr>
          <w:b/>
          <w:bCs/>
          <w:color w:val="000000"/>
        </w:rPr>
        <w:t xml:space="preserve">FOM-7</w:t>
      </w:r>
      <w:r>
        <w:rPr>
          <w:color w:val="000000"/>
        </w:rPr>
        <w:t xml:space="preserve"> </w:t>
      </w:r>
      <w:r>
        <w:rPr>
          <w:color w:val="000000"/>
        </w:rPr>
        <w:t xml:space="preserve">(</w:t>
      </w:r>
      <w:r>
        <w:rPr>
          <w:i/>
          <w:iCs/>
          <w:color w:val="000000"/>
        </w:rPr>
        <w:t xml:space="preserve">Framework for Operational Metrics in 7 Gates</w:t>
      </w:r>
      <w:r>
        <w:rPr>
          <w:color w:val="000000"/>
        </w:rPr>
        <w:t xml:space="preserve">), un marco metrológico de siete puertas para certificar explicadores. Mediante un banco de pruebas sobre</w:t>
      </w:r>
      <w:r>
        <w:rPr>
          <w:color w:val="000000"/>
        </w:rPr>
        <w:t xml:space="preserve"> </w:t>
      </w:r>
      <w:r>
        <w:rPr>
          <w:i/>
          <w:iCs/>
          <w:color w:val="000000"/>
        </w:rPr>
        <w:t xml:space="preserve">UCI Adult Income</w:t>
      </w:r>
      <w:r>
        <w:rPr>
          <w:color w:val="000000"/>
        </w:rPr>
        <w:t xml:space="preserve">, evaluamos cuatro explicadores en cinco familias de clasificadores (Regresión Logística, Árbol de Decisión, Bosque Aleatorio, XGBoost y Perceptrón Multicapa). Los hallazgos delinean la frontera de Pareto entre la fidelidad axiomática de KernelSHAP y la eficiencia de LIME, junto al valor prescriptivo de Anchors y DiCE. Se concluye con una matriz de decisión y un flujo de auditoría alineado con la Ley de IA europea y NIST AI RMF.</w:t>
      </w:r>
    </w:p>
    <w:bookmarkEnd w:id="9"/>
    <w:bookmarkStart w:id="10" w:name="palabras-clave"/>
    <w:p>
      <w:pPr>
        <w:pStyle w:val="Heading2"/>
        <w:spacing w:line="360" w:lineRule="auto"/>
        <w:jc w:val="left"/>
      </w:pPr>
      <w:r>
        <w:rPr>
          <w:color w:val="000000"/>
        </w:rPr>
        <w:t xml:space="preserve">Palabras clave</w:t>
      </w:r>
    </w:p>
    <w:p>
      <w:pPr>
        <w:pStyle w:val="FirstParagraph"/>
        <w:spacing w:line="360" w:lineRule="auto"/>
        <w:jc w:val="both"/>
      </w:pPr>
      <w:r>
        <w:rPr>
          <w:color w:val="000000"/>
        </w:rPr>
        <w:t xml:space="preserve">Inteligencia artificial explicable; explicabilidad agnóstica; ingeniería de datos; observabilidad algorítmica; benchmarking reproducible; protocolo FOM-7; evaluación multi-métrica; explicaciones post-hoc.</w:t>
      </w:r>
    </w:p>
    <w:bookmarkEnd w:id="10"/>
    <w:bookmarkEnd w:id="11"/>
    <w:bookmarkStart w:id="16" w:name="introducción"/>
    <w:p>
      <w:pPr>
        <w:pStyle w:val="Heading1"/>
        <w:spacing w:line="360" w:lineRule="auto"/>
        <w:jc w:val="left"/>
      </w:pPr>
      <w:r>
        <w:rPr>
          <w:color w:val="000000"/>
        </w:rPr>
        <w:t xml:space="preserve">Introducción</w:t>
      </w:r>
    </w:p>
    <w:bookmarkStart w:id="12" w:name="Xcd1917eabf69a2ea282611dc3f916e85c1fa7ee"/>
    <w:p>
      <w:pPr>
        <w:pStyle w:val="Heading2"/>
        <w:spacing w:line="360" w:lineRule="auto"/>
        <w:jc w:val="left"/>
      </w:pPr>
      <w:r>
        <w:rPr>
          <w:color w:val="000000"/>
        </w:rPr>
        <w:t xml:space="preserve">Del pipeline determinista a la opacidad algorítmica</w:t>
      </w:r>
    </w:p>
    <w:p>
      <w:pPr>
        <w:pStyle w:val="FirstParagraph"/>
        <w:spacing w:line="360" w:lineRule="auto"/>
        <w:jc w:val="both"/>
      </w:pPr>
      <w:r>
        <w:rPr>
          <w:color w:val="000000"/>
        </w:rPr>
        <w:t xml:space="preserve">En la ingeniería de datos clásica, la confiabilidad descansa en el determinismo y la trazabilidad. Al estructurar una canalización (</w:t>
      </w:r>
      <w:r>
        <w:rPr>
          <w:i/>
          <w:iCs/>
          <w:color w:val="000000"/>
        </w:rPr>
        <w:t xml:space="preserve">pipeline</w:t>
      </w:r>
      <w:r>
        <w:rPr>
          <w:color w:val="000000"/>
        </w:rPr>
        <w:t xml:space="preserve">) en SQL, Spark o dbt, cada transformación responde a reglas explícitas, contratos de esquema y pruebas de integridad referencial. Si una consulta falla, el equipo examina el plan de ejecución (</w:t>
      </w:r>
      <w:r>
        <w:rPr>
          <w:rStyle w:val="VerbatimChar"/>
          <w:color w:val="000000"/>
        </w:rPr>
        <w:t xml:space="preserve">EXPLAIN ANALYZE</w:t>
      </w:r>
      <w:r>
        <w:rPr>
          <w:color w:val="000000"/>
        </w:rPr>
        <w:t xml:space="preserve">), audita el linaje de datos y aísla la causa raíz.</w:t>
      </w:r>
    </w:p>
    <w:p>
      <w:pPr>
        <w:pStyle w:val="BodyText"/>
        <w:spacing w:line="360" w:lineRule="auto"/>
        <w:jc w:val="both"/>
      </w:pPr>
      <w:r>
        <w:rPr>
          <w:color w:val="000000"/>
        </w:rPr>
        <w:t xml:space="preserve">El aprendizaje automático altera este paradigma. Cuando el flujo culmina en un clasificador no lineal de alta dimensionalidad —como un ensamble XGBoost o una red neuronal densa—, la lógica predictiva se dispersa en millones de hiperplanos o matrices numéricas. La telemetría estándar rastrea indicadores agregados: latencia, deriva (</w:t>
      </w:r>
      <w:r>
        <w:rPr>
          <w:i/>
          <w:iCs/>
          <w:color w:val="000000"/>
        </w:rPr>
        <w:t xml:space="preserve">drift</w:t>
      </w:r>
      <w:r>
        <w:rPr>
          <w:color w:val="000000"/>
        </w:rPr>
        <w:t xml:space="preserve">) y métricas globales (AUC-ROC o exactitud).</w:t>
      </w:r>
    </w:p>
    <w:p>
      <w:pPr>
        <w:pStyle w:val="BodyText"/>
        <w:spacing w:line="360" w:lineRule="auto"/>
        <w:jc w:val="both"/>
      </w:pPr>
      <w:r>
        <w:rPr>
          <w:color w:val="000000"/>
        </w:rPr>
        <w:t xml:space="preserve">Indican que el modelo acierta en el</w:t>
      </w:r>
      <w:r>
        <w:rPr>
          <w:color w:val="000000"/>
        </w:rPr>
        <w:t xml:space="preserve"> </w:t>
      </w:r>
      <m:oMath>
        <m:r>
          <m:t>88</m:t>
        </m:r>
        <m:r>
          <m:rPr>
            <m:sty m:val="p"/>
          </m:rPr>
          <m:t>%</m:t>
        </m:r>
      </m:oMath>
      <w:r>
        <w:rPr>
          <w:color w:val="000000"/>
        </w:rPr>
        <w:t xml:space="preserve"> </w:t>
      </w:r>
      <w:r>
        <w:rPr>
          <w:color w:val="000000"/>
        </w:rPr>
        <w:t xml:space="preserve">de los casos globales. Sin embargo, no aclaran el caso puntual:</w:t>
      </w:r>
      <w:r>
        <w:rPr>
          <w:color w:val="000000"/>
        </w:rPr>
        <w:t xml:space="preserve"> </w:t>
      </w:r>
      <w:r>
        <w:rPr>
          <w:i/>
          <w:iCs/>
          <w:color w:val="000000"/>
        </w:rPr>
        <w:t xml:space="preserve">¿por qué el registro 45,210 fue rechazado para un crédito o clasificado en alto riesgo médico?</w:t>
      </w:r>
      <w:r>
        <w:rPr>
          <w:color w:val="000000"/>
        </w:rPr>
        <w:t xml:space="preserve"> </w:t>
      </w:r>
      <w:r>
        <w:rPr>
          <w:color w:val="000000"/>
        </w:rPr>
        <w:t xml:space="preserve">(Barredo Arrieta</w:t>
      </w:r>
      <w:r>
        <w:rPr>
          <w:color w:val="000000"/>
        </w:rPr>
        <w:t xml:space="preserve"> </w:t>
      </w:r>
      <w:r>
        <w:rPr>
          <w:i/>
          <w:iCs/>
          <w:color w:val="000000"/>
        </w:rPr>
        <w:t xml:space="preserve">et al.</w:t>
      </w:r>
      <w:r>
        <w:rPr>
          <w:color w:val="000000"/>
        </w:rPr>
        <w:t xml:space="preserve">, 2020; Ali</w:t>
      </w:r>
      <w:r>
        <w:rPr>
          <w:color w:val="000000"/>
        </w:rPr>
        <w:t xml:space="preserve"> </w:t>
      </w:r>
      <w:r>
        <w:rPr>
          <w:i/>
          <w:iCs/>
          <w:color w:val="000000"/>
        </w:rPr>
        <w:t xml:space="preserve">et al.</w:t>
      </w:r>
      <w:r>
        <w:rPr>
          <w:color w:val="000000"/>
        </w:rPr>
        <w:t xml:space="preserve">, 2023). En este marco, la Inteligencia Artificial Explicable (</w:t>
      </w:r>
      <w:r>
        <w:rPr>
          <w:i/>
          <w:iCs/>
          <w:color w:val="000000"/>
        </w:rPr>
        <w:t xml:space="preserve">Explainable Artificial Intelligence</w:t>
      </w:r>
      <w:r>
        <w:rPr>
          <w:color w:val="000000"/>
        </w:rPr>
        <w:t xml:space="preserve">, XAI) aporta la</w:t>
      </w:r>
      <w:r>
        <w:rPr>
          <w:color w:val="000000"/>
        </w:rPr>
        <w:t xml:space="preserve"> </w:t>
      </w:r>
      <w:r>
        <w:rPr>
          <w:b/>
          <w:bCs/>
          <w:color w:val="000000"/>
        </w:rPr>
        <w:t xml:space="preserve">capa de observabilidad y depuración interna</w:t>
      </w:r>
      <w:r>
        <w:rPr>
          <w:color w:val="000000"/>
        </w:rPr>
        <w:t xml:space="preserve"> </w:t>
      </w:r>
      <w:r>
        <w:rPr>
          <w:color w:val="000000"/>
        </w:rPr>
        <w:t xml:space="preserve">indispensable para gobernar el sistema en producción.</w:t>
      </w:r>
    </w:p>
    <w:p>
      <w:pPr>
        <w:pStyle w:val="BodyText"/>
        <w:spacing w:line="360" w:lineRule="auto"/>
        <w:jc w:val="both"/>
      </w:pPr>
      <w:r>
        <w:rPr>
          <w:color w:val="000000"/>
        </w:rPr>
        <w:t xml:space="preserve">Esta exigencia cobra fuerza legal bajo marcos como el GDPR europeo (Artículos 13–15 y 22) y la Ley de Inteligencia Artificial de la UE (</w:t>
      </w:r>
      <w:r>
        <w:rPr>
          <w:i/>
          <w:iCs/>
          <w:color w:val="000000"/>
        </w:rPr>
        <w:t xml:space="preserve">EU AI Act</w:t>
      </w:r>
      <w:r>
        <w:rPr>
          <w:color w:val="000000"/>
        </w:rPr>
        <w:t xml:space="preserve">, Reglamento UE 2024/1689, Artículos 13 y 14). Ambas normas exigen explicaciones comprensibles, reproducibles y no discriminatorias en decisiones automatizadas de alto impacto.</w:t>
      </w:r>
    </w:p>
    <w:bookmarkEnd w:id="12"/>
    <w:bookmarkStart w:id="13" w:name="X04ae51c53c5ed84295b153765910aa7efc0fd76"/>
    <w:p>
      <w:pPr>
        <w:pStyle w:val="Heading2"/>
        <w:spacing w:line="360" w:lineRule="auto"/>
        <w:jc w:val="left"/>
      </w:pPr>
      <w:r>
        <w:rPr>
          <w:color w:val="000000"/>
        </w:rPr>
        <w:t xml:space="preserve">El dilema de diseño: Modelos interpretables frente a explicaciones post-hoc</w:t>
      </w:r>
    </w:p>
    <w:p>
      <w:pPr>
        <w:pStyle w:val="FirstParagraph"/>
        <w:spacing w:line="360" w:lineRule="auto"/>
        <w:jc w:val="both"/>
      </w:pPr>
      <w:r>
        <w:rPr>
          <w:color w:val="000000"/>
        </w:rPr>
        <w:t xml:space="preserve">Antes de desplegar algoritmos de explicabilidad, conviene evaluar la advertencia epistemológica de Rudin (2019): ¿por qué entrenar un modelo opaco y aproximar su conducta con un método secundario, en vez de adoptar directamente un modelo intrínsecamente interpretable?</w:t>
      </w:r>
    </w:p>
    <w:p>
      <w:pPr>
        <w:pStyle w:val="BodyText"/>
        <w:spacing w:line="360" w:lineRule="auto"/>
        <w:jc w:val="both"/>
      </w:pPr>
      <w:r>
        <w:rPr>
          <w:color w:val="000000"/>
        </w:rPr>
        <w:t xml:space="preserve">La objeción de Rudin plantea dos realidades técnicas:</w:t>
      </w:r>
    </w:p>
    <w:p>
      <w:pPr>
        <w:pStyle w:val="Compact"/>
        <w:numPr>
          <w:ilvl w:val="0"/>
          <w:numId w:val="1001"/>
        </w:numPr>
        <w:spacing w:line="360" w:lineRule="auto"/>
        <w:jc w:val="both"/>
      </w:pPr>
      <w:r>
        <w:rPr>
          <w:color w:val="000000"/>
        </w:rPr>
        <w:t xml:space="preserve">Una explicación post-hoc constituye una</w:t>
      </w:r>
      <w:r>
        <w:rPr>
          <w:color w:val="000000"/>
        </w:rPr>
        <w:t xml:space="preserve"> </w:t>
      </w:r>
      <w:r>
        <w:rPr>
          <w:b/>
          <w:bCs/>
          <w:color w:val="000000"/>
        </w:rPr>
        <w:t xml:space="preserve">aproximación imperfecta</w:t>
      </w:r>
      <w:r>
        <w:rPr>
          <w:color w:val="000000"/>
        </w:rPr>
        <w:t xml:space="preserve"> </w:t>
      </w:r>
      <w:r>
        <w:rPr>
          <w:color w:val="000000"/>
        </w:rPr>
        <w:t xml:space="preserve">de la caja negra; de ser idéntica globalmente, el modelo original sería redundante.</w:t>
      </w:r>
    </w:p>
    <w:p>
      <w:pPr>
        <w:pStyle w:val="Compact"/>
        <w:numPr>
          <w:ilvl w:val="0"/>
          <w:numId w:val="1001"/>
        </w:numPr>
        <w:spacing w:line="360" w:lineRule="auto"/>
        <w:jc w:val="both"/>
      </w:pPr>
      <w:r>
        <w:rPr>
          <w:color w:val="000000"/>
        </w:rPr>
        <w:t xml:space="preserve">En múltiples problemas con datos tabulares estructurados, una depurada ingeniería de características con modelos aditivos generalizados (GAMs) o árboles de decisión alcanza un rendimiento predictivo equivalente al de modelos opacos, eliminando la incertidumbre interpretativa.</w:t>
      </w:r>
    </w:p>
    <w:p>
      <w:pPr>
        <w:pStyle w:val="FirstParagraph"/>
        <w:spacing w:line="360" w:lineRule="auto"/>
        <w:jc w:val="both"/>
      </w:pPr>
      <w:r>
        <w:rPr>
          <w:color w:val="000000"/>
        </w:rPr>
        <w:t xml:space="preserve">Pese a ello, prescindir de modelos no lineales complejos no siempre resulta viable en la industria. Ante interacciones complejas de alto orden o grandes volúmenes de datos, los equipos optan por ensambles para maximizar la generalización. En ese contexto, la explicabilidad post-hoc opera como una</w:t>
      </w:r>
      <w:r>
        <w:rPr>
          <w:color w:val="000000"/>
        </w:rPr>
        <w:t xml:space="preserve"> </w:t>
      </w:r>
      <w:r>
        <w:rPr>
          <w:b/>
          <w:bCs/>
          <w:color w:val="000000"/>
        </w:rPr>
        <w:t xml:space="preserve">estrategia de auditoría y mitigación de riesgos</w:t>
      </w:r>
      <w:r>
        <w:rPr>
          <w:color w:val="000000"/>
        </w:rPr>
        <w:t xml:space="preserve">. El desafío de ingeniería radica en someter estas herramientas a pruebas cuantitativas rigurosas que certifiquen su fidelidad, estabilidad y reproducibilidad (Phillips</w:t>
      </w:r>
      <w:r>
        <w:rPr>
          <w:color w:val="000000"/>
        </w:rPr>
        <w:t xml:space="preserve"> </w:t>
      </w:r>
      <w:r>
        <w:rPr>
          <w:i/>
          <w:iCs/>
          <w:color w:val="000000"/>
        </w:rPr>
        <w:t xml:space="preserve">et al.</w:t>
      </w:r>
      <w:r>
        <w:rPr>
          <w:color w:val="000000"/>
        </w:rPr>
        <w:t xml:space="preserve">, 2021; Tabassi, 2023).</w:t>
      </w:r>
    </w:p>
    <w:bookmarkEnd w:id="13"/>
    <w:bookmarkStart w:id="14" w:name="Xa5ac10fcba74cd6f3c799378f70b5d29c145c3e"/>
    <w:p>
      <w:pPr>
        <w:pStyle w:val="Heading2"/>
        <w:spacing w:line="360" w:lineRule="auto"/>
        <w:jc w:val="left"/>
      </w:pPr>
      <w:r>
        <w:rPr>
          <w:color w:val="000000"/>
        </w:rPr>
        <w:t xml:space="preserve">El problema científico: La divergencia entre explicadores</w:t>
      </w:r>
    </w:p>
    <w:p>
      <w:pPr>
        <w:pStyle w:val="FirstParagraph"/>
        <w:spacing w:line="360" w:lineRule="auto"/>
        <w:jc w:val="both"/>
      </w:pPr>
      <w:r>
        <w:rPr>
          <w:color w:val="000000"/>
        </w:rPr>
        <w:t xml:space="preserve">La principal dificultad práctica surge de la falta de un protocolo formal para validar explicaciones. Al aplicar dos bibliotecas estándar —como LIME y KernelSHAP— sobre la misma instancia de un clasificador XGBoost, emergen con frecuencia jerarquías contradictorias. LIME puede atribuir el veredicto a la</w:t>
      </w:r>
      <w:r>
        <w:rPr>
          <w:color w:val="000000"/>
        </w:rPr>
        <w:t xml:space="preserve"> </w:t>
      </w:r>
      <w:r>
        <w:rPr>
          <w:i/>
          <w:iCs/>
          <w:color w:val="000000"/>
        </w:rPr>
        <w:t xml:space="preserve">Edad</w:t>
      </w:r>
      <w:r>
        <w:rPr>
          <w:color w:val="000000"/>
        </w:rPr>
        <w:t xml:space="preserve">, mientras que KernelSHAP prioriza el</w:t>
      </w:r>
      <w:r>
        <w:rPr>
          <w:color w:val="000000"/>
        </w:rPr>
        <w:t xml:space="preserve"> </w:t>
      </w:r>
      <w:r>
        <w:rPr>
          <w:i/>
          <w:iCs/>
          <w:color w:val="000000"/>
        </w:rPr>
        <w:t xml:space="preserve">Nivel Educativo</w:t>
      </w:r>
      <w:r>
        <w:rPr>
          <w:color w:val="000000"/>
        </w:rPr>
        <w:t xml:space="preserve"> </w:t>
      </w:r>
      <w:r>
        <w:rPr>
          <w:color w:val="000000"/>
        </w:rPr>
        <w:t xml:space="preserve">y relega la edad a un plano marginal.</w:t>
      </w:r>
    </w:p>
    <w:p>
      <w:pPr>
        <w:pStyle w:val="BodyText"/>
        <w:spacing w:line="360" w:lineRule="auto"/>
        <w:jc w:val="both"/>
      </w:pPr>
      <w:r>
        <w:rPr>
          <w:color w:val="000000"/>
        </w:rPr>
        <w:t xml:space="preserve">Esta disparidad suscita preguntas fundamentales: ¿cuál aproximación refleja fielmente la frontera de decisión? ¿Cómo cuantificar la solidez de una explicación sin depender de inspecciones subjetivas?</w:t>
      </w:r>
    </w:p>
    <w:p>
      <w:pPr>
        <w:pStyle w:val="BodyText"/>
        <w:spacing w:line="360" w:lineRule="auto"/>
        <w:jc w:val="both"/>
      </w:pPr>
      <w:r>
        <w:rPr>
          <w:color w:val="000000"/>
        </w:rPr>
        <w:t xml:space="preserve">La hipótesis de este trabajo sostiene que evaluar una explicación post-hoc requiere un</w:t>
      </w:r>
      <w:r>
        <w:rPr>
          <w:color w:val="000000"/>
        </w:rPr>
        <w:t xml:space="preserve"> </w:t>
      </w:r>
      <w:r>
        <w:rPr>
          <w:b/>
          <w:bCs/>
          <w:color w:val="000000"/>
        </w:rPr>
        <w:t xml:space="preserve">marco métrico concurrente</w:t>
      </w:r>
      <w:r>
        <w:rPr>
          <w:color w:val="000000"/>
        </w:rPr>
        <w:t xml:space="preserve">. Este marco debe ponderar su fidelidad local, su estabilidad ante perturbaciones estocásticas, su parsimonia cognitiva, su cobertura poblacional y su viabilidad computacional en producción.</w:t>
      </w:r>
    </w:p>
    <w:bookmarkEnd w:id="14"/>
    <w:bookmarkStart w:id="15" w:name="hoja-de-ruta-del-capítulo"/>
    <w:p>
      <w:pPr>
        <w:pStyle w:val="Heading2"/>
        <w:spacing w:line="360" w:lineRule="auto"/>
        <w:jc w:val="left"/>
      </w:pPr>
      <w:r>
        <w:rPr>
          <w:color w:val="000000"/>
        </w:rPr>
        <w:t xml:space="preserve">Hoja de ruta del capítulo</w:t>
      </w:r>
    </w:p>
    <w:p>
      <w:pPr>
        <w:pStyle w:val="FirstParagraph"/>
        <w:spacing w:line="360" w:lineRule="auto"/>
        <w:jc w:val="both"/>
      </w:pPr>
      <w:r>
        <w:rPr>
          <w:color w:val="000000"/>
        </w:rPr>
        <w:t xml:space="preserve">Para acompañar al lector técnico desde los fundamentos conceptuales hasta la certificación práctica, el capítulo se estructura en seis etapas:</w:t>
      </w:r>
    </w:p>
    <w:p>
      <w:pPr>
        <w:pStyle w:val="Compact"/>
        <w:numPr>
          <w:ilvl w:val="0"/>
          <w:numId w:val="1002"/>
        </w:numPr>
        <w:spacing w:line="360" w:lineRule="auto"/>
        <w:jc w:val="both"/>
      </w:pPr>
      <w:r>
        <w:rPr>
          <w:b/>
          <w:bCs/>
          <w:color w:val="000000"/>
        </w:rPr>
        <w:t xml:space="preserve">Fundamentos conceptuales (Sección 03):</w:t>
      </w:r>
      <w:r>
        <w:rPr>
          <w:color w:val="000000"/>
        </w:rPr>
        <w:t xml:space="preserve"> </w:t>
      </w:r>
      <w:r>
        <w:rPr>
          <w:color w:val="000000"/>
        </w:rPr>
        <w:t xml:space="preserve">Delimitación de transparencia, interpretabilidad y explicabilidad, distinguiendo atribución estadística de inferencia causal.</w:t>
      </w:r>
    </w:p>
    <w:p>
      <w:pPr>
        <w:pStyle w:val="Compact"/>
        <w:numPr>
          <w:ilvl w:val="0"/>
          <w:numId w:val="1002"/>
        </w:numPr>
        <w:spacing w:line="360" w:lineRule="auto"/>
        <w:jc w:val="both"/>
      </w:pPr>
      <w:r>
        <w:rPr>
          <w:b/>
          <w:bCs/>
          <w:color w:val="000000"/>
        </w:rPr>
        <w:t xml:space="preserve">Métodos agnósticos principales (Sección 04):</w:t>
      </w:r>
      <w:r>
        <w:rPr>
          <w:color w:val="000000"/>
        </w:rPr>
        <w:t xml:space="preserve"> </w:t>
      </w:r>
      <w:r>
        <w:rPr>
          <w:color w:val="000000"/>
        </w:rPr>
        <w:t xml:space="preserve">Lógica matemática, formulaciones y costo computacional de LIME, SHAP, Anchors y DiCE.</w:t>
      </w:r>
    </w:p>
    <w:p>
      <w:pPr>
        <w:pStyle w:val="Compact"/>
        <w:numPr>
          <w:ilvl w:val="0"/>
          <w:numId w:val="1002"/>
        </w:numPr>
        <w:spacing w:line="360" w:lineRule="auto"/>
        <w:jc w:val="both"/>
      </w:pPr>
      <w:r>
        <w:rPr>
          <w:b/>
          <w:bCs/>
          <w:color w:val="000000"/>
        </w:rPr>
        <w:t xml:space="preserve">La crisis de evaluación en XAI (Sección 05):</w:t>
      </w:r>
      <w:r>
        <w:rPr>
          <w:color w:val="000000"/>
        </w:rPr>
        <w:t xml:space="preserve"> </w:t>
      </w:r>
      <w:r>
        <w:rPr>
          <w:color w:val="000000"/>
        </w:rPr>
        <w:t xml:space="preserve">Efecto Rashomon, inestabilidad por muestreo y deformaciones fuera de distribución (</w:t>
      </w:r>
      <w:r>
        <w:rPr>
          <w:i/>
          <w:iCs/>
          <w:color w:val="000000"/>
        </w:rPr>
        <w:t xml:space="preserve">OOD</w:t>
      </w:r>
      <w:r>
        <w:rPr>
          <w:color w:val="000000"/>
        </w:rPr>
        <w:t xml:space="preserve">).</w:t>
      </w:r>
    </w:p>
    <w:p>
      <w:pPr>
        <w:pStyle w:val="Compact"/>
        <w:numPr>
          <w:ilvl w:val="0"/>
          <w:numId w:val="1002"/>
        </w:numPr>
        <w:spacing w:line="360" w:lineRule="auto"/>
        <w:jc w:val="both"/>
      </w:pPr>
      <w:r>
        <w:rPr>
          <w:b/>
          <w:bCs/>
          <w:color w:val="000000"/>
        </w:rPr>
        <w:t xml:space="preserve">El protocolo operativo FOM-7 (Sección 06):</w:t>
      </w:r>
      <w:r>
        <w:rPr>
          <w:color w:val="000000"/>
        </w:rPr>
        <w:t xml:space="preserve"> </w:t>
      </w:r>
      <w:r>
        <w:rPr>
          <w:color w:val="000000"/>
        </w:rPr>
        <w:t xml:space="preserve">Marco de siete puertas con métricas formales y umbrales de pase/fallo para auditoría técnica.</w:t>
      </w:r>
    </w:p>
    <w:p>
      <w:pPr>
        <w:pStyle w:val="Compact"/>
        <w:numPr>
          <w:ilvl w:val="0"/>
          <w:numId w:val="1002"/>
        </w:numPr>
        <w:spacing w:line="360" w:lineRule="auto"/>
        <w:jc w:val="both"/>
      </w:pPr>
      <w:r>
        <w:rPr>
          <w:b/>
          <w:bCs/>
          <w:color w:val="000000"/>
        </w:rPr>
        <w:t xml:space="preserve">Diseño empírico y benchmark (Secciones 07 y 08):</w:t>
      </w:r>
      <w:r>
        <w:rPr>
          <w:color w:val="000000"/>
        </w:rPr>
        <w:t xml:space="preserve"> </w:t>
      </w:r>
      <w:r>
        <w:rPr>
          <w:color w:val="000000"/>
        </w:rPr>
        <w:t xml:space="preserve">Evaluación empírica en</w:t>
      </w:r>
      <w:r>
        <w:rPr>
          <w:color w:val="000000"/>
        </w:rPr>
        <w:t xml:space="preserve"> </w:t>
      </w:r>
      <w:r>
        <w:rPr>
          <w:i/>
          <w:iCs/>
          <w:color w:val="000000"/>
        </w:rPr>
        <w:t xml:space="preserve">UCI Adult Income</w:t>
      </w:r>
      <w:r>
        <w:rPr>
          <w:color w:val="000000"/>
        </w:rPr>
        <w:t xml:space="preserve"> </w:t>
      </w:r>
      <w:r>
        <w:rPr>
          <w:color w:val="000000"/>
        </w:rPr>
        <w:t xml:space="preserve">comparando cinco clasificadores con 14 figuras y 2 tablas APA 7.</w:t>
      </w:r>
    </w:p>
    <w:p>
      <w:pPr>
        <w:pStyle w:val="Compact"/>
        <w:numPr>
          <w:ilvl w:val="0"/>
          <w:numId w:val="1002"/>
        </w:numPr>
        <w:spacing w:line="360" w:lineRule="auto"/>
        <w:jc w:val="both"/>
      </w:pPr>
      <w:r>
        <w:rPr>
          <w:b/>
          <w:bCs/>
          <w:color w:val="000000"/>
        </w:rPr>
        <w:t xml:space="preserve">Gobernanza e implicaciones (Secciones 09 y 10):</w:t>
      </w:r>
      <w:r>
        <w:rPr>
          <w:color w:val="000000"/>
        </w:rPr>
        <w:t xml:space="preserve"> </w:t>
      </w:r>
      <w:r>
        <w:rPr>
          <w:color w:val="000000"/>
        </w:rPr>
        <w:t xml:space="preserve">Matriz de decisión técnica, flujo de auditoría para la Ley de IA de la UE y agenda de investigación futura.</w:t>
      </w:r>
    </w:p>
    <w:bookmarkEnd w:id="15"/>
    <w:bookmarkEnd w:id="16"/>
    <w:bookmarkStart w:id="31" w:name="X71014afc0dfe87e414b18f8efe4132c21bf5195"/>
    <w:p>
      <w:pPr>
        <w:pStyle w:val="Heading1"/>
        <w:spacing w:line="360" w:lineRule="auto"/>
        <w:jc w:val="left"/>
      </w:pPr>
      <w:r>
        <w:rPr>
          <w:color w:val="000000"/>
        </w:rPr>
        <w:t xml:space="preserve">Qué es y qué no es la inteligencia artificial explicable</w:t>
      </w:r>
    </w:p>
    <w:bookmarkStart w:id="20" w:name="X679fbeedc5b49627ad61baf779aa738bab86677"/>
    <w:p>
      <w:pPr>
        <w:pStyle w:val="Heading2"/>
        <w:spacing w:line="360" w:lineRule="auto"/>
        <w:jc w:val="left"/>
      </w:pPr>
      <w:r>
        <w:rPr>
          <w:color w:val="000000"/>
        </w:rPr>
        <w:t xml:space="preserve">Nociones fundamentales: Transparencia, interpretabilidad y explicabilidad</w:t>
      </w:r>
    </w:p>
    <w:p>
      <w:pPr>
        <w:pStyle w:val="FirstParagraph"/>
        <w:spacing w:line="360" w:lineRule="auto"/>
        <w:jc w:val="both"/>
      </w:pPr>
      <w:r>
        <w:rPr>
          <w:color w:val="000000"/>
        </w:rPr>
        <w:t xml:space="preserve">En la práctica técnica, transparencia, interpretabilidad y explicabilidad suelen confundirse. Para diseñar controles de auditoría eficaces, conviene delimitar sus fronteras operacionales:</w:t>
      </w:r>
    </w:p>
    <w:p>
      <w:pPr>
        <w:pStyle w:val="Compact"/>
        <w:numPr>
          <w:ilvl w:val="0"/>
          <w:numId w:val="1003"/>
        </w:numPr>
        <w:spacing w:line="360" w:lineRule="auto"/>
        <w:jc w:val="both"/>
      </w:pPr>
      <w:r>
        <w:rPr>
          <w:b/>
          <w:bCs/>
          <w:color w:val="000000"/>
        </w:rPr>
        <w:t xml:space="preserve">Transparencia:</w:t>
      </w:r>
      <w:r>
        <w:rPr>
          <w:color w:val="000000"/>
        </w:rPr>
        <w:t xml:space="preserve"> </w:t>
      </w:r>
      <w:r>
        <w:rPr>
          <w:color w:val="000000"/>
        </w:rPr>
        <w:t xml:space="preserve">Propiedad sistémica del entorno de ingeniería. Describe la accesibilidad del código fuente, linaje y versiones de datos (en DVC o Delta Lake), grafos de ejecución (DAGs en Airflow) y esquemas de validación (Lipton, 2018). Un repositorio público en Git es necesario para auditar, pero no permite anticipar la conducta de un ensamble de mil árboles.</w:t>
      </w:r>
    </w:p>
    <w:p>
      <w:pPr>
        <w:pStyle w:val="Compact"/>
        <w:numPr>
          <w:ilvl w:val="0"/>
          <w:numId w:val="1003"/>
        </w:numPr>
        <w:spacing w:line="360" w:lineRule="auto"/>
        <w:jc w:val="both"/>
      </w:pPr>
      <w:r>
        <w:rPr>
          <w:b/>
          <w:bCs/>
          <w:color w:val="000000"/>
        </w:rPr>
        <w:t xml:space="preserve">Interpretabilidad:</w:t>
      </w:r>
      <w:r>
        <w:rPr>
          <w:color w:val="000000"/>
        </w:rPr>
        <w:t xml:space="preserve"> </w:t>
      </w:r>
      <w:r>
        <w:rPr>
          <w:color w:val="000000"/>
        </w:rPr>
        <w:t xml:space="preserve">Cualidad intrínseca de una arquitectura matemática que permite a un observador discernir directamente la relación entre entradas y salidas (Murdoch</w:t>
      </w:r>
      <w:r>
        <w:rPr>
          <w:color w:val="000000"/>
        </w:rPr>
        <w:t xml:space="preserve"> </w:t>
      </w:r>
      <w:r>
        <w:rPr>
          <w:i/>
          <w:iCs/>
          <w:color w:val="000000"/>
        </w:rPr>
        <w:t xml:space="preserve">et al.</w:t>
      </w:r>
      <w:r>
        <w:rPr>
          <w:color w:val="000000"/>
        </w:rPr>
        <w:t xml:space="preserve">, 2019). Un modelo es interpretable por diseño si su estructura equivale a una regla booleana simple o a una regresión con pocos coeficientes.</w:t>
      </w:r>
    </w:p>
    <w:p>
      <w:pPr>
        <w:pStyle w:val="Compact"/>
        <w:numPr>
          <w:ilvl w:val="0"/>
          <w:numId w:val="1003"/>
        </w:numPr>
        <w:spacing w:line="360" w:lineRule="auto"/>
        <w:jc w:val="both"/>
      </w:pPr>
      <w:r>
        <w:rPr>
          <w:b/>
          <w:bCs/>
          <w:color w:val="000000"/>
        </w:rPr>
        <w:t xml:space="preserve">Explicabilidad:</w:t>
      </w:r>
      <w:r>
        <w:rPr>
          <w:color w:val="000000"/>
        </w:rPr>
        <w:t xml:space="preserve"> </w:t>
      </w:r>
      <w:r>
        <w:rPr>
          <w:color w:val="000000"/>
        </w:rPr>
        <w:t xml:space="preserve">Propiedad extrínseca y activa. Consiste en construir aproximaciones secundarias, sustitutos locales o artefactos visuales —vectores de pesos, reglas de decisión o contrafactuales— para interpretar la inferencia de un clasificador opaco (Phillips</w:t>
      </w:r>
      <w:r>
        <w:rPr>
          <w:color w:val="000000"/>
        </w:rPr>
        <w:t xml:space="preserve"> </w:t>
      </w:r>
      <w:r>
        <w:rPr>
          <w:i/>
          <w:iCs/>
          <w:color w:val="000000"/>
        </w:rPr>
        <w:t xml:space="preserve">et al.</w:t>
      </w:r>
      <w:r>
        <w:rPr>
          <w:color w:val="000000"/>
        </w:rPr>
        <w:t xml:space="preserve">, 2021).</w:t>
      </w:r>
    </w:p>
    <w:p>
      <w:pPr>
        <w:pStyle w:val="FirstParagraph"/>
        <w:spacing w:line="360" w:lineRule="auto"/>
        <w:jc w:val="both"/>
      </w:pPr>
      <w:r>
        <w:rPr>
          <w:color w:val="000000"/>
        </w:rPr>
        <w:t xml:space="preserve">Como ilustra la Figura 1, ninguna de estas cualidades garantiza por sí sola la</w:t>
      </w:r>
      <w:r>
        <w:rPr>
          <w:color w:val="000000"/>
        </w:rPr>
        <w:t xml:space="preserve"> </w:t>
      </w:r>
      <w:r>
        <w:rPr>
          <w:b/>
          <w:bCs/>
          <w:color w:val="000000"/>
        </w:rPr>
        <w:t xml:space="preserve">confiabilidad</w:t>
      </w:r>
      <w:r>
        <w:rPr>
          <w:color w:val="000000"/>
        </w:rPr>
        <w:t xml:space="preserve"> </w:t>
      </w:r>
      <w:r>
        <w:rPr>
          <w:color w:val="000000"/>
        </w:rPr>
        <w:t xml:space="preserve">(</w:t>
      </w:r>
      <w:r>
        <w:rPr>
          <w:i/>
          <w:iCs/>
          <w:color w:val="000000"/>
        </w:rPr>
        <w:t xml:space="preserve">trustworthiness</w:t>
      </w:r>
      <w:r>
        <w:rPr>
          <w:color w:val="000000"/>
        </w:rPr>
        <w:t xml:space="preserve">). Un sistema puede generar explicaciones legibles y mantener sesgos demográficos o inestabilidad ante perturbaciones menores (Tabassi, 2023).</w:t>
      </w:r>
    </w:p>
    <w:p>
      <w:pPr>
        <w:pStyle w:val="CaptionedFigure"/>
        <w:spacing w:line="360" w:lineRule="auto"/>
        <w:jc w:val="center"/>
      </w:pPr>
      <w:r>
        <w:rPr>
          <w:color w:val="000000"/>
        </w:rPr>
        <w:drawing>
          <wp:inline>
            <wp:extent cx="5228414" cy="3857577"/>
            <wp:effectExtent b="0" l="0" r="0" t="0"/>
            <wp:docPr descr="Figura 1. Transparencia, interpretabilidad y explicabilidad: tres nociones distintas. Fuente: elaboración propia a partir de Lipton (2018), Murdoch et al. (2019), Phillips et al. (2021) y Tabassi (2023)." title="" id="18" name="Picture"/>
            <a:graphic>
              <a:graphicData uri="http://schemas.openxmlformats.org/drawingml/2006/picture">
                <pic:pic>
                  <pic:nvPicPr>
                    <pic:cNvPr descr="../figures/exported/fig_d1_conceptos_es.png" id="19" name="Picture"/>
                    <pic:cNvPicPr>
                      <a:picLocks noChangeArrowheads="1" noChangeAspect="1"/>
                    </pic:cNvPicPr>
                  </pic:nvPicPr>
                  <pic:blipFill>
                    <a:blip r:embed="rId17"/>
                    <a:stretch>
                      <a:fillRect/>
                    </a:stretch>
                  </pic:blipFill>
                  <pic:spPr bwMode="auto">
                    <a:xfrm>
                      <a:off x="0" y="0"/>
                      <a:ext cx="5228414" cy="3857577"/>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 Transparencia, interpretabilidad y explicabilidad: tres nociones distintas. Fuente: elaboración propia a partir de Lipton (2018), Murdoch</w:t>
      </w:r>
      <w:r>
        <w:rPr>
          <w:color w:val="000000"/>
        </w:rPr>
        <w:t xml:space="preserve"> </w:t>
      </w:r>
      <w:r>
        <w:rPr>
          <w:i/>
          <w:iCs/>
          <w:color w:val="000000"/>
        </w:rPr>
        <w:t xml:space="preserve">et al.</w:t>
      </w:r>
      <w:r>
        <w:rPr>
          <w:color w:val="000000"/>
        </w:rPr>
        <w:t xml:space="preserve"> </w:t>
      </w:r>
      <w:r>
        <w:rPr>
          <w:color w:val="000000"/>
        </w:rPr>
        <w:t xml:space="preserve">(2019), Phillips</w:t>
      </w:r>
      <w:r>
        <w:rPr>
          <w:color w:val="000000"/>
        </w:rPr>
        <w:t xml:space="preserve"> </w:t>
      </w:r>
      <w:r>
        <w:rPr>
          <w:i/>
          <w:iCs/>
          <w:color w:val="000000"/>
        </w:rPr>
        <w:t xml:space="preserve">et al.</w:t>
      </w:r>
      <w:r>
        <w:rPr>
          <w:color w:val="000000"/>
        </w:rPr>
        <w:t xml:space="preserve"> </w:t>
      </w:r>
      <w:r>
        <w:rPr>
          <w:color w:val="000000"/>
        </w:rPr>
        <w:t xml:space="preserve">(2021) y Tabassi (2023).</w:t>
      </w:r>
    </w:p>
    <w:bookmarkEnd w:id="20"/>
    <w:bookmarkStart w:id="21" w:name="Xa59b8a413db429277360eb06fd6a8c6ba854d1f"/>
    <w:p>
      <w:pPr>
        <w:pStyle w:val="Heading2"/>
        <w:spacing w:line="360" w:lineRule="auto"/>
        <w:jc w:val="left"/>
      </w:pPr>
      <w:r>
        <w:rPr>
          <w:color w:val="000000"/>
        </w:rPr>
        <w:t xml:space="preserve">La trampa de la ingeniería: Atribución estadística frente a causalidad</w:t>
      </w:r>
    </w:p>
    <w:p>
      <w:pPr>
        <w:pStyle w:val="FirstParagraph"/>
        <w:spacing w:line="360" w:lineRule="auto"/>
        <w:jc w:val="both"/>
      </w:pPr>
      <w:r>
        <w:rPr>
          <w:color w:val="000000"/>
        </w:rPr>
        <w:t xml:space="preserve">Un error crítico en XAI consiste en equiparar la</w:t>
      </w:r>
      <w:r>
        <w:rPr>
          <w:color w:val="000000"/>
        </w:rPr>
        <w:t xml:space="preserve"> </w:t>
      </w:r>
      <w:r>
        <w:rPr>
          <w:b/>
          <w:bCs/>
          <w:color w:val="000000"/>
        </w:rPr>
        <w:t xml:space="preserve">atribución de características</w:t>
      </w:r>
      <w:r>
        <w:rPr>
          <w:color w:val="000000"/>
        </w:rPr>
        <w:t xml:space="preserve"> </w:t>
      </w:r>
      <w:r>
        <w:rPr>
          <w:color w:val="000000"/>
        </w:rPr>
        <w:t xml:space="preserve">con la</w:t>
      </w:r>
      <w:r>
        <w:rPr>
          <w:color w:val="000000"/>
        </w:rPr>
        <w:t xml:space="preserve"> </w:t>
      </w:r>
      <w:r>
        <w:rPr>
          <w:b/>
          <w:bCs/>
          <w:color w:val="000000"/>
        </w:rPr>
        <w:t xml:space="preserve">inferencia causal</w:t>
      </w:r>
      <w:r>
        <w:rPr>
          <w:color w:val="000000"/>
        </w:rPr>
        <w:t xml:space="preserve">.</w:t>
      </w:r>
    </w:p>
    <w:p>
      <w:pPr>
        <w:pStyle w:val="BodyText"/>
        <w:spacing w:line="360" w:lineRule="auto"/>
        <w:jc w:val="both"/>
      </w:pPr>
      <w:r>
        <w:rPr>
          <w:color w:val="000000"/>
        </w:rPr>
        <w:t xml:space="preserve">Si un método post-hoc asigna un peso positivo a una columna (por ejemplo,</w:t>
      </w:r>
      <w:r>
        <w:rPr>
          <w:color w:val="000000"/>
        </w:rPr>
        <w:t xml:space="preserve"> </w:t>
      </w:r>
      <m:oMath>
        <m:r>
          <m:rPr>
            <m:sty m:val="p"/>
          </m:rPr>
          <m:t>+</m:t>
        </m:r>
        <m:r>
          <m:t>0.32</m:t>
        </m:r>
      </m:oMath>
      <w:r>
        <w:rPr>
          <w:color w:val="000000"/>
        </w:rPr>
        <w:t xml:space="preserve"> </w:t>
      </w:r>
      <w:r>
        <w:rPr>
          <w:color w:val="000000"/>
        </w:rPr>
        <w:t xml:space="preserve">a</w:t>
      </w:r>
      <w:r>
        <w:rPr>
          <w:color w:val="000000"/>
        </w:rPr>
        <w:t xml:space="preserve"> </w:t>
      </w:r>
      <w:r>
        <w:rPr>
          <w:i/>
          <w:iCs/>
          <w:color w:val="000000"/>
        </w:rPr>
        <w:t xml:space="preserve">Antigüedad de la Cuenta</w:t>
      </w:r>
      <w:r>
        <w:rPr>
          <w:color w:val="000000"/>
        </w:rPr>
        <w:t xml:space="preserve">), el valor describe únicamente cómo el algoritmo utilizó esa variable para minimizar su función de pérdida. No implica que ejecutar una instrucción SQL (</w:t>
      </w:r>
      <w:r>
        <w:rPr>
          <w:rStyle w:val="VerbatimChar"/>
          <w:color w:val="000000"/>
        </w:rPr>
        <w:t xml:space="preserve">UPDATE cuentas SET antiguedad = antiguedad + 3</w:t>
      </w:r>
      <w:r>
        <w:rPr>
          <w:color w:val="000000"/>
        </w:rPr>
        <w:t xml:space="preserve">) incremente la solvencia real del usuario (Pearl, 2009).</w:t>
      </w:r>
    </w:p>
    <w:p>
      <w:pPr>
        <w:pStyle w:val="BodyText"/>
        <w:spacing w:line="360" w:lineRule="auto"/>
        <w:jc w:val="both"/>
      </w:pPr>
      <w:r>
        <w:rPr>
          <w:color w:val="000000"/>
        </w:rPr>
        <w:t xml:space="preserve">El caso clásico de predicción de mortalidad por neumonía evidencia este riesgo. Un modelo asignó menor riesgo de muerte a pacientes con antecedentes de asma. El motivo era operativo: estos pacientes eran ingresados directamente en la Unidad de Cuidados Intensivos (UCI), recibiendo atención temprana que reducía su letalidad. El algoritmo capturó fielmente esa correlación en los datos hospitalarios. Un explicador reflejaría que el asma</w:t>
      </w:r>
      <w:r>
        <w:rPr>
          <w:color w:val="000000"/>
        </w:rPr>
        <w:t xml:space="preserve"> </w:t>
      </w:r>
      <w:r>
        <w:rPr>
          <w:color w:val="000000"/>
        </w:rPr>
        <w:t xml:space="preserve">“protege”</w:t>
      </w:r>
      <w:r>
        <w:rPr>
          <w:color w:val="000000"/>
        </w:rPr>
        <w:t xml:space="preserve"> </w:t>
      </w:r>
      <w:r>
        <w:rPr>
          <w:color w:val="000000"/>
        </w:rPr>
        <w:t xml:space="preserve">al paciente. Sin embargo, derivar de allí una política médica —demorando la atención a pacientes asmáticos— sería perjudicial. La explicabilidad mide la</w:t>
      </w:r>
      <w:r>
        <w:rPr>
          <w:color w:val="000000"/>
        </w:rPr>
        <w:t xml:space="preserve"> </w:t>
      </w:r>
      <w:r>
        <w:rPr>
          <w:b/>
          <w:bCs/>
          <w:color w:val="000000"/>
        </w:rPr>
        <w:t xml:space="preserve">fidelidad descriptiva del modelo</w:t>
      </w:r>
      <w:r>
        <w:rPr>
          <w:color w:val="000000"/>
        </w:rPr>
        <w:t xml:space="preserve">, no la estructura causal del fenómeno real.</w:t>
      </w:r>
    </w:p>
    <w:bookmarkEnd w:id="21"/>
    <w:bookmarkStart w:id="25" w:name="Xfe92891528f71834a0e5a1bb3aa3ade4bad723f"/>
    <w:p>
      <w:pPr>
        <w:pStyle w:val="Heading2"/>
        <w:spacing w:line="360" w:lineRule="auto"/>
        <w:jc w:val="left"/>
      </w:pPr>
      <w:r>
        <w:rPr>
          <w:color w:val="000000"/>
        </w:rPr>
        <w:t xml:space="preserve">Taxonomía de métodos: Intrínsecos frente a Post-hoc</w:t>
      </w:r>
    </w:p>
    <w:p>
      <w:pPr>
        <w:pStyle w:val="FirstParagraph"/>
        <w:spacing w:line="360" w:lineRule="auto"/>
        <w:jc w:val="both"/>
      </w:pPr>
      <w:r>
        <w:rPr>
          <w:color w:val="000000"/>
        </w:rPr>
        <w:t xml:space="preserve">El ecosistema de XAI se divide en dos paradigmas:</w:t>
      </w:r>
    </w:p>
    <w:p>
      <w:pPr>
        <w:pStyle w:val="Compact"/>
        <w:numPr>
          <w:ilvl w:val="0"/>
          <w:numId w:val="1004"/>
        </w:numPr>
        <w:spacing w:line="360" w:lineRule="auto"/>
        <w:jc w:val="both"/>
      </w:pPr>
      <w:r>
        <w:rPr>
          <w:b/>
          <w:bCs/>
          <w:color w:val="000000"/>
        </w:rPr>
        <w:t xml:space="preserve">Modelos intrínsecamente interpretables (</w:t>
      </w:r>
      <w:r>
        <w:rPr>
          <w:b/>
          <w:bCs/>
          <w:i/>
          <w:iCs/>
          <w:color w:val="000000"/>
        </w:rPr>
        <w:t xml:space="preserve">Ante-hoc</w:t>
      </w:r>
      <w:r>
        <w:rPr>
          <w:b/>
          <w:bCs/>
          <w:color w:val="000000"/>
        </w:rPr>
        <w:t xml:space="preserve"> </w:t>
      </w:r>
      <w:r>
        <w:rPr>
          <w:b/>
          <w:bCs/>
          <w:color w:val="000000"/>
        </w:rPr>
        <w:t xml:space="preserve">o por diseño):</w:t>
      </w:r>
      <w:r>
        <w:rPr>
          <w:color w:val="000000"/>
        </w:rPr>
        <w:t xml:space="preserve"> </w:t>
      </w:r>
      <w:r>
        <w:rPr>
          <w:color w:val="000000"/>
        </w:rPr>
        <w:t xml:space="preserve">Algoritmos transparentes por construcción (regresiones lineales regularizadas, árboles simples o GAMs). Mantienen fidelidad total a su lógica interna sin requerir sustitutos.</w:t>
      </w:r>
    </w:p>
    <w:p>
      <w:pPr>
        <w:pStyle w:val="Compact"/>
        <w:numPr>
          <w:ilvl w:val="0"/>
          <w:numId w:val="1004"/>
        </w:numPr>
        <w:spacing w:line="360" w:lineRule="auto"/>
        <w:jc w:val="both"/>
      </w:pPr>
      <w:r>
        <w:rPr>
          <w:b/>
          <w:bCs/>
          <w:color w:val="000000"/>
        </w:rPr>
        <w:t xml:space="preserve">Explicaciones a posteriori (</w:t>
      </w:r>
      <w:r>
        <w:rPr>
          <w:b/>
          <w:bCs/>
          <w:i/>
          <w:iCs/>
          <w:color w:val="000000"/>
        </w:rPr>
        <w:t xml:space="preserve">Post-hoc</w:t>
      </w:r>
      <w:r>
        <w:rPr>
          <w:b/>
          <w:bCs/>
          <w:color w:val="000000"/>
        </w:rPr>
        <w:t xml:space="preserve">):</w:t>
      </w:r>
      <w:r>
        <w:rPr>
          <w:color w:val="000000"/>
        </w:rPr>
        <w:t xml:space="preserve"> </w:t>
      </w:r>
      <w:r>
        <w:rPr>
          <w:color w:val="000000"/>
        </w:rPr>
        <w:t xml:space="preserve">Métodos aplicados sobre modelos opacos ya entrenados (ensambles XGBoost o redes densas). Construyen un sustituto local (</w:t>
      </w:r>
      <w:r>
        <w:rPr>
          <w:i/>
          <w:iCs/>
          <w:color w:val="000000"/>
        </w:rPr>
        <w:t xml:space="preserve">surrogate</w:t>
      </w:r>
      <w:r>
        <w:rPr>
          <w:color w:val="000000"/>
        </w:rPr>
        <w:t xml:space="preserve">) que aproxima la conducta del clasificador en una vecindad específica.</w:t>
      </w:r>
    </w:p>
    <w:p>
      <w:pPr>
        <w:pStyle w:val="FirstParagraph"/>
        <w:spacing w:line="360" w:lineRule="auto"/>
        <w:jc w:val="both"/>
      </w:pPr>
      <w:r>
        <w:rPr>
          <w:color w:val="000000"/>
        </w:rPr>
        <w:t xml:space="preserve">Como detalla la Figura 2, los métodos post-hoc se clasifican en:</w:t>
      </w:r>
    </w:p>
    <w:p>
      <w:pPr>
        <w:pStyle w:val="Compact"/>
        <w:numPr>
          <w:ilvl w:val="0"/>
          <w:numId w:val="1005"/>
        </w:numPr>
        <w:spacing w:line="360" w:lineRule="auto"/>
        <w:jc w:val="both"/>
      </w:pPr>
      <w:r>
        <w:rPr>
          <w:b/>
          <w:bCs/>
          <w:color w:val="000000"/>
        </w:rPr>
        <w:t xml:space="preserve">Específicos del modelo (</w:t>
      </w:r>
      <w:r>
        <w:rPr>
          <w:b/>
          <w:bCs/>
          <w:i/>
          <w:iCs/>
          <w:color w:val="000000"/>
        </w:rPr>
        <w:t xml:space="preserve">Model-specific</w:t>
      </w:r>
      <w:r>
        <w:rPr>
          <w:b/>
          <w:bCs/>
          <w:color w:val="000000"/>
        </w:rPr>
        <w:t xml:space="preserve">):</w:t>
      </w:r>
      <w:r>
        <w:rPr>
          <w:color w:val="000000"/>
        </w:rPr>
        <w:t xml:space="preserve"> </w:t>
      </w:r>
      <w:r>
        <w:rPr>
          <w:color w:val="000000"/>
        </w:rPr>
        <w:t xml:space="preserve">Exigen acceso a estructuras internas, como gradientes o topologías de árbol (TreeSHAP).</w:t>
      </w:r>
    </w:p>
    <w:p>
      <w:pPr>
        <w:pStyle w:val="Compact"/>
        <w:numPr>
          <w:ilvl w:val="0"/>
          <w:numId w:val="1005"/>
        </w:numPr>
        <w:spacing w:line="360" w:lineRule="auto"/>
        <w:jc w:val="both"/>
      </w:pPr>
      <w:r>
        <w:rPr>
          <w:b/>
          <w:bCs/>
          <w:color w:val="000000"/>
        </w:rPr>
        <w:t xml:space="preserve">Agnósticos al modelo (</w:t>
      </w:r>
      <w:r>
        <w:rPr>
          <w:b/>
          <w:bCs/>
          <w:i/>
          <w:iCs/>
          <w:color w:val="000000"/>
        </w:rPr>
        <w:t xml:space="preserve">Model-agnostic</w:t>
      </w:r>
      <w:r>
        <w:rPr>
          <w:b/>
          <w:bCs/>
          <w:color w:val="000000"/>
        </w:rPr>
        <w:t xml:space="preserve">):</w:t>
      </w:r>
      <w:r>
        <w:rPr>
          <w:color w:val="000000"/>
        </w:rPr>
        <w:t xml:space="preserve"> </w:t>
      </w:r>
      <w:r>
        <w:rPr>
          <w:color w:val="000000"/>
        </w:rPr>
        <w:t xml:space="preserve">Tratan al clasificador como una caja negra (</w:t>
      </w:r>
      <m:oMath>
        <m:r>
          <m:t>x</m:t>
        </m:r>
        <m:r>
          <m:rPr>
            <m:sty m:val="p"/>
          </m:rPr>
          <m:t>→</m:t>
        </m:r>
        <m:r>
          <m:t>f</m:t>
        </m:r>
        <m:r>
          <m:rPr>
            <m:sty m:val="p"/>
          </m:rPr>
          <m:t>(</m:t>
        </m:r>
        <m:r>
          <m:t>x</m:t>
        </m:r>
        <m:r>
          <m:rPr>
            <m:sty m:val="p"/>
          </m:rPr>
          <m:t>)</m:t>
        </m:r>
      </m:oMath>
      <w:r>
        <w:rPr>
          <w:color w:val="000000"/>
        </w:rPr>
        <w:t xml:space="preserve">). Envían perturbaciones sintéticas y analizan las respuestas sin asumir ninguna arquitectura interna (Marcinkevičs &amp; Vogt, 2023).</w:t>
      </w:r>
    </w:p>
    <w:p>
      <w:pPr>
        <w:pStyle w:val="CaptionedFigure"/>
        <w:spacing w:line="360" w:lineRule="auto"/>
        <w:jc w:val="center"/>
      </w:pPr>
      <w:r>
        <w:rPr>
          <w:color w:val="000000"/>
        </w:rPr>
        <w:drawing>
          <wp:inline>
            <wp:extent cx="5228414" cy="3820940"/>
            <wp:effectExtent b="0" l="0" r="0" t="0"/>
            <wp:docPr descr="Figura 2. Del modelo interpretable por diseño a la explicación post-hoc. Fuente: elaboración propia a partir de Rudin et al. (2022) y Marcinkevičs y Vogt (2023)." title="" id="23" name="Picture"/>
            <a:graphic>
              <a:graphicData uri="http://schemas.openxmlformats.org/drawingml/2006/picture">
                <pic:pic>
                  <pic:nvPicPr>
                    <pic:cNvPr descr="../figures/exported/fig_d2_modelos_es.png" id="24" name="Picture"/>
                    <pic:cNvPicPr>
                      <a:picLocks noChangeArrowheads="1" noChangeAspect="1"/>
                    </pic:cNvPicPr>
                  </pic:nvPicPr>
                  <pic:blipFill>
                    <a:blip r:embed="rId22"/>
                    <a:stretch>
                      <a:fillRect/>
                    </a:stretch>
                  </pic:blipFill>
                  <pic:spPr bwMode="auto">
                    <a:xfrm>
                      <a:off x="0" y="0"/>
                      <a:ext cx="5228414" cy="3820940"/>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2. Del modelo interpretable por diseño a la explicación post-hoc. Fuente: elaboración propia a partir de Rudin</w:t>
      </w:r>
      <w:r>
        <w:rPr>
          <w:color w:val="000000"/>
        </w:rPr>
        <w:t xml:space="preserve"> </w:t>
      </w:r>
      <w:r>
        <w:rPr>
          <w:i/>
          <w:iCs/>
          <w:color w:val="000000"/>
        </w:rPr>
        <w:t xml:space="preserve">et al.</w:t>
      </w:r>
      <w:r>
        <w:rPr>
          <w:color w:val="000000"/>
        </w:rPr>
        <w:t xml:space="preserve"> </w:t>
      </w:r>
      <w:r>
        <w:rPr>
          <w:color w:val="000000"/>
        </w:rPr>
        <w:t xml:space="preserve">(2022) y Marcinkevičs y Vogt (2023).</w:t>
      </w:r>
    </w:p>
    <w:bookmarkEnd w:id="25"/>
    <w:bookmarkStart w:id="26" w:name="X11002556c5346f3dd62c35a28a56f4e0447f971"/>
    <w:p>
      <w:pPr>
        <w:pStyle w:val="Heading2"/>
        <w:spacing w:line="360" w:lineRule="auto"/>
        <w:jc w:val="left"/>
      </w:pPr>
      <w:r>
        <w:rPr>
          <w:color w:val="000000"/>
        </w:rPr>
        <w:t xml:space="preserve">Alcance operacional: Explicaciones Locales frente a Globales</w:t>
      </w:r>
    </w:p>
    <w:p>
      <w:pPr>
        <w:pStyle w:val="FirstParagraph"/>
        <w:spacing w:line="360" w:lineRule="auto"/>
        <w:jc w:val="both"/>
      </w:pPr>
      <w:r>
        <w:rPr>
          <w:color w:val="000000"/>
        </w:rPr>
        <w:t xml:space="preserve">El alcance espacial define la escala analítica de la explicación:</w:t>
      </w:r>
    </w:p>
    <w:p>
      <w:pPr>
        <w:pStyle w:val="Compact"/>
        <w:numPr>
          <w:ilvl w:val="0"/>
          <w:numId w:val="1006"/>
        </w:numPr>
        <w:spacing w:line="360" w:lineRule="auto"/>
        <w:jc w:val="both"/>
      </w:pPr>
      <w:r>
        <w:rPr>
          <w:b/>
          <w:bCs/>
          <w:color w:val="000000"/>
        </w:rPr>
        <w:t xml:space="preserve">Alcance Local (</w:t>
      </w:r>
      <w:r>
        <w:rPr>
          <w:b/>
          <w:bCs/>
          <w:i/>
          <w:iCs/>
          <w:color w:val="000000"/>
        </w:rPr>
        <w:t xml:space="preserve">Local Interpretability</w:t>
      </w:r>
      <w:r>
        <w:rPr>
          <w:b/>
          <w:bCs/>
          <w:color w:val="000000"/>
        </w:rPr>
        <w:t xml:space="preserve">):</w:t>
      </w:r>
      <w:r>
        <w:rPr>
          <w:color w:val="000000"/>
        </w:rPr>
        <w:t xml:space="preserve"> </w:t>
      </w:r>
      <w:r>
        <w:rPr>
          <w:color w:val="000000"/>
        </w:rPr>
        <w:t xml:space="preserve">Explica la decisión sobre una instancia individual (</w:t>
      </w:r>
      <w:r>
        <w:rPr>
          <w:i/>
          <w:iCs/>
          <w:color w:val="000000"/>
        </w:rPr>
        <w:t xml:space="preserve">¿por qué se denegó la transacción #8812?</w:t>
      </w:r>
      <w:r>
        <w:rPr>
          <w:color w:val="000000"/>
        </w:rPr>
        <w:t xml:space="preserve">).</w:t>
      </w:r>
    </w:p>
    <w:p>
      <w:pPr>
        <w:pStyle w:val="Compact"/>
        <w:numPr>
          <w:ilvl w:val="0"/>
          <w:numId w:val="1006"/>
        </w:numPr>
        <w:spacing w:line="360" w:lineRule="auto"/>
        <w:jc w:val="both"/>
      </w:pPr>
      <w:r>
        <w:rPr>
          <w:b/>
          <w:bCs/>
          <w:color w:val="000000"/>
        </w:rPr>
        <w:t xml:space="preserve">Alcance Global (</w:t>
      </w:r>
      <w:r>
        <w:rPr>
          <w:b/>
          <w:bCs/>
          <w:i/>
          <w:iCs/>
          <w:color w:val="000000"/>
        </w:rPr>
        <w:t xml:space="preserve">Global Interpretability</w:t>
      </w:r>
      <w:r>
        <w:rPr>
          <w:b/>
          <w:bCs/>
          <w:color w:val="000000"/>
        </w:rPr>
        <w:t xml:space="preserve">):</w:t>
      </w:r>
      <w:r>
        <w:rPr>
          <w:color w:val="000000"/>
        </w:rPr>
        <w:t xml:space="preserve"> </w:t>
      </w:r>
      <w:r>
        <w:rPr>
          <w:color w:val="000000"/>
        </w:rPr>
        <w:t xml:space="preserve">Describe la dinámica global del clasificador sobre toda la población (</w:t>
      </w:r>
      <w:r>
        <w:rPr>
          <w:i/>
          <w:iCs/>
          <w:color w:val="000000"/>
        </w:rPr>
        <w:t xml:space="preserve">¿cuáles atributos dominan las decisiones de la cartera?</w:t>
      </w:r>
      <w:r>
        <w:rPr>
          <w:color w:val="000000"/>
        </w:rPr>
        <w:t xml:space="preserve">).</w:t>
      </w:r>
    </w:p>
    <w:p>
      <w:pPr>
        <w:pStyle w:val="FirstParagraph"/>
        <w:spacing w:line="360" w:lineRule="auto"/>
        <w:jc w:val="both"/>
      </w:pPr>
      <w:r>
        <w:rPr>
          <w:color w:val="000000"/>
        </w:rPr>
        <w:t xml:space="preserve">Un principio de ingeniería central:</w:t>
      </w:r>
      <w:r>
        <w:rPr>
          <w:color w:val="000000"/>
        </w:rPr>
        <w:t xml:space="preserve"> </w:t>
      </w:r>
      <w:r>
        <w:rPr>
          <w:b/>
          <w:bCs/>
          <w:color w:val="000000"/>
        </w:rPr>
        <w:t xml:space="preserve">la suma de explicaciones locales no equivale a una explicación global válida</w:t>
      </w:r>
      <w:r>
        <w:rPr>
          <w:color w:val="000000"/>
        </w:rPr>
        <w:t xml:space="preserve">. Debido a las fronteras de decisión no lineales, promediar atribuciones locales de miles de registros puede enmascarar dinámicas contrapuestas y generar conclusiones erróneas.</w:t>
      </w:r>
    </w:p>
    <w:bookmarkEnd w:id="26"/>
    <w:bookmarkStart w:id="30" w:name="X081e97e5bb2ca2af1216b413d14d828bcedd6e0"/>
    <w:p>
      <w:pPr>
        <w:pStyle w:val="Heading2"/>
        <w:spacing w:line="360" w:lineRule="auto"/>
        <w:jc w:val="left"/>
      </w:pPr>
      <w:r>
        <w:rPr>
          <w:color w:val="000000"/>
        </w:rPr>
        <w:t xml:space="preserve">Niveles de evaluación científica: La posición de FOM-7</w:t>
      </w:r>
    </w:p>
    <w:p>
      <w:pPr>
        <w:pStyle w:val="FirstParagraph"/>
        <w:spacing w:line="360" w:lineRule="auto"/>
        <w:jc w:val="both"/>
      </w:pPr>
      <w:r>
        <w:rPr>
          <w:color w:val="000000"/>
        </w:rPr>
        <w:t xml:space="preserve">Doshi-Velez y Kim (2017) clasificaron la evaluación de explicabilidad en tres niveles:</w:t>
      </w:r>
    </w:p>
    <w:p>
      <w:pPr>
        <w:pStyle w:val="Compact"/>
        <w:numPr>
          <w:ilvl w:val="0"/>
          <w:numId w:val="1007"/>
        </w:numPr>
        <w:spacing w:line="360" w:lineRule="auto"/>
        <w:jc w:val="both"/>
      </w:pPr>
      <w:r>
        <w:rPr>
          <w:b/>
          <w:bCs/>
          <w:color w:val="000000"/>
        </w:rPr>
        <w:t xml:space="preserve">Evaluación basada en la aplicación (</w:t>
      </w:r>
      <w:r>
        <w:rPr>
          <w:b/>
          <w:bCs/>
          <w:i/>
          <w:iCs/>
          <w:color w:val="000000"/>
        </w:rPr>
        <w:t xml:space="preserve">Application-grounded</w:t>
      </w:r>
      <w:r>
        <w:rPr>
          <w:b/>
          <w:bCs/>
          <w:color w:val="000000"/>
        </w:rPr>
        <w:t xml:space="preserve">):</w:t>
      </w:r>
      <w:r>
        <w:rPr>
          <w:color w:val="000000"/>
        </w:rPr>
        <w:t xml:space="preserve"> </w:t>
      </w:r>
      <w:r>
        <w:rPr>
          <w:color w:val="000000"/>
        </w:rPr>
        <w:t xml:space="preserve">Expertos del dominio (patólogos o analistas de crédito) resuelven problemas en su flujo habitual usando explicaciones, midiendo mejoras en su productividad real.</w:t>
      </w:r>
    </w:p>
    <w:p>
      <w:pPr>
        <w:pStyle w:val="Compact"/>
        <w:numPr>
          <w:ilvl w:val="0"/>
          <w:numId w:val="1007"/>
        </w:numPr>
        <w:spacing w:line="360" w:lineRule="auto"/>
        <w:jc w:val="both"/>
      </w:pPr>
      <w:r>
        <w:rPr>
          <w:b/>
          <w:bCs/>
          <w:color w:val="000000"/>
        </w:rPr>
        <w:t xml:space="preserve">Evaluación basada en humanos (</w:t>
      </w:r>
      <w:r>
        <w:rPr>
          <w:b/>
          <w:bCs/>
          <w:i/>
          <w:iCs/>
          <w:color w:val="000000"/>
        </w:rPr>
        <w:t xml:space="preserve">Human-grounded</w:t>
      </w:r>
      <w:r>
        <w:rPr>
          <w:b/>
          <w:bCs/>
          <w:color w:val="000000"/>
        </w:rPr>
        <w:t xml:space="preserve">):</w:t>
      </w:r>
      <w:r>
        <w:rPr>
          <w:color w:val="000000"/>
        </w:rPr>
        <w:t xml:space="preserve"> </w:t>
      </w:r>
      <w:r>
        <w:rPr>
          <w:color w:val="000000"/>
        </w:rPr>
        <w:t xml:space="preserve">Pruebas de laboratorio con usuarios legos evaluando tareas abstractas, como elegir entre dos predicciones según la claridad visual.</w:t>
      </w:r>
    </w:p>
    <w:p>
      <w:pPr>
        <w:pStyle w:val="Compact"/>
        <w:numPr>
          <w:ilvl w:val="0"/>
          <w:numId w:val="1007"/>
        </w:numPr>
        <w:spacing w:line="360" w:lineRule="auto"/>
        <w:jc w:val="both"/>
      </w:pPr>
      <w:r>
        <w:rPr>
          <w:b/>
          <w:bCs/>
          <w:color w:val="000000"/>
        </w:rPr>
        <w:t xml:space="preserve">Evaluación funcionalmente fundamentada (</w:t>
      </w:r>
      <w:r>
        <w:rPr>
          <w:b/>
          <w:bCs/>
          <w:i/>
          <w:iCs/>
          <w:color w:val="000000"/>
        </w:rPr>
        <w:t xml:space="preserve">Functionally-grounded</w:t>
      </w:r>
      <w:r>
        <w:rPr>
          <w:b/>
          <w:bCs/>
          <w:color w:val="000000"/>
        </w:rPr>
        <w:t xml:space="preserve">):</w:t>
      </w:r>
      <w:r>
        <w:rPr>
          <w:color w:val="000000"/>
        </w:rPr>
        <w:t xml:space="preserve"> </w:t>
      </w:r>
      <w:r>
        <w:rPr>
          <w:color w:val="000000"/>
        </w:rPr>
        <w:t xml:space="preserve">Métricas matemáticas objetivas (fidelidad de reconstrucción, estabilidad ante perturbaciones, parsimonia y tiempo de CPU por inferencia) sobre bancos de pruebas reproducibles, sin intervención de sujetos humanos.</w:t>
      </w:r>
    </w:p>
    <w:p>
      <w:pPr>
        <w:pStyle w:val="FirstParagraph"/>
        <w:spacing w:line="360" w:lineRule="auto"/>
        <w:jc w:val="both"/>
      </w:pPr>
      <w:r>
        <w:rPr>
          <w:color w:val="000000"/>
        </w:rPr>
        <w:t xml:space="preserve">Como ilustra la Figura 3, el protocolo</w:t>
      </w:r>
      <w:r>
        <w:rPr>
          <w:color w:val="000000"/>
        </w:rPr>
        <w:t xml:space="preserve"> </w:t>
      </w:r>
      <w:r>
        <w:rPr>
          <w:b/>
          <w:bCs/>
          <w:color w:val="000000"/>
        </w:rPr>
        <w:t xml:space="preserve">FOM-7</w:t>
      </w:r>
      <w:r>
        <w:rPr>
          <w:color w:val="000000"/>
        </w:rPr>
        <w:t xml:space="preserve"> </w:t>
      </w:r>
      <w:r>
        <w:rPr>
          <w:color w:val="000000"/>
        </w:rPr>
        <w:t xml:space="preserve">opera en el nivel de</w:t>
      </w:r>
      <w:r>
        <w:rPr>
          <w:color w:val="000000"/>
        </w:rPr>
        <w:t xml:space="preserve"> </w:t>
      </w:r>
      <w:r>
        <w:rPr>
          <w:b/>
          <w:bCs/>
          <w:color w:val="000000"/>
        </w:rPr>
        <w:t xml:space="preserve">evaluación funcionalmente fundamentada</w:t>
      </w:r>
      <w:r>
        <w:rPr>
          <w:color w:val="000000"/>
        </w:rPr>
        <w:t xml:space="preserve">. Esta decisión equivale a implementar pruebas unitarias y de integración en desarrollo de software. Antes de exponer un explicador a pruebas de usuario (</w:t>
      </w:r>
      <w:r>
        <w:rPr>
          <w:i/>
          <w:iCs/>
          <w:color w:val="000000"/>
        </w:rPr>
        <w:t xml:space="preserve">UAT</w:t>
      </w:r>
      <w:r>
        <w:rPr>
          <w:color w:val="000000"/>
        </w:rPr>
        <w:t xml:space="preserve">), el equipo técnico debe certificar que satisface umbrales cuantitativos de estabilidad, fidelidad y latencia.</w:t>
      </w:r>
    </w:p>
    <w:p>
      <w:pPr>
        <w:pStyle w:val="CaptionedFigure"/>
        <w:spacing w:line="360" w:lineRule="auto"/>
        <w:jc w:val="center"/>
      </w:pPr>
      <w:r>
        <w:rPr>
          <w:color w:val="000000"/>
        </w:rPr>
        <w:drawing>
          <wp:inline>
            <wp:extent cx="5228414" cy="3100411"/>
            <wp:effectExtent b="0" l="0" r="0" t="0"/>
            <wp:docPr descr="Figura 3. Niveles de evaluación de la explicabilidad y posición de FOM-7. Fuente: adaptada de Doshi-Velez y Kim (2017)." title="" id="28" name="Picture"/>
            <a:graphic>
              <a:graphicData uri="http://schemas.openxmlformats.org/drawingml/2006/picture">
                <pic:pic>
                  <pic:nvPicPr>
                    <pic:cNvPr descr="../figures/exported/fig_d6_niveles_evaluacion_es.png" id="29" name="Picture"/>
                    <pic:cNvPicPr>
                      <a:picLocks noChangeArrowheads="1" noChangeAspect="1"/>
                    </pic:cNvPicPr>
                  </pic:nvPicPr>
                  <pic:blipFill>
                    <a:blip r:embed="rId27"/>
                    <a:stretch>
                      <a:fillRect/>
                    </a:stretch>
                  </pic:blipFill>
                  <pic:spPr bwMode="auto">
                    <a:xfrm>
                      <a:off x="0" y="0"/>
                      <a:ext cx="5228414" cy="3100411"/>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3. Niveles de evaluación de la explicabilidad y posición de FOM-7. Fuente: adaptada de Doshi-Velez y Kim (2017).</w:t>
      </w:r>
    </w:p>
    <w:bookmarkEnd w:id="30"/>
    <w:bookmarkEnd w:id="31"/>
    <w:bookmarkStart w:id="58" w:name="Xafc28f5c3009fcbb219a42f0a57b69cc2624a3b"/>
    <w:p>
      <w:pPr>
        <w:pStyle w:val="Heading1"/>
        <w:spacing w:line="360" w:lineRule="auto"/>
        <w:jc w:val="left"/>
      </w:pPr>
      <w:r>
        <w:rPr>
          <w:color w:val="000000"/>
        </w:rPr>
        <w:t xml:space="preserve">Métodos de explicabilidad: LIME, SHAP, Anchors y DiCE</w:t>
      </w:r>
    </w:p>
    <w:bookmarkStart w:id="35" w:name="diversidad-de-artefactos-explicativos"/>
    <w:p>
      <w:pPr>
        <w:pStyle w:val="Heading2"/>
        <w:spacing w:line="360" w:lineRule="auto"/>
        <w:jc w:val="left"/>
      </w:pPr>
      <w:r>
        <w:rPr>
          <w:color w:val="000000"/>
        </w:rPr>
        <w:t xml:space="preserve">Diversidad de artefactos explicativos</w:t>
      </w:r>
    </w:p>
    <w:p>
      <w:pPr>
        <w:pStyle w:val="FirstParagraph"/>
        <w:spacing w:line="360" w:lineRule="auto"/>
        <w:jc w:val="both"/>
      </w:pPr>
      <w:r>
        <w:rPr>
          <w:color w:val="000000"/>
        </w:rPr>
        <w:t xml:space="preserve">En el desarrollo de software analítico, los métodos agnósticos post-hoc generan diferentes</w:t>
      </w:r>
      <w:r>
        <w:rPr>
          <w:color w:val="000000"/>
        </w:rPr>
        <w:t xml:space="preserve"> </w:t>
      </w:r>
      <w:r>
        <w:rPr>
          <w:b/>
          <w:bCs/>
          <w:color w:val="000000"/>
        </w:rPr>
        <w:t xml:space="preserve">artefactos explicativos</w:t>
      </w:r>
      <w:r>
        <w:rPr>
          <w:color w:val="000000"/>
        </w:rPr>
        <w:t xml:space="preserve"> </w:t>
      </w:r>
      <w:r>
        <w:rPr>
          <w:color w:val="000000"/>
        </w:rPr>
        <w:t xml:space="preserve">según las necesidades de la audiencia:</w:t>
      </w:r>
    </w:p>
    <w:p>
      <w:pPr>
        <w:pStyle w:val="Compact"/>
        <w:numPr>
          <w:ilvl w:val="0"/>
          <w:numId w:val="1008"/>
        </w:numPr>
        <w:spacing w:line="360" w:lineRule="auto"/>
        <w:jc w:val="both"/>
      </w:pPr>
      <w:r>
        <w:rPr>
          <w:b/>
          <w:bCs/>
          <w:color w:val="000000"/>
        </w:rPr>
        <w:t xml:space="preserve">Atribuciones numéricas continuas de características:</w:t>
      </w:r>
      <w:r>
        <w:rPr>
          <w:color w:val="000000"/>
        </w:rPr>
        <w:t xml:space="preserve"> </w:t>
      </w:r>
      <w:r>
        <w:rPr>
          <w:color w:val="000000"/>
        </w:rPr>
        <w:t xml:space="preserve">Vectores de números reales que ponderan la contribución positiva o negativa de cada variable a la inferencia puntual (LIME, KernelSHAP).</w:t>
      </w:r>
    </w:p>
    <w:p>
      <w:pPr>
        <w:pStyle w:val="Compact"/>
        <w:numPr>
          <w:ilvl w:val="0"/>
          <w:numId w:val="1008"/>
        </w:numPr>
        <w:spacing w:line="360" w:lineRule="auto"/>
        <w:jc w:val="both"/>
      </w:pPr>
      <w:r>
        <w:rPr>
          <w:b/>
          <w:bCs/>
          <w:color w:val="000000"/>
        </w:rPr>
        <w:t xml:space="preserve">Reglas de decisión booleanas:</w:t>
      </w:r>
      <w:r>
        <w:rPr>
          <w:color w:val="000000"/>
        </w:rPr>
        <w:t xml:space="preserve"> </w:t>
      </w:r>
      <w:r>
        <w:rPr>
          <w:color w:val="000000"/>
        </w:rPr>
        <w:t xml:space="preserve">Condiciones condicionales (</w:t>
      </w:r>
      <w:r>
        <w:rPr>
          <w:rStyle w:val="VerbatimChar"/>
          <w:color w:val="000000"/>
        </w:rPr>
        <w:t xml:space="preserve">SI x1 &gt; 3 AND x2 = 'A' ENTONCES predicción = 1</w:t>
      </w:r>
      <w:r>
        <w:rPr>
          <w:color w:val="000000"/>
        </w:rPr>
        <w:t xml:space="preserve">) que delimitan una región de certeza inalterable (Anchors).</w:t>
      </w:r>
    </w:p>
    <w:p>
      <w:pPr>
        <w:pStyle w:val="Compact"/>
        <w:numPr>
          <w:ilvl w:val="0"/>
          <w:numId w:val="1008"/>
        </w:numPr>
        <w:spacing w:line="360" w:lineRule="auto"/>
        <w:jc w:val="both"/>
      </w:pPr>
      <w:r>
        <w:rPr>
          <w:b/>
          <w:bCs/>
          <w:color w:val="000000"/>
        </w:rPr>
        <w:t xml:space="preserve">Explicaciones contrafactuales prescriptivas:</w:t>
      </w:r>
      <w:r>
        <w:rPr>
          <w:color w:val="000000"/>
        </w:rPr>
        <w:t xml:space="preserve"> </w:t>
      </w:r>
      <w:r>
        <w:rPr>
          <w:color w:val="000000"/>
        </w:rPr>
        <w:t xml:space="preserve">Muestras sintéticas que indican la alteración mínima en los datos de entrada requerida para conmutar la predicción hacia una categoría deseada (DiCE).</w:t>
      </w:r>
    </w:p>
    <w:p>
      <w:pPr>
        <w:pStyle w:val="FirstParagraph"/>
        <w:spacing w:line="360" w:lineRule="auto"/>
        <w:jc w:val="both"/>
      </w:pPr>
      <w:r>
        <w:rPr>
          <w:color w:val="000000"/>
        </w:rPr>
        <w:t xml:space="preserve">La Figura 4 sintetiza estos cuatro objetos explicativos y sus algoritmos representativos. A continuación se examinan sus mecanismos formales, formulaciones matemáticas y consideraciones de ingeniería.</w:t>
      </w:r>
    </w:p>
    <w:p>
      <w:pPr>
        <w:pStyle w:val="CaptionedFigure"/>
        <w:spacing w:line="360" w:lineRule="auto"/>
        <w:jc w:val="center"/>
      </w:pPr>
      <w:r>
        <w:rPr>
          <w:color w:val="000000"/>
        </w:rPr>
        <w:drawing>
          <wp:inline>
            <wp:extent cx="5228414" cy="4759764"/>
            <wp:effectExtent b="0" l="0" r="0" t="0"/>
            <wp:docPr descr="Figura 4. Cuatro objetos explicativos y métodos agnósticos evaluados en FOM-7. Fuente: elaboración propia a partir de Ribeiro et al. (2016, 2018), Lundberg y Lee (2017) y Mothilal et al. (2020)." title="" id="33" name="Picture"/>
            <a:graphic>
              <a:graphicData uri="http://schemas.openxmlformats.org/drawingml/2006/picture">
                <pic:pic>
                  <pic:nvPicPr>
                    <pic:cNvPr descr="../figures/exported/fig_d4_objetos_explicativos_es.png" id="34" name="Picture"/>
                    <pic:cNvPicPr>
                      <a:picLocks noChangeArrowheads="1" noChangeAspect="1"/>
                    </pic:cNvPicPr>
                  </pic:nvPicPr>
                  <pic:blipFill>
                    <a:blip r:embed="rId32"/>
                    <a:stretch>
                      <a:fillRect/>
                    </a:stretch>
                  </pic:blipFill>
                  <pic:spPr bwMode="auto">
                    <a:xfrm>
                      <a:off x="0" y="0"/>
                      <a:ext cx="5228414" cy="4759764"/>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4. Cuatro objetos explicativos y métodos agnósticos evaluados en FOM-7. Fuente: elaboración propia a partir de Ribeiro</w:t>
      </w:r>
      <w:r>
        <w:rPr>
          <w:color w:val="000000"/>
        </w:rPr>
        <w:t xml:space="preserve"> </w:t>
      </w:r>
      <w:r>
        <w:rPr>
          <w:i/>
          <w:iCs/>
          <w:color w:val="000000"/>
        </w:rPr>
        <w:t xml:space="preserve">et al.</w:t>
      </w:r>
      <w:r>
        <w:rPr>
          <w:color w:val="000000"/>
        </w:rPr>
        <w:t xml:space="preserve"> </w:t>
      </w:r>
      <w:r>
        <w:rPr>
          <w:color w:val="000000"/>
        </w:rPr>
        <w:t xml:space="preserve">(2016, 2018), Lundberg y Lee (2017) y Mothilal</w:t>
      </w:r>
      <w:r>
        <w:rPr>
          <w:color w:val="000000"/>
        </w:rPr>
        <w:t xml:space="preserve"> </w:t>
      </w:r>
      <w:r>
        <w:rPr>
          <w:i/>
          <w:iCs/>
          <w:color w:val="000000"/>
        </w:rPr>
        <w:t xml:space="preserve">et al.</w:t>
      </w:r>
      <w:r>
        <w:rPr>
          <w:color w:val="000000"/>
        </w:rPr>
        <w:t xml:space="preserve"> </w:t>
      </w:r>
      <w:r>
        <w:rPr>
          <w:color w:val="000000"/>
        </w:rPr>
        <w:t xml:space="preserve">(2020).</w:t>
      </w:r>
    </w:p>
    <w:bookmarkEnd w:id="35"/>
    <w:bookmarkStart w:id="41" w:name="X4e5244c609ef3b5df017fad564ea7fe9c9bd988"/>
    <w:p>
      <w:pPr>
        <w:pStyle w:val="Heading2"/>
        <w:spacing w:line="360" w:lineRule="auto"/>
        <w:jc w:val="left"/>
      </w:pPr>
      <w:r>
        <w:rPr>
          <w:color w:val="000000"/>
        </w:rPr>
        <w:t xml:space="preserve">LIME: Explicaciones locales interpretables agnósticas al modelo</w:t>
      </w:r>
    </w:p>
    <w:p>
      <w:pPr>
        <w:pStyle w:val="FirstParagraph"/>
        <w:spacing w:line="360" w:lineRule="auto"/>
        <w:jc w:val="both"/>
      </w:pPr>
      <w:r>
        <w:rPr>
          <w:color w:val="000000"/>
        </w:rPr>
        <w:t xml:space="preserve">Propuesto por Ribeiro</w:t>
      </w:r>
      <w:r>
        <w:rPr>
          <w:color w:val="000000"/>
        </w:rPr>
        <w:t xml:space="preserve"> </w:t>
      </w:r>
      <w:r>
        <w:rPr>
          <w:i/>
          <w:iCs/>
          <w:color w:val="000000"/>
        </w:rPr>
        <w:t xml:space="preserve">et al.</w:t>
      </w:r>
      <w:r>
        <w:rPr>
          <w:color w:val="000000"/>
        </w:rPr>
        <w:t xml:space="preserve"> </w:t>
      </w:r>
      <w:r>
        <w:rPr>
          <w:color w:val="000000"/>
        </w:rPr>
        <w:t xml:space="preserve">(2016),</w:t>
      </w:r>
      <w:r>
        <w:rPr>
          <w:color w:val="000000"/>
        </w:rPr>
        <w:t xml:space="preserve"> </w:t>
      </w:r>
      <w:r>
        <w:rPr>
          <w:b/>
          <w:bCs/>
          <w:color w:val="000000"/>
        </w:rPr>
        <w:t xml:space="preserve">LIME</w:t>
      </w:r>
      <w:r>
        <w:rPr>
          <w:color w:val="000000"/>
        </w:rPr>
        <w:t xml:space="preserve"> </w:t>
      </w:r>
      <w:r>
        <w:rPr>
          <w:color w:val="000000"/>
        </w:rPr>
        <w:t xml:space="preserve">(</w:t>
      </w:r>
      <w:r>
        <w:rPr>
          <w:i/>
          <w:iCs/>
          <w:color w:val="000000"/>
        </w:rPr>
        <w:t xml:space="preserve">Local Interpretable Model-agnostic Explanations</w:t>
      </w:r>
      <w:r>
        <w:rPr>
          <w:color w:val="000000"/>
        </w:rPr>
        <w:t xml:space="preserve">) asume una premisa geométrica intuitiva. Aunque la frontera de un clasificador</w:t>
      </w:r>
      <w:r>
        <w:rPr>
          <w:color w:val="000000"/>
        </w:rPr>
        <w:t xml:space="preserve"> </w:t>
      </w:r>
      <m:oMath>
        <m:r>
          <m:t>f</m:t>
        </m:r>
        <m:r>
          <m:rPr>
            <m:sty m:val="p"/>
          </m:rPr>
          <m:t>(</m:t>
        </m:r>
        <m:r>
          <m:t>x</m:t>
        </m:r>
        <m:r>
          <m:rPr>
            <m:sty m:val="p"/>
          </m:rPr>
          <m:t>)</m:t>
        </m:r>
      </m:oMath>
      <w:r>
        <w:rPr>
          <w:color w:val="000000"/>
        </w:rPr>
        <w:t xml:space="preserve"> </w:t>
      </w:r>
      <w:r>
        <w:rPr>
          <w:color w:val="000000"/>
        </w:rPr>
        <w:t xml:space="preserve">sea compleja a escala global, en la vecindad inmediata de un punto</w:t>
      </w:r>
      <w:r>
        <w:rPr>
          <w:color w:val="000000"/>
        </w:rPr>
        <w:t xml:space="preserve"> </w:t>
      </w:r>
      <m:oMath>
        <m:r>
          <m:t>x</m:t>
        </m:r>
      </m:oMath>
      <w:r>
        <w:rPr>
          <w:color w:val="000000"/>
        </w:rPr>
        <w:t xml:space="preserve"> </w:t>
      </w:r>
      <w:r>
        <w:rPr>
          <w:color w:val="000000"/>
        </w:rPr>
        <w:t xml:space="preserve">puede aproximarse mediante un plano tangente lineal simple (</w:t>
      </w:r>
      <m:oMath>
        <m:r>
          <m:t>g</m:t>
        </m:r>
        <m:r>
          <m:rPr>
            <m:sty m:val="p"/>
          </m:rPr>
          <m:t>∈</m:t>
        </m:r>
        <m:r>
          <m:t>G</m:t>
        </m:r>
      </m:oMath>
      <w:r>
        <w:rPr>
          <w:color w:val="000000"/>
        </w:rPr>
        <w:t xml:space="preserve">).</w:t>
      </w:r>
    </w:p>
    <w:bookmarkStart w:id="36" w:name="mecanismo-algorítmico"/>
    <w:p>
      <w:pPr>
        <w:pStyle w:val="Heading3"/>
        <w:spacing w:line="360" w:lineRule="auto"/>
        <w:jc w:val="left"/>
      </w:pPr>
      <w:r>
        <w:rPr>
          <w:color w:val="000000"/>
        </w:rPr>
        <w:t xml:space="preserve">Mecanismo algorítmico</w:t>
      </w:r>
    </w:p>
    <w:p>
      <w:pPr>
        <w:pStyle w:val="FirstParagraph"/>
        <w:spacing w:line="360" w:lineRule="auto"/>
        <w:jc w:val="both"/>
      </w:pPr>
      <w:r>
        <w:rPr>
          <w:color w:val="000000"/>
        </w:rPr>
        <w:t xml:space="preserve">Para construir la aproximación local alrededor de un registro</w:t>
      </w:r>
      <w:r>
        <w:rPr>
          <w:color w:val="000000"/>
        </w:rPr>
        <w:t xml:space="preserve"> </w:t>
      </w:r>
      <m:oMath>
        <m:r>
          <m:t>x</m:t>
        </m:r>
      </m:oMath>
      <w:r>
        <w:rPr>
          <w:color w:val="000000"/>
        </w:rPr>
        <w:t xml:space="preserve">:</w:t>
      </w:r>
    </w:p>
    <w:p>
      <w:pPr>
        <w:pStyle w:val="Compact"/>
        <w:numPr>
          <w:ilvl w:val="0"/>
          <w:numId w:val="1009"/>
        </w:numPr>
        <w:spacing w:line="360" w:lineRule="auto"/>
        <w:jc w:val="both"/>
      </w:pPr>
      <w:r>
        <w:rPr>
          <w:b/>
          <w:bCs/>
          <w:color w:val="000000"/>
        </w:rPr>
        <w:t xml:space="preserve">Generación de perturbaciones:</w:t>
      </w:r>
      <w:r>
        <w:rPr>
          <w:color w:val="000000"/>
        </w:rPr>
        <w:t xml:space="preserve"> </w:t>
      </w:r>
      <w:r>
        <w:rPr>
          <w:color w:val="000000"/>
        </w:rPr>
        <w:t xml:space="preserve">Genera</w:t>
      </w:r>
      <w:r>
        <w:rPr>
          <w:color w:val="000000"/>
        </w:rPr>
        <w:t xml:space="preserve"> </w:t>
      </w:r>
      <m:oMath>
        <m:r>
          <m:t>K</m:t>
        </m:r>
      </m:oMath>
      <w:r>
        <w:rPr>
          <w:color w:val="000000"/>
        </w:rPr>
        <w:t xml:space="preserve"> </w:t>
      </w:r>
      <w:r>
        <w:rPr>
          <w:color w:val="000000"/>
        </w:rPr>
        <w:t xml:space="preserve">muestras sintéticas</w:t>
      </w:r>
      <w:r>
        <w:rPr>
          <w:color w:val="000000"/>
        </w:rPr>
        <w:t xml:space="preserve"> </w:t>
      </w:r>
      <m:oMath>
        <m:sSup>
          <m:e>
            <m:r>
              <m:t>z</m:t>
            </m:r>
          </m:e>
          <m:sup>
            <m:r>
              <m:rPr>
                <m:sty m:val="p"/>
              </m:rPr>
              <m:t>′</m:t>
            </m:r>
          </m:sup>
        </m:sSup>
      </m:oMath>
      <w:r>
        <w:rPr>
          <w:color w:val="000000"/>
        </w:rPr>
        <w:t xml:space="preserve"> </w:t>
      </w:r>
      <w:r>
        <w:rPr>
          <w:color w:val="000000"/>
        </w:rPr>
        <w:t xml:space="preserve">en el entorno de</w:t>
      </w:r>
      <w:r>
        <w:rPr>
          <w:color w:val="000000"/>
        </w:rPr>
        <w:t xml:space="preserve"> </w:t>
      </w:r>
      <m:oMath>
        <m:r>
          <m:t>x</m:t>
        </m:r>
      </m:oMath>
      <w:r>
        <w:rPr>
          <w:color w:val="000000"/>
        </w:rPr>
        <w:t xml:space="preserve">. Aplica ruido gaussiano</w:t>
      </w:r>
      <w:r>
        <w:rPr>
          <w:color w:val="000000"/>
        </w:rPr>
        <w:t xml:space="preserve"> </w:t>
      </w:r>
      <m:oMath>
        <m:r>
          <m:rPr>
            <m:scr m:val="script"/>
            <m:sty m:val="p"/>
          </m:rPr>
          <m:t>N</m:t>
        </m:r>
        <m:r>
          <m:rPr>
            <m:sty m:val="p"/>
          </m:rPr>
          <m:t>(</m:t>
        </m:r>
        <m:r>
          <m:t>0</m:t>
        </m:r>
        <m:r>
          <m:rPr>
            <m:sty m:val="p"/>
          </m:rPr>
          <m:t>,</m:t>
        </m:r>
        <m:sSup>
          <m:e>
            <m:r>
              <m:t>σ</m:t>
            </m:r>
          </m:e>
          <m:sup>
            <m:r>
              <m:t>2</m:t>
            </m:r>
          </m:sup>
        </m:sSup>
        <m:r>
          <m:rPr>
            <m:sty m:val="p"/>
          </m:rPr>
          <m:t>)</m:t>
        </m:r>
      </m:oMath>
      <w:r>
        <w:rPr>
          <w:color w:val="000000"/>
        </w:rPr>
        <w:t xml:space="preserve"> </w:t>
      </w:r>
      <w:r>
        <w:rPr>
          <w:color w:val="000000"/>
        </w:rPr>
        <w:t xml:space="preserve">sobre variables continuas y remuestreo empírico sobre las categóricas.</w:t>
      </w:r>
    </w:p>
    <w:p>
      <w:pPr>
        <w:pStyle w:val="Compact"/>
        <w:numPr>
          <w:ilvl w:val="0"/>
          <w:numId w:val="1009"/>
        </w:numPr>
        <w:spacing w:line="360" w:lineRule="auto"/>
        <w:jc w:val="both"/>
      </w:pPr>
      <w:r>
        <w:rPr>
          <w:b/>
          <w:bCs/>
          <w:color w:val="000000"/>
        </w:rPr>
        <w:t xml:space="preserve">Evaluación de la caja negra:</w:t>
      </w:r>
      <w:r>
        <w:rPr>
          <w:color w:val="000000"/>
        </w:rPr>
        <w:t xml:space="preserve"> </w:t>
      </w:r>
      <w:r>
        <w:rPr>
          <w:color w:val="000000"/>
        </w:rPr>
        <w:t xml:space="preserve">Envía las muestras</w:t>
      </w:r>
      <w:r>
        <w:rPr>
          <w:color w:val="000000"/>
        </w:rPr>
        <w:t xml:space="preserve"> </w:t>
      </w:r>
      <m:oMath>
        <m:sSup>
          <m:e>
            <m:r>
              <m:t>z</m:t>
            </m:r>
          </m:e>
          <m:sup>
            <m:r>
              <m:rPr>
                <m:sty m:val="p"/>
              </m:rPr>
              <m:t>′</m:t>
            </m:r>
          </m:sup>
        </m:sSup>
      </m:oMath>
      <w:r>
        <w:rPr>
          <w:color w:val="000000"/>
        </w:rPr>
        <w:t xml:space="preserve"> </w:t>
      </w:r>
      <w:r>
        <w:rPr>
          <w:color w:val="000000"/>
        </w:rPr>
        <w:t xml:space="preserve">al clasificador primario para obtener sus probabilidades predichas</w:t>
      </w:r>
      <w:r>
        <w:rPr>
          <w:color w:val="000000"/>
        </w:rPr>
        <w:t xml:space="preserve"> </w:t>
      </w:r>
      <m:oMath>
        <m:r>
          <m:t>f</m:t>
        </m:r>
        <m:r>
          <m:rPr>
            <m:sty m:val="p"/>
          </m:rPr>
          <m:t>(</m:t>
        </m:r>
        <m:sSup>
          <m:e>
            <m:r>
              <m:t>z</m:t>
            </m:r>
          </m:e>
          <m:sup>
            <m:r>
              <m:rPr>
                <m:sty m:val="p"/>
              </m:rPr>
              <m:t>′</m:t>
            </m:r>
          </m:sup>
        </m:sSup>
        <m:r>
          <m:rPr>
            <m:sty m:val="p"/>
          </m:rPr>
          <m:t>)</m:t>
        </m:r>
      </m:oMath>
      <w:r>
        <w:rPr>
          <w:color w:val="000000"/>
        </w:rPr>
        <w:t xml:space="preserve">.</w:t>
      </w:r>
    </w:p>
    <w:p>
      <w:pPr>
        <w:pStyle w:val="Compact"/>
        <w:numPr>
          <w:ilvl w:val="0"/>
          <w:numId w:val="1009"/>
        </w:numPr>
        <w:spacing w:line="360" w:lineRule="auto"/>
        <w:jc w:val="both"/>
      </w:pPr>
      <w:r>
        <w:rPr>
          <w:b/>
          <w:bCs/>
          <w:color w:val="000000"/>
        </w:rPr>
        <w:t xml:space="preserve">Ponderación por proximidad:</w:t>
      </w:r>
      <w:r>
        <w:rPr>
          <w:color w:val="000000"/>
        </w:rPr>
        <w:t xml:space="preserve"> </w:t>
      </w:r>
      <w:r>
        <w:rPr>
          <w:color w:val="000000"/>
        </w:rPr>
        <w:t xml:space="preserve">Asigna a cada muestra sintética</w:t>
      </w:r>
      <w:r>
        <w:rPr>
          <w:color w:val="000000"/>
        </w:rPr>
        <w:t xml:space="preserve"> </w:t>
      </w:r>
      <m:oMath>
        <m:sSup>
          <m:e>
            <m:r>
              <m:t>z</m:t>
            </m:r>
          </m:e>
          <m:sup>
            <m:r>
              <m:rPr>
                <m:sty m:val="p"/>
              </m:rPr>
              <m:t>′</m:t>
            </m:r>
          </m:sup>
        </m:sSup>
      </m:oMath>
      <w:r>
        <w:rPr>
          <w:color w:val="000000"/>
        </w:rPr>
        <w:t xml:space="preserve"> </w:t>
      </w:r>
      <w:r>
        <w:rPr>
          <w:color w:val="000000"/>
        </w:rPr>
        <w:t xml:space="preserve">un factor de ponderación</w:t>
      </w:r>
      <w:r>
        <w:rPr>
          <w:color w:val="000000"/>
        </w:rPr>
        <w:t xml:space="preserve"> </w:t>
      </w:r>
      <m:oMath>
        <m:sSub>
          <m:e>
            <m:r>
              <m:t>π</m:t>
            </m:r>
          </m:e>
          <m:sub>
            <m:r>
              <m:t>x</m:t>
            </m:r>
          </m:sub>
        </m:sSub>
        <m:r>
          <m:rPr>
            <m:sty m:val="p"/>
          </m:rPr>
          <m:t>(</m:t>
        </m:r>
        <m:r>
          <m:t>z</m:t>
        </m:r>
        <m:r>
          <m:rPr>
            <m:sty m:val="p"/>
          </m:rPr>
          <m:t>)</m:t>
        </m:r>
      </m:oMath>
      <w:r>
        <w:rPr>
          <w:color w:val="000000"/>
        </w:rPr>
        <w:t xml:space="preserve"> </w:t>
      </w:r>
      <w:r>
        <w:rPr>
          <w:color w:val="000000"/>
        </w:rPr>
        <w:t xml:space="preserve">mediante un núcleo exponencial gaussiano:</w:t>
      </w:r>
    </w:p>
    <w:p>
      <w:pPr>
        <w:pStyle w:val="FirstParagraph"/>
        <w:spacing w:line="360" w:lineRule="auto"/>
      </w:pPr>
      <m:oMathPara>
        <m:oMathParaPr>
          <m:jc m:val="center"/>
        </m:oMathParaPr>
        <m:oMath>
          <m:sSub>
            <m:e>
              <m:r>
                <m:t>π</m:t>
              </m:r>
            </m:e>
            <m:sub>
              <m:r>
                <m:t>x</m:t>
              </m:r>
            </m:sub>
          </m:sSub>
          <m:r>
            <m:rPr>
              <m:sty m:val="p"/>
            </m:rPr>
            <m:t>(</m:t>
          </m:r>
          <m:r>
            <m:t>z</m:t>
          </m:r>
          <m:r>
            <m:rPr>
              <m:sty m:val="p"/>
            </m:rPr>
            <m:t>)</m:t>
          </m:r>
          <m:r>
            <m:rPr>
              <m:sty m:val="p"/>
            </m:rPr>
            <m:t>=</m:t>
          </m:r>
          <m:r>
            <m:rPr>
              <m:sty m:val="p"/>
            </m:rPr>
            <m:t>exp</m:t>
          </m:r>
          <m:d>
            <m:dPr>
              <m:begChr m:val="("/>
              <m:sepChr m:val=""/>
              <m:endChr m:val=")"/>
              <m:grow/>
            </m:dPr>
            <m:e>
              <m:r>
                <m:rPr>
                  <m:sty m:val="p"/>
                </m:rPr>
                <m:t>−</m:t>
              </m:r>
              <m:f>
                <m:fPr>
                  <m:type m:val="bar"/>
                </m:fPr>
                <m:num>
                  <m:r>
                    <m:t>D</m:t>
                  </m:r>
                  <m:r>
                    <m:rPr>
                      <m:sty m:val="p"/>
                    </m:rPr>
                    <m:t>(</m:t>
                  </m:r>
                  <m:r>
                    <m:t>x</m:t>
                  </m:r>
                  <m:r>
                    <m:rPr>
                      <m:sty m:val="p"/>
                    </m:rPr>
                    <m:t>,</m:t>
                  </m:r>
                  <m:r>
                    <m:t>z</m:t>
                  </m:r>
                  <m:sSup>
                    <m:e>
                      <m:r>
                        <m:rPr>
                          <m:sty m:val="p"/>
                        </m:rPr>
                        <m:t>)</m:t>
                      </m:r>
                    </m:e>
                    <m:sup>
                      <m:r>
                        <m:t>2</m:t>
                      </m:r>
                    </m:sup>
                  </m:sSup>
                </m:num>
                <m:den>
                  <m:sSup>
                    <m:e>
                      <m:r>
                        <m:t>σ</m:t>
                      </m:r>
                    </m:e>
                    <m:sup>
                      <m:r>
                        <m:t>2</m:t>
                      </m:r>
                    </m:sup>
                  </m:sSup>
                </m:den>
              </m:f>
            </m:e>
          </m:d>
        </m:oMath>
      </m:oMathPara>
    </w:p>
    <w:p>
      <w:pPr>
        <w:pStyle w:val="FirstParagraph"/>
        <w:spacing w:line="360" w:lineRule="auto"/>
        <w:jc w:val="both"/>
      </w:pPr>
      <w:r>
        <w:rPr>
          <w:color w:val="000000"/>
        </w:rPr>
        <w:t xml:space="preserve">donde</w:t>
      </w:r>
      <w:r>
        <w:rPr>
          <w:color w:val="000000"/>
        </w:rPr>
        <w:t xml:space="preserve"> </w:t>
      </w:r>
      <m:oMath>
        <m:r>
          <m:t>σ</m:t>
        </m:r>
      </m:oMath>
      <w:r>
        <w:rPr>
          <w:color w:val="000000"/>
        </w:rPr>
        <w:t xml:space="preserve"> </w:t>
      </w:r>
      <w:r>
        <w:rPr>
          <w:color w:val="000000"/>
        </w:rPr>
        <w:t xml:space="preserve">define el radio de la vecindad. Si</w:t>
      </w:r>
      <w:r>
        <w:rPr>
          <w:color w:val="000000"/>
        </w:rPr>
        <w:t xml:space="preserve"> </w:t>
      </w:r>
      <m:oMath>
        <m:r>
          <m:t>z</m:t>
        </m:r>
      </m:oMath>
      <w:r>
        <w:rPr>
          <w:color w:val="000000"/>
        </w:rPr>
        <w:t xml:space="preserve"> </w:t>
      </w:r>
      <w:r>
        <w:rPr>
          <w:color w:val="000000"/>
        </w:rPr>
        <w:t xml:space="preserve">coincide con</w:t>
      </w:r>
      <w:r>
        <w:rPr>
          <w:color w:val="000000"/>
        </w:rPr>
        <w:t xml:space="preserve"> </w:t>
      </w:r>
      <m:oMath>
        <m:r>
          <m:t>x</m:t>
        </m:r>
      </m:oMath>
      <w:r>
        <w:rPr>
          <w:color w:val="000000"/>
        </w:rPr>
        <w:t xml:space="preserve"> </w:t>
      </w:r>
      <w:r>
        <w:rPr>
          <w:color w:val="000000"/>
        </w:rPr>
        <w:t xml:space="preserve">(</w:t>
      </w:r>
      <m:oMath>
        <m:r>
          <m:t>D</m:t>
        </m:r>
        <m:r>
          <m:rPr>
            <m:sty m:val="p"/>
          </m:rPr>
          <m:t>=</m:t>
        </m:r>
        <m:r>
          <m:t>0</m:t>
        </m:r>
      </m:oMath>
      <w:r>
        <w:rPr>
          <w:color w:val="000000"/>
        </w:rPr>
        <w:t xml:space="preserve">), el peso es máximo (</w:t>
      </w:r>
      <m:oMath>
        <m:r>
          <m:t>π</m:t>
        </m:r>
        <m:r>
          <m:rPr>
            <m:sty m:val="p"/>
          </m:rPr>
          <m:t>=</m:t>
        </m:r>
        <m:r>
          <m:t>1.0</m:t>
        </m:r>
      </m:oMath>
      <w:r>
        <w:rPr>
          <w:color w:val="000000"/>
        </w:rPr>
        <w:t xml:space="preserve">). A mayor distancia, el peso decae hacia cero, confinando la optimización al entorno local.</w:t>
      </w:r>
    </w:p>
    <w:p>
      <w:pPr>
        <w:pStyle w:val="Compact"/>
        <w:numPr>
          <w:ilvl w:val="0"/>
          <w:numId w:val="1010"/>
        </w:numPr>
        <w:spacing w:line="360" w:lineRule="auto"/>
        <w:jc w:val="both"/>
      </w:pPr>
      <w:r>
        <w:rPr>
          <w:b/>
          <w:bCs/>
          <w:color w:val="000000"/>
        </w:rPr>
        <w:t xml:space="preserve">Ajuste del modelo sustituto:</w:t>
      </w:r>
      <w:r>
        <w:rPr>
          <w:color w:val="000000"/>
        </w:rPr>
        <w:t xml:space="preserve"> </w:t>
      </w:r>
      <w:r>
        <w:rPr>
          <w:color w:val="000000"/>
        </w:rPr>
        <w:t xml:space="preserve">Ajusta el modelo lineal interpretable</w:t>
      </w:r>
      <w:r>
        <w:rPr>
          <w:color w:val="000000"/>
        </w:rPr>
        <w:t xml:space="preserve"> </w:t>
      </w:r>
      <m:oMath>
        <m:r>
          <m:t>g</m:t>
        </m:r>
        <m:r>
          <m:rPr>
            <m:sty m:val="p"/>
          </m:rPr>
          <m:t>(</m:t>
        </m:r>
        <m:sSup>
          <m:e>
            <m:r>
              <m:t>z</m:t>
            </m:r>
          </m:e>
          <m:sup>
            <m:r>
              <m:rPr>
                <m:sty m:val="p"/>
              </m:rPr>
              <m:t>′</m:t>
            </m:r>
          </m:sup>
        </m:sSup>
        <m:r>
          <m:rPr>
            <m:sty m:val="p"/>
          </m:rPr>
          <m:t>)</m:t>
        </m:r>
        <m:r>
          <m:rPr>
            <m:sty m:val="p"/>
          </m:rPr>
          <m:t>=</m:t>
        </m:r>
        <m:sSub>
          <m:e>
            <m:r>
              <m:t>w</m:t>
            </m:r>
          </m:e>
          <m:sub>
            <m:r>
              <m:t>0</m:t>
            </m:r>
          </m:sub>
        </m:sSub>
        <m:r>
          <m:rPr>
            <m:sty m:val="p"/>
          </m:rPr>
          <m:t>+</m:t>
        </m:r>
        <m:r>
          <m:rPr>
            <m:sty m:val="p"/>
          </m:rPr>
          <m:t>∑</m:t>
        </m:r>
        <m:sSub>
          <m:e>
            <m:r>
              <m:t>w</m:t>
            </m:r>
          </m:e>
          <m:sub>
            <m:r>
              <m:t>i</m:t>
            </m:r>
          </m:sub>
        </m:sSub>
        <m:sSubSup>
          <m:e>
            <m:r>
              <m:t>z</m:t>
            </m:r>
          </m:e>
          <m:sub>
            <m:r>
              <m:t>i</m:t>
            </m:r>
          </m:sub>
          <m:sup>
            <m:r>
              <m:rPr>
                <m:sty m:val="p"/>
              </m:rPr>
              <m:t>′</m:t>
            </m:r>
          </m:sup>
        </m:sSubSup>
      </m:oMath>
      <w:r>
        <w:rPr>
          <w:color w:val="000000"/>
        </w:rPr>
        <w:t xml:space="preserve"> </w:t>
      </w:r>
      <w:r>
        <w:rPr>
          <w:color w:val="000000"/>
        </w:rPr>
        <w:t xml:space="preserve">resolviendo:</w:t>
      </w:r>
    </w:p>
    <w:p>
      <w:pPr>
        <w:pStyle w:val="FirstParagraph"/>
        <w:spacing w:line="360" w:lineRule="auto"/>
      </w:pPr>
      <m:oMathPara>
        <m:oMathParaPr>
          <m:jc m:val="center"/>
        </m:oMathParaPr>
        <m:oMath>
          <m:r>
            <m:t>ξ</m:t>
          </m:r>
          <m:r>
            <m:rPr>
              <m:sty m:val="p"/>
            </m:rPr>
            <m:t>(</m:t>
          </m:r>
          <m:r>
            <m:t>x</m:t>
          </m:r>
          <m:r>
            <m:rPr>
              <m:sty m:val="p"/>
            </m:rPr>
            <m:t>)</m:t>
          </m:r>
          <m:r>
            <m:rPr>
              <m:sty m:val="p"/>
            </m:rPr>
            <m:t>=</m:t>
          </m:r>
          <m:r>
            <m:rPr>
              <m:sty m:val="p"/>
            </m:rPr>
            <m:t>arg</m:t>
          </m:r>
          <m:limLow>
            <m:e>
              <m:r>
                <m:rPr>
                  <m:sty m:val="p"/>
                </m:rPr>
                <m:t>min</m:t>
              </m:r>
            </m:e>
            <m:lim>
              <m:r>
                <m:t>g</m:t>
              </m:r>
              <m:r>
                <m:rPr>
                  <m:sty m:val="p"/>
                </m:rPr>
                <m:t>∈</m:t>
              </m:r>
              <m:r>
                <m:t>G</m:t>
              </m:r>
            </m:lim>
          </m:limLow>
          <m:r>
            <m:rPr>
              <m:scr m:val="script"/>
              <m:sty m:val="p"/>
            </m:rPr>
            <m:t>L</m:t>
          </m:r>
          <m:r>
            <m:rPr>
              <m:sty m:val="p"/>
            </m:rPr>
            <m:t>(</m:t>
          </m:r>
          <m:r>
            <m:t>f</m:t>
          </m:r>
          <m:r>
            <m:rPr>
              <m:sty m:val="p"/>
            </m:rPr>
            <m:t>,</m:t>
          </m:r>
          <m:r>
            <m:t>g</m:t>
          </m:r>
          <m:r>
            <m:rPr>
              <m:sty m:val="p"/>
            </m:rPr>
            <m:t>,</m:t>
          </m:r>
          <m:sSub>
            <m:e>
              <m:r>
                <m:t>π</m:t>
              </m:r>
            </m:e>
            <m:sub>
              <m:r>
                <m:t>x</m:t>
              </m:r>
            </m:sub>
          </m:sSub>
          <m:r>
            <m:rPr>
              <m:sty m:val="p"/>
            </m:rPr>
            <m:t>)</m:t>
          </m:r>
          <m:r>
            <m:rPr>
              <m:sty m:val="p"/>
            </m:rPr>
            <m:t>+</m:t>
          </m:r>
          <m:r>
            <m:rPr>
              <m:sty m:val="p"/>
            </m:rPr>
            <m:t>Ω</m:t>
          </m:r>
          <m:r>
            <m:rPr>
              <m:sty m:val="p"/>
            </m:rPr>
            <m:t>(</m:t>
          </m:r>
          <m:r>
            <m:t>g</m:t>
          </m:r>
          <m:r>
            <m:rPr>
              <m:sty m:val="p"/>
            </m:rPr>
            <m:t>)</m:t>
          </m:r>
        </m:oMath>
      </m:oMathPara>
    </w:p>
    <w:p>
      <w:pPr>
        <w:pStyle w:val="FirstParagraph"/>
        <w:spacing w:line="360" w:lineRule="auto"/>
        <w:jc w:val="both"/>
      </w:pPr>
      <w:r>
        <w:rPr>
          <w:color w:val="000000"/>
        </w:rPr>
        <w:t xml:space="preserve">donde</w:t>
      </w:r>
      <w:r>
        <w:rPr>
          <w:color w:val="000000"/>
        </w:rPr>
        <w:t xml:space="preserve"> </w:t>
      </w:r>
      <m:oMath>
        <m:r>
          <m:rPr>
            <m:scr m:val="script"/>
            <m:sty m:val="p"/>
          </m:rPr>
          <m:t>L</m:t>
        </m:r>
      </m:oMath>
      <w:r>
        <w:rPr>
          <w:color w:val="000000"/>
        </w:rPr>
        <w:t xml:space="preserve"> </w:t>
      </w:r>
      <w:r>
        <w:rPr>
          <w:color w:val="000000"/>
        </w:rPr>
        <w:t xml:space="preserve">representa el error cuadrático ponderado por</w:t>
      </w:r>
      <w:r>
        <w:rPr>
          <w:color w:val="000000"/>
        </w:rPr>
        <w:t xml:space="preserve"> </w:t>
      </w:r>
      <m:oMath>
        <m:sSub>
          <m:e>
            <m:r>
              <m:t>π</m:t>
            </m:r>
          </m:e>
          <m:sub>
            <m:r>
              <m:t>x</m:t>
            </m:r>
          </m:sub>
        </m:sSub>
      </m:oMath>
      <w:r>
        <w:rPr>
          <w:color w:val="000000"/>
        </w:rPr>
        <w:t xml:space="preserve">, y</w:t>
      </w:r>
      <w:r>
        <w:rPr>
          <w:color w:val="000000"/>
        </w:rPr>
        <w:t xml:space="preserve"> </w:t>
      </w:r>
      <m:oMath>
        <m:r>
          <m:rPr>
            <m:sty m:val="p"/>
          </m:rPr>
          <m:t>Ω</m:t>
        </m:r>
        <m:r>
          <m:rPr>
            <m:sty m:val="p"/>
          </m:rPr>
          <m:t>(</m:t>
        </m:r>
        <m:r>
          <m:t>g</m:t>
        </m:r>
        <m:r>
          <m:rPr>
            <m:sty m:val="p"/>
          </m:rPr>
          <m:t>)</m:t>
        </m:r>
        <m:r>
          <m:rPr>
            <m:sty m:val="p"/>
          </m:rPr>
          <m:t>=</m:t>
        </m:r>
        <m:r>
          <m:t>α</m:t>
        </m:r>
        <m:r>
          <m:rPr>
            <m:sty m:val="p"/>
          </m:rPr>
          <m:t>∑</m:t>
        </m:r>
        <m:r>
          <m:rPr>
            <m:sty m:val="p"/>
          </m:rPr>
          <m:t>|</m:t>
        </m:r>
        <m:sSub>
          <m:e>
            <m:r>
              <m:t>w</m:t>
            </m:r>
          </m:e>
          <m:sub>
            <m:r>
              <m:t>i</m:t>
            </m:r>
          </m:sub>
        </m:sSub>
        <m:r>
          <m:rPr>
            <m:sty m:val="p"/>
          </m:rPr>
          <m:t>|</m:t>
        </m:r>
      </m:oMath>
      <w:r>
        <w:rPr>
          <w:color w:val="000000"/>
        </w:rPr>
        <w:t xml:space="preserve"> </w:t>
      </w:r>
      <w:r>
        <w:rPr>
          <w:color w:val="000000"/>
        </w:rPr>
        <w:t xml:space="preserve">es una regularización Lasso que induce esparcidad.</w:t>
      </w:r>
    </w:p>
    <w:bookmarkEnd w:id="36"/>
    <w:bookmarkStart w:id="40" w:name="Xf9d7804cddb6e920fb7de8a5d7f2fb3846b64d5"/>
    <w:p>
      <w:pPr>
        <w:pStyle w:val="Heading3"/>
        <w:spacing w:line="360" w:lineRule="auto"/>
        <w:jc w:val="left"/>
      </w:pPr>
      <w:r>
        <w:rPr>
          <w:color w:val="000000"/>
        </w:rPr>
        <w:t xml:space="preserve">Riesgo operacional: Muestras fuera de distribución (</w:t>
      </w:r>
      <w:r>
        <w:rPr>
          <w:i/>
          <w:iCs/>
          <w:color w:val="000000"/>
        </w:rPr>
        <w:t xml:space="preserve">OOD</w:t>
      </w:r>
      <w:r>
        <w:rPr>
          <w:color w:val="000000"/>
        </w:rPr>
        <w:t xml:space="preserve">)</w:t>
      </w:r>
    </w:p>
    <w:p>
      <w:pPr>
        <w:pStyle w:val="FirstParagraph"/>
        <w:spacing w:line="360" w:lineRule="auto"/>
        <w:jc w:val="both"/>
      </w:pPr>
      <w:r>
        <w:rPr>
          <w:color w:val="000000"/>
        </w:rPr>
        <w:t xml:space="preserve">Desde la perspectiva de datos, la debilidad de LIME radica en perturbar columnas de forma desacoplada. Esta independencia puede violar la integridad lógica del esquema (por ejemplo, combinando</w:t>
      </w:r>
      <w:r>
        <w:rPr>
          <w:color w:val="000000"/>
        </w:rPr>
        <w:t xml:space="preserve"> </w:t>
      </w:r>
      <w:r>
        <w:rPr>
          <w:rStyle w:val="VerbatimChar"/>
          <w:color w:val="000000"/>
        </w:rPr>
        <w:t xml:space="preserve">Edad = 18</w:t>
      </w:r>
      <w:r>
        <w:rPr>
          <w:color w:val="000000"/>
        </w:rPr>
        <w:t xml:space="preserve"> </w:t>
      </w:r>
      <w:r>
        <w:rPr>
          <w:color w:val="000000"/>
        </w:rPr>
        <w:t xml:space="preserve">con</w:t>
      </w:r>
      <w:r>
        <w:rPr>
          <w:color w:val="000000"/>
        </w:rPr>
        <w:t xml:space="preserve"> </w:t>
      </w:r>
      <w:r>
        <w:rPr>
          <w:rStyle w:val="VerbatimChar"/>
          <w:color w:val="000000"/>
        </w:rPr>
        <w:t xml:space="preserve">Años_Estudio = 22</w:t>
      </w:r>
      <w:r>
        <w:rPr>
          <w:color w:val="000000"/>
        </w:rPr>
        <w:t xml:space="preserve">). Al recibir registros situados en zonas anómalas (</w:t>
      </w:r>
      <w:r>
        <w:rPr>
          <w:i/>
          <w:iCs/>
          <w:color w:val="000000"/>
        </w:rPr>
        <w:t xml:space="preserve">Out-of-Distribution</w:t>
      </w:r>
      <w:r>
        <w:rPr>
          <w:color w:val="000000"/>
        </w:rPr>
        <w:t xml:space="preserve">, OOD), el clasificador extrapola erráticamente, sesgando los coeficientes del sustituto lineal.</w:t>
      </w:r>
    </w:p>
    <w:p>
      <w:pPr>
        <w:pStyle w:val="BodyText"/>
        <w:spacing w:line="360" w:lineRule="auto"/>
        <w:jc w:val="both"/>
      </w:pPr>
      <w:r>
        <w:rPr>
          <w:color w:val="000000"/>
        </w:rPr>
        <w:t xml:space="preserve">Como ilustra la Figura 5, el núcleo</w:t>
      </w:r>
      <w:r>
        <w:rPr>
          <w:color w:val="000000"/>
        </w:rPr>
        <w:t xml:space="preserve"> </w:t>
      </w:r>
      <m:oMath>
        <m:sSub>
          <m:e>
            <m:r>
              <m:t>π</m:t>
            </m:r>
          </m:e>
          <m:sub>
            <m:r>
              <m:t>x</m:t>
            </m:r>
          </m:sub>
        </m:sSub>
        <m:r>
          <m:rPr>
            <m:sty m:val="p"/>
          </m:rPr>
          <m:t>(</m:t>
        </m:r>
        <m:r>
          <m:t>z</m:t>
        </m:r>
        <m:r>
          <m:rPr>
            <m:sty m:val="p"/>
          </m:rPr>
          <m:t>)</m:t>
        </m:r>
      </m:oMath>
      <w:r>
        <w:rPr>
          <w:color w:val="000000"/>
        </w:rPr>
        <w:t xml:space="preserve"> </w:t>
      </w:r>
      <w:r>
        <w:rPr>
          <w:color w:val="000000"/>
        </w:rPr>
        <w:t xml:space="preserve">concentra la atención sobre la vecindad local (Panel A), permitiendo que la recta tangente</w:t>
      </w:r>
      <w:r>
        <w:rPr>
          <w:color w:val="000000"/>
        </w:rPr>
        <w:t xml:space="preserve"> </w:t>
      </w:r>
      <m:oMath>
        <m:r>
          <m:t>g</m:t>
        </m:r>
        <m:r>
          <m:rPr>
            <m:sty m:val="p"/>
          </m:rPr>
          <m:t>(</m:t>
        </m:r>
        <m:r>
          <m:t>z</m:t>
        </m:r>
        <m:r>
          <m:rPr>
            <m:sty m:val="p"/>
          </m:rPr>
          <m:t>)</m:t>
        </m:r>
      </m:oMath>
      <w:r>
        <w:rPr>
          <w:color w:val="000000"/>
        </w:rPr>
        <w:t xml:space="preserve"> </w:t>
      </w:r>
      <w:r>
        <w:rPr>
          <w:color w:val="000000"/>
        </w:rPr>
        <w:t xml:space="preserve">aproxime la frontera no lineal. Sin embargo, ante correlaciones empíricas marcadas (Panel B), la perturbación cartesiana proyecta muestras hacia regiones OOD vacías, distorsionando la estimación de los pesos locales.</w:t>
      </w:r>
    </w:p>
    <w:p>
      <w:pPr>
        <w:pStyle w:val="CaptionedFigure"/>
        <w:spacing w:line="360" w:lineRule="auto"/>
        <w:jc w:val="center"/>
      </w:pPr>
      <w:r>
        <w:rPr>
          <w:color w:val="000000"/>
        </w:rPr>
        <w:drawing>
          <wp:inline>
            <wp:extent cx="5228414" cy="3028663"/>
            <wp:effectExtent b="0" l="0" r="0" t="0"/>
            <wp:docPr descr="Figura 5. Fundamento geométrico de LIME y riesgo de perturbaciones fuera de distribución (OOD). Panel A: aproximación lineal local tangente g(z) ponderada por el núcleo de decaimiento gaussiano \pi_x(z). Panel B: generación de instancias sintéticas independientes que violan la correlación natural del esquema tabular. Fuente: elaboración propia a partir de Ribeiro et al. (2016)." title="" id="38" name="Picture"/>
            <a:graphic>
              <a:graphicData uri="http://schemas.openxmlformats.org/drawingml/2006/picture">
                <pic:pic>
                  <pic:nvPicPr>
                    <pic:cNvPr descr="../figures/exported/fig_d9_lime_geometria_es.png" id="39" name="Picture"/>
                    <pic:cNvPicPr>
                      <a:picLocks noChangeArrowheads="1" noChangeAspect="1"/>
                    </pic:cNvPicPr>
                  </pic:nvPicPr>
                  <pic:blipFill>
                    <a:blip r:embed="rId37"/>
                    <a:stretch>
                      <a:fillRect/>
                    </a:stretch>
                  </pic:blipFill>
                  <pic:spPr bwMode="auto">
                    <a:xfrm>
                      <a:off x="0" y="0"/>
                      <a:ext cx="5228414" cy="3028663"/>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5. Fundamento geométrico de LIME y riesgo de perturbaciones fuera de distribución (OOD). Panel A: aproximación lineal local tangente</w:t>
      </w:r>
      <w:r>
        <w:rPr>
          <w:color w:val="000000"/>
        </w:rPr>
        <w:t xml:space="preserve"> </w:t>
      </w:r>
      <m:oMath>
        <m:r>
          <m:t>g</m:t>
        </m:r>
        <m:r>
          <m:rPr>
            <m:sty m:val="p"/>
          </m:rPr>
          <m:t>(</m:t>
        </m:r>
        <m:r>
          <m:t>z</m:t>
        </m:r>
        <m:r>
          <m:rPr>
            <m:sty m:val="p"/>
          </m:rPr>
          <m:t>)</m:t>
        </m:r>
      </m:oMath>
      <w:r>
        <w:rPr>
          <w:color w:val="000000"/>
        </w:rPr>
        <w:t xml:space="preserve"> </w:t>
      </w:r>
      <w:r>
        <w:rPr>
          <w:color w:val="000000"/>
        </w:rPr>
        <w:t xml:space="preserve">ponderada por el núcleo de decaimiento gaussiano</w:t>
      </w:r>
      <w:r>
        <w:rPr>
          <w:color w:val="000000"/>
        </w:rPr>
        <w:t xml:space="preserve"> </w:t>
      </w:r>
      <m:oMath>
        <m:sSub>
          <m:e>
            <m:r>
              <m:t>π</m:t>
            </m:r>
          </m:e>
          <m:sub>
            <m:r>
              <m:t>x</m:t>
            </m:r>
          </m:sub>
        </m:sSub>
        <m:r>
          <m:rPr>
            <m:sty m:val="p"/>
          </m:rPr>
          <m:t>(</m:t>
        </m:r>
        <m:r>
          <m:t>z</m:t>
        </m:r>
        <m:r>
          <m:rPr>
            <m:sty m:val="p"/>
          </m:rPr>
          <m:t>)</m:t>
        </m:r>
      </m:oMath>
      <w:r>
        <w:rPr>
          <w:color w:val="000000"/>
        </w:rPr>
        <w:t xml:space="preserve">. Panel B: generación de instancias sintéticas independientes que violan la correlación natural del esquema tabular. Fuente: elaboración propia a partir de Ribeiro</w:t>
      </w:r>
      <w:r>
        <w:rPr>
          <w:color w:val="000000"/>
        </w:rPr>
        <w:t xml:space="preserve"> </w:t>
      </w:r>
      <w:r>
        <w:rPr>
          <w:i/>
          <w:iCs/>
          <w:color w:val="000000"/>
        </w:rPr>
        <w:t xml:space="preserve">et al.</w:t>
      </w:r>
      <w:r>
        <w:rPr>
          <w:color w:val="000000"/>
        </w:rPr>
        <w:t xml:space="preserve"> </w:t>
      </w:r>
      <w:r>
        <w:rPr>
          <w:color w:val="000000"/>
        </w:rPr>
        <w:t xml:space="preserve">(2016).</w:t>
      </w:r>
    </w:p>
    <w:bookmarkEnd w:id="40"/>
    <w:bookmarkEnd w:id="41"/>
    <w:bookmarkStart w:id="48" w:name="Xbe00a370153b795ea7bd6b8bff3835d94c4bf06"/>
    <w:p>
      <w:pPr>
        <w:pStyle w:val="Heading2"/>
        <w:spacing w:line="360" w:lineRule="auto"/>
        <w:jc w:val="left"/>
      </w:pPr>
      <w:r>
        <w:rPr>
          <w:color w:val="000000"/>
        </w:rPr>
        <w:t xml:space="preserve">SHAP: Explicaciones aditivas basadas en teoría de juegos cooperativos</w:t>
      </w:r>
    </w:p>
    <w:p>
      <w:pPr>
        <w:pStyle w:val="FirstParagraph"/>
        <w:spacing w:line="360" w:lineRule="auto"/>
        <w:jc w:val="both"/>
      </w:pPr>
      <w:r>
        <w:rPr>
          <w:color w:val="000000"/>
        </w:rPr>
        <w:t xml:space="preserve">Desarrollado por Lundberg y Lee (2017),</w:t>
      </w:r>
      <w:r>
        <w:rPr>
          <w:color w:val="000000"/>
        </w:rPr>
        <w:t xml:space="preserve"> </w:t>
      </w:r>
      <w:r>
        <w:rPr>
          <w:b/>
          <w:bCs/>
          <w:color w:val="000000"/>
        </w:rPr>
        <w:t xml:space="preserve">SHAP</w:t>
      </w:r>
      <w:r>
        <w:rPr>
          <w:color w:val="000000"/>
        </w:rPr>
        <w:t xml:space="preserve"> </w:t>
      </w:r>
      <w:r>
        <w:rPr>
          <w:color w:val="000000"/>
        </w:rPr>
        <w:t xml:space="preserve">(</w:t>
      </w:r>
      <w:r>
        <w:rPr>
          <w:i/>
          <w:iCs/>
          <w:color w:val="000000"/>
        </w:rPr>
        <w:t xml:space="preserve">SHapley Additive exPlanations</w:t>
      </w:r>
      <w:r>
        <w:rPr>
          <w:color w:val="000000"/>
        </w:rPr>
        <w:t xml:space="preserve">) formula la atribución de características transformando el problema en un juego cooperativo de teoría de juegos (Shapley, 1953).</w:t>
      </w:r>
    </w:p>
    <w:bookmarkStart w:id="42" w:name="intuición-para-el-ingeniero-de-datos"/>
    <w:p>
      <w:pPr>
        <w:pStyle w:val="Heading3"/>
        <w:spacing w:line="360" w:lineRule="auto"/>
        <w:jc w:val="left"/>
      </w:pPr>
      <w:r>
        <w:rPr>
          <w:color w:val="000000"/>
        </w:rPr>
        <w:t xml:space="preserve">Intuición para el ingeniero de datos</w:t>
      </w:r>
    </w:p>
    <w:p>
      <w:pPr>
        <w:pStyle w:val="FirstParagraph"/>
        <w:spacing w:line="360" w:lineRule="auto"/>
        <w:jc w:val="both"/>
      </w:pPr>
      <w:r>
        <w:rPr>
          <w:color w:val="000000"/>
        </w:rPr>
        <w:t xml:space="preserve">Considere cuatro variables de una tabla (</w:t>
      </w:r>
      <w:r>
        <w:rPr>
          <w:rStyle w:val="VerbatimChar"/>
          <w:color w:val="000000"/>
        </w:rPr>
        <w:t xml:space="preserve">Ingresos</w:t>
      </w:r>
      <w:r>
        <w:rPr>
          <w:color w:val="000000"/>
        </w:rPr>
        <w:t xml:space="preserve">,</w:t>
      </w:r>
      <w:r>
        <w:rPr>
          <w:color w:val="000000"/>
        </w:rPr>
        <w:t xml:space="preserve"> </w:t>
      </w:r>
      <w:r>
        <w:rPr>
          <w:rStyle w:val="VerbatimChar"/>
          <w:color w:val="000000"/>
        </w:rPr>
        <w:t xml:space="preserve">Puntaje_Crediticio</w:t>
      </w:r>
      <w:r>
        <w:rPr>
          <w:color w:val="000000"/>
        </w:rPr>
        <w:t xml:space="preserve">,</w:t>
      </w:r>
      <w:r>
        <w:rPr>
          <w:color w:val="000000"/>
        </w:rPr>
        <w:t xml:space="preserve"> </w:t>
      </w:r>
      <w:r>
        <w:rPr>
          <w:rStyle w:val="VerbatimChar"/>
          <w:color w:val="000000"/>
        </w:rPr>
        <w:t xml:space="preserve">Edad</w:t>
      </w:r>
      <w:r>
        <w:rPr>
          <w:color w:val="000000"/>
        </w:rPr>
        <w:t xml:space="preserve">,</w:t>
      </w:r>
      <w:r>
        <w:rPr>
          <w:color w:val="000000"/>
        </w:rPr>
        <w:t xml:space="preserve"> </w:t>
      </w:r>
      <w:r>
        <w:rPr>
          <w:rStyle w:val="VerbatimChar"/>
          <w:color w:val="000000"/>
        </w:rPr>
        <w:t xml:space="preserve">Deuda</w:t>
      </w:r>
      <w:r>
        <w:rPr>
          <w:color w:val="000000"/>
        </w:rPr>
        <w:t xml:space="preserve">) que colaboran para emitir una probabilidad</w:t>
      </w:r>
      <w:r>
        <w:rPr>
          <w:color w:val="000000"/>
        </w:rPr>
        <w:t xml:space="preserve"> </w:t>
      </w:r>
      <m:oMath>
        <m:r>
          <m:t>f</m:t>
        </m:r>
        <m:r>
          <m:rPr>
            <m:sty m:val="p"/>
          </m:rPr>
          <m:t>(</m:t>
        </m:r>
        <m:r>
          <m:t>x</m:t>
        </m:r>
        <m:r>
          <m:rPr>
            <m:sty m:val="p"/>
          </m:rPr>
          <m:t>)</m:t>
        </m:r>
        <m:r>
          <m:rPr>
            <m:sty m:val="p"/>
          </m:rPr>
          <m:t>=</m:t>
        </m:r>
        <m:r>
          <m:t>0.85</m:t>
        </m:r>
      </m:oMath>
      <w:r>
        <w:rPr>
          <w:color w:val="000000"/>
        </w:rPr>
        <w:t xml:space="preserve">, frente a una media poblacional</w:t>
      </w:r>
      <w:r>
        <w:rPr>
          <w:color w:val="000000"/>
        </w:rPr>
        <w:t xml:space="preserve"> </w:t>
      </w:r>
      <m:oMath>
        <m:r>
          <m:rPr>
            <m:scr m:val="double-struck"/>
            <m:sty m:val="p"/>
          </m:rPr>
          <m:t>E</m:t>
        </m:r>
        <m:r>
          <m:rPr>
            <m:sty m:val="p"/>
          </m:rPr>
          <m:t>[</m:t>
        </m:r>
        <m:r>
          <m:t>f</m:t>
        </m:r>
        <m:r>
          <m:rPr>
            <m:sty m:val="p"/>
          </m:rPr>
          <m:t>(</m:t>
        </m:r>
        <m:r>
          <m:t>X</m:t>
        </m:r>
        <m:r>
          <m:rPr>
            <m:sty m:val="p"/>
          </m:rPr>
          <m:t>)</m:t>
        </m:r>
        <m:r>
          <m:rPr>
            <m:sty m:val="p"/>
          </m:rPr>
          <m:t>]</m:t>
        </m:r>
        <m:r>
          <m:rPr>
            <m:sty m:val="p"/>
          </m:rPr>
          <m:t>=</m:t>
        </m:r>
        <m:r>
          <m:t>0.50</m:t>
        </m:r>
      </m:oMath>
      <w:r>
        <w:rPr>
          <w:color w:val="000000"/>
        </w:rPr>
        <w:t xml:space="preserve">. La discrepancia a explicar es</w:t>
      </w:r>
      <w:r>
        <w:rPr>
          <w:color w:val="000000"/>
        </w:rPr>
        <w:t xml:space="preserve"> </w:t>
      </w:r>
      <m:oMath>
        <m:r>
          <m:rPr>
            <m:sty m:val="p"/>
          </m:rPr>
          <m:t>+</m:t>
        </m:r>
        <m:r>
          <m:t>0.35</m:t>
        </m:r>
      </m:oMath>
      <w:r>
        <w:rPr>
          <w:color w:val="000000"/>
        </w:rPr>
        <w:t xml:space="preserve">. El aporte marginal de</w:t>
      </w:r>
      <w:r>
        <w:rPr>
          <w:color w:val="000000"/>
        </w:rPr>
        <w:t xml:space="preserve"> </w:t>
      </w:r>
      <w:r>
        <w:rPr>
          <w:rStyle w:val="VerbatimChar"/>
          <w:color w:val="000000"/>
        </w:rPr>
        <w:t xml:space="preserve">Puntaje_Crediticio</w:t>
      </w:r>
      <w:r>
        <w:rPr>
          <w:color w:val="000000"/>
        </w:rPr>
        <w:t xml:space="preserve"> </w:t>
      </w:r>
      <w:r>
        <w:rPr>
          <w:color w:val="000000"/>
        </w:rPr>
        <w:t xml:space="preserve">puede ser</w:t>
      </w:r>
      <w:r>
        <w:rPr>
          <w:color w:val="000000"/>
        </w:rPr>
        <w:t xml:space="preserve"> </w:t>
      </w:r>
      <m:oMath>
        <m:r>
          <m:rPr>
            <m:sty m:val="p"/>
          </m:rPr>
          <m:t>+</m:t>
        </m:r>
        <m:r>
          <m:t>0.20</m:t>
        </m:r>
      </m:oMath>
      <w:r>
        <w:rPr>
          <w:color w:val="000000"/>
        </w:rPr>
        <w:t xml:space="preserve"> </w:t>
      </w:r>
      <w:r>
        <w:rPr>
          <w:color w:val="000000"/>
        </w:rPr>
        <w:t xml:space="preserve">de forma aislada. No obstante, al integrarse en una coalición donde</w:t>
      </w:r>
      <w:r>
        <w:rPr>
          <w:color w:val="000000"/>
        </w:rPr>
        <w:t xml:space="preserve"> </w:t>
      </w:r>
      <w:r>
        <w:rPr>
          <w:rStyle w:val="VerbatimChar"/>
          <w:color w:val="000000"/>
        </w:rPr>
        <w:t xml:space="preserve">Ingresos</w:t>
      </w:r>
      <w:r>
        <w:rPr>
          <w:color w:val="000000"/>
        </w:rPr>
        <w:t xml:space="preserve"> </w:t>
      </w:r>
      <w:r>
        <w:rPr>
          <w:color w:val="000000"/>
        </w:rPr>
        <w:t xml:space="preserve">ya está presente, su contribución puede caer a</w:t>
      </w:r>
      <w:r>
        <w:rPr>
          <w:color w:val="000000"/>
        </w:rPr>
        <w:t xml:space="preserve"> </w:t>
      </w:r>
      <m:oMath>
        <m:r>
          <m:rPr>
            <m:sty m:val="p"/>
          </m:rPr>
          <m:t>+</m:t>
        </m:r>
        <m:r>
          <m:t>0.08</m:t>
        </m:r>
      </m:oMath>
      <w:r>
        <w:rPr>
          <w:color w:val="000000"/>
        </w:rPr>
        <w:t xml:space="preserve"> </w:t>
      </w:r>
      <w:r>
        <w:rPr>
          <w:color w:val="000000"/>
        </w:rPr>
        <w:t xml:space="preserve">por redundancia informativa.</w:t>
      </w:r>
    </w:p>
    <w:p>
      <w:pPr>
        <w:pStyle w:val="BodyText"/>
        <w:spacing w:line="360" w:lineRule="auto"/>
        <w:jc w:val="both"/>
      </w:pPr>
      <w:r>
        <w:rPr>
          <w:color w:val="000000"/>
        </w:rPr>
        <w:t xml:space="preserve">Shapley resuelve esta distribución calculando el</w:t>
      </w:r>
      <w:r>
        <w:rPr>
          <w:color w:val="000000"/>
        </w:rPr>
        <w:t xml:space="preserve"> </w:t>
      </w:r>
      <w:r>
        <w:rPr>
          <w:b/>
          <w:bCs/>
          <w:color w:val="000000"/>
        </w:rPr>
        <w:t xml:space="preserve">aporte marginal promedio de cada variable a través de todas las coaliciones posibles</w:t>
      </w:r>
      <w:r>
        <w:rPr>
          <w:color w:val="000000"/>
        </w:rPr>
        <w:t xml:space="preserve">:</w:t>
      </w:r>
    </w:p>
    <w:p>
      <w:pPr>
        <w:pStyle w:val="BodyText"/>
        <w:spacing w:line="360" w:lineRule="auto"/>
      </w:pPr>
      <m:oMathPara>
        <m:oMathParaPr>
          <m:jc m:val="center"/>
        </m:oMathParaPr>
        <m:oMath>
          <m:sSub>
            <m:e>
              <m:r>
                <m:t>ϕ</m:t>
              </m:r>
            </m:e>
            <m:sub>
              <m:r>
                <m:t>i</m:t>
              </m:r>
            </m:sub>
          </m:sSub>
          <m:r>
            <m:rPr>
              <m:sty m:val="p"/>
            </m:rPr>
            <m:t>(</m:t>
          </m:r>
          <m:r>
            <m:t>x</m:t>
          </m:r>
          <m:r>
            <m:rPr>
              <m:sty m:val="p"/>
            </m:rPr>
            <m:t>)</m:t>
          </m:r>
          <m:r>
            <m:rPr>
              <m:sty m:val="p"/>
            </m:rPr>
            <m:t>=</m:t>
          </m:r>
          <m:nary>
            <m:naryPr>
              <m:chr m:val="∑"/>
              <m:limLoc m:val="undOvr"/>
              <m:subHide m:val="off"/>
              <m:supHide m:val="on"/>
            </m:naryPr>
            <m:sub>
              <m:r>
                <m:t>S</m:t>
              </m:r>
              <m:r>
                <m:rPr>
                  <m:sty m:val="p"/>
                </m:rPr>
                <m:t>⊆</m:t>
              </m:r>
              <m:r>
                <m:t>F</m:t>
              </m:r>
              <m:r>
                <m:rPr>
                  <m:sty m:val="p"/>
                </m:rPr>
                <m:t>\</m:t>
              </m:r>
              <m:r>
                <m:rPr>
                  <m:sty m:val="p"/>
                </m:rPr>
                <m:t>{</m:t>
              </m:r>
              <m:r>
                <m:t>i</m:t>
              </m:r>
              <m:r>
                <m:rPr>
                  <m:sty m:val="p"/>
                </m:rPr>
                <m:t>}</m:t>
              </m:r>
            </m:sub>
            <m:sup>
              <m:r>
                <m:t>​</m:t>
              </m:r>
            </m:sup>
            <m:e>
              <m:f>
                <m:fPr>
                  <m:type m:val="bar"/>
                </m:fPr>
                <m:num>
                  <m:r>
                    <m:rPr>
                      <m:sty m:val="p"/>
                    </m:rPr>
                    <m:t>|</m:t>
                  </m:r>
                  <m:r>
                    <m:t>S</m:t>
                  </m:r>
                  <m:r>
                    <m:rPr>
                      <m:sty m:val="p"/>
                    </m:rPr>
                    <m:t>|</m:t>
                  </m:r>
                  <m:r>
                    <m:rPr>
                      <m:sty m:val="p"/>
                    </m:rPr>
                    <m:t>!</m:t>
                  </m:r>
                  <m:r>
                    <m:rPr>
                      <m:sty m:val="p"/>
                    </m:rPr>
                    <m:t>(</m:t>
                  </m:r>
                  <m:r>
                    <m:rPr>
                      <m:sty m:val="p"/>
                    </m:rPr>
                    <m:t>|</m:t>
                  </m:r>
                  <m:r>
                    <m:t>F</m:t>
                  </m:r>
                  <m:r>
                    <m:rPr>
                      <m:sty m:val="p"/>
                    </m:rPr>
                    <m:t>|</m:t>
                  </m:r>
                  <m:r>
                    <m:rPr>
                      <m:sty m:val="p"/>
                    </m:rPr>
                    <m:t>−</m:t>
                  </m:r>
                  <m:r>
                    <m:rPr>
                      <m:sty m:val="p"/>
                    </m:rPr>
                    <m:t>|</m:t>
                  </m:r>
                  <m:r>
                    <m:t>S</m:t>
                  </m:r>
                  <m:r>
                    <m:rPr>
                      <m:sty m:val="p"/>
                    </m:rPr>
                    <m:t>|</m:t>
                  </m:r>
                  <m:r>
                    <m:rPr>
                      <m:sty m:val="p"/>
                    </m:rPr>
                    <m:t>−</m:t>
                  </m:r>
                  <m:r>
                    <m:t>1</m:t>
                  </m:r>
                  <m:r>
                    <m:rPr>
                      <m:sty m:val="p"/>
                    </m:rPr>
                    <m:t>)</m:t>
                  </m:r>
                  <m:r>
                    <m:rPr>
                      <m:sty m:val="p"/>
                    </m:rPr>
                    <m:t>!</m:t>
                  </m:r>
                </m:num>
                <m:den>
                  <m:r>
                    <m:rPr>
                      <m:sty m:val="p"/>
                    </m:rPr>
                    <m:t>|</m:t>
                  </m:r>
                  <m:r>
                    <m:t>F</m:t>
                  </m:r>
                  <m:r>
                    <m:rPr>
                      <m:sty m:val="p"/>
                    </m:rPr>
                    <m:t>|</m:t>
                  </m:r>
                  <m:r>
                    <m:rPr>
                      <m:sty m:val="p"/>
                    </m:rPr>
                    <m:t>!</m:t>
                  </m:r>
                </m:den>
              </m:f>
            </m:e>
          </m:nary>
          <m:d>
            <m:dPr>
              <m:begChr m:val="["/>
              <m:sepChr m:val=""/>
              <m:endChr m:val="]"/>
              <m:grow/>
            </m:dPr>
            <m:e>
              <m:sSub>
                <m:e>
                  <m:r>
                    <m:t>f</m:t>
                  </m:r>
                </m:e>
                <m:sub>
                  <m:r>
                    <m:t>x</m:t>
                  </m:r>
                </m:sub>
              </m:sSub>
              <m:r>
                <m:rPr>
                  <m:sty m:val="p"/>
                </m:rPr>
                <m:t>(</m:t>
              </m:r>
              <m:r>
                <m:t>S</m:t>
              </m:r>
              <m:r>
                <m:rPr>
                  <m:sty m:val="p"/>
                </m:rPr>
                <m:t>∪</m:t>
              </m:r>
              <m:r>
                <m:rPr>
                  <m:sty m:val="p"/>
                </m:rPr>
                <m:t>{</m:t>
              </m:r>
              <m:r>
                <m:t>i</m:t>
              </m:r>
              <m:r>
                <m:rPr>
                  <m:sty m:val="p"/>
                </m:rPr>
                <m:t>}</m:t>
              </m:r>
              <m:r>
                <m:rPr>
                  <m:sty m:val="p"/>
                </m:rPr>
                <m:t>)</m:t>
              </m:r>
              <m:r>
                <m:rPr>
                  <m:sty m:val="p"/>
                </m:rPr>
                <m:t>−</m:t>
              </m:r>
              <m:sSub>
                <m:e>
                  <m:r>
                    <m:t>f</m:t>
                  </m:r>
                </m:e>
                <m:sub>
                  <m:r>
                    <m:t>x</m:t>
                  </m:r>
                </m:sub>
              </m:sSub>
              <m:r>
                <m:rPr>
                  <m:sty m:val="p"/>
                </m:rPr>
                <m:t>(</m:t>
              </m:r>
              <m:r>
                <m:t>S</m:t>
              </m:r>
              <m:r>
                <m:rPr>
                  <m:sty m:val="p"/>
                </m:rPr>
                <m:t>)</m:t>
              </m:r>
            </m:e>
          </m:d>
        </m:oMath>
      </m:oMathPara>
    </w:p>
    <w:p>
      <w:pPr>
        <w:pStyle w:val="FirstParagraph"/>
        <w:spacing w:line="360" w:lineRule="auto"/>
        <w:jc w:val="both"/>
      </w:pPr>
      <w:r>
        <w:rPr>
          <w:color w:val="000000"/>
        </w:rPr>
        <w:t xml:space="preserve">En esta formulación:</w:t>
      </w:r>
    </w:p>
    <w:p>
      <w:pPr>
        <w:pStyle w:val="Compact"/>
        <w:numPr>
          <w:ilvl w:val="0"/>
          <w:numId w:val="1011"/>
        </w:numPr>
        <w:spacing w:line="360" w:lineRule="auto"/>
        <w:jc w:val="both"/>
      </w:pPr>
      <m:oMath>
        <m:r>
          <m:t>F</m:t>
        </m:r>
      </m:oMath>
      <w:r>
        <w:rPr>
          <w:color w:val="000000"/>
        </w:rPr>
        <w:t xml:space="preserve"> </w:t>
      </w:r>
      <w:r>
        <w:rPr>
          <w:color w:val="000000"/>
        </w:rPr>
        <w:t xml:space="preserve">representa el conjunto total de características.</w:t>
      </w:r>
    </w:p>
    <w:p>
      <w:pPr>
        <w:pStyle w:val="Compact"/>
        <w:numPr>
          <w:ilvl w:val="0"/>
          <w:numId w:val="1011"/>
        </w:numPr>
        <w:spacing w:line="360" w:lineRule="auto"/>
        <w:jc w:val="both"/>
      </w:pPr>
      <m:oMath>
        <m:r>
          <m:t>S</m:t>
        </m:r>
      </m:oMath>
      <w:r>
        <w:rPr>
          <w:color w:val="000000"/>
        </w:rPr>
        <w:t xml:space="preserve"> </w:t>
      </w:r>
      <w:r>
        <w:rPr>
          <w:color w:val="000000"/>
        </w:rPr>
        <w:t xml:space="preserve">denota un subconjunto (coalición) que excluye a la variable de interés</w:t>
      </w:r>
      <w:r>
        <w:rPr>
          <w:color w:val="000000"/>
        </w:rPr>
        <w:t xml:space="preserve"> </w:t>
      </w:r>
      <m:oMath>
        <m:r>
          <m:t>i</m:t>
        </m:r>
      </m:oMath>
      <w:r>
        <w:rPr>
          <w:color w:val="000000"/>
        </w:rPr>
        <w:t xml:space="preserve">.</w:t>
      </w:r>
    </w:p>
    <w:p>
      <w:pPr>
        <w:pStyle w:val="Compact"/>
        <w:numPr>
          <w:ilvl w:val="0"/>
          <w:numId w:val="1011"/>
        </w:numPr>
        <w:spacing w:line="360" w:lineRule="auto"/>
        <w:jc w:val="both"/>
      </w:pPr>
      <w:r>
        <w:rPr>
          <w:color w:val="000000"/>
        </w:rPr>
        <w:t xml:space="preserve">La diferencia</w:t>
      </w:r>
      <w:r>
        <w:rPr>
          <w:color w:val="000000"/>
        </w:rPr>
        <w:t xml:space="preserve"> </w:t>
      </w:r>
      <m:oMath>
        <m:r>
          <m:rPr>
            <m:sty m:val="p"/>
          </m:rPr>
          <m:t>[</m:t>
        </m:r>
        <m:sSub>
          <m:e>
            <m:r>
              <m:t>f</m:t>
            </m:r>
          </m:e>
          <m:sub>
            <m:r>
              <m:t>x</m:t>
            </m:r>
          </m:sub>
        </m:sSub>
        <m:r>
          <m:rPr>
            <m:sty m:val="p"/>
          </m:rPr>
          <m:t>(</m:t>
        </m:r>
        <m:r>
          <m:t>S</m:t>
        </m:r>
        <m:r>
          <m:rPr>
            <m:sty m:val="p"/>
          </m:rPr>
          <m:t>∪</m:t>
        </m:r>
        <m:r>
          <m:rPr>
            <m:sty m:val="p"/>
          </m:rPr>
          <m:t>{</m:t>
        </m:r>
        <m:r>
          <m:t>i</m:t>
        </m:r>
        <m:r>
          <m:rPr>
            <m:sty m:val="p"/>
          </m:rPr>
          <m:t>}</m:t>
        </m:r>
        <m:r>
          <m:rPr>
            <m:sty m:val="p"/>
          </m:rPr>
          <m:t>)</m:t>
        </m:r>
        <m:r>
          <m:rPr>
            <m:sty m:val="p"/>
          </m:rPr>
          <m:t>−</m:t>
        </m:r>
        <m:sSub>
          <m:e>
            <m:r>
              <m:t>f</m:t>
            </m:r>
          </m:e>
          <m:sub>
            <m:r>
              <m:t>x</m:t>
            </m:r>
          </m:sub>
        </m:sSub>
        <m:r>
          <m:rPr>
            <m:sty m:val="p"/>
          </m:rPr>
          <m:t>(</m:t>
        </m:r>
        <m:r>
          <m:t>S</m:t>
        </m:r>
        <m:r>
          <m:rPr>
            <m:sty m:val="p"/>
          </m:rPr>
          <m:t>)</m:t>
        </m:r>
        <m:r>
          <m:rPr>
            <m:sty m:val="p"/>
          </m:rPr>
          <m:t>]</m:t>
        </m:r>
      </m:oMath>
      <w:r>
        <w:rPr>
          <w:color w:val="000000"/>
        </w:rPr>
        <w:t xml:space="preserve"> </w:t>
      </w:r>
      <w:r>
        <w:rPr>
          <w:color w:val="000000"/>
        </w:rPr>
        <w:t xml:space="preserve">mide el cambio en la predicción al incorporar la variable</w:t>
      </w:r>
      <w:r>
        <w:rPr>
          <w:color w:val="000000"/>
        </w:rPr>
        <w:t xml:space="preserve"> </w:t>
      </w:r>
      <m:oMath>
        <m:r>
          <m:t>i</m:t>
        </m:r>
      </m:oMath>
      <w:r>
        <w:rPr>
          <w:color w:val="000000"/>
        </w:rPr>
        <w:t xml:space="preserve"> </w:t>
      </w:r>
      <w:r>
        <w:rPr>
          <w:color w:val="000000"/>
        </w:rPr>
        <w:t xml:space="preserve">a la coalición</w:t>
      </w:r>
      <w:r>
        <w:rPr>
          <w:color w:val="000000"/>
        </w:rPr>
        <w:t xml:space="preserve"> </w:t>
      </w:r>
      <m:oMath>
        <m:r>
          <m:t>S</m:t>
        </m:r>
      </m:oMath>
      <w:r>
        <w:rPr>
          <w:color w:val="000000"/>
        </w:rPr>
        <w:t xml:space="preserve">.</w:t>
      </w:r>
    </w:p>
    <w:p>
      <w:pPr>
        <w:pStyle w:val="Compact"/>
        <w:numPr>
          <w:ilvl w:val="0"/>
          <w:numId w:val="1011"/>
        </w:numPr>
        <w:spacing w:line="360" w:lineRule="auto"/>
        <w:jc w:val="both"/>
      </w:pPr>
      <w:r>
        <w:rPr>
          <w:color w:val="000000"/>
        </w:rPr>
        <w:t xml:space="preserve">El factor combinatorio</w:t>
      </w:r>
      <w:r>
        <w:rPr>
          <w:color w:val="000000"/>
        </w:rPr>
        <w:t xml:space="preserve"> </w:t>
      </w:r>
      <m:oMath>
        <m:f>
          <m:fPr>
            <m:type m:val="bar"/>
          </m:fPr>
          <m:num>
            <m:r>
              <m:rPr>
                <m:sty m:val="p"/>
              </m:rPr>
              <m:t>|</m:t>
            </m:r>
            <m:r>
              <m:t>S</m:t>
            </m:r>
            <m:r>
              <m:rPr>
                <m:sty m:val="p"/>
              </m:rPr>
              <m:t>|</m:t>
            </m:r>
            <m:r>
              <m:rPr>
                <m:sty m:val="p"/>
              </m:rPr>
              <m:t>!</m:t>
            </m:r>
            <m:r>
              <m:rPr>
                <m:sty m:val="p"/>
              </m:rPr>
              <m:t>(</m:t>
            </m:r>
            <m:r>
              <m:rPr>
                <m:sty m:val="p"/>
              </m:rPr>
              <m:t>|</m:t>
            </m:r>
            <m:r>
              <m:t>F</m:t>
            </m:r>
            <m:r>
              <m:rPr>
                <m:sty m:val="p"/>
              </m:rPr>
              <m:t>|</m:t>
            </m:r>
            <m:r>
              <m:rPr>
                <m:sty m:val="p"/>
              </m:rPr>
              <m:t>−</m:t>
            </m:r>
            <m:r>
              <m:rPr>
                <m:sty m:val="p"/>
              </m:rPr>
              <m:t>|</m:t>
            </m:r>
            <m:r>
              <m:t>S</m:t>
            </m:r>
            <m:r>
              <m:rPr>
                <m:sty m:val="p"/>
              </m:rPr>
              <m:t>|</m:t>
            </m:r>
            <m:r>
              <m:rPr>
                <m:sty m:val="p"/>
              </m:rPr>
              <m:t>−</m:t>
            </m:r>
            <m:r>
              <m:t>1</m:t>
            </m:r>
            <m:r>
              <m:rPr>
                <m:sty m:val="p"/>
              </m:rPr>
              <m:t>)</m:t>
            </m:r>
            <m:r>
              <m:rPr>
                <m:sty m:val="p"/>
              </m:rPr>
              <m:t>!</m:t>
            </m:r>
          </m:num>
          <m:den>
            <m:r>
              <m:rPr>
                <m:sty m:val="p"/>
              </m:rPr>
              <m:t>|</m:t>
            </m:r>
            <m:r>
              <m:t>F</m:t>
            </m:r>
            <m:r>
              <m:rPr>
                <m:sty m:val="p"/>
              </m:rPr>
              <m:t>|</m:t>
            </m:r>
            <m:r>
              <m:rPr>
                <m:sty m:val="p"/>
              </m:rPr>
              <m:t>!</m:t>
            </m:r>
          </m:den>
        </m:f>
      </m:oMath>
      <w:r>
        <w:rPr>
          <w:color w:val="000000"/>
        </w:rPr>
        <w:t xml:space="preserve"> </w:t>
      </w:r>
      <w:r>
        <w:rPr>
          <w:color w:val="000000"/>
        </w:rPr>
        <w:t xml:space="preserve">pondera uniformemente todas las posibles permutaciones de entrada de las variables.</w:t>
      </w:r>
    </w:p>
    <w:bookmarkEnd w:id="42"/>
    <w:bookmarkStart w:id="43" w:name="los-cuatro-axiomas-de-shapley"/>
    <w:p>
      <w:pPr>
        <w:pStyle w:val="Heading3"/>
        <w:spacing w:line="360" w:lineRule="auto"/>
        <w:jc w:val="left"/>
      </w:pPr>
      <w:r>
        <w:rPr>
          <w:color w:val="000000"/>
        </w:rPr>
        <w:t xml:space="preserve">Los cuatro axiomas de Shapley</w:t>
      </w:r>
    </w:p>
    <w:p>
      <w:pPr>
        <w:pStyle w:val="FirstParagraph"/>
        <w:spacing w:line="360" w:lineRule="auto"/>
        <w:jc w:val="both"/>
      </w:pPr>
      <w:r>
        <w:rPr>
          <w:color w:val="000000"/>
        </w:rPr>
        <w:t xml:space="preserve">SHAP es el único método local de atribución que satisface simultáneamente cuatro propiedades axiomáticas fundamentales de la teoría de juegos cooperativos (Shapley, 1953; Lundberg &amp; Lee, 2017):</w:t>
      </w:r>
    </w:p>
    <w:p>
      <w:pPr>
        <w:numPr>
          <w:ilvl w:val="0"/>
          <w:numId w:val="1012"/>
        </w:numPr>
        <w:spacing w:line="360" w:lineRule="auto"/>
        <w:jc w:val="both"/>
      </w:pPr>
      <w:r>
        <w:rPr>
          <w:b/>
          <w:bCs/>
          <w:color w:val="000000"/>
        </w:rPr>
        <w:t xml:space="preserve">Eficiencia (Aditividad local):</w:t>
      </w:r>
      <w:r>
        <w:rPr>
          <w:color w:val="000000"/>
        </w:rPr>
        <w:t xml:space="preserve"> </w:t>
      </w:r>
      <w:r>
        <w:rPr>
          <w:color w:val="000000"/>
        </w:rPr>
        <w:t xml:space="preserve">La suma de los valores reconstruye exactamente la desviación respecto al promedio poblacional:</w:t>
      </w:r>
    </w:p>
    <w:p>
      <w:pPr>
        <w:pStyle w:val="BodyText"/>
        <w:spacing w:line="360" w:lineRule="auto"/>
      </w:pPr>
      <m:oMathPara>
        <m:oMathParaPr>
          <m:jc m:val="center"/>
        </m:oMathParaPr>
        <m:oMath>
          <m:nary>
            <m:naryPr>
              <m:chr m:val="∑"/>
              <m:limLoc m:val="undOvr"/>
              <m:subHide m:val="off"/>
              <m:supHide m:val="off"/>
            </m:naryPr>
            <m:sub>
              <m:r>
                <m:t>i</m:t>
              </m:r>
              <m:r>
                <m:rPr>
                  <m:sty m:val="p"/>
                </m:rPr>
                <m:t>=</m:t>
              </m:r>
              <m:r>
                <m:t>1</m:t>
              </m:r>
            </m:sub>
            <m:sup>
              <m:r>
                <m:rPr>
                  <m:sty m:val="p"/>
                </m:rPr>
                <m:t>|</m:t>
              </m:r>
              <m:r>
                <m:t>F</m:t>
              </m:r>
              <m:r>
                <m:rPr>
                  <m:sty m:val="p"/>
                </m:rPr>
                <m:t>|</m:t>
              </m:r>
            </m:sup>
            <m:e>
              <m:sSub>
                <m:e>
                  <m:r>
                    <m:t>ϕ</m:t>
                  </m:r>
                </m:e>
                <m:sub>
                  <m:r>
                    <m:t>i</m:t>
                  </m:r>
                </m:sub>
              </m:sSub>
            </m:e>
          </m:nary>
          <m:r>
            <m:rPr>
              <m:sty m:val="p"/>
            </m:rPr>
            <m:t>(</m:t>
          </m:r>
          <m:r>
            <m:t>x</m:t>
          </m:r>
          <m:r>
            <m:rPr>
              <m:sty m:val="p"/>
            </m:rPr>
            <m:t>)</m:t>
          </m:r>
          <m:r>
            <m:rPr>
              <m:sty m:val="p"/>
            </m:rPr>
            <m:t>=</m:t>
          </m:r>
          <m:r>
            <m:t>f</m:t>
          </m:r>
          <m:r>
            <m:rPr>
              <m:sty m:val="p"/>
            </m:rPr>
            <m:t>(</m:t>
          </m:r>
          <m:r>
            <m:t>x</m:t>
          </m:r>
          <m:r>
            <m:rPr>
              <m:sty m:val="p"/>
            </m:rPr>
            <m:t>)</m:t>
          </m:r>
          <m:r>
            <m:rPr>
              <m:sty m:val="p"/>
            </m:rPr>
            <m:t>−</m:t>
          </m:r>
          <m:r>
            <m:rPr>
              <m:scr m:val="double-struck"/>
              <m:sty m:val="p"/>
            </m:rPr>
            <m:t>E</m:t>
          </m:r>
          <m:r>
            <m:rPr>
              <m:sty m:val="p"/>
            </m:rPr>
            <m:t>[</m:t>
          </m:r>
          <m:r>
            <m:t>f</m:t>
          </m:r>
          <m:r>
            <m:rPr>
              <m:sty m:val="p"/>
            </m:rPr>
            <m:t>(</m:t>
          </m:r>
          <m:r>
            <m:t>X</m:t>
          </m:r>
          <m:r>
            <m:rPr>
              <m:sty m:val="p"/>
            </m:rPr>
            <m:t>)</m:t>
          </m:r>
          <m:r>
            <m:rPr>
              <m:sty m:val="p"/>
            </m:rPr>
            <m:t>]</m:t>
          </m:r>
        </m:oMath>
      </m:oMathPara>
    </w:p>
    <w:p>
      <w:pPr>
        <w:numPr>
          <w:ilvl w:val="0"/>
          <w:numId w:val="1012"/>
        </w:numPr>
        <w:spacing w:line="360" w:lineRule="auto"/>
        <w:jc w:val="both"/>
      </w:pPr>
      <w:r>
        <w:rPr>
          <w:b/>
          <w:bCs/>
          <w:color w:val="000000"/>
        </w:rPr>
        <w:t xml:space="preserve">Simetría:</w:t>
      </w:r>
      <w:r>
        <w:rPr>
          <w:color w:val="000000"/>
        </w:rPr>
        <w:t xml:space="preserve"> </w:t>
      </w:r>
      <w:r>
        <w:rPr>
          <w:color w:val="000000"/>
        </w:rPr>
        <w:t xml:space="preserve">Si dos variables</w:t>
      </w:r>
      <w:r>
        <w:rPr>
          <w:color w:val="000000"/>
        </w:rPr>
        <w:t xml:space="preserve"> </w:t>
      </w:r>
      <m:oMath>
        <m:r>
          <m:t>i</m:t>
        </m:r>
      </m:oMath>
      <w:r>
        <w:rPr>
          <w:color w:val="000000"/>
        </w:rPr>
        <w:t xml:space="preserve"> </w:t>
      </w:r>
      <w:r>
        <w:rPr>
          <w:color w:val="000000"/>
        </w:rPr>
        <w:t xml:space="preserve">y</w:t>
      </w:r>
      <w:r>
        <w:rPr>
          <w:color w:val="000000"/>
        </w:rPr>
        <w:t xml:space="preserve"> </w:t>
      </w:r>
      <m:oMath>
        <m:r>
          <m:t>j</m:t>
        </m:r>
      </m:oMath>
      <w:r>
        <w:rPr>
          <w:color w:val="000000"/>
        </w:rPr>
        <w:t xml:space="preserve"> </w:t>
      </w:r>
      <w:r>
        <w:rPr>
          <w:color w:val="000000"/>
        </w:rPr>
        <w:t xml:space="preserve">realizan aportes idénticos en toda coalición</w:t>
      </w:r>
      <w:r>
        <w:rPr>
          <w:color w:val="000000"/>
        </w:rPr>
        <w:t xml:space="preserve"> </w:t>
      </w:r>
      <m:oMath>
        <m:r>
          <m:t>S</m:t>
        </m:r>
        <m:r>
          <m:rPr>
            <m:sty m:val="p"/>
          </m:rPr>
          <m:t>⊆</m:t>
        </m:r>
        <m:r>
          <m:t>F</m:t>
        </m:r>
        <m:r>
          <m:rPr>
            <m:sty m:val="p"/>
          </m:rPr>
          <m:t>\</m:t>
        </m:r>
        <m:r>
          <m:rPr>
            <m:sty m:val="p"/>
          </m:rPr>
          <m:t>{</m:t>
        </m:r>
        <m:r>
          <m:t>i</m:t>
        </m:r>
        <m:r>
          <m:rPr>
            <m:sty m:val="p"/>
          </m:rPr>
          <m:t>,</m:t>
        </m:r>
        <m:r>
          <m:t>j</m:t>
        </m:r>
        <m:r>
          <m:rPr>
            <m:sty m:val="p"/>
          </m:rPr>
          <m:t>}</m:t>
        </m:r>
      </m:oMath>
      <w:r>
        <w:rPr>
          <w:color w:val="000000"/>
        </w:rPr>
        <w:t xml:space="preserve"> </w:t>
      </w:r>
      <w:r>
        <w:rPr>
          <w:color w:val="000000"/>
        </w:rPr>
        <w:t xml:space="preserve">(</w:t>
      </w:r>
      <m:oMath>
        <m:sSub>
          <m:e>
            <m:r>
              <m:t>f</m:t>
            </m:r>
          </m:e>
          <m:sub>
            <m:r>
              <m:t>x</m:t>
            </m:r>
          </m:sub>
        </m:sSub>
        <m:r>
          <m:rPr>
            <m:sty m:val="p"/>
          </m:rPr>
          <m:t>(</m:t>
        </m:r>
        <m:r>
          <m:t>S</m:t>
        </m:r>
        <m:r>
          <m:rPr>
            <m:sty m:val="p"/>
          </m:rPr>
          <m:t>∪</m:t>
        </m:r>
        <m:r>
          <m:rPr>
            <m:sty m:val="p"/>
          </m:rPr>
          <m:t>{</m:t>
        </m:r>
        <m:r>
          <m:t>i</m:t>
        </m:r>
        <m:r>
          <m:rPr>
            <m:sty m:val="p"/>
          </m:rPr>
          <m:t>}</m:t>
        </m:r>
        <m:r>
          <m:rPr>
            <m:sty m:val="p"/>
          </m:rPr>
          <m:t>)</m:t>
        </m:r>
        <m:r>
          <m:rPr>
            <m:sty m:val="p"/>
          </m:rPr>
          <m:t>=</m:t>
        </m:r>
        <m:sSub>
          <m:e>
            <m:r>
              <m:t>f</m:t>
            </m:r>
          </m:e>
          <m:sub>
            <m:r>
              <m:t>x</m:t>
            </m:r>
          </m:sub>
        </m:sSub>
        <m:r>
          <m:rPr>
            <m:sty m:val="p"/>
          </m:rPr>
          <m:t>(</m:t>
        </m:r>
        <m:r>
          <m:t>S</m:t>
        </m:r>
        <m:r>
          <m:rPr>
            <m:sty m:val="p"/>
          </m:rPr>
          <m:t>∪</m:t>
        </m:r>
        <m:r>
          <m:rPr>
            <m:sty m:val="p"/>
          </m:rPr>
          <m:t>{</m:t>
        </m:r>
        <m:r>
          <m:t>j</m:t>
        </m:r>
        <m:r>
          <m:rPr>
            <m:sty m:val="p"/>
          </m:rPr>
          <m:t>}</m:t>
        </m:r>
        <m:r>
          <m:rPr>
            <m:sty m:val="p"/>
          </m:rPr>
          <m:t>)</m:t>
        </m:r>
      </m:oMath>
      <w:r>
        <w:rPr>
          <w:color w:val="000000"/>
        </w:rPr>
        <w:t xml:space="preserve">), reciben igual valor:</w:t>
      </w:r>
    </w:p>
    <w:p>
      <w:pPr>
        <w:pStyle w:val="BodyText"/>
        <w:spacing w:line="360" w:lineRule="auto"/>
      </w:pPr>
      <m:oMathPara>
        <m:oMathParaPr>
          <m:jc m:val="center"/>
        </m:oMathParaPr>
        <m:oMath>
          <m:sSub>
            <m:e>
              <m:r>
                <m:t>ϕ</m:t>
              </m:r>
            </m:e>
            <m:sub>
              <m:r>
                <m:t>i</m:t>
              </m:r>
            </m:sub>
          </m:sSub>
          <m:r>
            <m:rPr>
              <m:sty m:val="p"/>
            </m:rPr>
            <m:t>(</m:t>
          </m:r>
          <m:r>
            <m:t>x</m:t>
          </m:r>
          <m:r>
            <m:rPr>
              <m:sty m:val="p"/>
            </m:rPr>
            <m:t>)</m:t>
          </m:r>
          <m:r>
            <m:rPr>
              <m:sty m:val="p"/>
            </m:rPr>
            <m:t>=</m:t>
          </m:r>
          <m:sSub>
            <m:e>
              <m:r>
                <m:t>ϕ</m:t>
              </m:r>
            </m:e>
            <m:sub>
              <m:r>
                <m:t>j</m:t>
              </m:r>
            </m:sub>
          </m:sSub>
          <m:r>
            <m:rPr>
              <m:sty m:val="p"/>
            </m:rPr>
            <m:t>(</m:t>
          </m:r>
          <m:r>
            <m:t>x</m:t>
          </m:r>
          <m:r>
            <m:rPr>
              <m:sty m:val="p"/>
            </m:rPr>
            <m:t>)</m:t>
          </m:r>
        </m:oMath>
      </m:oMathPara>
    </w:p>
    <w:p>
      <w:pPr>
        <w:numPr>
          <w:ilvl w:val="0"/>
          <w:numId w:val="1012"/>
        </w:numPr>
        <w:spacing w:line="360" w:lineRule="auto"/>
        <w:jc w:val="both"/>
      </w:pPr>
      <w:r>
        <w:rPr>
          <w:b/>
          <w:bCs/>
          <w:color w:val="000000"/>
        </w:rPr>
        <w:t xml:space="preserve">Jugador nulo (</w:t>
      </w:r>
      <w:r>
        <w:rPr>
          <w:b/>
          <w:bCs/>
          <w:i/>
          <w:iCs/>
          <w:color w:val="000000"/>
        </w:rPr>
        <w:t xml:space="preserve">Dummy</w:t>
      </w:r>
      <w:r>
        <w:rPr>
          <w:b/>
          <w:bCs/>
          <w:color w:val="000000"/>
        </w:rPr>
        <w:t xml:space="preserve">):</w:t>
      </w:r>
      <w:r>
        <w:rPr>
          <w:color w:val="000000"/>
        </w:rPr>
        <w:t xml:space="preserve"> </w:t>
      </w:r>
      <w:r>
        <w:rPr>
          <w:color w:val="000000"/>
        </w:rPr>
        <w:t xml:space="preserve">Si una columna</w:t>
      </w:r>
      <w:r>
        <w:rPr>
          <w:color w:val="000000"/>
        </w:rPr>
        <w:t xml:space="preserve"> </w:t>
      </w:r>
      <m:oMath>
        <m:r>
          <m:t>i</m:t>
        </m:r>
      </m:oMath>
      <w:r>
        <w:rPr>
          <w:color w:val="000000"/>
        </w:rPr>
        <w:t xml:space="preserve"> </w:t>
      </w:r>
      <w:r>
        <w:rPr>
          <w:color w:val="000000"/>
        </w:rPr>
        <w:t xml:space="preserve">no altera la predicción en ninguna coalición (</w:t>
      </w:r>
      <m:oMath>
        <m:sSub>
          <m:e>
            <m:r>
              <m:t>f</m:t>
            </m:r>
          </m:e>
          <m:sub>
            <m:r>
              <m:t>x</m:t>
            </m:r>
          </m:sub>
        </m:sSub>
        <m:r>
          <m:rPr>
            <m:sty m:val="p"/>
          </m:rPr>
          <m:t>(</m:t>
        </m:r>
        <m:r>
          <m:t>S</m:t>
        </m:r>
        <m:r>
          <m:rPr>
            <m:sty m:val="p"/>
          </m:rPr>
          <m:t>∪</m:t>
        </m:r>
        <m:r>
          <m:rPr>
            <m:sty m:val="p"/>
          </m:rPr>
          <m:t>{</m:t>
        </m:r>
        <m:r>
          <m:t>i</m:t>
        </m:r>
        <m:r>
          <m:rPr>
            <m:sty m:val="p"/>
          </m:rPr>
          <m:t>}</m:t>
        </m:r>
        <m:r>
          <m:rPr>
            <m:sty m:val="p"/>
          </m:rPr>
          <m:t>)</m:t>
        </m:r>
        <m:r>
          <m:rPr>
            <m:sty m:val="p"/>
          </m:rPr>
          <m:t>=</m:t>
        </m:r>
        <m:sSub>
          <m:e>
            <m:r>
              <m:t>f</m:t>
            </m:r>
          </m:e>
          <m:sub>
            <m:r>
              <m:t>x</m:t>
            </m:r>
          </m:sub>
        </m:sSub>
        <m:r>
          <m:rPr>
            <m:sty m:val="p"/>
          </m:rPr>
          <m:t>(</m:t>
        </m:r>
        <m:r>
          <m:t>S</m:t>
        </m:r>
        <m:r>
          <m:rPr>
            <m:sty m:val="p"/>
          </m:rPr>
          <m:t>)</m:t>
        </m:r>
      </m:oMath>
      <w:r>
        <w:rPr>
          <w:color w:val="000000"/>
        </w:rPr>
        <w:t xml:space="preserve">), su contribución es cero:</w:t>
      </w:r>
    </w:p>
    <w:p>
      <w:pPr>
        <w:pStyle w:val="BodyText"/>
        <w:spacing w:line="360" w:lineRule="auto"/>
      </w:pPr>
      <m:oMathPara>
        <m:oMathParaPr>
          <m:jc m:val="center"/>
        </m:oMathParaPr>
        <m:oMath>
          <m:sSub>
            <m:e>
              <m:r>
                <m:t>ϕ</m:t>
              </m:r>
            </m:e>
            <m:sub>
              <m:r>
                <m:t>i</m:t>
              </m:r>
            </m:sub>
          </m:sSub>
          <m:r>
            <m:rPr>
              <m:sty m:val="p"/>
            </m:rPr>
            <m:t>(</m:t>
          </m:r>
          <m:r>
            <m:t>x</m:t>
          </m:r>
          <m:r>
            <m:rPr>
              <m:sty m:val="p"/>
            </m:rPr>
            <m:t>)</m:t>
          </m:r>
          <m:r>
            <m:rPr>
              <m:sty m:val="p"/>
            </m:rPr>
            <m:t>=</m:t>
          </m:r>
          <m:r>
            <m:t>0</m:t>
          </m:r>
        </m:oMath>
      </m:oMathPara>
    </w:p>
    <w:p>
      <w:pPr>
        <w:numPr>
          <w:ilvl w:val="0"/>
          <w:numId w:val="1012"/>
        </w:numPr>
        <w:spacing w:line="360" w:lineRule="auto"/>
        <w:jc w:val="both"/>
      </w:pPr>
      <w:r>
        <w:rPr>
          <w:b/>
          <w:bCs/>
          <w:color w:val="000000"/>
        </w:rPr>
        <w:t xml:space="preserve">Monotonicidad (Consistencia):</w:t>
      </w:r>
      <w:r>
        <w:rPr>
          <w:color w:val="000000"/>
        </w:rPr>
        <w:t xml:space="preserve"> </w:t>
      </w:r>
      <w:r>
        <w:rPr>
          <w:color w:val="000000"/>
        </w:rPr>
        <w:t xml:space="preserve">Si el aporte marginal de una variable no disminuye entre modelos, su atribución asignada no puede decrecer:</w:t>
      </w:r>
    </w:p>
    <w:p>
      <w:pPr>
        <w:pStyle w:val="BodyText"/>
        <w:spacing w:line="360" w:lineRule="auto"/>
      </w:pPr>
      <m:oMathPara>
        <m:oMathParaPr>
          <m:jc m:val="center"/>
        </m:oMathParaPr>
        <m:oMath>
          <m:sSub>
            <m:e>
              <m:r>
                <m:t>ϕ</m:t>
              </m:r>
            </m:e>
            <m:sub>
              <m:r>
                <m:t>i</m:t>
              </m:r>
            </m:sub>
          </m:sSub>
          <m:r>
            <m:rPr>
              <m:sty m:val="p"/>
            </m:rPr>
            <m:t>(</m:t>
          </m:r>
          <m:sSup>
            <m:e>
              <m:r>
                <m:t>f</m:t>
              </m:r>
            </m:e>
            <m:sup>
              <m:r>
                <m:rPr>
                  <m:sty m:val="p"/>
                </m:rPr>
                <m:t>′</m:t>
              </m:r>
            </m:sup>
          </m:sSup>
          <m:r>
            <m:rPr>
              <m:sty m:val="p"/>
            </m:rPr>
            <m:t>,</m:t>
          </m:r>
          <m:r>
            <m:t>x</m:t>
          </m:r>
          <m:r>
            <m:rPr>
              <m:sty m:val="p"/>
            </m:rPr>
            <m:t>)</m:t>
          </m:r>
          <m:r>
            <m:rPr>
              <m:sty m:val="p"/>
            </m:rPr>
            <m:t>≥</m:t>
          </m:r>
          <m:sSub>
            <m:e>
              <m:r>
                <m:t>ϕ</m:t>
              </m:r>
            </m:e>
            <m:sub>
              <m:r>
                <m:t>i</m:t>
              </m:r>
            </m:sub>
          </m:sSub>
          <m:r>
            <m:rPr>
              <m:sty m:val="p"/>
            </m:rPr>
            <m:t>(</m:t>
          </m:r>
          <m:r>
            <m:t>f</m:t>
          </m:r>
          <m:r>
            <m:rPr>
              <m:sty m:val="p"/>
            </m:rPr>
            <m:t>,</m:t>
          </m:r>
          <m:r>
            <m:t>x</m:t>
          </m:r>
          <m:r>
            <m:rPr>
              <m:sty m:val="p"/>
            </m:rPr>
            <m:t>)</m:t>
          </m:r>
        </m:oMath>
      </m:oMathPara>
    </w:p>
    <w:bookmarkEnd w:id="43"/>
    <w:bookmarkStart w:id="47" w:name="X3bd6aca8f42003fe54a28f6e08b3c94fc9f9ed6"/>
    <w:p>
      <w:pPr>
        <w:pStyle w:val="Heading3"/>
        <w:spacing w:line="360" w:lineRule="auto"/>
        <w:jc w:val="left"/>
      </w:pPr>
      <w:r>
        <w:rPr>
          <w:color w:val="000000"/>
        </w:rPr>
        <w:t xml:space="preserve">Costo computacional: La explosión combinatoria y KernelSHAP</w:t>
      </w:r>
    </w:p>
    <w:p>
      <w:pPr>
        <w:pStyle w:val="FirstParagraph"/>
        <w:spacing w:line="360" w:lineRule="auto"/>
        <w:jc w:val="both"/>
      </w:pPr>
      <w:r>
        <w:rPr>
          <w:color w:val="000000"/>
        </w:rPr>
        <w:t xml:space="preserve">Para</w:t>
      </w:r>
      <w:r>
        <w:rPr>
          <w:color w:val="000000"/>
        </w:rPr>
        <w:t xml:space="preserve"> </w:t>
      </w:r>
      <m:oMath>
        <m:r>
          <m:t>M</m:t>
        </m:r>
      </m:oMath>
      <w:r>
        <w:rPr>
          <w:color w:val="000000"/>
        </w:rPr>
        <w:t xml:space="preserve"> </w:t>
      </w:r>
      <w:r>
        <w:rPr>
          <w:color w:val="000000"/>
        </w:rPr>
        <w:t xml:space="preserve">variables existen</w:t>
      </w:r>
      <w:r>
        <w:rPr>
          <w:color w:val="000000"/>
        </w:rPr>
        <w:t xml:space="preserve"> </w:t>
      </w:r>
      <m:oMath>
        <m:sSup>
          <m:e>
            <m:r>
              <m:t>2</m:t>
            </m:r>
          </m:e>
          <m:sup>
            <m:r>
              <m:t>M</m:t>
            </m:r>
          </m:sup>
        </m:sSup>
      </m:oMath>
      <w:r>
        <w:rPr>
          <w:color w:val="000000"/>
        </w:rPr>
        <w:t xml:space="preserve"> </w:t>
      </w:r>
      <w:r>
        <w:rPr>
          <w:color w:val="000000"/>
        </w:rPr>
        <w:t xml:space="preserve">coaliciones. Con</w:t>
      </w:r>
      <w:r>
        <w:rPr>
          <w:color w:val="000000"/>
        </w:rPr>
        <w:t xml:space="preserve"> </w:t>
      </w:r>
      <m:oMath>
        <m:r>
          <m:t>M</m:t>
        </m:r>
        <m:r>
          <m:rPr>
            <m:sty m:val="p"/>
          </m:rPr>
          <m:t>=</m:t>
        </m:r>
        <m:r>
          <m:t>10</m:t>
        </m:r>
      </m:oMath>
      <w:r>
        <w:rPr>
          <w:color w:val="000000"/>
        </w:rPr>
        <w:t xml:space="preserve"> </w:t>
      </w:r>
      <w:r>
        <w:rPr>
          <w:color w:val="000000"/>
        </w:rPr>
        <w:t xml:space="preserve">columnas se evalúan</w:t>
      </w:r>
      <w:r>
        <w:rPr>
          <w:color w:val="000000"/>
        </w:rPr>
        <w:t xml:space="preserve"> </w:t>
      </w:r>
      <m:oMath>
        <m:r>
          <m:t>1</m:t>
        </m:r>
        <m:r>
          <m:rPr>
            <m:sty m:val="p"/>
          </m:rPr>
          <m:t>,</m:t>
        </m:r>
        <m:r>
          <m:t>024</m:t>
        </m:r>
      </m:oMath>
      <w:r>
        <w:rPr>
          <w:color w:val="000000"/>
        </w:rPr>
        <w:t xml:space="preserve"> </w:t>
      </w:r>
      <w:r>
        <w:rPr>
          <w:color w:val="000000"/>
        </w:rPr>
        <w:t xml:space="preserve">combinaciones. Con</w:t>
      </w:r>
      <w:r>
        <w:rPr>
          <w:color w:val="000000"/>
        </w:rPr>
        <w:t xml:space="preserve"> </w:t>
      </w:r>
      <m:oMath>
        <m:r>
          <m:t>M</m:t>
        </m:r>
        <m:r>
          <m:rPr>
            <m:sty m:val="p"/>
          </m:rPr>
          <m:t>=</m:t>
        </m:r>
        <m:r>
          <m:t>30</m:t>
        </m:r>
      </m:oMath>
      <w:r>
        <w:rPr>
          <w:color w:val="000000"/>
        </w:rPr>
        <w:t xml:space="preserve">, el cálculo exacto supera mil millones de evaluaciones (</w:t>
      </w:r>
      <m:oMath>
        <m:sSup>
          <m:e>
            <m:r>
              <m:t>2</m:t>
            </m:r>
          </m:e>
          <m:sup>
            <m:r>
              <m:t>30</m:t>
            </m:r>
          </m:sup>
        </m:sSup>
        <m:r>
          <m:rPr>
            <m:sty m:val="p"/>
          </m:rPr>
          <m:t>≈</m:t>
        </m:r>
        <m:r>
          <m:t>1.07</m:t>
        </m:r>
        <m:r>
          <m:rPr>
            <m:sty m:val="p"/>
          </m:rPr>
          <m:t>×</m:t>
        </m:r>
        <m:sSup>
          <m:e>
            <m:r>
              <m:t>10</m:t>
            </m:r>
          </m:e>
          <m:sup>
            <m:r>
              <m:t>9</m:t>
            </m:r>
          </m:sup>
        </m:sSup>
      </m:oMath>
      <w:r>
        <w:rPr>
          <w:color w:val="000000"/>
        </w:rPr>
        <w:t xml:space="preserve">), volviéndose inviable.</w:t>
      </w:r>
    </w:p>
    <w:p>
      <w:pPr>
        <w:pStyle w:val="BodyText"/>
        <w:spacing w:line="360" w:lineRule="auto"/>
        <w:jc w:val="both"/>
      </w:pPr>
      <w:r>
        <w:rPr>
          <w:color w:val="000000"/>
        </w:rPr>
        <w:t xml:space="preserve">Para cajas negras genéricas,</w:t>
      </w:r>
      <w:r>
        <w:rPr>
          <w:color w:val="000000"/>
        </w:rPr>
        <w:t xml:space="preserve"> </w:t>
      </w:r>
      <w:r>
        <w:rPr>
          <w:b/>
          <w:bCs/>
          <w:color w:val="000000"/>
        </w:rPr>
        <w:t xml:space="preserve">KernelSHAP</w:t>
      </w:r>
      <w:r>
        <w:rPr>
          <w:color w:val="000000"/>
        </w:rPr>
        <w:t xml:space="preserve"> </w:t>
      </w:r>
      <w:r>
        <w:rPr>
          <w:color w:val="000000"/>
        </w:rPr>
        <w:t xml:space="preserve">estima estos valores mediante regresión ponderada utilizando un núcleo combinatorio:</w:t>
      </w:r>
    </w:p>
    <w:p>
      <w:pPr>
        <w:pStyle w:val="BodyText"/>
        <w:spacing w:line="360" w:lineRule="auto"/>
      </w:pPr>
      <m:oMathPara>
        <m:oMathParaPr>
          <m:jc m:val="center"/>
        </m:oMathParaPr>
        <m:oMath>
          <m:r>
            <m:t>π</m:t>
          </m:r>
          <m:r>
            <m:rPr>
              <m:sty m:val="p"/>
            </m:rPr>
            <m:t>(</m:t>
          </m:r>
          <m:sSup>
            <m:e>
              <m:r>
                <m:t>z</m:t>
              </m:r>
            </m:e>
            <m:sup>
              <m:r>
                <m:rPr>
                  <m:sty m:val="p"/>
                </m:rPr>
                <m:t>′</m:t>
              </m:r>
            </m:sup>
          </m:sSup>
          <m:r>
            <m:rPr>
              <m:sty m:val="p"/>
            </m:rPr>
            <m:t>)</m:t>
          </m:r>
          <m:r>
            <m:rPr>
              <m:sty m:val="p"/>
            </m:rPr>
            <m:t>=</m:t>
          </m:r>
          <m:f>
            <m:fPr>
              <m:type m:val="bar"/>
            </m:fPr>
            <m:num>
              <m:r>
                <m:rPr>
                  <m:sty m:val="p"/>
                </m:rPr>
                <m:t>|</m:t>
              </m:r>
              <m:r>
                <m:t>F</m:t>
              </m:r>
              <m:r>
                <m:rPr>
                  <m:sty m:val="p"/>
                </m:rPr>
                <m:t>|</m:t>
              </m:r>
              <m:r>
                <m:rPr>
                  <m:sty m:val="p"/>
                </m:rPr>
                <m:t>−</m:t>
              </m:r>
              <m:r>
                <m:t>1</m:t>
              </m:r>
            </m:num>
            <m:den>
              <m:d>
                <m:dPr>
                  <m:begChr m:val="("/>
                  <m:sepChr m:val=""/>
                  <m:endChr m:val=")"/>
                  <m:grow/>
                </m:dPr>
                <m:e>
                  <m:f>
                    <m:fPr>
                      <m:type m:val="noBar"/>
                    </m:fPr>
                    <m:num>
                      <m:r>
                        <m:rPr>
                          <m:sty m:val="p"/>
                        </m:rPr>
                        <m:t>|</m:t>
                      </m:r>
                      <m:r>
                        <m:t>F</m:t>
                      </m:r>
                      <m:r>
                        <m:rPr>
                          <m:sty m:val="p"/>
                        </m:rPr>
                        <m:t>|</m:t>
                      </m:r>
                    </m:num>
                    <m:den>
                      <m:r>
                        <m:rPr>
                          <m:sty m:val="p"/>
                        </m:rPr>
                        <m:t>|</m:t>
                      </m:r>
                      <m:sSup>
                        <m:e>
                          <m:r>
                            <m:t>z</m:t>
                          </m:r>
                        </m:e>
                        <m:sup>
                          <m:r>
                            <m:rPr>
                              <m:sty m:val="p"/>
                            </m:rPr>
                            <m:t>′</m:t>
                          </m:r>
                        </m:sup>
                      </m:sSup>
                      <m:r>
                        <m:rPr>
                          <m:sty m:val="p"/>
                        </m:rPr>
                        <m:t>|</m:t>
                      </m:r>
                    </m:den>
                  </m:f>
                </m:e>
              </m:d>
              <m:r>
                <m:rPr>
                  <m:sty m:val="p"/>
                </m:rPr>
                <m:t>|</m:t>
              </m:r>
              <m:sSup>
                <m:e>
                  <m:r>
                    <m:t>z</m:t>
                  </m:r>
                </m:e>
                <m:sup>
                  <m:r>
                    <m:rPr>
                      <m:sty m:val="p"/>
                    </m:rPr>
                    <m:t>′</m:t>
                  </m:r>
                </m:sup>
              </m:sSup>
              <m:r>
                <m:rPr>
                  <m:sty m:val="p"/>
                </m:rPr>
                <m:t>|</m:t>
              </m:r>
              <m:r>
                <m:rPr>
                  <m:sty m:val="p"/>
                </m:rPr>
                <m:t>(</m:t>
              </m:r>
              <m:r>
                <m:rPr>
                  <m:sty m:val="p"/>
                </m:rPr>
                <m:t>|</m:t>
              </m:r>
              <m:r>
                <m:t>F</m:t>
              </m:r>
              <m:r>
                <m:rPr>
                  <m:sty m:val="p"/>
                </m:rPr>
                <m:t>|</m:t>
              </m:r>
              <m:r>
                <m:rPr>
                  <m:sty m:val="p"/>
                </m:rPr>
                <m:t>−</m:t>
              </m:r>
              <m:r>
                <m:rPr>
                  <m:sty m:val="p"/>
                </m:rPr>
                <m:t>|</m:t>
              </m:r>
              <m:sSup>
                <m:e>
                  <m:r>
                    <m:t>z</m:t>
                  </m:r>
                </m:e>
                <m:sup>
                  <m:r>
                    <m:rPr>
                      <m:sty m:val="p"/>
                    </m:rPr>
                    <m:t>′</m:t>
                  </m:r>
                </m:sup>
              </m:sSup>
              <m:r>
                <m:rPr>
                  <m:sty m:val="p"/>
                </m:rPr>
                <m:t>|</m:t>
              </m:r>
              <m:r>
                <m:rPr>
                  <m:sty m:val="p"/>
                </m:rPr>
                <m:t>)</m:t>
              </m:r>
            </m:den>
          </m:f>
        </m:oMath>
      </m:oMathPara>
    </w:p>
    <w:p>
      <w:pPr>
        <w:pStyle w:val="FirstParagraph"/>
        <w:spacing w:line="360" w:lineRule="auto"/>
        <w:jc w:val="both"/>
      </w:pPr>
      <w:r>
        <w:rPr>
          <w:color w:val="000000"/>
        </w:rPr>
        <w:t xml:space="preserve">donde</w:t>
      </w:r>
      <w:r>
        <w:rPr>
          <w:color w:val="000000"/>
        </w:rPr>
        <w:t xml:space="preserve"> </w:t>
      </w:r>
      <m:oMath>
        <m:r>
          <m:rPr>
            <m:sty m:val="p"/>
          </m:rPr>
          <m:t>|</m:t>
        </m:r>
        <m:r>
          <m:t>F</m:t>
        </m:r>
        <m:r>
          <m:rPr>
            <m:sty m:val="p"/>
          </m:rPr>
          <m:t>|</m:t>
        </m:r>
      </m:oMath>
      <w:r>
        <w:rPr>
          <w:color w:val="000000"/>
        </w:rPr>
        <w:t xml:space="preserve"> </w:t>
      </w:r>
      <w:r>
        <w:rPr>
          <w:color w:val="000000"/>
        </w:rPr>
        <w:t xml:space="preserve">es el número total de atributos y</w:t>
      </w:r>
      <w:r>
        <w:rPr>
          <w:color w:val="000000"/>
        </w:rPr>
        <w:t xml:space="preserve"> </w:t>
      </w:r>
      <m:oMath>
        <m:r>
          <m:rPr>
            <m:sty m:val="p"/>
          </m:rPr>
          <m:t>|</m:t>
        </m:r>
        <m:sSup>
          <m:e>
            <m:r>
              <m:t>z</m:t>
            </m:r>
          </m:e>
          <m:sup>
            <m:r>
              <m:rPr>
                <m:sty m:val="p"/>
              </m:rPr>
              <m:t>′</m:t>
            </m:r>
          </m:sup>
        </m:sSup>
        <m:r>
          <m:rPr>
            <m:sty m:val="p"/>
          </m:rPr>
          <m:t>|</m:t>
        </m:r>
      </m:oMath>
      <w:r>
        <w:rPr>
          <w:color w:val="000000"/>
        </w:rPr>
        <w:t xml:space="preserve"> </w:t>
      </w:r>
      <w:r>
        <w:rPr>
          <w:color w:val="000000"/>
        </w:rPr>
        <w:t xml:space="preserve">el tamaño de la coalición activa. La formulación asigna los mayores pesos a coaliciones unitarias y cuasi-completas, donde aislar el impacto individual resulta más limpio. Su latencia media bordea</w:t>
      </w:r>
      <w:r>
        <w:rPr>
          <w:color w:val="000000"/>
        </w:rPr>
        <w:t xml:space="preserve"> </w:t>
      </w:r>
      <m:oMath>
        <m:r>
          <m:t>1</m:t>
        </m:r>
        <m:r>
          <m:rPr>
            <m:sty m:val="p"/>
          </m:rPr>
          <m:t>,</m:t>
        </m:r>
        <m:r>
          <m:t>180</m:t>
        </m:r>
        <m:r>
          <m:rPr>
            <m:nor/>
            <m:sty m:val="p"/>
          </m:rPr>
          <m:t> ms</m:t>
        </m:r>
      </m:oMath>
      <w:r>
        <w:rPr>
          <w:color w:val="000000"/>
        </w:rPr>
        <w:t xml:space="preserve"> </w:t>
      </w:r>
      <w:r>
        <w:rPr>
          <w:color w:val="000000"/>
        </w:rPr>
        <w:t xml:space="preserve">por registro, haciéndolo apto para auditorías por lotes, pero exigente en tiempo real.</w:t>
      </w:r>
    </w:p>
    <w:p>
      <w:pPr>
        <w:pStyle w:val="BodyText"/>
        <w:spacing w:line="360" w:lineRule="auto"/>
        <w:jc w:val="both"/>
      </w:pPr>
      <w:r>
        <w:rPr>
          <w:color w:val="000000"/>
        </w:rPr>
        <w:t xml:space="preserve">La Figura 6 resume esta arquitectura matemática. El Panel A ilustra el retículo booleano de coaliciones</w:t>
      </w:r>
      <w:r>
        <w:rPr>
          <w:color w:val="000000"/>
        </w:rPr>
        <w:t xml:space="preserve"> </w:t>
      </w:r>
      <m:oMath>
        <m:sSup>
          <m:e>
            <m:r>
              <m:t>2</m:t>
            </m:r>
          </m:e>
          <m:sup>
            <m:r>
              <m:rPr>
                <m:sty m:val="p"/>
              </m:rPr>
              <m:t>|</m:t>
            </m:r>
            <m:r>
              <m:t>F</m:t>
            </m:r>
            <m:r>
              <m:rPr>
                <m:sty m:val="p"/>
              </m:rPr>
              <m:t>|</m:t>
            </m:r>
          </m:sup>
        </m:sSup>
      </m:oMath>
      <w:r>
        <w:rPr>
          <w:color w:val="000000"/>
        </w:rPr>
        <w:t xml:space="preserve">. El Panel B expone la curva en U del núcleo KernelSHAP</w:t>
      </w:r>
      <w:r>
        <w:rPr>
          <w:color w:val="000000"/>
        </w:rPr>
        <w:t xml:space="preserve"> </w:t>
      </w:r>
      <m:oMath>
        <m:r>
          <m:t>π</m:t>
        </m:r>
        <m:r>
          <m:rPr>
            <m:sty m:val="p"/>
          </m:rPr>
          <m:t>(</m:t>
        </m:r>
        <m:sSup>
          <m:e>
            <m:r>
              <m:t>z</m:t>
            </m:r>
          </m:e>
          <m:sup>
            <m:r>
              <m:rPr>
                <m:sty m:val="p"/>
              </m:rPr>
              <m:t>′</m:t>
            </m:r>
          </m:sup>
        </m:sSup>
        <m:r>
          <m:rPr>
            <m:sty m:val="p"/>
          </m:rPr>
          <m:t>)</m:t>
        </m:r>
      </m:oMath>
      <w:r>
        <w:rPr>
          <w:color w:val="000000"/>
        </w:rPr>
        <w:t xml:space="preserve">, que prioriza los extremos combinatorios. Finalmente, el Panel C grafica la cascada aditiva que satisface la eficiencia local reconstruyendo</w:t>
      </w:r>
      <w:r>
        <w:rPr>
          <w:color w:val="000000"/>
        </w:rPr>
        <w:t xml:space="preserve"> </w:t>
      </w:r>
      <m:oMath>
        <m:r>
          <m:t>f</m:t>
        </m:r>
        <m:r>
          <m:rPr>
            <m:sty m:val="p"/>
          </m:rPr>
          <m:t>(</m:t>
        </m:r>
        <m:r>
          <m:t>x</m:t>
        </m:r>
        <m:r>
          <m:rPr>
            <m:sty m:val="p"/>
          </m:rPr>
          <m:t>)</m:t>
        </m:r>
      </m:oMath>
      <w:r>
        <w:rPr>
          <w:color w:val="000000"/>
        </w:rPr>
        <w:t xml:space="preserve">.</w:t>
      </w:r>
    </w:p>
    <w:p>
      <w:pPr>
        <w:pStyle w:val="CaptionedFigure"/>
        <w:spacing w:line="360" w:lineRule="auto"/>
        <w:jc w:val="center"/>
      </w:pPr>
      <w:r>
        <w:rPr>
          <w:color w:val="000000"/>
        </w:rPr>
        <w:drawing>
          <wp:inline>
            <wp:extent cx="5228414" cy="3100411"/>
            <wp:effectExtent b="0" l="0" r="0" t="0"/>
            <wp:docPr descr="Figura 6. Teoría de juegos cooperativos y ponderación de coaliciones en SHAP. Panel A: retículo booleano de subconjuntos (2^{|F|}) para tres variables y ruta de contribución marginal. Panel B: curva en U del núcleo combinatorio \pi(z') en KernelSHAP, que concentra la masa de ponderación en coaliciones extremas. Panel C: descomposición aditiva en cascada que satisface el axioma de eficiencia local \sum \phi_i = f(x) - \mathbb{E}[f(X)]. Fuente: elaboración propia a partir de Lundberg y Lee (2017)." title="" id="45" name="Picture"/>
            <a:graphic>
              <a:graphicData uri="http://schemas.openxmlformats.org/drawingml/2006/picture">
                <pic:pic>
                  <pic:nvPicPr>
                    <pic:cNvPr descr="../figures/exported/fig_d10_shap_coaliciones_es.png" id="46" name="Picture"/>
                    <pic:cNvPicPr>
                      <a:picLocks noChangeArrowheads="1" noChangeAspect="1"/>
                    </pic:cNvPicPr>
                  </pic:nvPicPr>
                  <pic:blipFill>
                    <a:blip r:embed="rId44"/>
                    <a:stretch>
                      <a:fillRect/>
                    </a:stretch>
                  </pic:blipFill>
                  <pic:spPr bwMode="auto">
                    <a:xfrm>
                      <a:off x="0" y="0"/>
                      <a:ext cx="5228414" cy="3100411"/>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6. Teoría de juegos cooperativos y ponderación de coaliciones en SHAP. Panel A: retículo booleano de subconjuntos (</w:t>
      </w:r>
      <m:oMath>
        <m:sSup>
          <m:e>
            <m:r>
              <m:t>2</m:t>
            </m:r>
          </m:e>
          <m:sup>
            <m:r>
              <m:rPr>
                <m:sty m:val="p"/>
              </m:rPr>
              <m:t>|</m:t>
            </m:r>
            <m:r>
              <m:t>F</m:t>
            </m:r>
            <m:r>
              <m:rPr>
                <m:sty m:val="p"/>
              </m:rPr>
              <m:t>|</m:t>
            </m:r>
          </m:sup>
        </m:sSup>
      </m:oMath>
      <w:r>
        <w:rPr>
          <w:color w:val="000000"/>
        </w:rPr>
        <w:t xml:space="preserve">) para tres variables y ruta de contribución marginal. Panel B: curva en U del núcleo combinatorio</w:t>
      </w:r>
      <w:r>
        <w:rPr>
          <w:color w:val="000000"/>
        </w:rPr>
        <w:t xml:space="preserve"> </w:t>
      </w:r>
      <m:oMath>
        <m:r>
          <m:t>π</m:t>
        </m:r>
        <m:r>
          <m:rPr>
            <m:sty m:val="p"/>
          </m:rPr>
          <m:t>(</m:t>
        </m:r>
        <m:sSup>
          <m:e>
            <m:r>
              <m:t>z</m:t>
            </m:r>
          </m:e>
          <m:sup>
            <m:r>
              <m:rPr>
                <m:sty m:val="p"/>
              </m:rPr>
              <m:t>′</m:t>
            </m:r>
          </m:sup>
        </m:sSup>
        <m:r>
          <m:rPr>
            <m:sty m:val="p"/>
          </m:rPr>
          <m:t>)</m:t>
        </m:r>
      </m:oMath>
      <w:r>
        <w:rPr>
          <w:color w:val="000000"/>
        </w:rPr>
        <w:t xml:space="preserve"> </w:t>
      </w:r>
      <w:r>
        <w:rPr>
          <w:color w:val="000000"/>
        </w:rPr>
        <w:t xml:space="preserve">en KernelSHAP, que concentra la masa de ponderación en coaliciones extremas. Panel C: descomposición aditiva en cascada que satisface el axioma de eficiencia local</w:t>
      </w:r>
      <w:r>
        <w:rPr>
          <w:color w:val="000000"/>
        </w:rPr>
        <w:t xml:space="preserve"> </w:t>
      </w:r>
      <m:oMath>
        <m:r>
          <m:rPr>
            <m:sty m:val="p"/>
          </m:rPr>
          <m:t>∑</m:t>
        </m:r>
        <m:sSub>
          <m:e>
            <m:r>
              <m:t>ϕ</m:t>
            </m:r>
          </m:e>
          <m:sub>
            <m:r>
              <m:t>i</m:t>
            </m:r>
          </m:sub>
        </m:sSub>
        <m:r>
          <m:rPr>
            <m:sty m:val="p"/>
          </m:rPr>
          <m:t>=</m:t>
        </m:r>
        <m:r>
          <m:t>f</m:t>
        </m:r>
        <m:r>
          <m:rPr>
            <m:sty m:val="p"/>
          </m:rPr>
          <m:t>(</m:t>
        </m:r>
        <m:r>
          <m:t>x</m:t>
        </m:r>
        <m:r>
          <m:rPr>
            <m:sty m:val="p"/>
          </m:rPr>
          <m:t>)</m:t>
        </m:r>
        <m:r>
          <m:rPr>
            <m:sty m:val="p"/>
          </m:rPr>
          <m:t>−</m:t>
        </m:r>
        <m:r>
          <m:rPr>
            <m:scr m:val="double-struck"/>
            <m:sty m:val="p"/>
          </m:rPr>
          <m:t>E</m:t>
        </m:r>
        <m:r>
          <m:rPr>
            <m:sty m:val="p"/>
          </m:rPr>
          <m:t>[</m:t>
        </m:r>
        <m:r>
          <m:t>f</m:t>
        </m:r>
        <m:r>
          <m:rPr>
            <m:sty m:val="p"/>
          </m:rPr>
          <m:t>(</m:t>
        </m:r>
        <m:r>
          <m:t>X</m:t>
        </m:r>
        <m:r>
          <m:rPr>
            <m:sty m:val="p"/>
          </m:rPr>
          <m:t>)</m:t>
        </m:r>
        <m:r>
          <m:rPr>
            <m:sty m:val="p"/>
          </m:rPr>
          <m:t>]</m:t>
        </m:r>
      </m:oMath>
      <w:r>
        <w:rPr>
          <w:color w:val="000000"/>
        </w:rPr>
        <w:t xml:space="preserve">. Fuente: elaboración propia a partir de Lundberg y Lee (2017).</w:t>
      </w:r>
    </w:p>
    <w:bookmarkEnd w:id="47"/>
    <w:bookmarkEnd w:id="48"/>
    <w:bookmarkStart w:id="49" w:name="X2c8505ce5911d8cab04a38efd63ab20ed22a305"/>
    <w:p>
      <w:pPr>
        <w:pStyle w:val="Heading2"/>
        <w:spacing w:line="360" w:lineRule="auto"/>
        <w:jc w:val="left"/>
      </w:pPr>
      <w:r>
        <w:rPr>
          <w:color w:val="000000"/>
        </w:rPr>
        <w:t xml:space="preserve">Anchors: Reglas condicionales con garantías formales</w:t>
      </w:r>
    </w:p>
    <w:p>
      <w:pPr>
        <w:pStyle w:val="FirstParagraph"/>
        <w:spacing w:line="360" w:lineRule="auto"/>
        <w:jc w:val="both"/>
      </w:pPr>
      <w:r>
        <w:rPr>
          <w:color w:val="000000"/>
        </w:rPr>
        <w:t xml:space="preserve">A diferencia de los vectores numéricos,</w:t>
      </w:r>
      <w:r>
        <w:rPr>
          <w:color w:val="000000"/>
        </w:rPr>
        <w:t xml:space="preserve"> </w:t>
      </w:r>
      <w:r>
        <w:rPr>
          <w:b/>
          <w:bCs/>
          <w:color w:val="000000"/>
        </w:rPr>
        <w:t xml:space="preserve">Anchors</w:t>
      </w:r>
      <w:r>
        <w:rPr>
          <w:color w:val="000000"/>
        </w:rPr>
        <w:t xml:space="preserve"> </w:t>
      </w:r>
      <w:r>
        <w:rPr>
          <w:color w:val="000000"/>
        </w:rPr>
        <w:t xml:space="preserve">(Ribeiro</w:t>
      </w:r>
      <w:r>
        <w:rPr>
          <w:color w:val="000000"/>
        </w:rPr>
        <w:t xml:space="preserve"> </w:t>
      </w:r>
      <w:r>
        <w:rPr>
          <w:i/>
          <w:iCs/>
          <w:color w:val="000000"/>
        </w:rPr>
        <w:t xml:space="preserve">et al.</w:t>
      </w:r>
      <w:r>
        <w:rPr>
          <w:color w:val="000000"/>
        </w:rPr>
        <w:t xml:space="preserve">, 2018) genera reglas lógicas</w:t>
      </w:r>
      <w:r>
        <w:rPr>
          <w:color w:val="000000"/>
        </w:rPr>
        <w:t xml:space="preserve"> </w:t>
      </w:r>
      <w:r>
        <w:rPr>
          <w:rStyle w:val="VerbatimChar"/>
          <w:color w:val="000000"/>
        </w:rPr>
        <w:t xml:space="preserve">SI-ENTONCES</w:t>
      </w:r>
      <w:r>
        <w:rPr>
          <w:color w:val="000000"/>
        </w:rPr>
        <w:t xml:space="preserve">.</w:t>
      </w:r>
    </w:p>
    <w:p>
      <w:pPr>
        <w:pStyle w:val="BodyText"/>
        <w:spacing w:line="360" w:lineRule="auto"/>
        <w:jc w:val="both"/>
      </w:pPr>
      <w:r>
        <w:rPr>
          <w:color w:val="000000"/>
        </w:rPr>
        <w:t xml:space="preserve">Una regla</w:t>
      </w:r>
      <w:r>
        <w:rPr>
          <w:color w:val="000000"/>
        </w:rPr>
        <w:t xml:space="preserve"> </w:t>
      </w:r>
      <m:oMath>
        <m:r>
          <m:t>A</m:t>
        </m:r>
      </m:oMath>
      <w:r>
        <w:rPr>
          <w:color w:val="000000"/>
        </w:rPr>
        <w:t xml:space="preserve"> </w:t>
      </w:r>
      <w:r>
        <w:rPr>
          <w:color w:val="000000"/>
        </w:rPr>
        <w:t xml:space="preserve">(el ancla) reúne predicados booleanos sobre las variables de entrada (por ejemplo,</w:t>
      </w:r>
      <w:r>
        <w:rPr>
          <w:color w:val="000000"/>
        </w:rPr>
        <w:t xml:space="preserve"> </w:t>
      </w:r>
      <m:oMath>
        <m:r>
          <m:rPr>
            <m:nor/>
            <m:sty m:val="p"/>
          </m:rPr>
          <m:t>Edad</m:t>
        </m:r>
        <m:r>
          <m:rPr>
            <m:sty m:val="p"/>
          </m:rPr>
          <m:t>&gt;</m:t>
        </m:r>
        <m:r>
          <m:t>35</m:t>
        </m:r>
        <m:r>
          <m:rPr>
            <m:sty m:val="p"/>
          </m:rPr>
          <m:t>∧</m:t>
        </m:r>
        <m:r>
          <m:rPr>
            <m:nor/>
            <m:sty m:val="p"/>
          </m:rPr>
          <m:t>Estado_Civil</m:t>
        </m:r>
        <m:r>
          <m:rPr>
            <m:sty m:val="p"/>
          </m:rPr>
          <m:t>=</m:t>
        </m:r>
        <m:r>
          <m:rPr>
            <m:nor/>
            <m:sty m:val="p"/>
          </m:rPr>
          <m:t>Casado</m:t>
        </m:r>
      </m:oMath>
      <w:r>
        <w:rPr>
          <w:color w:val="000000"/>
        </w:rPr>
        <w:t xml:space="preserve">). La regla es válida si garantiza que, mientras se cumplan dichos predicados, la predicción se mantendrá invariante bajo el marco PAC (</w:t>
      </w:r>
      <w:r>
        <w:rPr>
          <w:i/>
          <w:iCs/>
          <w:color w:val="000000"/>
        </w:rPr>
        <w:t xml:space="preserve">Probably Approximately Correct</w:t>
      </w:r>
      <w:r>
        <w:rPr>
          <w:color w:val="000000"/>
        </w:rPr>
        <w:t xml:space="preserve">):</w:t>
      </w:r>
    </w:p>
    <w:p>
      <w:pPr>
        <w:pStyle w:val="BodyText"/>
        <w:spacing w:line="360" w:lineRule="auto"/>
      </w:pPr>
      <m:oMathPara>
        <m:oMathParaPr>
          <m:jc m:val="center"/>
        </m:oMathParaPr>
        <m:oMath>
          <m:r>
            <m:t>P</m:t>
          </m:r>
          <m:d>
            <m:dPr>
              <m:begChr m:val="("/>
              <m:sepChr m:val=""/>
              <m:endChr m:val=")"/>
              <m:grow/>
            </m:dPr>
            <m:e>
              <m:r>
                <m:rPr>
                  <m:nor/>
                  <m:sty m:val="p"/>
                </m:rPr>
                <m:t>prec</m:t>
              </m:r>
              <m:r>
                <m:rPr>
                  <m:sty m:val="p"/>
                </m:rPr>
                <m:t>(</m:t>
              </m:r>
              <m:r>
                <m:t>A</m:t>
              </m:r>
              <m:r>
                <m:rPr>
                  <m:sty m:val="p"/>
                </m:rPr>
                <m:t>)</m:t>
              </m:r>
              <m:r>
                <m:rPr>
                  <m:sty m:val="p"/>
                </m:rPr>
                <m:t>≥</m:t>
              </m:r>
              <m:r>
                <m:t>1</m:t>
              </m:r>
              <m:r>
                <m:rPr>
                  <m:sty m:val="p"/>
                </m:rPr>
                <m:t>−</m:t>
              </m:r>
              <m:r>
                <m:t>γ</m:t>
              </m:r>
            </m:e>
          </m:d>
          <m:r>
            <m:rPr>
              <m:sty m:val="p"/>
            </m:rPr>
            <m:t>≥</m:t>
          </m:r>
          <m:r>
            <m:t>1</m:t>
          </m:r>
          <m:r>
            <m:rPr>
              <m:sty m:val="p"/>
            </m:rPr>
            <m:t>−</m:t>
          </m:r>
          <m:r>
            <m:t>δ</m:t>
          </m:r>
        </m:oMath>
      </m:oMathPara>
    </w:p>
    <w:p>
      <w:pPr>
        <w:pStyle w:val="FirstParagraph"/>
        <w:spacing w:line="360" w:lineRule="auto"/>
        <w:jc w:val="both"/>
      </w:pPr>
      <w:r>
        <w:rPr>
          <w:color w:val="000000"/>
        </w:rPr>
        <w:t xml:space="preserve">donde la precisión local</w:t>
      </w:r>
      <w:r>
        <w:rPr>
          <w:color w:val="000000"/>
        </w:rPr>
        <w:t xml:space="preserve"> </w:t>
      </w:r>
      <m:oMath>
        <m:r>
          <m:rPr>
            <m:nor/>
            <m:sty m:val="p"/>
          </m:rPr>
          <m:t>prec</m:t>
        </m:r>
        <m:r>
          <m:rPr>
            <m:sty m:val="p"/>
          </m:rPr>
          <m:t>(</m:t>
        </m:r>
        <m:r>
          <m:t>A</m:t>
        </m:r>
        <m:r>
          <m:rPr>
            <m:sty m:val="p"/>
          </m:rPr>
          <m:t>)</m:t>
        </m:r>
      </m:oMath>
      <w:r>
        <w:rPr>
          <w:color w:val="000000"/>
        </w:rPr>
        <w:t xml:space="preserve"> </w:t>
      </w:r>
      <w:r>
        <w:rPr>
          <w:color w:val="000000"/>
        </w:rPr>
        <w:t xml:space="preserve">mide la proporción de perturbaciones locales</w:t>
      </w:r>
      <w:r>
        <w:rPr>
          <w:color w:val="000000"/>
        </w:rPr>
        <w:t xml:space="preserve"> </w:t>
      </w:r>
      <m:oMath>
        <m:r>
          <m:t>z</m:t>
        </m:r>
      </m:oMath>
      <w:r>
        <w:rPr>
          <w:color w:val="000000"/>
        </w:rPr>
        <w:t xml:space="preserve"> </w:t>
      </w:r>
      <w:r>
        <w:rPr>
          <w:color w:val="000000"/>
        </w:rPr>
        <w:t xml:space="preserve">que preservan la predicción original</w:t>
      </w:r>
      <w:r>
        <w:rPr>
          <w:color w:val="000000"/>
        </w:rPr>
        <w:t xml:space="preserve"> </w:t>
      </w:r>
      <m:oMath>
        <m:r>
          <m:t>f</m:t>
        </m:r>
        <m:r>
          <m:rPr>
            <m:sty m:val="p"/>
          </m:rPr>
          <m:t>(</m:t>
        </m:r>
        <m:r>
          <m:t>x</m:t>
        </m:r>
        <m:r>
          <m:rPr>
            <m:sty m:val="p"/>
          </m:rPr>
          <m:t>)</m:t>
        </m:r>
      </m:oMath>
      <w:r>
        <w:rPr>
          <w:color w:val="000000"/>
        </w:rPr>
        <w:t xml:space="preserve">:</w:t>
      </w:r>
    </w:p>
    <w:p>
      <w:pPr>
        <w:pStyle w:val="BodyText"/>
        <w:spacing w:line="360" w:lineRule="auto"/>
      </w:pPr>
      <m:oMathPara>
        <m:oMathParaPr>
          <m:jc m:val="center"/>
        </m:oMathParaPr>
        <m:oMath>
          <m:r>
            <m:rPr>
              <m:nor/>
              <m:sty m:val="p"/>
            </m:rPr>
            <m:t>prec</m:t>
          </m:r>
          <m:r>
            <m:rPr>
              <m:sty m:val="p"/>
            </m:rPr>
            <m:t>(</m:t>
          </m:r>
          <m:r>
            <m:t>A</m:t>
          </m:r>
          <m:r>
            <m:rPr>
              <m:sty m:val="p"/>
            </m:rPr>
            <m:t>)</m:t>
          </m:r>
          <m:r>
            <m:rPr>
              <m:sty m:val="p"/>
            </m:rPr>
            <m:t>=</m:t>
          </m:r>
          <m:sSub>
            <m:e>
              <m:r>
                <m:rPr>
                  <m:scr m:val="double-struck"/>
                  <m:sty m:val="p"/>
                </m:rPr>
                <m:t>E</m:t>
              </m:r>
            </m:e>
            <m:sub>
              <m:r>
                <m:t>z</m:t>
              </m:r>
              <m:r>
                <m:rPr>
                  <m:sty m:val="p"/>
                </m:rPr>
                <m:t>∼</m:t>
              </m:r>
              <m:r>
                <m:t>D</m:t>
              </m:r>
              <m:r>
                <m:rPr>
                  <m:sty m:val="p"/>
                </m:rPr>
                <m:t>(</m:t>
              </m:r>
              <m:r>
                <m:t>z</m:t>
              </m:r>
              <m:r>
                <m:rPr>
                  <m:sty m:val="p"/>
                </m:rPr>
                <m:t>|</m:t>
              </m:r>
              <m:r>
                <m:t>A</m:t>
              </m:r>
              <m:r>
                <m:rPr>
                  <m:sty m:val="p"/>
                </m:rPr>
                <m:t>)</m:t>
              </m:r>
            </m:sub>
          </m:sSub>
          <m:d>
            <m:dPr>
              <m:begChr m:val="["/>
              <m:sepChr m:val=""/>
              <m:endChr m:val="]"/>
              <m:grow/>
            </m:dPr>
            <m:e>
              <m:r>
                <m:rPr>
                  <m:scr m:val="double-struck"/>
                  <m:sty m:val="p"/>
                </m:rPr>
                <m:t>I</m:t>
              </m:r>
              <m:r>
                <m:rPr>
                  <m:sty m:val="p"/>
                </m:rPr>
                <m:t>(</m:t>
              </m:r>
              <m:r>
                <m:t>f</m:t>
              </m:r>
              <m:r>
                <m:rPr>
                  <m:sty m:val="p"/>
                </m:rPr>
                <m:t>(</m:t>
              </m:r>
              <m:r>
                <m:t>x</m:t>
              </m:r>
              <m:r>
                <m:rPr>
                  <m:sty m:val="p"/>
                </m:rPr>
                <m:t>)</m:t>
              </m:r>
              <m:r>
                <m:rPr>
                  <m:sty m:val="p"/>
                </m:rPr>
                <m:t>=</m:t>
              </m:r>
              <m:r>
                <m:t>f</m:t>
              </m:r>
              <m:r>
                <m:rPr>
                  <m:sty m:val="p"/>
                </m:rPr>
                <m:t>(</m:t>
              </m:r>
              <m:r>
                <m:t>z</m:t>
              </m:r>
              <m:r>
                <m:rPr>
                  <m:sty m:val="p"/>
                </m:rPr>
                <m:t>)</m:t>
              </m:r>
              <m:r>
                <m:rPr>
                  <m:sty m:val="p"/>
                </m:rPr>
                <m:t>)</m:t>
              </m:r>
            </m:e>
          </m:d>
        </m:oMath>
      </m:oMathPara>
    </w:p>
    <w:p>
      <w:pPr>
        <w:pStyle w:val="FirstParagraph"/>
        <w:spacing w:line="360" w:lineRule="auto"/>
        <w:jc w:val="both"/>
      </w:pPr>
      <w:r>
        <w:rPr>
          <w:color w:val="000000"/>
        </w:rPr>
        <w:t xml:space="preserve">En estas formulaciones:</w:t>
      </w:r>
    </w:p>
    <w:p>
      <w:pPr>
        <w:pStyle w:val="Compact"/>
        <w:numPr>
          <w:ilvl w:val="0"/>
          <w:numId w:val="1013"/>
        </w:numPr>
        <w:spacing w:line="360" w:lineRule="auto"/>
        <w:jc w:val="both"/>
      </w:pPr>
      <m:oMath>
        <m:r>
          <m:rPr>
            <m:scr m:val="double-struck"/>
            <m:sty m:val="p"/>
          </m:rPr>
          <m:t>I</m:t>
        </m:r>
        <m:r>
          <m:rPr>
            <m:sty m:val="p"/>
          </m:rPr>
          <m:t>(</m:t>
        </m:r>
        <m:r>
          <m:rPr>
            <m:sty m:val="p"/>
          </m:rPr>
          <m:t>⋅</m:t>
        </m:r>
        <m:r>
          <m:rPr>
            <m:sty m:val="p"/>
          </m:rPr>
          <m:t>)</m:t>
        </m:r>
      </m:oMath>
      <w:r>
        <w:rPr>
          <w:color w:val="000000"/>
        </w:rPr>
        <w:t xml:space="preserve"> </w:t>
      </w:r>
      <w:r>
        <w:rPr>
          <w:color w:val="000000"/>
        </w:rPr>
        <w:t xml:space="preserve">es la función indicadora booleana.</w:t>
      </w:r>
    </w:p>
    <w:p>
      <w:pPr>
        <w:pStyle w:val="Compact"/>
        <w:numPr>
          <w:ilvl w:val="0"/>
          <w:numId w:val="1013"/>
        </w:numPr>
        <w:spacing w:line="360" w:lineRule="auto"/>
        <w:jc w:val="both"/>
      </w:pPr>
      <m:oMath>
        <m:r>
          <m:t>D</m:t>
        </m:r>
        <m:r>
          <m:rPr>
            <m:sty m:val="p"/>
          </m:rPr>
          <m:t>(</m:t>
        </m:r>
        <m:r>
          <m:t>z</m:t>
        </m:r>
        <m:r>
          <m:rPr>
            <m:sty m:val="p"/>
          </m:rPr>
          <m:t>|</m:t>
        </m:r>
        <m:r>
          <m:t>A</m:t>
        </m:r>
        <m:r>
          <m:rPr>
            <m:sty m:val="p"/>
          </m:rPr>
          <m:t>)</m:t>
        </m:r>
      </m:oMath>
      <w:r>
        <w:rPr>
          <w:color w:val="000000"/>
        </w:rPr>
        <w:t xml:space="preserve"> </w:t>
      </w:r>
      <w:r>
        <w:rPr>
          <w:color w:val="000000"/>
        </w:rPr>
        <w:t xml:space="preserve">es la distribución de perturbaciones locales condicionada al cumplimiento de</w:t>
      </w:r>
      <w:r>
        <w:rPr>
          <w:color w:val="000000"/>
        </w:rPr>
        <w:t xml:space="preserve"> </w:t>
      </w:r>
      <m:oMath>
        <m:r>
          <m:t>A</m:t>
        </m:r>
      </m:oMath>
      <w:r>
        <w:rPr>
          <w:color w:val="000000"/>
        </w:rPr>
        <w:t xml:space="preserve">.</w:t>
      </w:r>
    </w:p>
    <w:p>
      <w:pPr>
        <w:pStyle w:val="Compact"/>
        <w:numPr>
          <w:ilvl w:val="0"/>
          <w:numId w:val="1013"/>
        </w:numPr>
        <w:spacing w:line="360" w:lineRule="auto"/>
        <w:jc w:val="both"/>
      </w:pPr>
      <m:oMath>
        <m:r>
          <m:t>γ</m:t>
        </m:r>
      </m:oMath>
      <w:r>
        <w:rPr>
          <w:color w:val="000000"/>
        </w:rPr>
        <w:t xml:space="preserve"> </w:t>
      </w:r>
      <w:r>
        <w:rPr>
          <w:color w:val="000000"/>
        </w:rPr>
        <w:t xml:space="preserve">representa el margen de error admisible (por ejemplo,</w:t>
      </w:r>
      <w:r>
        <w:rPr>
          <w:color w:val="000000"/>
        </w:rPr>
        <w:t xml:space="preserve"> </w:t>
      </w:r>
      <m:oMath>
        <m:r>
          <m:t>γ</m:t>
        </m:r>
        <m:r>
          <m:rPr>
            <m:sty m:val="p"/>
          </m:rPr>
          <m:t>=</m:t>
        </m:r>
        <m:r>
          <m:t>0.05</m:t>
        </m:r>
      </m:oMath>
      <w:r>
        <w:rPr>
          <w:color w:val="000000"/>
        </w:rPr>
        <w:t xml:space="preserve"> </w:t>
      </w:r>
      <w:r>
        <w:rPr>
          <w:color w:val="000000"/>
        </w:rPr>
        <w:t xml:space="preserve">para exigir</w:t>
      </w:r>
      <w:r>
        <w:rPr>
          <w:color w:val="000000"/>
        </w:rPr>
        <w:t xml:space="preserve"> </w:t>
      </w:r>
      <m:oMath>
        <m:r>
          <m:t>95</m:t>
        </m:r>
        <m:r>
          <m:rPr>
            <m:sty m:val="p"/>
          </m:rPr>
          <m:t>%</m:t>
        </m:r>
      </m:oMath>
      <w:r>
        <w:rPr>
          <w:color w:val="000000"/>
        </w:rPr>
        <w:t xml:space="preserve"> </w:t>
      </w:r>
      <w:r>
        <w:rPr>
          <w:color w:val="000000"/>
        </w:rPr>
        <w:t xml:space="preserve">de precisión).</w:t>
      </w:r>
    </w:p>
    <w:p>
      <w:pPr>
        <w:pStyle w:val="Compact"/>
        <w:numPr>
          <w:ilvl w:val="0"/>
          <w:numId w:val="1013"/>
        </w:numPr>
        <w:spacing w:line="360" w:lineRule="auto"/>
        <w:jc w:val="both"/>
      </w:pPr>
      <m:oMath>
        <m:r>
          <m:t>δ</m:t>
        </m:r>
      </m:oMath>
      <w:r>
        <w:rPr>
          <w:color w:val="000000"/>
        </w:rPr>
        <w:t xml:space="preserve"> </w:t>
      </w:r>
      <w:r>
        <w:rPr>
          <w:color w:val="000000"/>
        </w:rPr>
        <w:t xml:space="preserve">es el nivel de significancia estadística (por ejemplo,</w:t>
      </w:r>
      <w:r>
        <w:rPr>
          <w:color w:val="000000"/>
        </w:rPr>
        <w:t xml:space="preserve"> </w:t>
      </w:r>
      <m:oMath>
        <m:r>
          <m:t>δ</m:t>
        </m:r>
        <m:r>
          <m:rPr>
            <m:sty m:val="p"/>
          </m:rPr>
          <m:t>=</m:t>
        </m:r>
        <m:r>
          <m:t>0.01</m:t>
        </m:r>
      </m:oMath>
      <w:r>
        <w:rPr>
          <w:color w:val="000000"/>
        </w:rPr>
        <w:t xml:space="preserve"> </w:t>
      </w:r>
      <w:r>
        <w:rPr>
          <w:color w:val="000000"/>
        </w:rPr>
        <w:t xml:space="preserve">para un</w:t>
      </w:r>
      <w:r>
        <w:rPr>
          <w:color w:val="000000"/>
        </w:rPr>
        <w:t xml:space="preserve"> </w:t>
      </w:r>
      <m:oMath>
        <m:r>
          <m:t>99</m:t>
        </m:r>
        <m:r>
          <m:rPr>
            <m:sty m:val="p"/>
          </m:rPr>
          <m:t>%</m:t>
        </m:r>
      </m:oMath>
      <w:r>
        <w:rPr>
          <w:color w:val="000000"/>
        </w:rPr>
        <w:t xml:space="preserve"> </w:t>
      </w:r>
      <w:r>
        <w:rPr>
          <w:color w:val="000000"/>
        </w:rPr>
        <w:t xml:space="preserve">de confianza).</w:t>
      </w:r>
    </w:p>
    <w:p>
      <w:pPr>
        <w:pStyle w:val="FirstParagraph"/>
        <w:spacing w:line="360" w:lineRule="auto"/>
        <w:jc w:val="both"/>
      </w:pPr>
      <w:r>
        <w:rPr>
          <w:color w:val="000000"/>
        </w:rPr>
        <w:t xml:space="preserve">Simultáneamente, el algoritmo busca maximizar la</w:t>
      </w:r>
      <w:r>
        <w:rPr>
          <w:color w:val="000000"/>
        </w:rPr>
        <w:t xml:space="preserve"> </w:t>
      </w:r>
      <w:r>
        <w:rPr>
          <w:b/>
          <w:bCs/>
          <w:color w:val="000000"/>
        </w:rPr>
        <w:t xml:space="preserve">cobertura</w:t>
      </w:r>
      <w:r>
        <w:rPr>
          <w:color w:val="000000"/>
        </w:rPr>
        <w:t xml:space="preserve"> </w:t>
      </w:r>
      <w:r>
        <w:rPr>
          <w:color w:val="000000"/>
        </w:rPr>
        <w:t xml:space="preserve">(</w:t>
      </w:r>
      <w:r>
        <w:rPr>
          <w:i/>
          <w:iCs/>
          <w:color w:val="000000"/>
        </w:rPr>
        <w:t xml:space="preserve">coverage</w:t>
      </w:r>
      <w:r>
        <w:rPr>
          <w:color w:val="000000"/>
        </w:rPr>
        <w:t xml:space="preserve">) de la regla en la población:</w:t>
      </w:r>
    </w:p>
    <w:p>
      <w:pPr>
        <w:pStyle w:val="BodyText"/>
        <w:spacing w:line="360" w:lineRule="auto"/>
      </w:pPr>
      <m:oMathPara>
        <m:oMathParaPr>
          <m:jc m:val="center"/>
        </m:oMathParaPr>
        <m:oMath>
          <m:r>
            <m:rPr>
              <m:nor/>
              <m:sty m:val="p"/>
            </m:rPr>
            <m:t>cov</m:t>
          </m:r>
          <m:r>
            <m:rPr>
              <m:sty m:val="p"/>
            </m:rPr>
            <m:t>(</m:t>
          </m:r>
          <m:r>
            <m:t>A</m:t>
          </m:r>
          <m:r>
            <m:rPr>
              <m:sty m:val="p"/>
            </m:rPr>
            <m:t>)</m:t>
          </m:r>
          <m:r>
            <m:rPr>
              <m:sty m:val="p"/>
            </m:rPr>
            <m:t>=</m:t>
          </m:r>
          <m:sSub>
            <m:e>
              <m:r>
                <m:t>P</m:t>
              </m:r>
            </m:e>
            <m:sub>
              <m:r>
                <m:t>z</m:t>
              </m:r>
              <m:r>
                <m:rPr>
                  <m:sty m:val="p"/>
                </m:rPr>
                <m:t>∼</m:t>
              </m:r>
              <m:r>
                <m:t>D</m:t>
              </m:r>
            </m:sub>
          </m:sSub>
          <m:r>
            <m:rPr>
              <m:sty m:val="p"/>
            </m:rPr>
            <m:t>(</m:t>
          </m:r>
          <m:r>
            <m:t>A</m:t>
          </m:r>
          <m:r>
            <m:rPr>
              <m:sty m:val="p"/>
            </m:rPr>
            <m:t>(</m:t>
          </m:r>
          <m:r>
            <m:t>z</m:t>
          </m:r>
          <m:r>
            <m:rPr>
              <m:sty m:val="p"/>
            </m:rPr>
            <m:t>)</m:t>
          </m:r>
          <m:r>
            <m:rPr>
              <m:sty m:val="p"/>
            </m:rPr>
            <m:t>=</m:t>
          </m:r>
          <m:r>
            <m:t>1</m:t>
          </m:r>
          <m:r>
            <m:rPr>
              <m:sty m:val="p"/>
            </m:rPr>
            <m:t>)</m:t>
          </m:r>
        </m:oMath>
      </m:oMathPara>
    </w:p>
    <w:p>
      <w:pPr>
        <w:pStyle w:val="FirstParagraph"/>
        <w:spacing w:line="360" w:lineRule="auto"/>
        <w:jc w:val="both"/>
      </w:pPr>
      <w:r>
        <w:rPr>
          <w:color w:val="000000"/>
        </w:rPr>
        <w:t xml:space="preserve">donde</w:t>
      </w:r>
      <w:r>
        <w:rPr>
          <w:color w:val="000000"/>
        </w:rPr>
        <w:t xml:space="preserve"> </w:t>
      </w:r>
      <m:oMath>
        <m:r>
          <m:t>A</m:t>
        </m:r>
        <m:r>
          <m:rPr>
            <m:sty m:val="p"/>
          </m:rPr>
          <m:t>(</m:t>
        </m:r>
        <m:r>
          <m:t>z</m:t>
        </m:r>
        <m:r>
          <m:rPr>
            <m:sty m:val="p"/>
          </m:rPr>
          <m:t>)</m:t>
        </m:r>
        <m:r>
          <m:rPr>
            <m:sty m:val="p"/>
          </m:rPr>
          <m:t>=</m:t>
        </m:r>
        <m:r>
          <m:t>1</m:t>
        </m:r>
      </m:oMath>
      <w:r>
        <w:rPr>
          <w:color w:val="000000"/>
        </w:rPr>
        <w:t xml:space="preserve"> </w:t>
      </w:r>
      <w:r>
        <w:rPr>
          <w:color w:val="000000"/>
        </w:rPr>
        <w:t xml:space="preserve">indica que la instancia cumple las condiciones del ancla. Anchors emplea una búsqueda por haces (</w:t>
      </w:r>
      <w:r>
        <w:rPr>
          <w:i/>
          <w:iCs/>
          <w:color w:val="000000"/>
        </w:rPr>
        <w:t xml:space="preserve">beam search</w:t>
      </w:r>
      <w:r>
        <w:rPr>
          <w:color w:val="000000"/>
        </w:rPr>
        <w:t xml:space="preserve">) guiada por bandidos multi-brazo, optimizando el espacio de reglas sin incurrir en evaluaciones exhaustivas.</w:t>
      </w:r>
    </w:p>
    <w:bookmarkEnd w:id="49"/>
    <w:bookmarkStart w:id="53" w:name="X4bf34344ed619925ff41f7ff5938386e923686b"/>
    <w:p>
      <w:pPr>
        <w:pStyle w:val="Heading2"/>
        <w:spacing w:line="360" w:lineRule="auto"/>
        <w:jc w:val="left"/>
      </w:pPr>
      <w:r>
        <w:rPr>
          <w:color w:val="000000"/>
        </w:rPr>
        <w:t xml:space="preserve">DiCE: Explicaciones contrafactuales diversas y recurso accionable</w:t>
      </w:r>
    </w:p>
    <w:p>
      <w:pPr>
        <w:pStyle w:val="FirstParagraph"/>
        <w:spacing w:line="360" w:lineRule="auto"/>
        <w:jc w:val="both"/>
      </w:pPr>
      <w:r>
        <w:rPr>
          <w:color w:val="000000"/>
        </w:rPr>
        <w:t xml:space="preserve">Propuesto por Mothilal</w:t>
      </w:r>
      <w:r>
        <w:rPr>
          <w:color w:val="000000"/>
        </w:rPr>
        <w:t xml:space="preserve"> </w:t>
      </w:r>
      <w:r>
        <w:rPr>
          <w:i/>
          <w:iCs/>
          <w:color w:val="000000"/>
        </w:rPr>
        <w:t xml:space="preserve">et al.</w:t>
      </w:r>
      <w:r>
        <w:rPr>
          <w:color w:val="000000"/>
        </w:rPr>
        <w:t xml:space="preserve"> </w:t>
      </w:r>
      <w:r>
        <w:rPr>
          <w:color w:val="000000"/>
        </w:rPr>
        <w:t xml:space="preserve">(2020),</w:t>
      </w:r>
      <w:r>
        <w:rPr>
          <w:color w:val="000000"/>
        </w:rPr>
        <w:t xml:space="preserve"> </w:t>
      </w:r>
      <w:r>
        <w:rPr>
          <w:b/>
          <w:bCs/>
          <w:color w:val="000000"/>
        </w:rPr>
        <w:t xml:space="preserve">DiCE</w:t>
      </w:r>
      <w:r>
        <w:rPr>
          <w:color w:val="000000"/>
        </w:rPr>
        <w:t xml:space="preserve"> </w:t>
      </w:r>
      <w:r>
        <w:rPr>
          <w:color w:val="000000"/>
        </w:rPr>
        <w:t xml:space="preserve">(</w:t>
      </w:r>
      <w:r>
        <w:rPr>
          <w:i/>
          <w:iCs/>
          <w:color w:val="000000"/>
        </w:rPr>
        <w:t xml:space="preserve">Diverse Counterfactual Explanations</w:t>
      </w:r>
      <w:r>
        <w:rPr>
          <w:color w:val="000000"/>
        </w:rPr>
        <w:t xml:space="preserve">) adopta un enfoque prescriptivo. Responde a la pregunta del usuario:</w:t>
      </w:r>
      <w:r>
        <w:rPr>
          <w:color w:val="000000"/>
        </w:rPr>
        <w:t xml:space="preserve"> </w:t>
      </w:r>
      <w:r>
        <w:rPr>
          <w:i/>
          <w:iCs/>
          <w:color w:val="000000"/>
        </w:rPr>
        <w:t xml:space="preserve">¿cuál es el cambio mínimo en mis datos que conmutaría la decisión del modelo hacia la clase deseada?</w:t>
      </w:r>
    </w:p>
    <w:p>
      <w:pPr>
        <w:pStyle w:val="BodyText"/>
        <w:spacing w:line="360" w:lineRule="auto"/>
        <w:jc w:val="both"/>
      </w:pPr>
      <w:r>
        <w:rPr>
          <w:color w:val="000000"/>
        </w:rPr>
        <w:t xml:space="preserve">En producción, un contrafactual viable debe respetar restricciones operativas:</w:t>
      </w:r>
    </w:p>
    <w:p>
      <w:pPr>
        <w:pStyle w:val="Compact"/>
        <w:numPr>
          <w:ilvl w:val="0"/>
          <w:numId w:val="1014"/>
        </w:numPr>
        <w:spacing w:line="360" w:lineRule="auto"/>
        <w:jc w:val="both"/>
      </w:pPr>
      <w:r>
        <w:rPr>
          <w:b/>
          <w:bCs/>
          <w:color w:val="000000"/>
        </w:rPr>
        <w:t xml:space="preserve">Variables inmutables:</w:t>
      </w:r>
      <w:r>
        <w:rPr>
          <w:color w:val="000000"/>
        </w:rPr>
        <w:t xml:space="preserve"> </w:t>
      </w:r>
      <w:r>
        <w:rPr>
          <w:color w:val="000000"/>
        </w:rPr>
        <w:t xml:space="preserve">Atributos intrínsecos como la</w:t>
      </w:r>
      <w:r>
        <w:rPr>
          <w:color w:val="000000"/>
        </w:rPr>
        <w:t xml:space="preserve"> </w:t>
      </w:r>
      <w:r>
        <w:rPr>
          <w:i/>
          <w:iCs/>
          <w:color w:val="000000"/>
        </w:rPr>
        <w:t xml:space="preserve">Edad</w:t>
      </w:r>
      <w:r>
        <w:rPr>
          <w:color w:val="000000"/>
        </w:rPr>
        <w:t xml:space="preserve"> </w:t>
      </w:r>
      <w:r>
        <w:rPr>
          <w:color w:val="000000"/>
        </w:rPr>
        <w:t xml:space="preserve">no admiten modificación retroactiva.</w:t>
      </w:r>
    </w:p>
    <w:p>
      <w:pPr>
        <w:pStyle w:val="Compact"/>
        <w:numPr>
          <w:ilvl w:val="0"/>
          <w:numId w:val="1014"/>
        </w:numPr>
        <w:spacing w:line="360" w:lineRule="auto"/>
        <w:jc w:val="both"/>
      </w:pPr>
      <w:r>
        <w:rPr>
          <w:b/>
          <w:bCs/>
          <w:color w:val="000000"/>
        </w:rPr>
        <w:t xml:space="preserve">Dirección monótona:</w:t>
      </w:r>
      <w:r>
        <w:rPr>
          <w:color w:val="000000"/>
        </w:rPr>
        <w:t xml:space="preserve"> </w:t>
      </w:r>
      <w:r>
        <w:rPr>
          <w:color w:val="000000"/>
        </w:rPr>
        <w:t xml:space="preserve">La</w:t>
      </w:r>
      <w:r>
        <w:rPr>
          <w:color w:val="000000"/>
        </w:rPr>
        <w:t xml:space="preserve"> </w:t>
      </w:r>
      <w:r>
        <w:rPr>
          <w:i/>
          <w:iCs/>
          <w:color w:val="000000"/>
        </w:rPr>
        <w:t xml:space="preserve">Antigüedad Laboral</w:t>
      </w:r>
      <w:r>
        <w:rPr>
          <w:color w:val="000000"/>
        </w:rPr>
        <w:t xml:space="preserve"> </w:t>
      </w:r>
      <w:r>
        <w:rPr>
          <w:color w:val="000000"/>
        </w:rPr>
        <w:t xml:space="preserve">solo puede incrementarse.</w:t>
      </w:r>
    </w:p>
    <w:p>
      <w:pPr>
        <w:pStyle w:val="Compact"/>
        <w:numPr>
          <w:ilvl w:val="0"/>
          <w:numId w:val="1014"/>
        </w:numPr>
        <w:spacing w:line="360" w:lineRule="auto"/>
        <w:jc w:val="both"/>
      </w:pPr>
      <w:r>
        <w:rPr>
          <w:b/>
          <w:bCs/>
          <w:color w:val="000000"/>
        </w:rPr>
        <w:t xml:space="preserve">Rangos factibles:</w:t>
      </w:r>
      <w:r>
        <w:rPr>
          <w:color w:val="000000"/>
        </w:rPr>
        <w:t xml:space="preserve"> </w:t>
      </w:r>
      <w:r>
        <w:rPr>
          <w:color w:val="000000"/>
        </w:rPr>
        <w:t xml:space="preserve">Evitar combinaciones incompatibles con la realidad operativa.</w:t>
      </w:r>
    </w:p>
    <w:p>
      <w:pPr>
        <w:pStyle w:val="FirstParagraph"/>
        <w:spacing w:line="360" w:lineRule="auto"/>
        <w:jc w:val="both"/>
      </w:pPr>
      <w:r>
        <w:rPr>
          <w:color w:val="000000"/>
        </w:rPr>
        <w:t xml:space="preserve">Dado un punto</w:t>
      </w:r>
      <w:r>
        <w:rPr>
          <w:color w:val="000000"/>
        </w:rPr>
        <w:t xml:space="preserve"> </w:t>
      </w:r>
      <m:oMath>
        <m:r>
          <m:t>x</m:t>
        </m:r>
      </m:oMath>
      <w:r>
        <w:rPr>
          <w:color w:val="000000"/>
        </w:rPr>
        <w:t xml:space="preserve"> </w:t>
      </w:r>
      <w:r>
        <w:rPr>
          <w:color w:val="000000"/>
        </w:rPr>
        <w:t xml:space="preserve">y una clase deseada</w:t>
      </w:r>
      <w:r>
        <w:rPr>
          <w:color w:val="000000"/>
        </w:rPr>
        <w:t xml:space="preserve"> </w:t>
      </w:r>
      <m:oMath>
        <m:sSup>
          <m:e>
            <m:r>
              <m:t>y</m:t>
            </m:r>
          </m:e>
          <m:sup>
            <m:r>
              <m:rPr>
                <m:sty m:val="p"/>
              </m:rPr>
              <m:t>*</m:t>
            </m:r>
          </m:sup>
        </m:sSup>
      </m:oMath>
      <w:r>
        <w:rPr>
          <w:color w:val="000000"/>
        </w:rPr>
        <w:t xml:space="preserve">, DiCE optimiza un conjunto de</w:t>
      </w:r>
      <w:r>
        <w:rPr>
          <w:color w:val="000000"/>
        </w:rPr>
        <w:t xml:space="preserve"> </w:t>
      </w:r>
      <m:oMath>
        <m:r>
          <m:t>k</m:t>
        </m:r>
      </m:oMath>
      <w:r>
        <w:rPr>
          <w:color w:val="000000"/>
        </w:rPr>
        <w:t xml:space="preserve"> </w:t>
      </w:r>
      <w:r>
        <w:rPr>
          <w:color w:val="000000"/>
        </w:rPr>
        <w:t xml:space="preserve">contrafactuales</w:t>
      </w:r>
      <w:r>
        <w:rPr>
          <w:color w:val="000000"/>
        </w:rP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oMath>
      <w:r>
        <w:rPr>
          <w:color w:val="000000"/>
        </w:rPr>
        <w:t xml:space="preserve"> </w:t>
      </w:r>
      <w:r>
        <w:rPr>
          <w:color w:val="000000"/>
        </w:rPr>
        <w:t xml:space="preserve">resolviendo:</w:t>
      </w:r>
    </w:p>
    <w:p>
      <w:pPr>
        <w:pStyle w:val="BodyText"/>
        <w:spacing w:line="360" w:lineRule="auto"/>
      </w:pPr>
      <m:oMathPara>
        <m:oMathParaPr>
          <m:jc m:val="center"/>
        </m:oMathParaPr>
        <m:oMath>
          <m:limLow>
            <m:e>
              <m:r>
                <m:rPr>
                  <m:sty m:val="p"/>
                </m:rPr>
                <m:t>min</m:t>
              </m:r>
            </m:e>
            <m:lim>
              <m:sSub>
                <m:e>
                  <m:r>
                    <m:t>c</m:t>
                  </m:r>
                </m:e>
                <m:sub>
                  <m:r>
                    <m:t>1</m:t>
                  </m:r>
                </m:sub>
              </m:sSub>
              <m:r>
                <m:rPr>
                  <m:sty m:val="p"/>
                </m:rPr>
                <m:t>,</m:t>
              </m:r>
              <m:r>
                <m:rPr>
                  <m:sty m:val="p"/>
                </m:rPr>
                <m:t>…</m:t>
              </m:r>
              <m:r>
                <m:rPr>
                  <m:sty m:val="p"/>
                </m:rPr>
                <m:t>,</m:t>
              </m:r>
              <m:sSub>
                <m:e>
                  <m:r>
                    <m:t>c</m:t>
                  </m:r>
                </m:e>
                <m:sub>
                  <m:r>
                    <m:t>k</m:t>
                  </m:r>
                </m:sub>
              </m:sSub>
            </m:lim>
          </m:limLow>
          <m:f>
            <m:fPr>
              <m:type m:val="bar"/>
            </m:fPr>
            <m:num>
              <m:r>
                <m:t>1</m:t>
              </m:r>
            </m:num>
            <m:den>
              <m:r>
                <m:t>k</m:t>
              </m:r>
            </m:den>
          </m:f>
          <m:nary>
            <m:naryPr>
              <m:chr m:val="∑"/>
              <m:limLoc m:val="undOvr"/>
              <m:subHide m:val="off"/>
              <m:supHide m:val="off"/>
            </m:naryPr>
            <m:sub>
              <m:r>
                <m:t>i</m:t>
              </m:r>
              <m:r>
                <m:rPr>
                  <m:sty m:val="p"/>
                </m:rPr>
                <m:t>=</m:t>
              </m:r>
              <m:r>
                <m:t>1</m:t>
              </m:r>
            </m:sub>
            <m:sup>
              <m:r>
                <m:t>k</m:t>
              </m:r>
            </m:sup>
            <m:e>
              <m:sSub>
                <m:e>
                  <m:r>
                    <m:rPr>
                      <m:scr m:val="script"/>
                      <m:sty m:val="p"/>
                    </m:rPr>
                    <m:t>L</m:t>
                  </m:r>
                </m:e>
                <m:sub>
                  <m:r>
                    <m:t>l</m:t>
                  </m:r>
                  <m:r>
                    <m:t>o</m:t>
                  </m:r>
                  <m:r>
                    <m:t>s</m:t>
                  </m:r>
                  <m:r>
                    <m:t>s</m:t>
                  </m:r>
                </m:sub>
              </m:sSub>
            </m:e>
          </m:nary>
          <m:r>
            <m:rPr>
              <m:sty m:val="p"/>
            </m:rPr>
            <m:t>(</m:t>
          </m:r>
          <m:r>
            <m:t>f</m:t>
          </m:r>
          <m:r>
            <m:rPr>
              <m:sty m:val="p"/>
            </m:rPr>
            <m:t>(</m:t>
          </m:r>
          <m:sSub>
            <m:e>
              <m:r>
                <m:t>c</m:t>
              </m:r>
            </m:e>
            <m:sub>
              <m:r>
                <m:t>i</m:t>
              </m:r>
            </m:sub>
          </m:sSub>
          <m:r>
            <m:rPr>
              <m:sty m:val="p"/>
            </m:rPr>
            <m:t>)</m:t>
          </m:r>
          <m:r>
            <m:rPr>
              <m:sty m:val="p"/>
            </m:rPr>
            <m:t>,</m:t>
          </m:r>
          <m:sSup>
            <m:e>
              <m:r>
                <m:t>y</m:t>
              </m:r>
            </m:e>
            <m:sup>
              <m:r>
                <m:rPr>
                  <m:sty m:val="p"/>
                </m:rPr>
                <m:t>*</m:t>
              </m:r>
            </m:sup>
          </m:sSup>
          <m:r>
            <m:rPr>
              <m:sty m:val="p"/>
            </m:rPr>
            <m:t>)</m:t>
          </m:r>
          <m:r>
            <m:rPr>
              <m:sty m:val="p"/>
            </m:rPr>
            <m:t>+</m:t>
          </m:r>
          <m:f>
            <m:fPr>
              <m:type m:val="bar"/>
            </m:fPr>
            <m:num>
              <m:sSub>
                <m:e>
                  <m:r>
                    <m:t>λ</m:t>
                  </m:r>
                </m:e>
                <m:sub>
                  <m:r>
                    <m:t>1</m:t>
                  </m:r>
                </m:sub>
              </m:sSub>
            </m:num>
            <m:den>
              <m:r>
                <m:t>k</m:t>
              </m:r>
            </m:den>
          </m:f>
          <m:nary>
            <m:naryPr>
              <m:chr m:val="∑"/>
              <m:limLoc m:val="undOvr"/>
              <m:subHide m:val="off"/>
              <m:supHide m:val="off"/>
            </m:naryPr>
            <m:sub>
              <m:r>
                <m:t>i</m:t>
              </m:r>
              <m:r>
                <m:rPr>
                  <m:sty m:val="p"/>
                </m:rPr>
                <m:t>=</m:t>
              </m:r>
              <m:r>
                <m:t>1</m:t>
              </m:r>
            </m:sub>
            <m:sup>
              <m:r>
                <m:t>k</m:t>
              </m:r>
            </m:sup>
            <m:e>
              <m:r>
                <m:rPr>
                  <m:nor/>
                  <m:sty m:val="p"/>
                </m:rPr>
                <m:t>dist</m:t>
              </m:r>
            </m:e>
          </m:nary>
          <m:r>
            <m:rPr>
              <m:sty m:val="p"/>
            </m:rPr>
            <m:t>(</m:t>
          </m:r>
          <m:r>
            <m:t>x</m:t>
          </m:r>
          <m:r>
            <m:rPr>
              <m:sty m:val="p"/>
            </m:rPr>
            <m:t>,</m:t>
          </m:r>
          <m:sSub>
            <m:e>
              <m:r>
                <m:t>c</m:t>
              </m:r>
            </m:e>
            <m:sub>
              <m:r>
                <m:t>i</m:t>
              </m:r>
            </m:sub>
          </m:sSub>
          <m:r>
            <m:rPr>
              <m:sty m:val="p"/>
            </m:rPr>
            <m:t>)</m:t>
          </m:r>
          <m:r>
            <m:rPr>
              <m:sty m:val="p"/>
            </m:rPr>
            <m:t>−</m:t>
          </m:r>
          <m:sSub>
            <m:e>
              <m:r>
                <m:t>λ</m:t>
              </m:r>
            </m:e>
            <m:sub>
              <m:r>
                <m:t>2</m:t>
              </m:r>
            </m:sub>
          </m:sSub>
          <m:r>
            <m:rPr>
              <m:nor/>
              <m:sty m:val="p"/>
            </m:rPr>
            <m:t>dpp</m:t>
          </m:r>
          <m:r>
            <m:rPr>
              <m:sty m:val="p"/>
            </m:rPr>
            <m:t>(</m:t>
          </m:r>
          <m:sSub>
            <m:e>
              <m:r>
                <m:t>c</m:t>
              </m:r>
            </m:e>
            <m:sub>
              <m:r>
                <m:t>1</m:t>
              </m:r>
            </m:sub>
          </m:sSub>
          <m:r>
            <m:rPr>
              <m:sty m:val="p"/>
            </m:rPr>
            <m:t>,</m:t>
          </m:r>
          <m:r>
            <m:rPr>
              <m:sty m:val="p"/>
            </m:rPr>
            <m:t>…</m:t>
          </m:r>
          <m:r>
            <m:rPr>
              <m:sty m:val="p"/>
            </m:rPr>
            <m:t>,</m:t>
          </m:r>
          <m:sSub>
            <m:e>
              <m:r>
                <m:t>c</m:t>
              </m:r>
            </m:e>
            <m:sub>
              <m:r>
                <m:t>k</m:t>
              </m:r>
            </m:sub>
          </m:sSub>
          <m:r>
            <m:rPr>
              <m:sty m:val="p"/>
            </m:rPr>
            <m:t>)</m:t>
          </m:r>
        </m:oMath>
      </m:oMathPara>
    </w:p>
    <w:p>
      <w:pPr>
        <w:pStyle w:val="FirstParagraph"/>
        <w:spacing w:line="360" w:lineRule="auto"/>
        <w:jc w:val="both"/>
      </w:pPr>
      <w:r>
        <w:rPr>
          <w:color w:val="000000"/>
        </w:rPr>
        <w:t xml:space="preserve">Esta función objetivo balancea tres metas mediante multiplicadores de Lagrange</w:t>
      </w:r>
      <w:r>
        <w:rPr>
          <w:color w:val="000000"/>
        </w:rPr>
        <w:t xml:space="preserve"> </w:t>
      </w:r>
      <m:oMath>
        <m:sSub>
          <m:e>
            <m:r>
              <m:t>λ</m:t>
            </m:r>
          </m:e>
          <m:sub>
            <m:r>
              <m:t>1</m:t>
            </m:r>
          </m:sub>
        </m:sSub>
      </m:oMath>
      <w:r>
        <w:rPr>
          <w:color w:val="000000"/>
        </w:rPr>
        <w:t xml:space="preserve"> </w:t>
      </w:r>
      <w:r>
        <w:rPr>
          <w:color w:val="000000"/>
        </w:rPr>
        <w:t xml:space="preserve">y</w:t>
      </w:r>
      <w:r>
        <w:rPr>
          <w:color w:val="000000"/>
        </w:rPr>
        <w:t xml:space="preserve"> </w:t>
      </w:r>
      <m:oMath>
        <m:sSub>
          <m:e>
            <m:r>
              <m:t>λ</m:t>
            </m:r>
          </m:e>
          <m:sub>
            <m:r>
              <m:t>2</m:t>
            </m:r>
          </m:sub>
        </m:sSub>
      </m:oMath>
      <w:r>
        <w:rPr>
          <w:color w:val="000000"/>
        </w:rPr>
        <w:t xml:space="preserve">:</w:t>
      </w:r>
    </w:p>
    <w:p>
      <w:pPr>
        <w:pStyle w:val="Compact"/>
        <w:numPr>
          <w:ilvl w:val="0"/>
          <w:numId w:val="1015"/>
        </w:numPr>
        <w:spacing w:line="360" w:lineRule="auto"/>
        <w:jc w:val="both"/>
      </w:pPr>
      <w:r>
        <w:rPr>
          <w:b/>
          <w:bCs/>
          <w:color w:val="000000"/>
        </w:rPr>
        <w:t xml:space="preserve">Validez de clase (</w:t>
      </w:r>
      <m:oMath>
        <m:sSub>
          <m:e>
            <m:r>
              <m:rPr>
                <m:scr m:val="script"/>
                <m:sty m:val="p"/>
              </m:rPr>
              <m:t>L</m:t>
            </m:r>
          </m:e>
          <m:sub>
            <m:r>
              <m:t>l</m:t>
            </m:r>
            <m:r>
              <m:t>o</m:t>
            </m:r>
            <m:r>
              <m:t>s</m:t>
            </m:r>
            <m:r>
              <m:t>s</m:t>
            </m:r>
          </m:sub>
        </m:sSub>
      </m:oMath>
      <w:r>
        <w:rPr>
          <w:b/>
          <w:bCs/>
          <w:color w:val="000000"/>
        </w:rPr>
        <w:t xml:space="preserve">):</w:t>
      </w:r>
      <w:r>
        <w:rPr>
          <w:color w:val="000000"/>
        </w:rPr>
        <w:t xml:space="preserve"> </w:t>
      </w:r>
      <w:r>
        <w:rPr>
          <w:color w:val="000000"/>
        </w:rPr>
        <w:t xml:space="preserve">Conduce la predicción del contrafactual</w:t>
      </w:r>
      <w:r>
        <w:rPr>
          <w:color w:val="000000"/>
        </w:rPr>
        <w:t xml:space="preserve"> </w:t>
      </w:r>
      <m:oMath>
        <m:r>
          <m:t>f</m:t>
        </m:r>
        <m:r>
          <m:rPr>
            <m:sty m:val="p"/>
          </m:rPr>
          <m:t>(</m:t>
        </m:r>
        <m:sSub>
          <m:e>
            <m:r>
              <m:t>c</m:t>
            </m:r>
          </m:e>
          <m:sub>
            <m:r>
              <m:t>i</m:t>
            </m:r>
          </m:sub>
        </m:sSub>
        <m:r>
          <m:rPr>
            <m:sty m:val="p"/>
          </m:rPr>
          <m:t>)</m:t>
        </m:r>
      </m:oMath>
      <w:r>
        <w:rPr>
          <w:color w:val="000000"/>
        </w:rPr>
        <w:t xml:space="preserve"> </w:t>
      </w:r>
      <w:r>
        <w:rPr>
          <w:color w:val="000000"/>
        </w:rPr>
        <w:t xml:space="preserve">hacia la categoría meta</w:t>
      </w:r>
      <w:r>
        <w:rPr>
          <w:color w:val="000000"/>
        </w:rPr>
        <w:t xml:space="preserve"> </w:t>
      </w:r>
      <m:oMath>
        <m:sSup>
          <m:e>
            <m:r>
              <m:t>y</m:t>
            </m:r>
          </m:e>
          <m:sup>
            <m:r>
              <m:rPr>
                <m:sty m:val="p"/>
              </m:rPr>
              <m:t>*</m:t>
            </m:r>
          </m:sup>
        </m:sSup>
      </m:oMath>
      <w:r>
        <w:rPr>
          <w:color w:val="000000"/>
        </w:rPr>
        <w:t xml:space="preserve">.</w:t>
      </w:r>
    </w:p>
    <w:p>
      <w:pPr>
        <w:pStyle w:val="Compact"/>
        <w:numPr>
          <w:ilvl w:val="0"/>
          <w:numId w:val="1015"/>
        </w:numPr>
        <w:spacing w:line="360" w:lineRule="auto"/>
        <w:jc w:val="both"/>
      </w:pPr>
      <w:r>
        <w:rPr>
          <w:b/>
          <w:bCs/>
          <w:color w:val="000000"/>
        </w:rPr>
        <w:t xml:space="preserve">Proximidad (</w:t>
      </w:r>
      <m:oMath>
        <m:r>
          <m:rPr>
            <m:nor/>
            <m:sty m:val="p"/>
          </m:rPr>
          <m:t>dist</m:t>
        </m:r>
      </m:oMath>
      <w:r>
        <w:rPr>
          <w:b/>
          <w:bCs/>
          <w:color w:val="000000"/>
        </w:rPr>
        <w:t xml:space="preserve">):</w:t>
      </w:r>
      <w:r>
        <w:rPr>
          <w:color w:val="000000"/>
        </w:rPr>
        <w:t xml:space="preserve"> </w:t>
      </w:r>
      <w:r>
        <w:rPr>
          <w:color w:val="000000"/>
        </w:rPr>
        <w:t xml:space="preserve">Minimiza la distancia entre la instancia</w:t>
      </w:r>
      <w:r>
        <w:rPr>
          <w:color w:val="000000"/>
        </w:rPr>
        <w:t xml:space="preserve"> </w:t>
      </w:r>
      <m:oMath>
        <m:r>
          <m:t>x</m:t>
        </m:r>
      </m:oMath>
      <w:r>
        <w:rPr>
          <w:color w:val="000000"/>
        </w:rPr>
        <w:t xml:space="preserve"> </w:t>
      </w:r>
      <w:r>
        <w:rPr>
          <w:color w:val="000000"/>
        </w:rPr>
        <w:t xml:space="preserve">y</w:t>
      </w:r>
      <w:r>
        <w:rPr>
          <w:color w:val="000000"/>
        </w:rPr>
        <w:t xml:space="preserve"> </w:t>
      </w:r>
      <m:oMath>
        <m:sSub>
          <m:e>
            <m:r>
              <m:t>c</m:t>
            </m:r>
          </m:e>
          <m:sub>
            <m:r>
              <m:t>i</m:t>
            </m:r>
          </m:sub>
        </m:sSub>
      </m:oMath>
      <w:r>
        <w:rPr>
          <w:color w:val="000000"/>
        </w:rPr>
        <w:t xml:space="preserve">, combinando la norma L1 para variables continuas y distancia de Hamming para categóricas.</w:t>
      </w:r>
    </w:p>
    <w:p>
      <w:pPr>
        <w:pStyle w:val="Compact"/>
        <w:numPr>
          <w:ilvl w:val="0"/>
          <w:numId w:val="1015"/>
        </w:numPr>
        <w:spacing w:line="360" w:lineRule="auto"/>
        <w:jc w:val="both"/>
      </w:pPr>
      <w:r>
        <w:rPr>
          <w:b/>
          <w:bCs/>
          <w:color w:val="000000"/>
        </w:rPr>
        <w:t xml:space="preserve">Diversidad (</w:t>
      </w:r>
      <m:oMath>
        <m:r>
          <m:rPr>
            <m:nor/>
            <m:sty m:val="p"/>
          </m:rPr>
          <m:t>dpp</m:t>
        </m:r>
      </m:oMath>
      <w:r>
        <w:rPr>
          <w:b/>
          <w:bCs/>
          <w:color w:val="000000"/>
        </w:rPr>
        <w:t xml:space="preserve">):</w:t>
      </w:r>
      <w:r>
        <w:rPr>
          <w:color w:val="000000"/>
        </w:rPr>
        <w:t xml:space="preserve"> </w:t>
      </w:r>
      <w:r>
        <w:rPr>
          <w:color w:val="000000"/>
        </w:rPr>
        <w:t xml:space="preserve">Resta el término</w:t>
      </w:r>
      <w:r>
        <w:rPr>
          <w:color w:val="000000"/>
        </w:rPr>
        <w:t xml:space="preserve"> </w:t>
      </w:r>
      <m:oMath>
        <m:r>
          <m:rPr>
            <m:nor/>
            <m:sty m:val="p"/>
          </m:rPr>
          <m:t>dpp</m:t>
        </m:r>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r>
          <m:rPr>
            <m:sty m:val="p"/>
          </m:rPr>
          <m:t>det</m:t>
        </m:r>
        <m:r>
          <m:rPr>
            <m:sty m:val="p"/>
          </m:rPr>
          <m:t>(</m:t>
        </m:r>
        <m:r>
          <m:rPr>
            <m:sty m:val="b"/>
          </m:rPr>
          <m:t>K</m:t>
        </m:r>
        <m:r>
          <m:rPr>
            <m:sty m:val="p"/>
          </m:rPr>
          <m:t>)</m:t>
        </m:r>
      </m:oMath>
      <w:r>
        <w:rPr>
          <w:color w:val="000000"/>
        </w:rPr>
        <w:t xml:space="preserve">, donde</w:t>
      </w:r>
      <w:r>
        <w:rPr>
          <w:color w:val="000000"/>
        </w:rPr>
        <w:t xml:space="preserve"> </w:t>
      </w:r>
      <m:oMath>
        <m:r>
          <m:rPr>
            <m:sty m:val="b"/>
          </m:rPr>
          <m:t>K</m:t>
        </m:r>
      </m:oMath>
      <w:r>
        <w:rPr>
          <w:color w:val="000000"/>
        </w:rPr>
        <w:t xml:space="preserve"> </w:t>
      </w:r>
      <w:r>
        <w:rPr>
          <w:color w:val="000000"/>
        </w:rPr>
        <w:t xml:space="preserve">es la matriz de similitud entre contrafactuales (</w:t>
      </w:r>
      <m:oMath>
        <m:sSub>
          <m:e>
            <m:r>
              <m:t>K</m:t>
            </m:r>
          </m:e>
          <m:sub>
            <m:r>
              <m:t>i</m:t>
            </m:r>
            <m:r>
              <m:rPr>
                <m:sty m:val="p"/>
              </m:rPr>
              <m:t>,</m:t>
            </m:r>
            <m:r>
              <m:t>j</m:t>
            </m:r>
          </m:sub>
        </m:sSub>
        <m:r>
          <m:rPr>
            <m:sty m:val="p"/>
          </m:rPr>
          <m:t>=</m:t>
        </m:r>
        <m:f>
          <m:fPr>
            <m:type m:val="bar"/>
          </m:fPr>
          <m:num>
            <m:r>
              <m:t>1</m:t>
            </m:r>
          </m:num>
          <m:den>
            <m:r>
              <m:t>1</m:t>
            </m:r>
            <m:r>
              <m:rPr>
                <m:sty m:val="p"/>
              </m:rPr>
              <m:t>+</m:t>
            </m:r>
            <m:r>
              <m:rPr>
                <m:nor/>
                <m:sty m:val="p"/>
              </m:rPr>
              <m:t>dist</m:t>
            </m:r>
            <m:r>
              <m:rPr>
                <m:sty m:val="p"/>
              </m:rPr>
              <m:t>(</m:t>
            </m:r>
            <m:sSub>
              <m:e>
                <m:r>
                  <m:t>c</m:t>
                </m:r>
              </m:e>
              <m:sub>
                <m:r>
                  <m:t>i</m:t>
                </m:r>
              </m:sub>
            </m:sSub>
            <m:r>
              <m:rPr>
                <m:sty m:val="p"/>
              </m:rPr>
              <m:t>,</m:t>
            </m:r>
            <m:sSub>
              <m:e>
                <m:r>
                  <m:t>c</m:t>
                </m:r>
              </m:e>
              <m:sub>
                <m:r>
                  <m:t>j</m:t>
                </m:r>
              </m:sub>
            </m:sSub>
            <m:r>
              <m:rPr>
                <m:sty m:val="p"/>
              </m:rPr>
              <m:t>)</m:t>
            </m:r>
          </m:den>
        </m:f>
      </m:oMath>
      <w:r>
        <w:rPr>
          <w:color w:val="000000"/>
        </w:rPr>
        <w:t xml:space="preserve">). Al penalizar configuraciones redundantes, entrega vías de acción cualitativamente diferenciadas.</w:t>
      </w:r>
    </w:p>
    <w:p>
      <w:pPr>
        <w:pStyle w:val="FirstParagraph"/>
        <w:spacing w:line="360" w:lineRule="auto"/>
        <w:jc w:val="both"/>
      </w:pPr>
      <w:r>
        <w:rPr>
          <w:color w:val="000000"/>
        </w:rPr>
        <w:t xml:space="preserve">La Figura 7 compara las geometrías de estos artefactos. El Panel A ilustra el hiper-rectángulo de invarianza de Anchors bajo garantías PAC (</w:t>
      </w:r>
      <m:oMath>
        <m:r>
          <m:t>97.4</m:t>
        </m:r>
        <m:r>
          <m:rPr>
            <m:sty m:val="p"/>
          </m:rPr>
          <m:t>%</m:t>
        </m:r>
      </m:oMath>
      <w:r>
        <w:rPr>
          <w:color w:val="000000"/>
        </w:rPr>
        <w:t xml:space="preserve"> </w:t>
      </w:r>
      <w:r>
        <w:rPr>
          <w:color w:val="000000"/>
        </w:rPr>
        <w:t xml:space="preserve">de precisión local con</w:t>
      </w:r>
      <w:r>
        <w:rPr>
          <w:color w:val="000000"/>
        </w:rPr>
        <w:t xml:space="preserve"> </w:t>
      </w:r>
      <m:oMath>
        <m:r>
          <m:t>22.5</m:t>
        </m:r>
        <m:r>
          <m:rPr>
            <m:sty m:val="p"/>
          </m:rPr>
          <m:t>%</m:t>
        </m:r>
      </m:oMath>
      <w:r>
        <w:rPr>
          <w:color w:val="000000"/>
        </w:rPr>
        <w:t xml:space="preserve"> </w:t>
      </w:r>
      <w:r>
        <w:rPr>
          <w:color w:val="000000"/>
        </w:rPr>
        <w:t xml:space="preserve">de cobertura). El Panel B esquematiza el balance de fuerzas en DiCE: la tracción de conmutación (</w:t>
      </w:r>
      <m:oMath>
        <m:sSub>
          <m:e>
            <m:r>
              <m:rPr>
                <m:scr m:val="script"/>
                <m:sty m:val="p"/>
              </m:rPr>
              <m:t>L</m:t>
            </m:r>
          </m:e>
          <m:sub>
            <m:r>
              <m:t>l</m:t>
            </m:r>
            <m:r>
              <m:t>o</m:t>
            </m:r>
            <m:r>
              <m:t>s</m:t>
            </m:r>
            <m:r>
              <m:t>s</m:t>
            </m:r>
          </m:sub>
        </m:sSub>
      </m:oMath>
      <w:r>
        <w:rPr>
          <w:color w:val="000000"/>
        </w:rPr>
        <w:t xml:space="preserve">), la resistencia de proximidad (</w:t>
      </w:r>
      <m:oMath>
        <m:sSub>
          <m:e>
            <m:r>
              <m:t>λ</m:t>
            </m:r>
          </m:e>
          <m:sub>
            <m:r>
              <m:t>1</m:t>
            </m:r>
          </m:sub>
        </m:sSub>
      </m:oMath>
      <w:r>
        <w:rPr>
          <w:color w:val="000000"/>
        </w:rPr>
        <w:t xml:space="preserve">), la repulsión determinante (</w:t>
      </w:r>
      <m:oMath>
        <m:r>
          <m:rPr>
            <m:sty m:val="p"/>
          </m:rPr>
          <m:t>det</m:t>
        </m:r>
        <m:r>
          <m:rPr>
            <m:sty m:val="b"/>
          </m:rPr>
          <m:t>K</m:t>
        </m:r>
      </m:oMath>
      <w:r>
        <w:rPr>
          <w:color w:val="000000"/>
        </w:rPr>
        <w:t xml:space="preserve">) y los topes de inmutabilidad.</w:t>
      </w:r>
    </w:p>
    <w:p>
      <w:pPr>
        <w:pStyle w:val="CaptionedFigure"/>
        <w:spacing w:line="360" w:lineRule="auto"/>
        <w:jc w:val="center"/>
      </w:pPr>
      <w:r>
        <w:rPr>
          <w:color w:val="000000"/>
        </w:rPr>
        <w:drawing>
          <wp:inline>
            <wp:extent cx="5228414" cy="3028663"/>
            <wp:effectExtent b="0" l="0" r="0" t="0"/>
            <wp:docPr descr="Figura 7. Topología de reglas en Anchors y física multiobjetivo en DiCE. Panel A: hiper-rectángulo de invarianza delimitado por predicados booleanos bajo garantías PAC (P(\text{prec} \ge 1-\gamma) \ge 1-\delta) y cobertura empírica asociada. Panel B: balance de vectores de optimización en DiCE que combina la conmutación de clase (\mathcal{L}_{loss}), la tracción de proximidad (\lambda_1), la repulsión determinante (\lambda_2 \det(\mathbf{K})) y las barreras de inmutabilidad. Fuente: elaboración propia a partir de Ribeiro et al. (2018) y Mothilal et al. (2020)." title="" id="51" name="Picture"/>
            <a:graphic>
              <a:graphicData uri="http://schemas.openxmlformats.org/drawingml/2006/picture">
                <pic:pic>
                  <pic:nvPicPr>
                    <pic:cNvPr descr="../figures/exported/fig_d11_anchors_dice_es.png" id="52" name="Picture"/>
                    <pic:cNvPicPr>
                      <a:picLocks noChangeArrowheads="1" noChangeAspect="1"/>
                    </pic:cNvPicPr>
                  </pic:nvPicPr>
                  <pic:blipFill>
                    <a:blip r:embed="rId50"/>
                    <a:stretch>
                      <a:fillRect/>
                    </a:stretch>
                  </pic:blipFill>
                  <pic:spPr bwMode="auto">
                    <a:xfrm>
                      <a:off x="0" y="0"/>
                      <a:ext cx="5228414" cy="3028663"/>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7. Topología de reglas en Anchors y física multiobjetivo en DiCE. Panel A: hiper-rectángulo de invarianza delimitado por predicados booleanos bajo garantías PAC (</w:t>
      </w:r>
      <m:oMath>
        <m:r>
          <m:t>P</m:t>
        </m:r>
        <m:r>
          <m:rPr>
            <m:sty m:val="p"/>
          </m:rPr>
          <m:t>(</m:t>
        </m:r>
        <m:r>
          <m:rPr>
            <m:nor/>
            <m:sty m:val="p"/>
          </m:rPr>
          <m:t>prec</m:t>
        </m:r>
        <m:r>
          <m:rPr>
            <m:sty m:val="p"/>
          </m:rPr>
          <m:t>≥</m:t>
        </m:r>
        <m:r>
          <m:t>1</m:t>
        </m:r>
        <m:r>
          <m:rPr>
            <m:sty m:val="p"/>
          </m:rPr>
          <m:t>−</m:t>
        </m:r>
        <m:r>
          <m:t>γ</m:t>
        </m:r>
        <m:r>
          <m:rPr>
            <m:sty m:val="p"/>
          </m:rPr>
          <m:t>)</m:t>
        </m:r>
        <m:r>
          <m:rPr>
            <m:sty m:val="p"/>
          </m:rPr>
          <m:t>≥</m:t>
        </m:r>
        <m:r>
          <m:t>1</m:t>
        </m:r>
        <m:r>
          <m:rPr>
            <m:sty m:val="p"/>
          </m:rPr>
          <m:t>−</m:t>
        </m:r>
        <m:r>
          <m:t>δ</m:t>
        </m:r>
      </m:oMath>
      <w:r>
        <w:rPr>
          <w:color w:val="000000"/>
        </w:rPr>
        <w:t xml:space="preserve">) y cobertura empírica asociada. Panel B: balance de vectores de optimización en DiCE que combina la conmutación de clase (</w:t>
      </w:r>
      <m:oMath>
        <m:sSub>
          <m:e>
            <m:r>
              <m:rPr>
                <m:scr m:val="script"/>
                <m:sty m:val="p"/>
              </m:rPr>
              <m:t>L</m:t>
            </m:r>
          </m:e>
          <m:sub>
            <m:r>
              <m:t>l</m:t>
            </m:r>
            <m:r>
              <m:t>o</m:t>
            </m:r>
            <m:r>
              <m:t>s</m:t>
            </m:r>
            <m:r>
              <m:t>s</m:t>
            </m:r>
          </m:sub>
        </m:sSub>
      </m:oMath>
      <w:r>
        <w:rPr>
          <w:color w:val="000000"/>
        </w:rPr>
        <w:t xml:space="preserve">), la tracción de proximidad (</w:t>
      </w:r>
      <m:oMath>
        <m:sSub>
          <m:e>
            <m:r>
              <m:t>λ</m:t>
            </m:r>
          </m:e>
          <m:sub>
            <m:r>
              <m:t>1</m:t>
            </m:r>
          </m:sub>
        </m:sSub>
      </m:oMath>
      <w:r>
        <w:rPr>
          <w:color w:val="000000"/>
        </w:rPr>
        <w:t xml:space="preserve">), la repulsión determinante (</w:t>
      </w:r>
      <m:oMath>
        <m:sSub>
          <m:e>
            <m:r>
              <m:t>λ</m:t>
            </m:r>
          </m:e>
          <m:sub>
            <m:r>
              <m:t>2</m:t>
            </m:r>
          </m:sub>
        </m:sSub>
        <m:r>
          <m:rPr>
            <m:sty m:val="p"/>
          </m:rPr>
          <m:t>det</m:t>
        </m:r>
        <m:r>
          <m:rPr>
            <m:sty m:val="p"/>
          </m:rPr>
          <m:t>(</m:t>
        </m:r>
        <m:r>
          <m:rPr>
            <m:sty m:val="b"/>
          </m:rPr>
          <m:t>K</m:t>
        </m:r>
        <m:r>
          <m:rPr>
            <m:sty m:val="p"/>
          </m:rPr>
          <m:t>)</m:t>
        </m:r>
      </m:oMath>
      <w:r>
        <w:rPr>
          <w:color w:val="000000"/>
        </w:rPr>
        <w:t xml:space="preserve">) y las barreras de inmutabilidad. Fuente: elaboración propia a partir de Ribeiro</w:t>
      </w:r>
      <w:r>
        <w:rPr>
          <w:color w:val="000000"/>
        </w:rPr>
        <w:t xml:space="preserve"> </w:t>
      </w:r>
      <w:r>
        <w:rPr>
          <w:i/>
          <w:iCs/>
          <w:color w:val="000000"/>
        </w:rPr>
        <w:t xml:space="preserve">et al.</w:t>
      </w:r>
      <w:r>
        <w:rPr>
          <w:color w:val="000000"/>
        </w:rPr>
        <w:t xml:space="preserve"> </w:t>
      </w:r>
      <w:r>
        <w:rPr>
          <w:color w:val="000000"/>
        </w:rPr>
        <w:t xml:space="preserve">(2018) y Mothilal</w:t>
      </w:r>
      <w:r>
        <w:rPr>
          <w:color w:val="000000"/>
        </w:rPr>
        <w:t xml:space="preserve"> </w:t>
      </w:r>
      <w:r>
        <w:rPr>
          <w:i/>
          <w:iCs/>
          <w:color w:val="000000"/>
        </w:rPr>
        <w:t xml:space="preserve">et al.</w:t>
      </w:r>
      <w:r>
        <w:rPr>
          <w:color w:val="000000"/>
        </w:rPr>
        <w:t xml:space="preserve"> </w:t>
      </w:r>
      <w:r>
        <w:rPr>
          <w:color w:val="000000"/>
        </w:rPr>
        <w:t xml:space="preserve">(2020).</w:t>
      </w:r>
    </w:p>
    <w:bookmarkEnd w:id="53"/>
    <w:bookmarkStart w:id="57" w:name="X3fc764626270c598cbb249d3e545108f38304bb"/>
    <w:p>
      <w:pPr>
        <w:pStyle w:val="Heading2"/>
        <w:spacing w:line="360" w:lineRule="auto"/>
        <w:jc w:val="left"/>
      </w:pPr>
      <w:r>
        <w:rPr>
          <w:color w:val="000000"/>
        </w:rPr>
        <w:t xml:space="preserve">Compromisos operacionales entre explicadores</w:t>
      </w:r>
    </w:p>
    <w:p>
      <w:pPr>
        <w:pStyle w:val="FirstParagraph"/>
        <w:spacing w:line="360" w:lineRule="auto"/>
        <w:jc w:val="both"/>
      </w:pPr>
      <w:r>
        <w:rPr>
          <w:color w:val="000000"/>
        </w:rPr>
        <w:t xml:space="preserve">La selección de un explicador exige ponderar compromisos de diseño (</w:t>
      </w:r>
      <w:r>
        <w:rPr>
          <w:i/>
          <w:iCs/>
          <w:color w:val="000000"/>
        </w:rPr>
        <w:t xml:space="preserve">trade-offs</w:t>
      </w:r>
      <w:r>
        <w:rPr>
          <w:color w:val="000000"/>
        </w:rPr>
        <w:t xml:space="preserve">). Como resume la Figura 8:</w:t>
      </w:r>
    </w:p>
    <w:p>
      <w:pPr>
        <w:pStyle w:val="Compact"/>
        <w:numPr>
          <w:ilvl w:val="0"/>
          <w:numId w:val="1016"/>
        </w:numPr>
        <w:spacing w:line="360" w:lineRule="auto"/>
        <w:jc w:val="both"/>
      </w:pPr>
      <w:r>
        <w:rPr>
          <w:b/>
          <w:bCs/>
          <w:color w:val="000000"/>
        </w:rPr>
        <w:t xml:space="preserve">KernelSHAP:</w:t>
      </w:r>
      <w:r>
        <w:rPr>
          <w:color w:val="000000"/>
        </w:rPr>
        <w:t xml:space="preserve"> </w:t>
      </w:r>
      <w:r>
        <w:rPr>
          <w:color w:val="000000"/>
        </w:rPr>
        <w:t xml:space="preserve">Máxima solidez axiomática y fidelidad local, con latencia computacional alta (</w:t>
      </w:r>
      <m:oMath>
        <m:r>
          <m:rPr>
            <m:sty m:val="p"/>
          </m:rPr>
          <m:t>&gt;</m:t>
        </m:r>
        <m:r>
          <m:t>1</m:t>
        </m:r>
        <m:r>
          <m:rPr>
            <m:nor/>
            <m:sty m:val="p"/>
          </m:rPr>
          <m:t> s</m:t>
        </m:r>
      </m:oMath>
      <w:r>
        <w:rPr>
          <w:color w:val="000000"/>
        </w:rPr>
        <w:t xml:space="preserve"> </w:t>
      </w:r>
      <w:r>
        <w:rPr>
          <w:color w:val="000000"/>
        </w:rPr>
        <w:t xml:space="preserve">por instancia).</w:t>
      </w:r>
    </w:p>
    <w:p>
      <w:pPr>
        <w:pStyle w:val="Compact"/>
        <w:numPr>
          <w:ilvl w:val="0"/>
          <w:numId w:val="1016"/>
        </w:numPr>
        <w:spacing w:line="360" w:lineRule="auto"/>
        <w:jc w:val="both"/>
      </w:pPr>
      <w:r>
        <w:rPr>
          <w:b/>
          <w:bCs/>
          <w:color w:val="000000"/>
        </w:rPr>
        <w:t xml:space="preserve">LIME:</w:t>
      </w:r>
      <w:r>
        <w:rPr>
          <w:color w:val="000000"/>
        </w:rPr>
        <w:t xml:space="preserve"> </w:t>
      </w:r>
      <w:r>
        <w:rPr>
          <w:color w:val="000000"/>
        </w:rPr>
        <w:t xml:space="preserve">Rápida ejecución (</w:t>
      </w:r>
      <m:oMath>
        <m:r>
          <m:rPr>
            <m:sty m:val="p"/>
          </m:rPr>
          <m:t>&lt;</m:t>
        </m:r>
        <m:r>
          <m:t>50</m:t>
        </m:r>
        <m:r>
          <m:rPr>
            <m:nor/>
            <m:sty m:val="p"/>
          </m:rPr>
          <m:t> ms</m:t>
        </m:r>
      </m:oMath>
      <w:r>
        <w:rPr>
          <w:color w:val="000000"/>
        </w:rPr>
        <w:t xml:space="preserve">) y alta parsimonia, sujeto a inestabilidad estocástica y sensibilidad a datos OOD.</w:t>
      </w:r>
    </w:p>
    <w:p>
      <w:pPr>
        <w:pStyle w:val="Compact"/>
        <w:numPr>
          <w:ilvl w:val="0"/>
          <w:numId w:val="1016"/>
        </w:numPr>
        <w:spacing w:line="360" w:lineRule="auto"/>
        <w:jc w:val="both"/>
      </w:pPr>
      <w:r>
        <w:rPr>
          <w:b/>
          <w:bCs/>
          <w:color w:val="000000"/>
        </w:rPr>
        <w:t xml:space="preserve">Anchors:</w:t>
      </w:r>
      <w:r>
        <w:rPr>
          <w:color w:val="000000"/>
        </w:rPr>
        <w:t xml:space="preserve"> </w:t>
      </w:r>
      <w:r>
        <w:rPr>
          <w:color w:val="000000"/>
        </w:rPr>
        <w:t xml:space="preserve">Reglas deterministas con certidumbre formal demostrable, con cobertura poblacional acotada (</w:t>
      </w:r>
      <m:oMath>
        <m:r>
          <m:t>12</m:t>
        </m:r>
        <m:r>
          <m:rPr>
            <m:sty m:val="p"/>
          </m:rPr>
          <m:t>%</m:t>
        </m:r>
      </m:oMath>
      <w:r>
        <w:rPr>
          <w:color w:val="000000"/>
        </w:rPr>
        <w:t xml:space="preserve">–</w:t>
      </w:r>
      <m:oMath>
        <m:r>
          <m:t>28</m:t>
        </m:r>
        <m:r>
          <m:rPr>
            <m:sty m:val="p"/>
          </m:rPr>
          <m:t>%</m:t>
        </m:r>
      </m:oMath>
      <w:r>
        <w:rPr>
          <w:color w:val="000000"/>
        </w:rPr>
        <w:t xml:space="preserve">).</w:t>
      </w:r>
    </w:p>
    <w:p>
      <w:pPr>
        <w:pStyle w:val="Compact"/>
        <w:numPr>
          <w:ilvl w:val="0"/>
          <w:numId w:val="1016"/>
        </w:numPr>
        <w:spacing w:line="360" w:lineRule="auto"/>
        <w:jc w:val="both"/>
      </w:pPr>
      <w:r>
        <w:rPr>
          <w:b/>
          <w:bCs/>
          <w:color w:val="000000"/>
        </w:rPr>
        <w:t xml:space="preserve">DiCE:</w:t>
      </w:r>
      <w:r>
        <w:rPr>
          <w:color w:val="000000"/>
        </w:rPr>
        <w:t xml:space="preserve"> </w:t>
      </w:r>
      <w:r>
        <w:rPr>
          <w:color w:val="000000"/>
        </w:rPr>
        <w:t xml:space="preserve">Elevado valor prescriptivo para el usuario, requiriendo optimización numérica multiobjetivo sujeta a restricciones de factibilidad.</w:t>
      </w:r>
    </w:p>
    <w:p>
      <w:pPr>
        <w:pStyle w:val="CaptionedFigure"/>
        <w:spacing w:line="360" w:lineRule="auto"/>
        <w:jc w:val="center"/>
      </w:pPr>
      <w:r>
        <w:rPr>
          <w:color w:val="000000"/>
        </w:rPr>
        <w:drawing>
          <wp:inline>
            <wp:extent cx="5228414" cy="3714082"/>
            <wp:effectExtent b="0" l="0" r="0" t="0"/>
            <wp:docPr descr="Figura 8. Marco sintético de trade-offs operacionales en evaluación post-hoc de XAI. Fuente: elaboración propia a partir de Tabassi (2023) y Phillips et al. (2021)." title="" id="55" name="Picture"/>
            <a:graphic>
              <a:graphicData uri="http://schemas.openxmlformats.org/drawingml/2006/picture">
                <pic:pic>
                  <pic:nvPicPr>
                    <pic:cNvPr descr="../figures/exported/fig_d5_ciclo_audiencias_es.png" id="56" name="Picture"/>
                    <pic:cNvPicPr>
                      <a:picLocks noChangeArrowheads="1" noChangeAspect="1"/>
                    </pic:cNvPicPr>
                  </pic:nvPicPr>
                  <pic:blipFill>
                    <a:blip r:embed="rId54"/>
                    <a:stretch>
                      <a:fillRect/>
                    </a:stretch>
                  </pic:blipFill>
                  <pic:spPr bwMode="auto">
                    <a:xfrm>
                      <a:off x="0" y="0"/>
                      <a:ext cx="5228414" cy="3714082"/>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8. Marco sintético de trade-offs operacionales en evaluación post-hoc de XAI. Fuente: elaboración propia a partir de Tabassi (2023) y Phillips</w:t>
      </w:r>
      <w:r>
        <w:rPr>
          <w:color w:val="000000"/>
        </w:rPr>
        <w:t xml:space="preserve"> </w:t>
      </w:r>
      <w:r>
        <w:rPr>
          <w:i/>
          <w:iCs/>
          <w:color w:val="000000"/>
        </w:rPr>
        <w:t xml:space="preserve">et al.</w:t>
      </w:r>
      <w:r>
        <w:rPr>
          <w:color w:val="000000"/>
        </w:rPr>
        <w:t xml:space="preserve"> </w:t>
      </w:r>
      <w:r>
        <w:rPr>
          <w:color w:val="000000"/>
        </w:rPr>
        <w:t xml:space="preserve">(2021).</w:t>
      </w:r>
    </w:p>
    <w:bookmarkEnd w:id="57"/>
    <w:bookmarkEnd w:id="58"/>
    <w:bookmarkStart w:id="71" w:name="crisis-de-evaluación-en-xai"/>
    <w:p>
      <w:pPr>
        <w:pStyle w:val="Heading1"/>
        <w:spacing w:line="360" w:lineRule="auto"/>
        <w:jc w:val="left"/>
      </w:pPr>
      <w:r>
        <w:rPr>
          <w:color w:val="000000"/>
        </w:rPr>
        <w:t xml:space="preserve">Crisis de evaluación en XAI</w:t>
      </w:r>
    </w:p>
    <w:bookmarkStart w:id="62" w:name="X503399bfb74ba96b7452e5174bc06fb0b0b6b51"/>
    <w:p>
      <w:pPr>
        <w:pStyle w:val="Heading2"/>
        <w:spacing w:line="360" w:lineRule="auto"/>
        <w:jc w:val="left"/>
      </w:pPr>
      <w:r>
        <w:rPr>
          <w:color w:val="000000"/>
        </w:rPr>
        <w:t xml:space="preserve">La crisis de confiabilidad en explicabilidad post-hoc</w:t>
      </w:r>
    </w:p>
    <w:p>
      <w:pPr>
        <w:pStyle w:val="FirstParagraph"/>
        <w:spacing w:line="360" w:lineRule="auto"/>
        <w:jc w:val="both"/>
      </w:pPr>
      <w:r>
        <w:rPr>
          <w:color w:val="000000"/>
        </w:rPr>
        <w:t xml:space="preserve">En ingeniería de software, un módulo se valida mediante pruebas deterministas (</w:t>
      </w:r>
      <w:r>
        <w:rPr>
          <w:rStyle w:val="VerbatimChar"/>
          <w:color w:val="000000"/>
        </w:rPr>
        <w:t xml:space="preserve">assert output == expected</w:t>
      </w:r>
      <w:r>
        <w:rPr>
          <w:color w:val="000000"/>
        </w:rPr>
        <w:t xml:space="preserve">). En aprendizaje supervisado, el rendimiento se comprueba contrastando predicciones con etiquetas de referencia (</w:t>
      </w:r>
      <w:r>
        <w:rPr>
          <w:i/>
          <w:iCs/>
          <w:color w:val="000000"/>
        </w:rPr>
        <w:t xml:space="preserve">ground truth</w:t>
      </w:r>
      <w:r>
        <w:rPr>
          <w:color w:val="000000"/>
        </w:rPr>
        <w:t xml:space="preserve">).</w:t>
      </w:r>
    </w:p>
    <w:p>
      <w:pPr>
        <w:pStyle w:val="BodyText"/>
        <w:spacing w:line="360" w:lineRule="auto"/>
        <w:jc w:val="both"/>
      </w:pPr>
      <w:r>
        <w:rPr>
          <w:color w:val="000000"/>
        </w:rPr>
        <w:t xml:space="preserve">En la explicabilidad post-hoc enfrentamos una</w:t>
      </w:r>
      <w:r>
        <w:rPr>
          <w:color w:val="000000"/>
        </w:rPr>
        <w:t xml:space="preserve"> </w:t>
      </w:r>
      <w:r>
        <w:rPr>
          <w:b/>
          <w:bCs/>
          <w:color w:val="000000"/>
        </w:rPr>
        <w:t xml:space="preserve">crisis de evaluación estructural</w:t>
      </w:r>
      <w:r>
        <w:rPr>
          <w:color w:val="000000"/>
        </w:rPr>
        <w:t xml:space="preserve">:</w:t>
      </w:r>
      <w:r>
        <w:rPr>
          <w:color w:val="000000"/>
        </w:rPr>
        <w:t xml:space="preserve"> </w:t>
      </w:r>
      <w:r>
        <w:rPr>
          <w:b/>
          <w:bCs/>
          <w:color w:val="000000"/>
        </w:rPr>
        <w:t xml:space="preserve">no existe una referencia empírica sobre cómo razona internamente una caja negra</w:t>
      </w:r>
      <w:r>
        <w:rPr>
          <w:color w:val="000000"/>
        </w:rPr>
        <w:t xml:space="preserve"> </w:t>
      </w:r>
      <w:r>
        <w:rPr>
          <w:color w:val="000000"/>
        </w:rPr>
        <w:t xml:space="preserve">(Krishna</w:t>
      </w:r>
      <w:r>
        <w:rPr>
          <w:color w:val="000000"/>
        </w:rPr>
        <w:t xml:space="preserve"> </w:t>
      </w:r>
      <w:r>
        <w:rPr>
          <w:i/>
          <w:iCs/>
          <w:color w:val="000000"/>
        </w:rPr>
        <w:t xml:space="preserve">et al.</w:t>
      </w:r>
      <w:r>
        <w:rPr>
          <w:color w:val="000000"/>
        </w:rPr>
        <w:t xml:space="preserve">, 2022; Nauta</w:t>
      </w:r>
      <w:r>
        <w:rPr>
          <w:color w:val="000000"/>
        </w:rPr>
        <w:t xml:space="preserve"> </w:t>
      </w:r>
      <w:r>
        <w:rPr>
          <w:i/>
          <w:iCs/>
          <w:color w:val="000000"/>
        </w:rPr>
        <w:t xml:space="preserve">et al.</w:t>
      </w:r>
      <w:r>
        <w:rPr>
          <w:color w:val="000000"/>
        </w:rPr>
        <w:t xml:space="preserve">, 2023; Agarwal</w:t>
      </w:r>
      <w:r>
        <w:rPr>
          <w:color w:val="000000"/>
        </w:rPr>
        <w:t xml:space="preserve"> </w:t>
      </w:r>
      <w:r>
        <w:rPr>
          <w:i/>
          <w:iCs/>
          <w:color w:val="000000"/>
        </w:rPr>
        <w:t xml:space="preserve">et al.</w:t>
      </w:r>
      <w:r>
        <w:rPr>
          <w:color w:val="000000"/>
        </w:rPr>
        <w:t xml:space="preserve">, 2023). Ante la ausencia de un estándar formal, los equipos han recurrido a dos prácticas vulnerables:</w:t>
      </w:r>
    </w:p>
    <w:p>
      <w:pPr>
        <w:pStyle w:val="Compact"/>
        <w:numPr>
          <w:ilvl w:val="0"/>
          <w:numId w:val="1017"/>
        </w:numPr>
        <w:spacing w:line="360" w:lineRule="auto"/>
        <w:jc w:val="both"/>
      </w:pPr>
      <w:r>
        <w:rPr>
          <w:b/>
          <w:bCs/>
          <w:color w:val="000000"/>
        </w:rPr>
        <w:t xml:space="preserve">Plausibilidad intuitiva:</w:t>
      </w:r>
      <w:r>
        <w:rPr>
          <w:color w:val="000000"/>
        </w:rPr>
        <w:t xml:space="preserve"> </w:t>
      </w:r>
      <w:r>
        <w:rPr>
          <w:color w:val="000000"/>
        </w:rPr>
        <w:t xml:space="preserve">Asumir que una explicación es correcta si sus variables confirman los sesgos previos del analista.</w:t>
      </w:r>
    </w:p>
    <w:p>
      <w:pPr>
        <w:pStyle w:val="Compact"/>
        <w:numPr>
          <w:ilvl w:val="0"/>
          <w:numId w:val="1017"/>
        </w:numPr>
        <w:spacing w:line="360" w:lineRule="auto"/>
        <w:jc w:val="both"/>
      </w:pPr>
      <w:r>
        <w:rPr>
          <w:b/>
          <w:bCs/>
          <w:color w:val="000000"/>
        </w:rPr>
        <w:t xml:space="preserve">Métricas circulares:</w:t>
      </w:r>
      <w:r>
        <w:rPr>
          <w:color w:val="000000"/>
        </w:rPr>
        <w:t xml:space="preserve"> </w:t>
      </w:r>
      <w:r>
        <w:rPr>
          <w:color w:val="000000"/>
        </w:rPr>
        <w:t xml:space="preserve">Evaluar un explicador utilizando las mismas funciones para las que fue optimizado.</w:t>
      </w:r>
    </w:p>
    <w:p>
      <w:pPr>
        <w:pStyle w:val="FirstParagraph"/>
        <w:spacing w:line="360" w:lineRule="auto"/>
        <w:jc w:val="both"/>
      </w:pPr>
      <w:r>
        <w:rPr>
          <w:color w:val="000000"/>
        </w:rPr>
        <w:t xml:space="preserve">Como sintetiza la Figura 9, desplegar un explicador sin controles cuantitativos independientes introduce un segundo componente opaco dentro de la arquitectura de supervisión.</w:t>
      </w:r>
    </w:p>
    <w:p>
      <w:pPr>
        <w:pStyle w:val="CaptionedFigure"/>
        <w:spacing w:line="360" w:lineRule="auto"/>
        <w:jc w:val="center"/>
      </w:pPr>
      <w:r>
        <w:rPr>
          <w:color w:val="000000"/>
        </w:rPr>
        <w:drawing>
          <wp:inline>
            <wp:extent cx="5228414" cy="2306608"/>
            <wp:effectExtent b="0" l="0" r="0" t="0"/>
            <wp:docPr descr="Figura 9. Anatomía de la crisis de evaluación en explicabilidad post-hoc. Fuente: elaboración propia a partir de Krishna et al. (2022), Nauta et al. (2023) y Agarwal et al. (2023)." title="" id="60" name="Picture"/>
            <a:graphic>
              <a:graphicData uri="http://schemas.openxmlformats.org/drawingml/2006/picture">
                <pic:pic>
                  <pic:nvPicPr>
                    <pic:cNvPr descr="../figures/exported/fig_d7_cadena_evidencia_es.png" id="61" name="Picture"/>
                    <pic:cNvPicPr>
                      <a:picLocks noChangeArrowheads="1" noChangeAspect="1"/>
                    </pic:cNvPicPr>
                  </pic:nvPicPr>
                  <pic:blipFill>
                    <a:blip r:embed="rId59"/>
                    <a:stretch>
                      <a:fillRect/>
                    </a:stretch>
                  </pic:blipFill>
                  <pic:spPr bwMode="auto">
                    <a:xfrm>
                      <a:off x="0" y="0"/>
                      <a:ext cx="5228414" cy="230660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9. Anatomía de la crisis de evaluación en explicabilidad post-hoc. Fuente: elaboración propia a partir de Krishna</w:t>
      </w:r>
      <w:r>
        <w:rPr>
          <w:color w:val="000000"/>
        </w:rPr>
        <w:t xml:space="preserve"> </w:t>
      </w:r>
      <w:r>
        <w:rPr>
          <w:i/>
          <w:iCs/>
          <w:color w:val="000000"/>
        </w:rPr>
        <w:t xml:space="preserve">et al.</w:t>
      </w:r>
      <w:r>
        <w:rPr>
          <w:color w:val="000000"/>
        </w:rPr>
        <w:t xml:space="preserve"> </w:t>
      </w:r>
      <w:r>
        <w:rPr>
          <w:color w:val="000000"/>
        </w:rPr>
        <w:t xml:space="preserve">(2022), Nauta</w:t>
      </w:r>
      <w:r>
        <w:rPr>
          <w:color w:val="000000"/>
        </w:rPr>
        <w:t xml:space="preserve"> </w:t>
      </w:r>
      <w:r>
        <w:rPr>
          <w:i/>
          <w:iCs/>
          <w:color w:val="000000"/>
        </w:rPr>
        <w:t xml:space="preserve">et al.</w:t>
      </w:r>
      <w:r>
        <w:rPr>
          <w:color w:val="000000"/>
        </w:rPr>
        <w:t xml:space="preserve"> </w:t>
      </w:r>
      <w:r>
        <w:rPr>
          <w:color w:val="000000"/>
        </w:rPr>
        <w:t xml:space="preserve">(2023) y Agarwal</w:t>
      </w:r>
      <w:r>
        <w:rPr>
          <w:color w:val="000000"/>
        </w:rPr>
        <w:t xml:space="preserve"> </w:t>
      </w:r>
      <w:r>
        <w:rPr>
          <w:i/>
          <w:iCs/>
          <w:color w:val="000000"/>
        </w:rPr>
        <w:t xml:space="preserve">et al.</w:t>
      </w:r>
      <w:r>
        <w:rPr>
          <w:color w:val="000000"/>
        </w:rPr>
        <w:t xml:space="preserve"> </w:t>
      </w:r>
      <w:r>
        <w:rPr>
          <w:color w:val="000000"/>
        </w:rPr>
        <w:t xml:space="preserve">(2023).</w:t>
      </w:r>
    </w:p>
    <w:bookmarkEnd w:id="62"/>
    <w:bookmarkStart w:id="70" w:name="X81fa3f77d70471b66b4ea345e13b5235b66ab83"/>
    <w:p>
      <w:pPr>
        <w:pStyle w:val="Heading2"/>
        <w:spacing w:line="360" w:lineRule="auto"/>
        <w:jc w:val="left"/>
      </w:pPr>
      <w:r>
        <w:rPr>
          <w:color w:val="000000"/>
        </w:rPr>
        <w:t xml:space="preserve">Taxonomía de riesgos y patologías operacionales</w:t>
      </w:r>
    </w:p>
    <w:p>
      <w:pPr>
        <w:pStyle w:val="FirstParagraph"/>
        <w:spacing w:line="360" w:lineRule="auto"/>
        <w:jc w:val="both"/>
      </w:pPr>
      <w:r>
        <w:rPr>
          <w:color w:val="000000"/>
        </w:rPr>
        <w:t xml:space="preserve">Para un ingeniero de datos que gestiona canalizaciones en producción, las fallas de los explicadores post-hoc se agrupan en cuatro patologías críticas:</w:t>
      </w:r>
    </w:p>
    <w:bookmarkStart w:id="63" w:name="el-efecto-rashomon-en-explicaciones"/>
    <w:p>
      <w:pPr>
        <w:pStyle w:val="Heading3"/>
        <w:spacing w:line="360" w:lineRule="auto"/>
        <w:jc w:val="left"/>
      </w:pPr>
      <w:r>
        <w:rPr>
          <w:color w:val="000000"/>
        </w:rPr>
        <w:t xml:space="preserve">1. El Efecto Rashomon en explicaciones</w:t>
      </w:r>
    </w:p>
    <w:p>
      <w:pPr>
        <w:pStyle w:val="FirstParagraph"/>
        <w:spacing w:line="360" w:lineRule="auto"/>
        <w:jc w:val="both"/>
      </w:pPr>
      <w:r>
        <w:rPr>
          <w:color w:val="000000"/>
        </w:rPr>
        <w:t xml:space="preserve">Inspirado en Breiman (2001), ocurre cuando múltiples modelos sustitutos obtienen un ajuste numérico equivalente ante la caja negra, pero entregan</w:t>
      </w:r>
      <w:r>
        <w:rPr>
          <w:color w:val="000000"/>
        </w:rPr>
        <w:t xml:space="preserve"> </w:t>
      </w:r>
      <w:r>
        <w:rPr>
          <w:b/>
          <w:bCs/>
          <w:color w:val="000000"/>
        </w:rPr>
        <w:t xml:space="preserve">jerarquías de atributos contradictorias</w:t>
      </w:r>
      <w:r>
        <w:rPr>
          <w:color w:val="000000"/>
        </w:rPr>
        <w:t xml:space="preserve">. Ambos sustitutos son válidos matemáticamente, pero uno señala a la</w:t>
      </w:r>
      <w:r>
        <w:rPr>
          <w:color w:val="000000"/>
        </w:rPr>
        <w:t xml:space="preserve"> </w:t>
      </w:r>
      <w:r>
        <w:rPr>
          <w:i/>
          <w:iCs/>
          <w:color w:val="000000"/>
        </w:rPr>
        <w:t xml:space="preserve">Edad</w:t>
      </w:r>
      <w:r>
        <w:rPr>
          <w:color w:val="000000"/>
        </w:rPr>
        <w:t xml:space="preserve"> </w:t>
      </w:r>
      <w:r>
        <w:rPr>
          <w:color w:val="000000"/>
        </w:rPr>
        <w:t xml:space="preserve">como factor dominante y el otro a la</w:t>
      </w:r>
      <w:r>
        <w:rPr>
          <w:color w:val="000000"/>
        </w:rPr>
        <w:t xml:space="preserve"> </w:t>
      </w:r>
      <w:r>
        <w:rPr>
          <w:i/>
          <w:iCs/>
          <w:color w:val="000000"/>
        </w:rPr>
        <w:t xml:space="preserve">Deuda</w:t>
      </w:r>
      <w:r>
        <w:rPr>
          <w:color w:val="000000"/>
        </w:rPr>
        <w:t xml:space="preserve">. En una auditoría regulatoria, esta discrepancia destruye la credibilidad técnica del sistema.</w:t>
      </w:r>
    </w:p>
    <w:bookmarkEnd w:id="63"/>
    <w:bookmarkStart w:id="64" w:name="X438fd4ba7a9181dd37aa17c12ace6839f352259"/>
    <w:p>
      <w:pPr>
        <w:pStyle w:val="Heading3"/>
        <w:spacing w:line="360" w:lineRule="auto"/>
        <w:jc w:val="left"/>
      </w:pPr>
      <w:r>
        <w:rPr>
          <w:color w:val="000000"/>
        </w:rPr>
        <w:t xml:space="preserve">2. Inestabilidad estocástica y contratos de reproducibilidad</w:t>
      </w:r>
    </w:p>
    <w:p>
      <w:pPr>
        <w:pStyle w:val="FirstParagraph"/>
        <w:spacing w:line="360" w:lineRule="auto"/>
        <w:jc w:val="both"/>
      </w:pPr>
      <w:r>
        <w:rPr>
          <w:color w:val="000000"/>
        </w:rPr>
        <w:t xml:space="preserve">En ingeniería de datos, la reproducibilidad es ineludible: procesar el mismo registro con el mismo pipeline debe generar idéntico resultado. Sin embargo, al depender de muestreos Monte Carlo,</w:t>
      </w:r>
      <w:r>
        <w:rPr>
          <w:color w:val="000000"/>
        </w:rPr>
        <w:t xml:space="preserve"> </w:t>
      </w:r>
      <w:r>
        <w:rPr>
          <w:b/>
          <w:bCs/>
          <w:color w:val="000000"/>
        </w:rPr>
        <w:t xml:space="preserve">ejecutar dos veces LIME o KernelSHAP sobre la misma instancia con diferente semilla aleatoria altera el orden de las variables explicativas</w:t>
      </w:r>
      <w:r>
        <w:rPr>
          <w:color w:val="000000"/>
        </w:rPr>
        <w:t xml:space="preserve">. En bases de datos corporativas donde las explicaciones se persisten para auditoría, esta volatilidad estocástica genera inconsistencias graves.</w:t>
      </w:r>
    </w:p>
    <w:bookmarkEnd w:id="64"/>
    <w:bookmarkStart w:id="65" w:name="X2dfbd1cc62b7d0bf5dd5f7e5f2fcbb4c23d1882"/>
    <w:p>
      <w:pPr>
        <w:pStyle w:val="Heading3"/>
        <w:spacing w:line="360" w:lineRule="auto"/>
        <w:jc w:val="left"/>
      </w:pPr>
      <w:r>
        <w:rPr>
          <w:color w:val="000000"/>
        </w:rPr>
        <w:t xml:space="preserve">3. Deformación por muestreo fuera de distribución (</w:t>
      </w:r>
      <w:r>
        <w:rPr>
          <w:i/>
          <w:iCs/>
          <w:color w:val="000000"/>
        </w:rPr>
        <w:t xml:space="preserve">OOD</w:t>
      </w:r>
      <w:r>
        <w:rPr>
          <w:color w:val="000000"/>
        </w:rPr>
        <w:t xml:space="preserve">)</w:t>
      </w:r>
    </w:p>
    <w:p>
      <w:pPr>
        <w:pStyle w:val="FirstParagraph"/>
        <w:spacing w:line="360" w:lineRule="auto"/>
        <w:jc w:val="both"/>
      </w:pPr>
      <w:r>
        <w:rPr>
          <w:color w:val="000000"/>
        </w:rPr>
        <w:t xml:space="preserve">Al perturbar variables de forma independiente para estimar derivadas locales, los explicadores generan combinaciones sintéticas que violan las correlaciones del esquema relacional (por ejemplo, altos salarios en empleos no cualificados). Los modelos, al recibir registros atípicos, devuelven probabilidades erráticas que distorsionan los pesos de atribución resultantes.</w:t>
      </w:r>
    </w:p>
    <w:bookmarkEnd w:id="65"/>
    <w:bookmarkStart w:id="69" w:name="X1473d8058257f6cb6d978fffb79ddbc6cc14c63"/>
    <w:p>
      <w:pPr>
        <w:pStyle w:val="Heading3"/>
        <w:spacing w:line="360" w:lineRule="auto"/>
        <w:jc w:val="left"/>
      </w:pPr>
      <w:r>
        <w:rPr>
          <w:color w:val="000000"/>
        </w:rPr>
        <w:t xml:space="preserve">4. Vulnerabilidad adversarial: Modelos con andamios (</w:t>
      </w:r>
      <w:r>
        <w:rPr>
          <w:i/>
          <w:iCs/>
          <w:color w:val="000000"/>
        </w:rPr>
        <w:t xml:space="preserve">Scaffolding</w:t>
      </w:r>
      <w:r>
        <w:rPr>
          <w:color w:val="000000"/>
        </w:rPr>
        <w:t xml:space="preserve">)</w:t>
      </w:r>
    </w:p>
    <w:p>
      <w:pPr>
        <w:pStyle w:val="FirstParagraph"/>
        <w:spacing w:line="360" w:lineRule="auto"/>
        <w:jc w:val="both"/>
      </w:pPr>
      <w:r>
        <w:rPr>
          <w:color w:val="000000"/>
        </w:rPr>
        <w:t xml:space="preserve">Slack</w:t>
      </w:r>
      <w:r>
        <w:rPr>
          <w:color w:val="000000"/>
        </w:rPr>
        <w:t xml:space="preserve"> </w:t>
      </w:r>
      <w:r>
        <w:rPr>
          <w:i/>
          <w:iCs/>
          <w:color w:val="000000"/>
        </w:rPr>
        <w:t xml:space="preserve">et al.</w:t>
      </w:r>
      <w:r>
        <w:rPr>
          <w:color w:val="000000"/>
        </w:rPr>
        <w:t xml:space="preserve"> </w:t>
      </w:r>
      <w:r>
        <w:rPr>
          <w:color w:val="000000"/>
        </w:rPr>
        <w:t xml:space="preserve">(2020) demostraron que los explicadores agnósticos pueden manipularse deliberadamente. Es viable entrenar un clasificador con una bifurcación lógica oculta:</w:t>
      </w:r>
    </w:p>
    <w:p>
      <w:pPr>
        <w:pStyle w:val="Compact"/>
        <w:numPr>
          <w:ilvl w:val="0"/>
          <w:numId w:val="1018"/>
        </w:numPr>
        <w:spacing w:line="360" w:lineRule="auto"/>
        <w:jc w:val="both"/>
      </w:pPr>
      <w:r>
        <w:rPr>
          <w:color w:val="000000"/>
        </w:rPr>
        <w:t xml:space="preserve">Aplica una lógica discriminatoria sobre consultas de la distribución operativa real.</w:t>
      </w:r>
    </w:p>
    <w:p>
      <w:pPr>
        <w:pStyle w:val="Compact"/>
        <w:numPr>
          <w:ilvl w:val="0"/>
          <w:numId w:val="1018"/>
        </w:numPr>
        <w:spacing w:line="360" w:lineRule="auto"/>
        <w:jc w:val="both"/>
      </w:pPr>
      <w:r>
        <w:rPr>
          <w:color w:val="000000"/>
        </w:rPr>
        <w:t xml:space="preserve">Conmuta hacia un modelo neutral cuando detecta la dispersión característica de las perturbaciones de LIME o SHAP.</w:t>
      </w:r>
    </w:p>
    <w:p>
      <w:pPr>
        <w:pStyle w:val="FirstParagraph"/>
        <w:spacing w:line="360" w:lineRule="auto"/>
        <w:jc w:val="both"/>
      </w:pPr>
      <w:r>
        <w:rPr>
          <w:color w:val="000000"/>
        </w:rPr>
        <w:t xml:space="preserve">Como resultado, el explicador emite un informe que certifica equidad algorítmica, mientras el clasificador discrimina activamente en producción.</w:t>
      </w:r>
    </w:p>
    <w:p>
      <w:pPr>
        <w:pStyle w:val="BodyText"/>
        <w:spacing w:line="360" w:lineRule="auto"/>
        <w:jc w:val="both"/>
      </w:pPr>
      <w:r>
        <w:rPr>
          <w:color w:val="000000"/>
        </w:rPr>
        <w:t xml:space="preserve">La Figura 10 expone cómo cada una de las siete puertas de FOM-7 actúa como una barrera técnica de contención ante estas fallas operacionales.</w:t>
      </w:r>
    </w:p>
    <w:p>
      <w:pPr>
        <w:pStyle w:val="CaptionedFigure"/>
        <w:spacing w:line="360" w:lineRule="auto"/>
        <w:jc w:val="center"/>
      </w:pPr>
      <w:r>
        <w:rPr>
          <w:color w:val="000000"/>
        </w:rPr>
        <w:drawing>
          <wp:inline>
            <wp:extent cx="5228414" cy="4630008"/>
            <wp:effectExtent b="0" l="0" r="0" t="0"/>
            <wp:docPr descr="Figura 10. Taxonomía de distorsiones y traza de siete puertas FOM-7. Fuente: elaboración propia a partir de Herrera-Vásquez y Herrero-Uceda (2026)." title="" id="67" name="Picture"/>
            <a:graphic>
              <a:graphicData uri="http://schemas.openxmlformats.org/drawingml/2006/picture">
                <pic:pic>
                  <pic:nvPicPr>
                    <pic:cNvPr descr="../figures/exported/fig_d8_fom7_traza_es.png" id="68" name="Picture"/>
                    <pic:cNvPicPr>
                      <a:picLocks noChangeArrowheads="1" noChangeAspect="1"/>
                    </pic:cNvPicPr>
                  </pic:nvPicPr>
                  <pic:blipFill>
                    <a:blip r:embed="rId66"/>
                    <a:stretch>
                      <a:fillRect/>
                    </a:stretch>
                  </pic:blipFill>
                  <pic:spPr bwMode="auto">
                    <a:xfrm>
                      <a:off x="0" y="0"/>
                      <a:ext cx="5228414" cy="463000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10. Taxonomía de distorsiones y traza de siete puertas FOM-7. Fuente: elaboración propia a partir de Herrera-Vásquez y Herrero-Uceda (2026).</w:t>
      </w:r>
    </w:p>
    <w:bookmarkEnd w:id="69"/>
    <w:bookmarkEnd w:id="70"/>
    <w:bookmarkEnd w:id="71"/>
    <w:bookmarkStart w:id="85" w:name="el-protocolo-operativo-fom-7"/>
    <w:p>
      <w:pPr>
        <w:pStyle w:val="Heading1"/>
        <w:spacing w:line="360" w:lineRule="auto"/>
        <w:jc w:val="left"/>
      </w:pPr>
      <w:r>
        <w:rPr>
          <w:color w:val="000000"/>
        </w:rPr>
        <w:t xml:space="preserve">El protocolo operativo FOM-7</w:t>
      </w:r>
    </w:p>
    <w:bookmarkStart w:id="72" w:name="X233a4adf9226d6b3b66adb1932ca98c90c19740"/>
    <w:p>
      <w:pPr>
        <w:pStyle w:val="Heading2"/>
        <w:spacing w:line="360" w:lineRule="auto"/>
        <w:jc w:val="left"/>
      </w:pPr>
      <w:r>
        <w:rPr>
          <w:color w:val="000000"/>
        </w:rPr>
        <w:t xml:space="preserve">El concepto: Un harness de pruebas automatizadas para XAI</w:t>
      </w:r>
    </w:p>
    <w:p>
      <w:pPr>
        <w:pStyle w:val="FirstParagraph"/>
        <w:spacing w:line="360" w:lineRule="auto"/>
        <w:jc w:val="both"/>
      </w:pPr>
      <w:r>
        <w:rPr>
          <w:color w:val="000000"/>
        </w:rPr>
        <w:t xml:space="preserve">En la ingeniería de datos, la calidad de los flujos se certifica mediante herramientas como</w:t>
      </w:r>
      <w:r>
        <w:rPr>
          <w:color w:val="000000"/>
        </w:rPr>
        <w:t xml:space="preserve"> </w:t>
      </w:r>
      <w:r>
        <w:rPr>
          <w:rStyle w:val="VerbatimChar"/>
          <w:color w:val="000000"/>
        </w:rPr>
        <w:t xml:space="preserve">pytest</w:t>
      </w:r>
      <w:r>
        <w:rPr>
          <w:color w:val="000000"/>
        </w:rPr>
        <w:t xml:space="preserve">,</w:t>
      </w:r>
      <w:r>
        <w:rPr>
          <w:color w:val="000000"/>
        </w:rPr>
        <w:t xml:space="preserve"> </w:t>
      </w:r>
      <w:r>
        <w:rPr>
          <w:rStyle w:val="VerbatimChar"/>
          <w:color w:val="000000"/>
        </w:rPr>
        <w:t xml:space="preserve">dbt test</w:t>
      </w:r>
      <w:r>
        <w:rPr>
          <w:color w:val="000000"/>
        </w:rPr>
        <w:t xml:space="preserve"> </w:t>
      </w:r>
      <w:r>
        <w:rPr>
          <w:color w:val="000000"/>
        </w:rPr>
        <w:t xml:space="preserve">o</w:t>
      </w:r>
      <w:r>
        <w:rPr>
          <w:color w:val="000000"/>
        </w:rPr>
        <w:t xml:space="preserve"> </w:t>
      </w:r>
      <w:r>
        <w:rPr>
          <w:rStyle w:val="VerbatimChar"/>
          <w:color w:val="000000"/>
        </w:rPr>
        <w:t xml:space="preserve">Great Expectations</w:t>
      </w:r>
      <w:r>
        <w:rPr>
          <w:color w:val="000000"/>
        </w:rPr>
        <w:t xml:space="preserve">. Estos marcos validan aserciones concretas sobre los esquemas (completitud, unicidad y rangos) antes de autorizar su consumo.</w:t>
      </w:r>
    </w:p>
    <w:p>
      <w:pPr>
        <w:pStyle w:val="BodyText"/>
        <w:spacing w:line="360" w:lineRule="auto"/>
        <w:jc w:val="both"/>
      </w:pPr>
      <w:r>
        <w:rPr>
          <w:color w:val="000000"/>
        </w:rPr>
        <w:t xml:space="preserve">El marco</w:t>
      </w:r>
      <w:r>
        <w:rPr>
          <w:color w:val="000000"/>
        </w:rPr>
        <w:t xml:space="preserve"> </w:t>
      </w:r>
      <w:r>
        <w:rPr>
          <w:b/>
          <w:bCs/>
          <w:color w:val="000000"/>
        </w:rPr>
        <w:t xml:space="preserve">FOM-7</w:t>
      </w:r>
      <w:r>
        <w:rPr>
          <w:color w:val="000000"/>
        </w:rPr>
        <w:t xml:space="preserve"> </w:t>
      </w:r>
      <w:r>
        <w:rPr>
          <w:color w:val="000000"/>
        </w:rPr>
        <w:t xml:space="preserve">(</w:t>
      </w:r>
      <w:r>
        <w:rPr>
          <w:i/>
          <w:iCs/>
          <w:color w:val="000000"/>
        </w:rPr>
        <w:t xml:space="preserve">Framework for Operational Metrics in 7 Gates</w:t>
      </w:r>
      <w:r>
        <w:rPr>
          <w:color w:val="000000"/>
        </w:rPr>
        <w:t xml:space="preserve">) traslada esta disciplina a la explicabilidad algorítmica. Diseñado como un</w:t>
      </w:r>
      <w:r>
        <w:rPr>
          <w:color w:val="000000"/>
        </w:rPr>
        <w:t xml:space="preserve"> </w:t>
      </w:r>
      <w:r>
        <w:rPr>
          <w:b/>
          <w:bCs/>
          <w:color w:val="000000"/>
        </w:rPr>
        <w:t xml:space="preserve">harness de certificación cuantitativa en siete compuertas secuenciales</w:t>
      </w:r>
      <w:r>
        <w:rPr>
          <w:color w:val="000000"/>
        </w:rPr>
        <w:t xml:space="preserve">, FOM-7 evalúa si un explicador post-hoc es fiel, robusto, legible, eficiente y equitativo:</w:t>
      </w:r>
    </w:p>
    <w:p>
      <w:pPr>
        <w:pStyle w:val="Compact"/>
        <w:numPr>
          <w:ilvl w:val="0"/>
          <w:numId w:val="1019"/>
        </w:numPr>
        <w:spacing w:line="360" w:lineRule="auto"/>
        <w:jc w:val="both"/>
      </w:pPr>
      <w:r>
        <w:rPr>
          <w:b/>
          <w:bCs/>
          <w:color w:val="000000"/>
        </w:rPr>
        <w:t xml:space="preserve">Puerta 1 (G1) - Fidelidad Local (</w:t>
      </w:r>
      <w:r>
        <w:rPr>
          <w:b/>
          <w:bCs/>
          <w:i/>
          <w:iCs/>
          <w:color w:val="000000"/>
        </w:rPr>
        <w:t xml:space="preserve">Fidelity Gate</w:t>
      </w:r>
      <w:r>
        <w:rPr>
          <w:b/>
          <w:bCs/>
          <w:color w:val="000000"/>
        </w:rPr>
        <w:t xml:space="preserve">):</w:t>
      </w:r>
      <w:r>
        <w:rPr>
          <w:color w:val="000000"/>
        </w:rPr>
        <w:t xml:space="preserve"> </w:t>
      </w:r>
      <w:r>
        <w:rPr>
          <w:color w:val="000000"/>
        </w:rPr>
        <w:t xml:space="preserve">Precisión del sustituto</w:t>
      </w:r>
      <w:r>
        <w:rPr>
          <w:color w:val="000000"/>
        </w:rPr>
        <w:t xml:space="preserve"> </w:t>
      </w:r>
      <m:oMath>
        <m:r>
          <m:t>g</m:t>
        </m:r>
      </m:oMath>
      <w:r>
        <w:rPr>
          <w:color w:val="000000"/>
        </w:rPr>
        <w:t xml:space="preserve"> </w:t>
      </w:r>
      <w:r>
        <w:rPr>
          <w:color w:val="000000"/>
        </w:rPr>
        <w:t xml:space="preserve">al reproducir la caja negra</w:t>
      </w:r>
      <w:r>
        <w:rPr>
          <w:color w:val="000000"/>
        </w:rPr>
        <w:t xml:space="preserve"> </w:t>
      </w:r>
      <m:oMath>
        <m:r>
          <m:t>f</m:t>
        </m:r>
      </m:oMath>
      <w:r>
        <w:rPr>
          <w:color w:val="000000"/>
        </w:rPr>
        <w:t xml:space="preserve"> </w:t>
      </w:r>
      <w:r>
        <w:rPr>
          <w:color w:val="000000"/>
        </w:rPr>
        <w:t xml:space="preserve">en la vecindad del registro.</w:t>
      </w:r>
    </w:p>
    <w:p>
      <w:pPr>
        <w:pStyle w:val="Compact"/>
        <w:numPr>
          <w:ilvl w:val="0"/>
          <w:numId w:val="1019"/>
        </w:numPr>
        <w:spacing w:line="360" w:lineRule="auto"/>
        <w:jc w:val="both"/>
      </w:pPr>
      <w:r>
        <w:rPr>
          <w:b/>
          <w:bCs/>
          <w:color w:val="000000"/>
        </w:rPr>
        <w:t xml:space="preserve">Puerta 2 (G2) - Estabilidad y Robustez (</w:t>
      </w:r>
      <w:r>
        <w:rPr>
          <w:b/>
          <w:bCs/>
          <w:i/>
          <w:iCs/>
          <w:color w:val="000000"/>
        </w:rPr>
        <w:t xml:space="preserve">Stability Gate</w:t>
      </w:r>
      <w:r>
        <w:rPr>
          <w:b/>
          <w:bCs/>
          <w:color w:val="000000"/>
        </w:rPr>
        <w:t xml:space="preserve">):</w:t>
      </w:r>
      <w:r>
        <w:rPr>
          <w:color w:val="000000"/>
        </w:rPr>
        <w:t xml:space="preserve"> </w:t>
      </w:r>
      <w:r>
        <w:rPr>
          <w:color w:val="000000"/>
        </w:rPr>
        <w:t xml:space="preserve">Resistencia de la explicación ante fluctuaciones y ruido sensorial.</w:t>
      </w:r>
    </w:p>
    <w:p>
      <w:pPr>
        <w:pStyle w:val="Compact"/>
        <w:numPr>
          <w:ilvl w:val="0"/>
          <w:numId w:val="1019"/>
        </w:numPr>
        <w:spacing w:line="360" w:lineRule="auto"/>
        <w:jc w:val="both"/>
      </w:pPr>
      <w:r>
        <w:rPr>
          <w:b/>
          <w:bCs/>
          <w:color w:val="000000"/>
        </w:rPr>
        <w:t xml:space="preserve">Puerta 3 (G3) - Parsimonia Cognitiva (</w:t>
      </w:r>
      <w:r>
        <w:rPr>
          <w:b/>
          <w:bCs/>
          <w:i/>
          <w:iCs/>
          <w:color w:val="000000"/>
        </w:rPr>
        <w:t xml:space="preserve">Parsimony Gate</w:t>
      </w:r>
      <w:r>
        <w:rPr>
          <w:b/>
          <w:bCs/>
          <w:color w:val="000000"/>
        </w:rPr>
        <w:t xml:space="preserve">):</w:t>
      </w:r>
      <w:r>
        <w:rPr>
          <w:color w:val="000000"/>
        </w:rPr>
        <w:t xml:space="preserve"> </w:t>
      </w:r>
      <w:r>
        <w:rPr>
          <w:color w:val="000000"/>
        </w:rPr>
        <w:t xml:space="preserve">Concentración en pocas variables dominantes (</w:t>
      </w:r>
      <m:oMath>
        <m:r>
          <m:rPr>
            <m:sty m:val="p"/>
          </m:rPr>
          <m:t>≤</m:t>
        </m:r>
        <m:r>
          <m:t>7</m:t>
        </m:r>
      </m:oMath>
      <w:r>
        <w:rPr>
          <w:color w:val="000000"/>
        </w:rPr>
        <w:t xml:space="preserve">) para evitar sobrecarga cognitiva.</w:t>
      </w:r>
    </w:p>
    <w:p>
      <w:pPr>
        <w:pStyle w:val="Compact"/>
        <w:numPr>
          <w:ilvl w:val="0"/>
          <w:numId w:val="1019"/>
        </w:numPr>
        <w:spacing w:line="360" w:lineRule="auto"/>
        <w:jc w:val="both"/>
      </w:pPr>
      <w:r>
        <w:rPr>
          <w:b/>
          <w:bCs/>
          <w:color w:val="000000"/>
        </w:rPr>
        <w:t xml:space="preserve">Puerta 4 (G4) - Cobertura y Accionabilidad (</w:t>
      </w:r>
      <w:r>
        <w:rPr>
          <w:b/>
          <w:bCs/>
          <w:i/>
          <w:iCs/>
          <w:color w:val="000000"/>
        </w:rPr>
        <w:t xml:space="preserve">Coverage Gate</w:t>
      </w:r>
      <w:r>
        <w:rPr>
          <w:b/>
          <w:bCs/>
          <w:color w:val="000000"/>
        </w:rPr>
        <w:t xml:space="preserve">):</w:t>
      </w:r>
      <w:r>
        <w:rPr>
          <w:color w:val="000000"/>
        </w:rPr>
        <w:t xml:space="preserve"> </w:t>
      </w:r>
      <w:r>
        <w:rPr>
          <w:color w:val="000000"/>
        </w:rPr>
        <w:t xml:space="preserve">Alcance poblacional de las reglas (Anchors) o factibilidad física de los cambios prescritos (DiCE).</w:t>
      </w:r>
    </w:p>
    <w:p>
      <w:pPr>
        <w:pStyle w:val="Compact"/>
        <w:numPr>
          <w:ilvl w:val="0"/>
          <w:numId w:val="1019"/>
        </w:numPr>
        <w:spacing w:line="360" w:lineRule="auto"/>
        <w:jc w:val="both"/>
      </w:pPr>
      <w:r>
        <w:rPr>
          <w:b/>
          <w:bCs/>
          <w:color w:val="000000"/>
        </w:rPr>
        <w:t xml:space="preserve">Puerta 5 (G5) - Eficiencia Computacional (</w:t>
      </w:r>
      <w:r>
        <w:rPr>
          <w:b/>
          <w:bCs/>
          <w:i/>
          <w:iCs/>
          <w:color w:val="000000"/>
        </w:rPr>
        <w:t xml:space="preserve">Efficiency Gate</w:t>
      </w:r>
      <w:r>
        <w:rPr>
          <w:b/>
          <w:bCs/>
          <w:color w:val="000000"/>
        </w:rPr>
        <w:t xml:space="preserve">):</w:t>
      </w:r>
      <w:r>
        <w:rPr>
          <w:color w:val="000000"/>
        </w:rPr>
        <w:t xml:space="preserve"> </w:t>
      </w:r>
      <w:r>
        <w:rPr>
          <w:color w:val="000000"/>
        </w:rPr>
        <w:t xml:space="preserve">Cumplimiento de latencias de infraestructura (</w:t>
      </w:r>
      <m:oMath>
        <m:r>
          <m:rPr>
            <m:sty m:val="p"/>
          </m:rPr>
          <m:t>&lt;</m:t>
        </m:r>
        <m:r>
          <m:t>100</m:t>
        </m:r>
        <m:r>
          <m:rPr>
            <m:nor/>
            <m:sty m:val="p"/>
          </m:rPr>
          <m:t> ms</m:t>
        </m:r>
      </m:oMath>
      <w:r>
        <w:rPr>
          <w:color w:val="000000"/>
        </w:rPr>
        <w:t xml:space="preserve"> </w:t>
      </w:r>
      <w:r>
        <w:rPr>
          <w:color w:val="000000"/>
        </w:rPr>
        <w:t xml:space="preserve">en línea,</w:t>
      </w:r>
      <w:r>
        <w:rPr>
          <w:color w:val="000000"/>
        </w:rPr>
        <w:t xml:space="preserve"> </w:t>
      </w:r>
      <m:oMath>
        <m:r>
          <m:rPr>
            <m:sty m:val="p"/>
          </m:rPr>
          <m:t>&lt;</m:t>
        </m:r>
        <m:r>
          <m:t>2</m:t>
        </m:r>
        <m:r>
          <m:rPr>
            <m:sty m:val="p"/>
          </m:rPr>
          <m:t>,</m:t>
        </m:r>
        <m:r>
          <m:t>000</m:t>
        </m:r>
        <m:r>
          <m:rPr>
            <m:nor/>
            <m:sty m:val="p"/>
          </m:rPr>
          <m:t> ms</m:t>
        </m:r>
      </m:oMath>
      <w:r>
        <w:rPr>
          <w:color w:val="000000"/>
        </w:rPr>
        <w:t xml:space="preserve"> </w:t>
      </w:r>
      <w:r>
        <w:rPr>
          <w:color w:val="000000"/>
        </w:rPr>
        <w:t xml:space="preserve">en lote).</w:t>
      </w:r>
    </w:p>
    <w:p>
      <w:pPr>
        <w:pStyle w:val="Compact"/>
        <w:numPr>
          <w:ilvl w:val="0"/>
          <w:numId w:val="1019"/>
        </w:numPr>
        <w:spacing w:line="360" w:lineRule="auto"/>
        <w:jc w:val="both"/>
      </w:pPr>
      <w:r>
        <w:rPr>
          <w:b/>
          <w:bCs/>
          <w:color w:val="000000"/>
        </w:rPr>
        <w:t xml:space="preserve">Puerta 6 (G6) - Consistencia Inter-método (</w:t>
      </w:r>
      <w:r>
        <w:rPr>
          <w:b/>
          <w:bCs/>
          <w:i/>
          <w:iCs/>
          <w:color w:val="000000"/>
        </w:rPr>
        <w:t xml:space="preserve">Cross-Explainer Consistency Gate</w:t>
      </w:r>
      <w:r>
        <w:rPr>
          <w:b/>
          <w:bCs/>
          <w:color w:val="000000"/>
        </w:rPr>
        <w:t xml:space="preserve">):</w:t>
      </w:r>
      <w:r>
        <w:rPr>
          <w:color w:val="000000"/>
        </w:rPr>
        <w:t xml:space="preserve"> </w:t>
      </w:r>
      <w:r>
        <w:rPr>
          <w:color w:val="000000"/>
        </w:rPr>
        <w:t xml:space="preserve">Concordancia de orden jerárquico entre distintos explicadores.</w:t>
      </w:r>
    </w:p>
    <w:p>
      <w:pPr>
        <w:pStyle w:val="Compact"/>
        <w:numPr>
          <w:ilvl w:val="0"/>
          <w:numId w:val="1019"/>
        </w:numPr>
        <w:spacing w:line="360" w:lineRule="auto"/>
        <w:jc w:val="both"/>
      </w:pPr>
      <w:r>
        <w:rPr>
          <w:b/>
          <w:bCs/>
          <w:color w:val="000000"/>
        </w:rPr>
        <w:t xml:space="preserve">Puerta 7 (G7) - Equidad en la Explicación (</w:t>
      </w:r>
      <w:r>
        <w:rPr>
          <w:b/>
          <w:bCs/>
          <w:i/>
          <w:iCs/>
          <w:color w:val="000000"/>
        </w:rPr>
        <w:t xml:space="preserve">Explanatory Fairness Gate</w:t>
      </w:r>
      <w:r>
        <w:rPr>
          <w:b/>
          <w:bCs/>
          <w:color w:val="000000"/>
        </w:rPr>
        <w:t xml:space="preserve">):</w:t>
      </w:r>
      <w:r>
        <w:rPr>
          <w:color w:val="000000"/>
        </w:rPr>
        <w:t xml:space="preserve"> </w:t>
      </w:r>
      <w:r>
        <w:rPr>
          <w:color w:val="000000"/>
        </w:rPr>
        <w:t xml:space="preserve">Homogeneidad de fidelidad y estabilidad a través de subgrupos demográficos protegidos.</w:t>
      </w:r>
    </w:p>
    <w:bookmarkEnd w:id="72"/>
    <w:bookmarkStart w:id="83" w:name="Xa7b9960b169563f1ac17e356f7a0aff8ea21651"/>
    <w:p>
      <w:pPr>
        <w:pStyle w:val="Heading2"/>
        <w:spacing w:line="360" w:lineRule="auto"/>
        <w:jc w:val="left"/>
      </w:pPr>
      <w:r>
        <w:rPr>
          <w:color w:val="000000"/>
        </w:rPr>
        <w:t xml:space="preserve">Formulaciones matemáticas de las métricas de evaluación</w:t>
      </w:r>
    </w:p>
    <w:p>
      <w:pPr>
        <w:pStyle w:val="FirstParagraph"/>
        <w:spacing w:line="360" w:lineRule="auto"/>
        <w:jc w:val="both"/>
      </w:pPr>
      <w:r>
        <w:rPr>
          <w:color w:val="000000"/>
        </w:rPr>
        <w:t xml:space="preserve">A continuación se formalizan las métricas computables de cada compuerta:</w:t>
      </w:r>
    </w:p>
    <w:bookmarkStart w:id="73" w:name="fidelidad-local-ponderada-g1"/>
    <w:p>
      <w:pPr>
        <w:pStyle w:val="Heading3"/>
        <w:spacing w:line="360" w:lineRule="auto"/>
        <w:jc w:val="left"/>
      </w:pPr>
      <w:r>
        <w:rPr>
          <w:color w:val="000000"/>
        </w:rPr>
        <w:t xml:space="preserve">1. Fidelidad Local Ponderada (G1)</w:t>
      </w:r>
    </w:p>
    <w:p>
      <w:pPr>
        <w:pStyle w:val="FirstParagraph"/>
        <w:spacing w:line="360" w:lineRule="auto"/>
        <w:jc w:val="both"/>
      </w:pPr>
      <w:r>
        <w:rPr>
          <w:color w:val="000000"/>
        </w:rPr>
        <w:t xml:space="preserve">Evalúa el coeficiente de determinación local entre el sustituto explicativo</w:t>
      </w:r>
      <w:r>
        <w:rPr>
          <w:color w:val="000000"/>
        </w:rPr>
        <w:t xml:space="preserve"> </w:t>
      </w:r>
      <m:oMath>
        <m:r>
          <m:t>g</m:t>
        </m:r>
        <m:r>
          <m:rPr>
            <m:sty m:val="p"/>
          </m:rPr>
          <m:t>(</m:t>
        </m:r>
        <m:r>
          <m:t>z</m:t>
        </m:r>
        <m:r>
          <m:rPr>
            <m:sty m:val="p"/>
          </m:rPr>
          <m:t>)</m:t>
        </m:r>
      </m:oMath>
      <w:r>
        <w:rPr>
          <w:color w:val="000000"/>
        </w:rPr>
        <w:t xml:space="preserve"> </w:t>
      </w:r>
      <w:r>
        <w:rPr>
          <w:color w:val="000000"/>
        </w:rPr>
        <w:t xml:space="preserve">y el modelo original</w:t>
      </w:r>
      <w:r>
        <w:rPr>
          <w:color w:val="000000"/>
        </w:rPr>
        <w:t xml:space="preserve"> </w:t>
      </w:r>
      <m:oMath>
        <m:r>
          <m:t>f</m:t>
        </m:r>
        <m:r>
          <m:rPr>
            <m:sty m:val="p"/>
          </m:rPr>
          <m:t>(</m:t>
        </m:r>
        <m:r>
          <m:t>z</m:t>
        </m:r>
        <m:r>
          <m:rPr>
            <m:sty m:val="p"/>
          </m:rPr>
          <m:t>)</m:t>
        </m:r>
      </m:oMath>
      <w:r>
        <w:rPr>
          <w:color w:val="000000"/>
        </w:rPr>
        <w:t xml:space="preserve"> </w:t>
      </w:r>
      <w:r>
        <w:rPr>
          <w:color w:val="000000"/>
        </w:rPr>
        <w:t xml:space="preserve">sobre el conjunto de perturbaciones</w:t>
      </w:r>
      <w:r>
        <w:rPr>
          <w:color w:val="000000"/>
        </w:rPr>
        <w:t xml:space="preserve"> </w:t>
      </w:r>
      <m:oMath>
        <m:sSub>
          <m:e>
            <m:r>
              <m:t>Z</m:t>
            </m:r>
          </m:e>
          <m:sub>
            <m:r>
              <m:t>x</m:t>
            </m:r>
          </m:sub>
        </m:sSub>
      </m:oMath>
      <w:r>
        <w:rPr>
          <w:color w:val="000000"/>
        </w:rPr>
        <w:t xml:space="preserve">, ponderado por la proximidad</w:t>
      </w:r>
      <w:r>
        <w:rPr>
          <w:color w:val="000000"/>
        </w:rPr>
        <w:t xml:space="preserve"> </w:t>
      </w:r>
      <m:oMath>
        <m:sSub>
          <m:e>
            <m:r>
              <m:t>π</m:t>
            </m:r>
          </m:e>
          <m:sub>
            <m:r>
              <m:t>x</m:t>
            </m:r>
          </m:sub>
        </m:sSub>
        <m:r>
          <m:rPr>
            <m:sty m:val="p"/>
          </m:rPr>
          <m:t>(</m:t>
        </m:r>
        <m:r>
          <m:t>z</m:t>
        </m:r>
        <m:r>
          <m:rPr>
            <m:sty m:val="p"/>
          </m:rPr>
          <m:t>)</m:t>
        </m:r>
      </m:oMath>
      <w:r>
        <w:rPr>
          <w:color w:val="000000"/>
        </w:rPr>
        <w:t xml:space="preserve">:</w:t>
      </w:r>
    </w:p>
    <w:p>
      <w:pPr>
        <w:pStyle w:val="BodyText"/>
        <w:spacing w:line="360" w:lineRule="auto"/>
      </w:pPr>
      <m:oMathPara>
        <m:oMathParaPr>
          <m:jc m:val="center"/>
        </m:oMathParaPr>
        <m:oMath>
          <m:r>
            <m:rPr>
              <m:nor/>
              <m:sty m:val="p"/>
            </m:rPr>
            <m:t>Fidelidad</m:t>
          </m:r>
          <m:r>
            <m:rPr>
              <m:sty m:val="p"/>
            </m:rPr>
            <m:t>(</m:t>
          </m:r>
          <m:r>
            <m:t>g</m:t>
          </m:r>
          <m:r>
            <m:rPr>
              <m:sty m:val="p"/>
            </m:rPr>
            <m:t>,</m:t>
          </m:r>
          <m:r>
            <m:t>f</m:t>
          </m:r>
          <m:r>
            <m:rPr>
              <m:sty m:val="p"/>
            </m:rPr>
            <m:t>,</m:t>
          </m:r>
          <m:r>
            <m:t>x</m:t>
          </m:r>
          <m:r>
            <m:rPr>
              <m:sty m:val="p"/>
            </m:rPr>
            <m:t>)</m:t>
          </m:r>
          <m:r>
            <m:rPr>
              <m:sty m:val="p"/>
            </m:rPr>
            <m:t>=</m:t>
          </m:r>
          <m:r>
            <m:t>1</m:t>
          </m:r>
          <m:r>
            <m:rPr>
              <m:sty m:val="p"/>
            </m:rPr>
            <m:t>−</m:t>
          </m:r>
          <m:f>
            <m:fPr>
              <m:type m:val="bar"/>
            </m:fPr>
            <m:num>
              <m:nary>
                <m:naryPr>
                  <m:chr m:val="∑"/>
                  <m:limLoc m:val="undOvr"/>
                  <m:subHide m:val="off"/>
                  <m:supHide m:val="on"/>
                </m:naryPr>
                <m:sub>
                  <m:r>
                    <m:t>z</m:t>
                  </m:r>
                  <m:r>
                    <m:rPr>
                      <m:sty m:val="p"/>
                    </m:rPr>
                    <m:t>∈</m:t>
                  </m:r>
                  <m:sSub>
                    <m:e>
                      <m:r>
                        <m:t>Z</m:t>
                      </m:r>
                    </m:e>
                    <m:sub>
                      <m:r>
                        <m:t>x</m:t>
                      </m:r>
                    </m:sub>
                  </m:sSub>
                </m:sub>
                <m:sup>
                  <m:r>
                    <m:t>​</m:t>
                  </m:r>
                </m:sup>
                <m:e>
                  <m:sSub>
                    <m:e>
                      <m:r>
                        <m:t>π</m:t>
                      </m:r>
                    </m:e>
                    <m:sub>
                      <m:r>
                        <m:t>x</m:t>
                      </m:r>
                    </m:sub>
                  </m:sSub>
                </m:e>
              </m:nary>
              <m:r>
                <m:rPr>
                  <m:sty m:val="p"/>
                </m:rPr>
                <m:t>(</m:t>
              </m:r>
              <m:r>
                <m:t>z</m:t>
              </m:r>
              <m:r>
                <m:rPr>
                  <m:sty m:val="p"/>
                </m:rPr>
                <m:t>)</m:t>
              </m:r>
              <m:sSup>
                <m:e>
                  <m:d>
                    <m:dPr>
                      <m:begChr m:val="("/>
                      <m:sepChr m:val=""/>
                      <m:endChr m:val=")"/>
                      <m:grow/>
                    </m:dPr>
                    <m:e>
                      <m:r>
                        <m:t>f</m:t>
                      </m:r>
                      <m:r>
                        <m:rPr>
                          <m:sty m:val="p"/>
                        </m:rPr>
                        <m:t>(</m:t>
                      </m:r>
                      <m:r>
                        <m:t>z</m:t>
                      </m:r>
                      <m:r>
                        <m:rPr>
                          <m:sty m:val="p"/>
                        </m:rPr>
                        <m:t>)</m:t>
                      </m:r>
                      <m:r>
                        <m:rPr>
                          <m:sty m:val="p"/>
                        </m:rPr>
                        <m:t>−</m:t>
                      </m:r>
                      <m:r>
                        <m:t>g</m:t>
                      </m:r>
                      <m:r>
                        <m:rPr>
                          <m:sty m:val="p"/>
                        </m:rPr>
                        <m:t>(</m:t>
                      </m:r>
                      <m:r>
                        <m:t>z</m:t>
                      </m:r>
                      <m:r>
                        <m:rPr>
                          <m:sty m:val="p"/>
                        </m:rPr>
                        <m:t>)</m:t>
                      </m:r>
                    </m:e>
                  </m:d>
                </m:e>
                <m:sup>
                  <m:r>
                    <m:t>2</m:t>
                  </m:r>
                </m:sup>
              </m:sSup>
            </m:num>
            <m:den>
              <m:nary>
                <m:naryPr>
                  <m:chr m:val="∑"/>
                  <m:limLoc m:val="undOvr"/>
                  <m:subHide m:val="off"/>
                  <m:supHide m:val="on"/>
                </m:naryPr>
                <m:sub>
                  <m:r>
                    <m:t>z</m:t>
                  </m:r>
                  <m:r>
                    <m:rPr>
                      <m:sty m:val="p"/>
                    </m:rPr>
                    <m:t>∈</m:t>
                  </m:r>
                  <m:sSub>
                    <m:e>
                      <m:r>
                        <m:t>Z</m:t>
                      </m:r>
                    </m:e>
                    <m:sub>
                      <m:r>
                        <m:t>x</m:t>
                      </m:r>
                    </m:sub>
                  </m:sSub>
                </m:sub>
                <m:sup>
                  <m:r>
                    <m:t>​</m:t>
                  </m:r>
                </m:sup>
                <m:e>
                  <m:sSub>
                    <m:e>
                      <m:r>
                        <m:t>π</m:t>
                      </m:r>
                    </m:e>
                    <m:sub>
                      <m:r>
                        <m:t>x</m:t>
                      </m:r>
                    </m:sub>
                  </m:sSub>
                </m:e>
              </m:nary>
              <m:r>
                <m:rPr>
                  <m:sty m:val="p"/>
                </m:rPr>
                <m:t>(</m:t>
              </m:r>
              <m:r>
                <m:t>z</m:t>
              </m:r>
              <m:r>
                <m:rPr>
                  <m:sty m:val="p"/>
                </m:rPr>
                <m:t>)</m:t>
              </m:r>
            </m:den>
          </m:f>
        </m:oMath>
      </m:oMathPara>
    </w:p>
    <w:p>
      <w:pPr>
        <w:pStyle w:val="FirstParagraph"/>
        <w:spacing w:line="360" w:lineRule="auto"/>
        <w:jc w:val="both"/>
      </w:pPr>
      <w:r>
        <w:rPr>
          <w:color w:val="000000"/>
        </w:rPr>
        <w:t xml:space="preserve">Esta formulación opera de modo análogo a un coeficiente</w:t>
      </w:r>
      <w:r>
        <w:rPr>
          <w:color w:val="000000"/>
        </w:rPr>
        <w:t xml:space="preserve"> </w:t>
      </w:r>
      <m:oMath>
        <m:sSup>
          <m:e>
            <m:r>
              <m:t>R</m:t>
            </m:r>
          </m:e>
          <m:sup>
            <m:r>
              <m:t>2</m:t>
            </m:r>
          </m:sup>
        </m:sSup>
      </m:oMath>
      <w:r>
        <w:rPr>
          <w:color w:val="000000"/>
        </w:rPr>
        <w:t xml:space="preserve"> </w:t>
      </w:r>
      <w:r>
        <w:rPr>
          <w:color w:val="000000"/>
        </w:rPr>
        <w:t xml:space="preserve">local. El numerador suma los errores cuadráticos ponderados por la proximidad</w:t>
      </w:r>
      <w:r>
        <w:rPr>
          <w:color w:val="000000"/>
        </w:rPr>
        <w:t xml:space="preserve"> </w:t>
      </w:r>
      <m:oMath>
        <m:sSub>
          <m:e>
            <m:r>
              <m:t>π</m:t>
            </m:r>
          </m:e>
          <m:sub>
            <m:r>
              <m:t>x</m:t>
            </m:r>
          </m:sub>
        </m:sSub>
        <m:r>
          <m:rPr>
            <m:sty m:val="p"/>
          </m:rPr>
          <m:t>(</m:t>
        </m:r>
        <m:r>
          <m:t>z</m:t>
        </m:r>
        <m:r>
          <m:rPr>
            <m:sty m:val="p"/>
          </m:rPr>
          <m:t>)</m:t>
        </m:r>
      </m:oMath>
      <w:r>
        <w:rPr>
          <w:color w:val="000000"/>
        </w:rPr>
        <w:t xml:space="preserve">. El denominador normaliza por la masa de ponderación. Un valor de</w:t>
      </w:r>
      <w:r>
        <w:rPr>
          <w:color w:val="000000"/>
        </w:rPr>
        <w:t xml:space="preserve"> </w:t>
      </w:r>
      <m:oMath>
        <m:r>
          <m:t>1.0</m:t>
        </m:r>
      </m:oMath>
      <w:r>
        <w:rPr>
          <w:color w:val="000000"/>
        </w:rPr>
        <w:t xml:space="preserve"> </w:t>
      </w:r>
      <w:r>
        <w:rPr>
          <w:color w:val="000000"/>
        </w:rPr>
        <w:t xml:space="preserve">representa coincidencia perfecta en la vecindad. Valores inferiores a</w:t>
      </w:r>
      <w:r>
        <w:rPr>
          <w:color w:val="000000"/>
        </w:rPr>
        <w:t xml:space="preserve"> </w:t>
      </w:r>
      <m:oMath>
        <m:r>
          <m:t>0.85</m:t>
        </m:r>
      </m:oMath>
      <w:r>
        <w:rPr>
          <w:color w:val="000000"/>
        </w:rPr>
        <w:t xml:space="preserve"> </w:t>
      </w:r>
      <w:r>
        <w:rPr>
          <w:color w:val="000000"/>
        </w:rPr>
        <w:t xml:space="preserve">evidencian que el sustituto distorsiona la frontera del modelo.</w:t>
      </w:r>
    </w:p>
    <w:bookmarkEnd w:id="73"/>
    <w:bookmarkStart w:id="74" w:name="Xe952e16db72e6bde56edeff3bcab3148683dfd6"/>
    <w:p>
      <w:pPr>
        <w:pStyle w:val="Heading3"/>
        <w:spacing w:line="360" w:lineRule="auto"/>
        <w:jc w:val="left"/>
      </w:pPr>
      <w:r>
        <w:rPr>
          <w:color w:val="000000"/>
        </w:rPr>
        <w:t xml:space="preserve">2. Estabilidad Local basada en la Constante de Lipschitz y Similitud Coseno (G2)</w:t>
      </w:r>
    </w:p>
    <w:p>
      <w:pPr>
        <w:pStyle w:val="FirstParagraph"/>
        <w:spacing w:line="360" w:lineRule="auto"/>
        <w:jc w:val="both"/>
      </w:pPr>
      <w:r>
        <w:rPr>
          <w:color w:val="000000"/>
        </w:rPr>
        <w:t xml:space="preserve">La estabilidad formal acota la constante de Lipschitz del operador explicativo</w:t>
      </w:r>
      <w:r>
        <w:rPr>
          <w:color w:val="000000"/>
        </w:rPr>
        <w:t xml:space="preserve"> </w:t>
      </w:r>
      <m:oMath>
        <m:r>
          <m:t>E</m:t>
        </m:r>
        <m:r>
          <m:rPr>
            <m:sty m:val="p"/>
          </m:rPr>
          <m:t>(</m:t>
        </m:r>
        <m:r>
          <m:t>x</m:t>
        </m:r>
        <m:r>
          <m:rPr>
            <m:sty m:val="p"/>
          </m:rPr>
          <m:t>)</m:t>
        </m:r>
        <m:r>
          <m:rPr>
            <m:sty m:val="p"/>
          </m:rPr>
          <m:t>∈</m:t>
        </m:r>
        <m:sSup>
          <m:e>
            <m:r>
              <m:rPr>
                <m:scr m:val="double-struck"/>
                <m:sty m:val="p"/>
              </m:rPr>
              <m:t>R</m:t>
            </m:r>
          </m:e>
          <m:sup>
            <m:r>
              <m:rPr>
                <m:sty m:val="p"/>
              </m:rPr>
              <m:t>|</m:t>
            </m:r>
            <m:r>
              <m:t>F</m:t>
            </m:r>
            <m:r>
              <m:rPr>
                <m:sty m:val="p"/>
              </m:rPr>
              <m:t>|</m:t>
            </m:r>
          </m:sup>
        </m:sSup>
      </m:oMath>
      <w:r>
        <w:rPr>
          <w:color w:val="000000"/>
        </w:rPr>
        <w:t xml:space="preserve"> </w:t>
      </w:r>
      <w:r>
        <w:rPr>
          <w:color w:val="000000"/>
        </w:rPr>
        <w:t xml:space="preserve">en una bola de radio</w:t>
      </w:r>
      <w:r>
        <w:rPr>
          <w:color w:val="000000"/>
        </w:rPr>
        <w:t xml:space="preserve"> </w:t>
      </w:r>
      <m:oMath>
        <m:r>
          <m:t>ϵ</m:t>
        </m:r>
      </m:oMath>
      <w:r>
        <w:rPr>
          <w:color w:val="000000"/>
        </w:rPr>
        <w:t xml:space="preserve">:</w:t>
      </w:r>
    </w:p>
    <w:p>
      <w:pPr>
        <w:pStyle w:val="BodyText"/>
        <w:spacing w:line="360" w:lineRule="auto"/>
      </w:pPr>
      <m:oMathPara>
        <m:oMathParaPr>
          <m:jc m:val="center"/>
        </m:oMathParaPr>
        <m:oMath>
          <m:r>
            <m:rPr>
              <m:nor/>
              <m:sty m:val="p"/>
            </m:rPr>
            <m:t>Estabilidad</m:t>
          </m:r>
          <m:r>
            <m:rPr>
              <m:sty m:val="p"/>
            </m:rPr>
            <m:t>(</m:t>
          </m:r>
          <m:r>
            <m:t>E</m:t>
          </m:r>
          <m:r>
            <m:rPr>
              <m:sty m:val="p"/>
            </m:rPr>
            <m:t>,</m:t>
          </m:r>
          <m:r>
            <m:t>x</m:t>
          </m:r>
          <m:r>
            <m:rPr>
              <m:sty m:val="p"/>
            </m:rPr>
            <m:t>,</m:t>
          </m:r>
          <m:r>
            <m:t>ϵ</m:t>
          </m:r>
          <m:r>
            <m:rPr>
              <m:sty m:val="p"/>
            </m:rPr>
            <m:t>)</m:t>
          </m:r>
          <m:r>
            <m:rPr>
              <m:sty m:val="p"/>
            </m:rPr>
            <m:t>=</m:t>
          </m:r>
          <m:r>
            <m:t>1</m:t>
          </m:r>
          <m:r>
            <m:rPr>
              <m:sty m:val="p"/>
            </m:rPr>
            <m:t>−</m:t>
          </m:r>
          <m:limLow>
            <m:e>
              <m:r>
                <m:rPr>
                  <m:sty m:val="p"/>
                </m:rPr>
                <m:t>max</m:t>
              </m:r>
            </m:e>
            <m:lim>
              <m:sSup>
                <m:e>
                  <m:r>
                    <m:t>x</m:t>
                  </m:r>
                </m:e>
                <m:sup>
                  <m:r>
                    <m:rPr>
                      <m:sty m:val="p"/>
                    </m:rPr>
                    <m:t>′</m:t>
                  </m:r>
                </m:sup>
              </m:sSup>
              <m:r>
                <m:rPr>
                  <m:sty m:val="p"/>
                </m:rPr>
                <m:t>:</m:t>
              </m:r>
              <m:r>
                <m:rPr>
                  <m:sty m:val="p"/>
                </m:rPr>
                <m:t>‖</m:t>
              </m:r>
              <m:r>
                <m:t>x</m:t>
              </m:r>
              <m:r>
                <m:rPr>
                  <m:sty m:val="p"/>
                </m:rPr>
                <m:t>−</m:t>
              </m:r>
              <m:sSup>
                <m:e>
                  <m:r>
                    <m:t>x</m:t>
                  </m:r>
                </m:e>
                <m:sup>
                  <m:r>
                    <m:rPr>
                      <m:sty m:val="p"/>
                    </m:rPr>
                    <m:t>′</m:t>
                  </m:r>
                </m:sup>
              </m:sSup>
              <m:sSub>
                <m:e>
                  <m:r>
                    <m:rPr>
                      <m:sty m:val="p"/>
                    </m:rPr>
                    <m:t>‖</m:t>
                  </m:r>
                </m:e>
                <m:sub>
                  <m:r>
                    <m:t>2</m:t>
                  </m:r>
                </m:sub>
              </m:sSub>
              <m:r>
                <m:rPr>
                  <m:sty m:val="p"/>
                </m:rPr>
                <m:t>≤</m:t>
              </m:r>
              <m:r>
                <m:t>ϵ</m:t>
              </m:r>
            </m:lim>
          </m:limLow>
          <m:f>
            <m:fPr>
              <m:type m:val="bar"/>
            </m:fPr>
            <m:num>
              <m:r>
                <m:rPr>
                  <m:sty m:val="p"/>
                </m:rPr>
                <m:t>‖</m:t>
              </m:r>
              <m:r>
                <m:t>E</m:t>
              </m:r>
              <m:r>
                <m:rPr>
                  <m:sty m:val="p"/>
                </m:rPr>
                <m:t>(</m:t>
              </m:r>
              <m:r>
                <m:t>x</m:t>
              </m:r>
              <m:r>
                <m:rPr>
                  <m:sty m:val="p"/>
                </m:rPr>
                <m:t>)</m:t>
              </m:r>
              <m:r>
                <m:rPr>
                  <m:sty m:val="p"/>
                </m:rPr>
                <m:t>−</m:t>
              </m:r>
              <m:r>
                <m:t>E</m:t>
              </m:r>
              <m:r>
                <m:rPr>
                  <m:sty m:val="p"/>
                </m:rPr>
                <m:t>(</m:t>
              </m:r>
              <m:sSup>
                <m:e>
                  <m:r>
                    <m:t>x</m:t>
                  </m:r>
                </m:e>
                <m:sup>
                  <m:r>
                    <m:rPr>
                      <m:sty m:val="p"/>
                    </m:rPr>
                    <m:t>′</m:t>
                  </m:r>
                </m:sup>
              </m:sSup>
              <m:r>
                <m:rPr>
                  <m:sty m:val="p"/>
                </m:rPr>
                <m:t>)</m:t>
              </m:r>
              <m:sSub>
                <m:e>
                  <m:r>
                    <m:rPr>
                      <m:sty m:val="p"/>
                    </m:rPr>
                    <m:t>‖</m:t>
                  </m:r>
                </m:e>
                <m:sub>
                  <m:r>
                    <m:t>2</m:t>
                  </m:r>
                </m:sub>
              </m:sSub>
            </m:num>
            <m:den>
              <m:r>
                <m:rPr>
                  <m:sty m:val="p"/>
                </m:rPr>
                <m:t>‖</m:t>
              </m:r>
              <m:r>
                <m:t>x</m:t>
              </m:r>
              <m:r>
                <m:rPr>
                  <m:sty m:val="p"/>
                </m:rPr>
                <m:t>−</m:t>
              </m:r>
              <m:sSup>
                <m:e>
                  <m:r>
                    <m:t>x</m:t>
                  </m:r>
                </m:e>
                <m:sup>
                  <m:r>
                    <m:rPr>
                      <m:sty m:val="p"/>
                    </m:rPr>
                    <m:t>′</m:t>
                  </m:r>
                </m:sup>
              </m:sSup>
              <m:sSub>
                <m:e>
                  <m:r>
                    <m:rPr>
                      <m:sty m:val="p"/>
                    </m:rPr>
                    <m:t>‖</m:t>
                  </m:r>
                </m:e>
                <m:sub>
                  <m:r>
                    <m:t>2</m:t>
                  </m:r>
                </m:sub>
              </m:sSub>
            </m:den>
          </m:f>
        </m:oMath>
      </m:oMathPara>
    </w:p>
    <w:p>
      <w:pPr>
        <w:pStyle w:val="FirstParagraph"/>
        <w:spacing w:line="360" w:lineRule="auto"/>
        <w:jc w:val="both"/>
      </w:pPr>
      <w:r>
        <w:rPr>
          <w:color w:val="000000"/>
        </w:rPr>
        <w:t xml:space="preserve">La razón entre normas mide la tasa de variación del vector de atribución frente a perturbaciones de entrada. Si un cambio microscópico altera drásticamente los pesos asignados, la fracción diverge y la estabilidad colapsa.</w:t>
      </w:r>
    </w:p>
    <w:p>
      <w:pPr>
        <w:pStyle w:val="BodyText"/>
        <w:spacing w:line="360" w:lineRule="auto"/>
        <w:jc w:val="both"/>
      </w:pPr>
      <w:r>
        <w:rPr>
          <w:color w:val="000000"/>
        </w:rPr>
        <w:t xml:space="preserve">Para evaluar esta propiedad en producción, FOM-7 calcula la</w:t>
      </w:r>
      <w:r>
        <w:rPr>
          <w:color w:val="000000"/>
        </w:rPr>
        <w:t xml:space="preserve"> </w:t>
      </w:r>
      <w:r>
        <w:rPr>
          <w:b/>
          <w:bCs/>
          <w:color w:val="000000"/>
        </w:rPr>
        <w:t xml:space="preserve">similitud coseno media</w:t>
      </w:r>
      <w:r>
        <w:rPr>
          <w:color w:val="000000"/>
        </w:rPr>
        <w:t xml:space="preserve"> </w:t>
      </w:r>
      <w:r>
        <w:rPr>
          <w:color w:val="000000"/>
        </w:rPr>
        <w:t xml:space="preserve">entre atribuciones sobre</w:t>
      </w:r>
      <w:r>
        <w:rPr>
          <w:color w:val="000000"/>
        </w:rPr>
        <w:t xml:space="preserve"> </w:t>
      </w:r>
      <m:oMath>
        <m:r>
          <m:t>B</m:t>
        </m:r>
      </m:oMath>
      <w:r>
        <w:rPr>
          <w:color w:val="000000"/>
        </w:rPr>
        <w:t xml:space="preserve"> </w:t>
      </w:r>
      <w:r>
        <w:rPr>
          <w:color w:val="000000"/>
        </w:rPr>
        <w:t xml:space="preserve">perturbaciones gaussianas controladas (</w:t>
      </w:r>
      <m:oMath>
        <m:sSub>
          <m:e>
            <m:r>
              <m:t>σ</m:t>
            </m:r>
          </m:e>
          <m:sub>
            <m:r>
              <m:rPr>
                <m:nor/>
                <m:sty m:val="p"/>
              </m:rPr>
              <m:t>ruido</m:t>
            </m:r>
          </m:sub>
        </m:sSub>
        <m:r>
          <m:rPr>
            <m:sty m:val="p"/>
          </m:rPr>
          <m:t>=</m:t>
        </m:r>
        <m:r>
          <m:t>0.05</m:t>
        </m:r>
        <m:r>
          <m:rPr>
            <m:sty m:val="p"/>
          </m:rPr>
          <m:t>⋅</m:t>
        </m:r>
        <m:sSub>
          <m:e>
            <m:r>
              <m:t>σ</m:t>
            </m:r>
          </m:e>
          <m:sub>
            <m:r>
              <m:t>X</m:t>
            </m:r>
          </m:sub>
        </m:sSub>
      </m:oMath>
      <w:r>
        <w:rPr>
          <w:color w:val="000000"/>
        </w:rPr>
        <w:t xml:space="preserve">):</w:t>
      </w:r>
    </w:p>
    <w:p>
      <w:pPr>
        <w:pStyle w:val="BodyText"/>
        <w:spacing w:line="360" w:lineRule="auto"/>
      </w:pPr>
      <m:oMathPara>
        <m:oMathParaPr>
          <m:jc m:val="center"/>
        </m:oMathParaPr>
        <m:oMath>
          <m:sSub>
            <m:e>
              <m:r>
                <m:rPr>
                  <m:nor/>
                  <m:sty m:val="p"/>
                </m:rPr>
                <m:t>Estabilidad</m:t>
              </m:r>
            </m:e>
            <m:sub>
              <m:r>
                <m:rPr>
                  <m:nor/>
                  <m:sty m:val="p"/>
                </m:rPr>
                <m:t>cos</m:t>
              </m:r>
            </m:sub>
          </m:sSub>
          <m:r>
            <m:rPr>
              <m:sty m:val="p"/>
            </m:rPr>
            <m:t>(</m:t>
          </m:r>
          <m:r>
            <m:t>E</m:t>
          </m:r>
          <m:r>
            <m:rPr>
              <m:sty m:val="p"/>
            </m:rPr>
            <m:t>,</m:t>
          </m:r>
          <m:r>
            <m:t>x</m:t>
          </m:r>
          <m:r>
            <m:rPr>
              <m:sty m:val="p"/>
            </m:rP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f>
                <m:fPr>
                  <m:type m:val="bar"/>
                </m:fPr>
                <m:num>
                  <m:r>
                    <m:t>E</m:t>
                  </m:r>
                  <m:r>
                    <m:rPr>
                      <m:sty m:val="p"/>
                    </m:rPr>
                    <m:t>(</m:t>
                  </m:r>
                  <m:r>
                    <m:t>x</m:t>
                  </m:r>
                  <m:r>
                    <m:rPr>
                      <m:sty m:val="p"/>
                    </m:rPr>
                    <m:t>)</m:t>
                  </m:r>
                  <m:r>
                    <m:rPr>
                      <m:sty m:val="p"/>
                    </m:rPr>
                    <m:t>⋅</m:t>
                  </m:r>
                  <m:r>
                    <m:t>E</m:t>
                  </m:r>
                  <m:r>
                    <m:rPr>
                      <m:sty m:val="p"/>
                    </m:rPr>
                    <m:t>(</m:t>
                  </m:r>
                  <m:r>
                    <m:t>x</m:t>
                  </m:r>
                  <m:r>
                    <m:rPr>
                      <m:sty m:val="p"/>
                    </m:rPr>
                    <m:t>+</m:t>
                  </m:r>
                  <m:sSub>
                    <m:e>
                      <m:r>
                        <m:t>δ</m:t>
                      </m:r>
                    </m:e>
                    <m:sub>
                      <m:r>
                        <m:t>b</m:t>
                      </m:r>
                    </m:sub>
                  </m:sSub>
                  <m:r>
                    <m:rPr>
                      <m:sty m:val="p"/>
                    </m:rPr>
                    <m:t>)</m:t>
                  </m:r>
                </m:num>
                <m:den>
                  <m:r>
                    <m:rPr>
                      <m:sty m:val="p"/>
                    </m:rPr>
                    <m:t>‖</m:t>
                  </m:r>
                  <m:r>
                    <m:t>E</m:t>
                  </m:r>
                  <m:r>
                    <m:rPr>
                      <m:sty m:val="p"/>
                    </m:rPr>
                    <m:t>(</m:t>
                  </m:r>
                  <m:r>
                    <m:t>x</m:t>
                  </m:r>
                  <m:r>
                    <m:rPr>
                      <m:sty m:val="p"/>
                    </m:rPr>
                    <m:t>)</m:t>
                  </m:r>
                  <m:sSub>
                    <m:e>
                      <m:r>
                        <m:rPr>
                          <m:sty m:val="p"/>
                        </m:rPr>
                        <m:t>‖</m:t>
                      </m:r>
                    </m:e>
                    <m:sub>
                      <m:r>
                        <m:t>2</m:t>
                      </m:r>
                    </m:sub>
                  </m:sSub>
                  <m:r>
                    <m:t> </m:t>
                  </m:r>
                  <m:r>
                    <m:rPr>
                      <m:sty m:val="p"/>
                    </m:rPr>
                    <m:t>‖</m:t>
                  </m:r>
                  <m:r>
                    <m:t>E</m:t>
                  </m:r>
                  <m:r>
                    <m:rPr>
                      <m:sty m:val="p"/>
                    </m:rPr>
                    <m:t>(</m:t>
                  </m:r>
                  <m:r>
                    <m:t>x</m:t>
                  </m:r>
                  <m:r>
                    <m:rPr>
                      <m:sty m:val="p"/>
                    </m:rPr>
                    <m:t>+</m:t>
                  </m:r>
                  <m:sSub>
                    <m:e>
                      <m:r>
                        <m:t>δ</m:t>
                      </m:r>
                    </m:e>
                    <m:sub>
                      <m:r>
                        <m:t>b</m:t>
                      </m:r>
                    </m:sub>
                  </m:sSub>
                  <m:r>
                    <m:rPr>
                      <m:sty m:val="p"/>
                    </m:rPr>
                    <m:t>)</m:t>
                  </m:r>
                  <m:sSub>
                    <m:e>
                      <m:r>
                        <m:rPr>
                          <m:sty m:val="p"/>
                        </m:rPr>
                        <m:t>‖</m:t>
                      </m:r>
                    </m:e>
                    <m:sub>
                      <m:r>
                        <m:t>2</m:t>
                      </m:r>
                    </m:sub>
                  </m:sSub>
                </m:den>
              </m:f>
            </m:e>
          </m:nary>
        </m:oMath>
      </m:oMathPara>
    </w:p>
    <w:p>
      <w:pPr>
        <w:pStyle w:val="FirstParagraph"/>
        <w:spacing w:line="360" w:lineRule="auto"/>
        <w:jc w:val="both"/>
      </w:pPr>
      <w:r>
        <w:rPr>
          <w:color w:val="000000"/>
        </w:rPr>
        <w:t xml:space="preserve">Un valor de</w:t>
      </w:r>
      <w:r>
        <w:rPr>
          <w:color w:val="000000"/>
        </w:rPr>
        <w:t xml:space="preserve"> </w:t>
      </w:r>
      <m:oMath>
        <m:r>
          <m:t>1.0</m:t>
        </m:r>
      </m:oMath>
      <w:r>
        <w:rPr>
          <w:color w:val="000000"/>
        </w:rPr>
        <w:t xml:space="preserve"> </w:t>
      </w:r>
      <w:r>
        <w:rPr>
          <w:color w:val="000000"/>
        </w:rPr>
        <w:t xml:space="preserve">certifica que las explicaciones conservan idéntica dirección angular bajo ruido. Puntuaciones menores a</w:t>
      </w:r>
      <w:r>
        <w:rPr>
          <w:color w:val="000000"/>
        </w:rPr>
        <w:t xml:space="preserve"> </w:t>
      </w:r>
      <m:oMath>
        <m:r>
          <m:t>0.80</m:t>
        </m:r>
      </m:oMath>
      <w:r>
        <w:rPr>
          <w:color w:val="000000"/>
        </w:rPr>
        <w:t xml:space="preserve"> </w:t>
      </w:r>
      <w:r>
        <w:rPr>
          <w:color w:val="000000"/>
        </w:rPr>
        <w:t xml:space="preserve">alertan sobre volatilidad estocástica inadmisible.</w:t>
      </w:r>
    </w:p>
    <w:bookmarkEnd w:id="74"/>
    <w:bookmarkStart w:id="75" w:name="parsimonia-y-escasez-de-coeficientes-g3"/>
    <w:p>
      <w:pPr>
        <w:pStyle w:val="Heading3"/>
        <w:spacing w:line="360" w:lineRule="auto"/>
        <w:jc w:val="left"/>
      </w:pPr>
      <w:r>
        <w:rPr>
          <w:color w:val="000000"/>
        </w:rPr>
        <w:t xml:space="preserve">3. Parsimonia y Escasez de Coeficientes (G3)</w:t>
      </w:r>
    </w:p>
    <w:p>
      <w:pPr>
        <w:pStyle w:val="FirstParagraph"/>
        <w:spacing w:line="360" w:lineRule="auto"/>
        <w:jc w:val="both"/>
      </w:pPr>
      <w:r>
        <w:rPr>
          <w:color w:val="000000"/>
        </w:rPr>
        <w:t xml:space="preserve">Mide la fracción de variables cuya atribución absoluta cae por debajo de un umbral de significancia práctica</w:t>
      </w:r>
      <w:r>
        <w:rPr>
          <w:color w:val="000000"/>
        </w:rPr>
        <w:t xml:space="preserve"> </w:t>
      </w:r>
      <m:oMath>
        <m:r>
          <m:t>τ</m:t>
        </m:r>
      </m:oMath>
      <w:r>
        <w:rPr>
          <w:color w:val="000000"/>
        </w:rPr>
        <w:t xml:space="preserve"> </w:t>
      </w:r>
      <w:r>
        <w:rPr>
          <w:color w:val="000000"/>
        </w:rPr>
        <w:t xml:space="preserve">(típicamente</w:t>
      </w:r>
      <w:r>
        <w:rPr>
          <w:color w:val="000000"/>
        </w:rPr>
        <w:t xml:space="preserve"> </w:t>
      </w:r>
      <m:oMath>
        <m:r>
          <m:t>τ</m:t>
        </m:r>
        <m:r>
          <m:rPr>
            <m:sty m:val="p"/>
          </m:rPr>
          <m:t>=</m:t>
        </m:r>
        <m:r>
          <m:t>0.01</m:t>
        </m:r>
      </m:oMath>
      <w:r>
        <w:rPr>
          <w:color w:val="000000"/>
        </w:rPr>
        <w:t xml:space="preserve">):</w:t>
      </w:r>
    </w:p>
    <w:p>
      <w:pPr>
        <w:pStyle w:val="BodyText"/>
        <w:spacing w:line="360" w:lineRule="auto"/>
      </w:pPr>
      <m:oMathPara>
        <m:oMathParaPr>
          <m:jc m:val="center"/>
        </m:oMathParaPr>
        <m:oMath>
          <m:r>
            <m:rPr>
              <m:nor/>
              <m:sty m:val="p"/>
            </m:rPr>
            <m:t>Escasez</m:t>
          </m:r>
          <m:r>
            <m:rPr>
              <m:sty m:val="p"/>
            </m:rPr>
            <m:t>(</m:t>
          </m:r>
          <m:r>
            <m:t>E</m:t>
          </m:r>
          <m:r>
            <m:rPr>
              <m:sty m:val="p"/>
            </m:rPr>
            <m:t>(</m:t>
          </m:r>
          <m:r>
            <m:t>x</m:t>
          </m:r>
          <m:r>
            <m:rPr>
              <m:sty m:val="p"/>
            </m:rPr>
            <m:t>)</m:t>
          </m:r>
          <m:r>
            <m:rPr>
              <m:sty m:val="p"/>
            </m:rPr>
            <m:t>,</m:t>
          </m:r>
          <m:r>
            <m:t>τ</m:t>
          </m:r>
          <m:r>
            <m:rPr>
              <m:sty m:val="p"/>
            </m:rPr>
            <m:t>)</m:t>
          </m:r>
          <m:r>
            <m:rPr>
              <m:sty m:val="p"/>
            </m:rPr>
            <m:t>=</m:t>
          </m:r>
          <m:f>
            <m:fPr>
              <m:type m:val="bar"/>
            </m:fPr>
            <m:num>
              <m:r>
                <m:t>1</m:t>
              </m:r>
            </m:num>
            <m:den>
              <m:r>
                <m:rPr>
                  <m:sty m:val="p"/>
                </m:rPr>
                <m:t>|</m:t>
              </m:r>
              <m:r>
                <m:t>F</m:t>
              </m:r>
              <m:r>
                <m:rPr>
                  <m:sty m:val="p"/>
                </m:rPr>
                <m:t>|</m:t>
              </m:r>
            </m:den>
          </m:f>
          <m:nary>
            <m:naryPr>
              <m:chr m:val="∑"/>
              <m:limLoc m:val="undOvr"/>
              <m:subHide m:val="off"/>
              <m:supHide m:val="off"/>
            </m:naryPr>
            <m:sub>
              <m:r>
                <m:t>i</m:t>
              </m:r>
              <m:r>
                <m:rPr>
                  <m:sty m:val="p"/>
                </m:rPr>
                <m:t>=</m:t>
              </m:r>
              <m:r>
                <m:t>1</m:t>
              </m:r>
            </m:sub>
            <m:sup>
              <m:r>
                <m:rPr>
                  <m:sty m:val="p"/>
                </m:rPr>
                <m:t>|</m:t>
              </m:r>
              <m:r>
                <m:t>F</m:t>
              </m:r>
              <m:r>
                <m:rPr>
                  <m:sty m:val="p"/>
                </m:rPr>
                <m:t>|</m:t>
              </m:r>
            </m:sup>
            <m:e>
              <m:r>
                <m:rPr>
                  <m:scr m:val="double-struck"/>
                  <m:sty m:val="p"/>
                </m:rPr>
                <m:t>I</m:t>
              </m:r>
            </m:e>
          </m:nary>
          <m:r>
            <m:rPr>
              <m:sty m:val="p"/>
            </m:rPr>
            <m:t>(</m:t>
          </m:r>
          <m:r>
            <m:rPr>
              <m:sty m:val="p"/>
            </m:rPr>
            <m:t>|</m:t>
          </m:r>
          <m:sSub>
            <m:e>
              <m:r>
                <m:t>ϕ</m:t>
              </m:r>
            </m:e>
            <m:sub>
              <m:r>
                <m:t>i</m:t>
              </m:r>
            </m:sub>
          </m:sSub>
          <m:r>
            <m:rPr>
              <m:sty m:val="p"/>
            </m:rPr>
            <m:t>(</m:t>
          </m:r>
          <m:r>
            <m:t>x</m:t>
          </m:r>
          <m:r>
            <m:rPr>
              <m:sty m:val="p"/>
            </m:rPr>
            <m:t>)</m:t>
          </m:r>
          <m:r>
            <m:rPr>
              <m:sty m:val="p"/>
            </m:rPr>
            <m:t>|</m:t>
          </m:r>
          <m:r>
            <m:rPr>
              <m:sty m:val="p"/>
            </m:rPr>
            <m:t>≤</m:t>
          </m:r>
          <m:r>
            <m:t>τ</m:t>
          </m:r>
          <m:r>
            <m:rPr>
              <m:sty m:val="p"/>
            </m:rPr>
            <m:t>)</m:t>
          </m:r>
        </m:oMath>
      </m:oMathPara>
    </w:p>
    <w:p>
      <w:pPr>
        <w:pStyle w:val="FirstParagraph"/>
        <w:spacing w:line="360" w:lineRule="auto"/>
        <w:jc w:val="both"/>
      </w:pPr>
      <w:r>
        <w:rPr>
          <w:color w:val="000000"/>
        </w:rPr>
        <w:t xml:space="preserve">donde</w:t>
      </w:r>
      <w:r>
        <w:rPr>
          <w:color w:val="000000"/>
        </w:rPr>
        <w:t xml:space="preserve"> </w:t>
      </w:r>
      <m:oMath>
        <m:r>
          <m:rPr>
            <m:sty m:val="p"/>
          </m:rPr>
          <m:t>|</m:t>
        </m:r>
        <m:r>
          <m:t>F</m:t>
        </m:r>
        <m:r>
          <m:rPr>
            <m:sty m:val="p"/>
          </m:rPr>
          <m:t>|</m:t>
        </m:r>
      </m:oMath>
      <w:r>
        <w:rPr>
          <w:color w:val="000000"/>
        </w:rPr>
        <w:t xml:space="preserve"> </w:t>
      </w:r>
      <w:r>
        <w:rPr>
          <w:color w:val="000000"/>
        </w:rPr>
        <w:t xml:space="preserve">es la dimensión del vector de características. Una escasez alta (</w:t>
      </w:r>
      <m:oMath>
        <m:r>
          <m:rPr>
            <m:sty m:val="p"/>
          </m:rPr>
          <m:t>≥</m:t>
        </m:r>
        <m:r>
          <m:t>0.85</m:t>
        </m:r>
      </m:oMath>
      <w:r>
        <w:rPr>
          <w:color w:val="000000"/>
        </w:rPr>
        <w:t xml:space="preserve">) confirma que el método descarta el ruido instrumental y focaliza el análisis en las columnas determinantes.</w:t>
      </w:r>
    </w:p>
    <w:bookmarkEnd w:id="75"/>
    <w:bookmarkStart w:id="76" w:name="cobertura-empírica-de-reglas-g4"/>
    <w:p>
      <w:pPr>
        <w:pStyle w:val="Heading3"/>
        <w:spacing w:line="360" w:lineRule="auto"/>
        <w:jc w:val="left"/>
      </w:pPr>
      <w:r>
        <w:rPr>
          <w:color w:val="000000"/>
        </w:rPr>
        <w:t xml:space="preserve">4. Cobertura Empírica de Reglas (G4)</w:t>
      </w:r>
    </w:p>
    <w:p>
      <w:pPr>
        <w:pStyle w:val="FirstParagraph"/>
        <w:spacing w:line="360" w:lineRule="auto"/>
        <w:jc w:val="both"/>
      </w:pPr>
      <w:r>
        <w:rPr>
          <w:color w:val="000000"/>
        </w:rPr>
        <w:t xml:space="preserve">En métodos basados en reglas (Anchors), cuantifica la proporción de registros del conjunto de prueba</w:t>
      </w:r>
      <w:r>
        <w:rPr>
          <w:color w:val="000000"/>
        </w:rPr>
        <w:t xml:space="preserve"> </w:t>
      </w:r>
      <m:oMath>
        <m:r>
          <m:t>N</m:t>
        </m:r>
      </m:oMath>
      <w:r>
        <w:rPr>
          <w:color w:val="000000"/>
        </w:rPr>
        <w:t xml:space="preserve"> </w:t>
      </w:r>
      <w:r>
        <w:rPr>
          <w:color w:val="000000"/>
        </w:rPr>
        <w:t xml:space="preserve">que satisfacen los antecedentes del ancla</w:t>
      </w:r>
      <w:r>
        <w:rPr>
          <w:color w:val="000000"/>
        </w:rPr>
        <w:t xml:space="preserve"> </w:t>
      </w:r>
      <m:oMath>
        <m:r>
          <m:t>A</m:t>
        </m:r>
      </m:oMath>
      <w:r>
        <w:rPr>
          <w:color w:val="000000"/>
        </w:rPr>
        <w:t xml:space="preserve">:</w:t>
      </w:r>
    </w:p>
    <w:p>
      <w:pPr>
        <w:pStyle w:val="BodyText"/>
        <w:spacing w:line="360" w:lineRule="auto"/>
      </w:pPr>
      <m:oMathPara>
        <m:oMathParaPr>
          <m:jc m:val="center"/>
        </m:oMathParaPr>
        <m:oMath>
          <m:r>
            <m:rPr>
              <m:nor/>
              <m:sty m:val="p"/>
            </m:rPr>
            <m:t>Cobertura</m:t>
          </m:r>
          <m:r>
            <m:rPr>
              <m:sty m:val="p"/>
            </m:rPr>
            <m:t>(</m:t>
          </m:r>
          <m:r>
            <m:t>A</m:t>
          </m:r>
          <m:r>
            <m:rPr>
              <m:sty m:val="p"/>
            </m:rPr>
            <m:t>)</m:t>
          </m: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r>
                <m:rPr>
                  <m:scr m:val="double-struck"/>
                  <m:sty m:val="p"/>
                </m:rPr>
                <m:t>I</m:t>
              </m:r>
            </m:e>
          </m:nary>
          <m:r>
            <m:rPr>
              <m:sty m:val="p"/>
            </m:rPr>
            <m:t>(</m:t>
          </m:r>
          <m:r>
            <m:t>A</m:t>
          </m:r>
          <m:r>
            <m:rPr>
              <m:sty m:val="p"/>
            </m:rPr>
            <m:t>(</m:t>
          </m:r>
          <m:sSub>
            <m:e>
              <m:r>
                <m:t>x</m:t>
              </m:r>
            </m:e>
            <m:sub>
              <m:r>
                <m:t>j</m:t>
              </m:r>
            </m:sub>
          </m:sSub>
          <m:r>
            <m:rPr>
              <m:sty m:val="p"/>
            </m:rPr>
            <m:t>)</m:t>
          </m:r>
          <m:r>
            <m:rPr>
              <m:sty m:val="p"/>
            </m:rPr>
            <m:t>=</m:t>
          </m:r>
          <m:r>
            <m:t>1</m:t>
          </m:r>
          <m:r>
            <m:rPr>
              <m:sty m:val="p"/>
            </m:rPr>
            <m:t>)</m:t>
          </m:r>
        </m:oMath>
      </m:oMathPara>
    </w:p>
    <w:p>
      <w:pPr>
        <w:pStyle w:val="FirstParagraph"/>
        <w:spacing w:line="360" w:lineRule="auto"/>
        <w:jc w:val="both"/>
      </w:pPr>
      <w:r>
        <w:rPr>
          <w:color w:val="000000"/>
        </w:rPr>
        <w:t xml:space="preserve">donde</w:t>
      </w:r>
      <w:r>
        <w:rPr>
          <w:color w:val="000000"/>
        </w:rPr>
        <w:t xml:space="preserve"> </w:t>
      </w:r>
      <m:oMath>
        <m:r>
          <m:t>A</m:t>
        </m:r>
        <m:r>
          <m:rPr>
            <m:sty m:val="p"/>
          </m:rPr>
          <m:t>(</m:t>
        </m:r>
        <m:sSub>
          <m:e>
            <m:r>
              <m:t>x</m:t>
            </m:r>
          </m:e>
          <m:sub>
            <m:r>
              <m:t>j</m:t>
            </m:r>
          </m:sub>
        </m:sSub>
        <m:r>
          <m:rPr>
            <m:sty m:val="p"/>
          </m:rPr>
          <m:t>)</m:t>
        </m:r>
        <m:r>
          <m:rPr>
            <m:sty m:val="p"/>
          </m:rPr>
          <m:t>=</m:t>
        </m:r>
        <m:r>
          <m:t>1</m:t>
        </m:r>
      </m:oMath>
      <w:r>
        <w:rPr>
          <w:color w:val="000000"/>
        </w:rPr>
        <w:t xml:space="preserve"> </w:t>
      </w:r>
      <w:r>
        <w:rPr>
          <w:color w:val="000000"/>
        </w:rPr>
        <w:t xml:space="preserve">indica que el registro cumple los predicados condicionales de la regla.</w:t>
      </w:r>
    </w:p>
    <w:bookmarkEnd w:id="76"/>
    <w:bookmarkStart w:id="77" w:name="latencia-computacional-media-g5"/>
    <w:p>
      <w:pPr>
        <w:pStyle w:val="Heading3"/>
        <w:spacing w:line="360" w:lineRule="auto"/>
        <w:jc w:val="left"/>
      </w:pPr>
      <w:r>
        <w:rPr>
          <w:color w:val="000000"/>
        </w:rPr>
        <w:t xml:space="preserve">5. Latencia Computacional Media (G5)</w:t>
      </w:r>
    </w:p>
    <w:p>
      <w:pPr>
        <w:pStyle w:val="FirstParagraph"/>
        <w:spacing w:line="360" w:lineRule="auto"/>
        <w:jc w:val="both"/>
      </w:pPr>
      <w:r>
        <w:rPr>
          <w:color w:val="000000"/>
        </w:rPr>
        <w:t xml:space="preserve">Tiempo medio de CPU/GPU</w:t>
      </w:r>
      <w:r>
        <w:rPr>
          <w:color w:val="000000"/>
        </w:rPr>
        <w:t xml:space="preserve"> </w:t>
      </w:r>
      <m:oMath>
        <m:r>
          <m:t>t</m:t>
        </m:r>
        <m:r>
          <m:rPr>
            <m:sty m:val="p"/>
          </m:rPr>
          <m:t>(</m:t>
        </m:r>
        <m:r>
          <m:t>E</m:t>
        </m:r>
        <m:r>
          <m:rPr>
            <m:sty m:val="p"/>
          </m:rPr>
          <m:t>,</m:t>
        </m:r>
        <m:sSub>
          <m:e>
            <m:r>
              <m:t>x</m:t>
            </m:r>
          </m:e>
          <m:sub>
            <m:r>
              <m:t>k</m:t>
            </m:r>
          </m:sub>
        </m:sSub>
        <m:r>
          <m:rPr>
            <m:sty m:val="p"/>
          </m:rPr>
          <m:t>)</m:t>
        </m:r>
      </m:oMath>
      <w:r>
        <w:rPr>
          <w:color w:val="000000"/>
        </w:rPr>
        <w:t xml:space="preserve"> </w:t>
      </w:r>
      <w:r>
        <w:rPr>
          <w:color w:val="000000"/>
        </w:rPr>
        <w:t xml:space="preserve">demandado para generar la explicación de una instancia sobre un lote de</w:t>
      </w:r>
      <w:r>
        <w:rPr>
          <w:color w:val="000000"/>
        </w:rPr>
        <w:t xml:space="preserve"> </w:t>
      </w:r>
      <m:oMath>
        <m:r>
          <m:t>M</m:t>
        </m:r>
      </m:oMath>
      <w:r>
        <w:rPr>
          <w:color w:val="000000"/>
        </w:rPr>
        <w:t xml:space="preserve"> </w:t>
      </w:r>
      <w:r>
        <w:rPr>
          <w:color w:val="000000"/>
        </w:rPr>
        <w:t xml:space="preserve">casos:</w:t>
      </w:r>
    </w:p>
    <w:p>
      <w:pPr>
        <w:pStyle w:val="BodyText"/>
        <w:spacing w:line="360" w:lineRule="auto"/>
      </w:pPr>
      <m:oMathPara>
        <m:oMathParaPr>
          <m:jc m:val="center"/>
        </m:oMathParaPr>
        <m:oMath>
          <m:sSub>
            <m:e>
              <m:acc>
                <m:accPr>
                  <m:chr m:val="‾"/>
                </m:accPr>
                <m:e>
                  <m:r>
                    <m:t>T</m:t>
                  </m:r>
                </m:e>
              </m:acc>
            </m:e>
            <m:sub>
              <m:r>
                <m:t>e</m:t>
              </m:r>
              <m:r>
                <m:t>x</m:t>
              </m:r>
              <m:r>
                <m:t>p</m:t>
              </m:r>
            </m:sub>
          </m:sSub>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r>
                <m:t>t</m:t>
              </m:r>
            </m:e>
          </m:nary>
          <m:r>
            <m:rPr>
              <m:sty m:val="p"/>
            </m:rPr>
            <m:t>(</m:t>
          </m:r>
          <m:r>
            <m:t>E</m:t>
          </m:r>
          <m:r>
            <m:rPr>
              <m:sty m:val="p"/>
            </m:rPr>
            <m:t>,</m:t>
          </m:r>
          <m:sSub>
            <m:e>
              <m:r>
                <m:t>x</m:t>
              </m:r>
            </m:e>
            <m:sub>
              <m:r>
                <m:t>k</m:t>
              </m:r>
            </m:sub>
          </m:sSub>
          <m:r>
            <m:rPr>
              <m:sty m:val="p"/>
            </m:rPr>
            <m:t>)</m:t>
          </m:r>
          <m:r>
            <m:t> </m:t>
          </m:r>
          <m:r>
            <m:rPr>
              <m:sty m:val="p"/>
            </m:rPr>
            <m:t>[</m:t>
          </m:r>
          <m:r>
            <m:rPr>
              <m:nor/>
              <m:sty m:val="p"/>
            </m:rPr>
            <m:t>ms/instancia</m:t>
          </m:r>
          <m:r>
            <m:rPr>
              <m:sty m:val="p"/>
            </m:rPr>
            <m:t>]</m:t>
          </m:r>
        </m:oMath>
      </m:oMathPara>
    </w:p>
    <w:bookmarkEnd w:id="77"/>
    <w:bookmarkStart w:id="78" w:name="consistencia-inter-método-g6"/>
    <w:p>
      <w:pPr>
        <w:pStyle w:val="Heading3"/>
        <w:spacing w:line="360" w:lineRule="auto"/>
        <w:jc w:val="left"/>
      </w:pPr>
      <w:r>
        <w:rPr>
          <w:color w:val="000000"/>
        </w:rPr>
        <w:t xml:space="preserve">6. Consistencia Inter-método (G6)</w:t>
      </w:r>
    </w:p>
    <w:p>
      <w:pPr>
        <w:pStyle w:val="FirstParagraph"/>
        <w:spacing w:line="360" w:lineRule="auto"/>
        <w:jc w:val="both"/>
      </w:pPr>
      <w:r>
        <w:rPr>
          <w:color w:val="000000"/>
        </w:rPr>
        <w:t xml:space="preserve">Mide la correlación de rangos de Spearman entre las jerarquías de variables generadas por dos explicadores</w:t>
      </w:r>
      <w:r>
        <w:rPr>
          <w:color w:val="000000"/>
        </w:rPr>
        <w:t xml:space="preserve"> </w:t>
      </w:r>
      <m:oMath>
        <m:sSub>
          <m:e>
            <m:r>
              <m:t>E</m:t>
            </m:r>
          </m:e>
          <m:sub>
            <m:r>
              <m:t>1</m:t>
            </m:r>
          </m:sub>
        </m:sSub>
      </m:oMath>
      <w:r>
        <w:rPr>
          <w:color w:val="000000"/>
        </w:rPr>
        <w:t xml:space="preserve"> </w:t>
      </w:r>
      <w:r>
        <w:rPr>
          <w:color w:val="000000"/>
        </w:rPr>
        <w:t xml:space="preserve">y</w:t>
      </w:r>
      <w:r>
        <w:rPr>
          <w:color w:val="000000"/>
        </w:rPr>
        <w:t xml:space="preserve"> </w:t>
      </w:r>
      <m:oMath>
        <m:sSub>
          <m:e>
            <m:r>
              <m:t>E</m:t>
            </m:r>
          </m:e>
          <m:sub>
            <m:r>
              <m:t>2</m:t>
            </m:r>
          </m:sub>
        </m:sSub>
      </m:oMath>
      <w:r>
        <w:rPr>
          <w:color w:val="000000"/>
        </w:rPr>
        <w:t xml:space="preserve"> </w:t>
      </w:r>
      <w:r>
        <w:rPr>
          <w:color w:val="000000"/>
        </w:rPr>
        <w:t xml:space="preserve">sobre la misma instancia:</w:t>
      </w:r>
    </w:p>
    <w:p>
      <w:pPr>
        <w:pStyle w:val="BodyText"/>
        <w:spacing w:line="360" w:lineRule="auto"/>
      </w:pPr>
      <m:oMathPara>
        <m:oMathParaPr>
          <m:jc m:val="center"/>
        </m:oMathParaPr>
        <m:oMath>
          <m:r>
            <m:rPr>
              <m:nor/>
              <m:sty m:val="p"/>
            </m:rPr>
            <m:t>Consistencia</m:t>
          </m:r>
          <m:r>
            <m:rPr>
              <m:sty m:val="p"/>
            </m:rPr>
            <m:t>(</m:t>
          </m:r>
          <m:sSub>
            <m:e>
              <m:r>
                <m:t>E</m:t>
              </m:r>
            </m:e>
            <m:sub>
              <m:r>
                <m:t>1</m:t>
              </m:r>
            </m:sub>
          </m:sSub>
          <m:r>
            <m:rPr>
              <m:sty m:val="p"/>
            </m:rPr>
            <m:t>,</m:t>
          </m:r>
          <m:sSub>
            <m:e>
              <m:r>
                <m:t>E</m:t>
              </m:r>
            </m:e>
            <m:sub>
              <m:r>
                <m:t>2</m:t>
              </m:r>
            </m:sub>
          </m:sSub>
          <m:r>
            <m:rPr>
              <m:sty m:val="p"/>
            </m:rPr>
            <m:t>,</m:t>
          </m:r>
          <m:r>
            <m:t>x</m:t>
          </m:r>
          <m:r>
            <m:rPr>
              <m:sty m:val="p"/>
            </m:rPr>
            <m:t>)</m:t>
          </m:r>
          <m:r>
            <m:rPr>
              <m:sty m:val="p"/>
            </m:rPr>
            <m:t>=</m:t>
          </m:r>
          <m:r>
            <m:t>1</m:t>
          </m:r>
          <m:r>
            <m:rPr>
              <m:sty m:val="p"/>
            </m:rPr>
            <m:t>−</m:t>
          </m:r>
          <m:f>
            <m:fPr>
              <m:type m:val="bar"/>
            </m:fPr>
            <m:num>
              <m:r>
                <m:t>6</m:t>
              </m:r>
              <m:nary>
                <m:naryPr>
                  <m:chr m:val="∑"/>
                  <m:limLoc m:val="undOvr"/>
                  <m:subHide m:val="off"/>
                  <m:supHide m:val="off"/>
                </m:naryPr>
                <m:sub>
                  <m:r>
                    <m:t>i</m:t>
                  </m:r>
                  <m:r>
                    <m:rPr>
                      <m:sty m:val="p"/>
                    </m:rPr>
                    <m:t>=</m:t>
                  </m:r>
                  <m:r>
                    <m:t>1</m:t>
                  </m:r>
                </m:sub>
                <m:sup>
                  <m:r>
                    <m:rPr>
                      <m:sty m:val="p"/>
                    </m:rPr>
                    <m:t>|</m:t>
                  </m:r>
                  <m:r>
                    <m:t>F</m:t>
                  </m:r>
                  <m:r>
                    <m:rPr>
                      <m:sty m:val="p"/>
                    </m:rPr>
                    <m:t>|</m:t>
                  </m:r>
                </m:sup>
                <m:e>
                  <m:sSubSup>
                    <m:e>
                      <m:r>
                        <m:t>d</m:t>
                      </m:r>
                    </m:e>
                    <m:sub>
                      <m:r>
                        <m:t>i</m:t>
                      </m:r>
                    </m:sub>
                    <m:sup>
                      <m:r>
                        <m:t>2</m:t>
                      </m:r>
                    </m:sup>
                  </m:sSubSup>
                </m:e>
              </m:nary>
            </m:num>
            <m:den>
              <m:r>
                <m:rPr>
                  <m:sty m:val="p"/>
                </m:rPr>
                <m:t>|</m:t>
              </m:r>
              <m:r>
                <m:t>F</m:t>
              </m:r>
              <m:r>
                <m:rPr>
                  <m:sty m:val="p"/>
                </m:rPr>
                <m:t>|</m:t>
              </m:r>
              <m:r>
                <m:rPr>
                  <m:sty m:val="p"/>
                </m:rPr>
                <m:t>(</m:t>
              </m:r>
              <m:r>
                <m:rPr>
                  <m:sty m:val="p"/>
                </m:rPr>
                <m:t>|</m:t>
              </m:r>
              <m:r>
                <m:t>F</m:t>
              </m:r>
              <m:sSup>
                <m:e>
                  <m:r>
                    <m:rPr>
                      <m:sty m:val="p"/>
                    </m:rPr>
                    <m:t>|</m:t>
                  </m:r>
                </m:e>
                <m:sup>
                  <m:r>
                    <m:t>2</m:t>
                  </m:r>
                </m:sup>
              </m:sSup>
              <m:r>
                <m:rPr>
                  <m:sty m:val="p"/>
                </m:rPr>
                <m:t>−</m:t>
              </m:r>
              <m:r>
                <m:t>1</m:t>
              </m:r>
              <m:r>
                <m:rPr>
                  <m:sty m:val="p"/>
                </m:rPr>
                <m:t>)</m:t>
              </m:r>
            </m:den>
          </m:f>
        </m:oMath>
      </m:oMathPara>
    </w:p>
    <w:p>
      <w:pPr>
        <w:pStyle w:val="FirstParagraph"/>
        <w:spacing w:line="360" w:lineRule="auto"/>
        <w:jc w:val="both"/>
      </w:pPr>
      <w:r>
        <w:rPr>
          <w:color w:val="000000"/>
        </w:rPr>
        <w:t xml:space="preserve">donde</w:t>
      </w:r>
      <w:r>
        <w:rPr>
          <w:color w:val="000000"/>
        </w:rPr>
        <w:t xml:space="preserve"> </w:t>
      </w:r>
      <m:oMath>
        <m:sSub>
          <m:e>
            <m:r>
              <m:t>d</m:t>
            </m:r>
          </m:e>
          <m:sub>
            <m:r>
              <m:t>i</m:t>
            </m:r>
          </m:sub>
        </m:sSub>
        <m:r>
          <m:rPr>
            <m:sty m:val="p"/>
          </m:rPr>
          <m:t>=</m:t>
        </m:r>
        <m:r>
          <m:rPr>
            <m:nor/>
            <m:sty m:val="p"/>
          </m:rPr>
          <m:t>rango</m:t>
        </m:r>
        <m:r>
          <m:rPr>
            <m:sty m:val="p"/>
          </m:rPr>
          <m:t>(</m:t>
        </m:r>
        <m:sSub>
          <m:e>
            <m:r>
              <m:t>E</m:t>
            </m:r>
          </m:e>
          <m:sub>
            <m:r>
              <m:t>1</m:t>
            </m:r>
          </m:sub>
        </m:sSub>
        <m:sSub>
          <m:e>
            <m:r>
              <m:rPr>
                <m:sty m:val="p"/>
              </m:rPr>
              <m:t>)</m:t>
            </m:r>
          </m:e>
          <m:sub>
            <m:r>
              <m:t>i</m:t>
            </m:r>
          </m:sub>
        </m:sSub>
        <m:r>
          <m:rPr>
            <m:sty m:val="p"/>
          </m:rPr>
          <m:t>−</m:t>
        </m:r>
        <m:r>
          <m:rPr>
            <m:nor/>
            <m:sty m:val="p"/>
          </m:rPr>
          <m:t>rango</m:t>
        </m:r>
        <m:r>
          <m:rPr>
            <m:sty m:val="p"/>
          </m:rPr>
          <m:t>(</m:t>
        </m:r>
        <m:sSub>
          <m:e>
            <m:r>
              <m:t>E</m:t>
            </m:r>
          </m:e>
          <m:sub>
            <m:r>
              <m:t>2</m:t>
            </m:r>
          </m:sub>
        </m:sSub>
        <m:sSub>
          <m:e>
            <m:r>
              <m:rPr>
                <m:sty m:val="p"/>
              </m:rPr>
              <m:t>)</m:t>
            </m:r>
          </m:e>
          <m:sub>
            <m:r>
              <m:t>i</m:t>
            </m:r>
          </m:sub>
        </m:sSub>
      </m:oMath>
      <w:r>
        <w:rPr>
          <w:color w:val="000000"/>
        </w:rPr>
        <w:t xml:space="preserve"> </w:t>
      </w:r>
      <w:r>
        <w:rPr>
          <w:color w:val="000000"/>
        </w:rPr>
        <w:t xml:space="preserve">es la diferencia de posición de la variable</w:t>
      </w:r>
      <w:r>
        <w:rPr>
          <w:color w:val="000000"/>
        </w:rPr>
        <w:t xml:space="preserve"> </w:t>
      </w:r>
      <m:oMath>
        <m:r>
          <m:t>i</m:t>
        </m:r>
      </m:oMath>
      <w:r>
        <w:rPr>
          <w:color w:val="000000"/>
        </w:rPr>
        <w:t xml:space="preserve">. Si ambos métodos ordenan idénticamente las variables,</w:t>
      </w:r>
      <w:r>
        <w:rPr>
          <w:color w:val="000000"/>
        </w:rPr>
        <w:t xml:space="preserve"> </w:t>
      </w:r>
      <m:oMath>
        <m:sSub>
          <m:e>
            <m:r>
              <m:t>d</m:t>
            </m:r>
          </m:e>
          <m:sub>
            <m:r>
              <m:t>i</m:t>
            </m:r>
          </m:sub>
        </m:sSub>
        <m:r>
          <m:rPr>
            <m:sty m:val="p"/>
          </m:rPr>
          <m:t>=</m:t>
        </m:r>
        <m:r>
          <m:t>0</m:t>
        </m:r>
      </m:oMath>
      <w:r>
        <w:rPr>
          <w:color w:val="000000"/>
        </w:rPr>
        <w:t xml:space="preserve"> </w:t>
      </w:r>
      <w:r>
        <w:rPr>
          <w:color w:val="000000"/>
        </w:rPr>
        <w:t xml:space="preserve">y la métrica alcanza</w:t>
      </w:r>
      <w:r>
        <w:rPr>
          <w:color w:val="000000"/>
        </w:rPr>
        <w:t xml:space="preserve"> </w:t>
      </w:r>
      <m:oMath>
        <m:r>
          <m:rPr>
            <m:sty m:val="p"/>
          </m:rPr>
          <m:t>+</m:t>
        </m:r>
        <m:r>
          <m:t>1.0</m:t>
        </m:r>
      </m:oMath>
      <w:r>
        <w:rPr>
          <w:color w:val="000000"/>
        </w:rPr>
        <w:t xml:space="preserve">. Si invierten el orden jerárquico, la concordancia desciende hacia</w:t>
      </w:r>
      <w:r>
        <w:rPr>
          <w:color w:val="000000"/>
        </w:rPr>
        <w:t xml:space="preserve"> </w:t>
      </w:r>
      <m:oMath>
        <m:r>
          <m:rPr>
            <m:sty m:val="p"/>
          </m:rPr>
          <m:t>−</m:t>
        </m:r>
        <m:r>
          <m:t>1.0</m:t>
        </m:r>
      </m:oMath>
      <w:r>
        <w:rPr>
          <w:color w:val="000000"/>
        </w:rPr>
        <w:t xml:space="preserve">.</w:t>
      </w:r>
    </w:p>
    <w:bookmarkEnd w:id="78"/>
    <w:bookmarkStart w:id="82" w:name="equidad-en-la-explicación-g7"/>
    <w:p>
      <w:pPr>
        <w:pStyle w:val="Heading3"/>
        <w:spacing w:line="360" w:lineRule="auto"/>
        <w:jc w:val="left"/>
      </w:pPr>
      <w:r>
        <w:rPr>
          <w:color w:val="000000"/>
        </w:rPr>
        <w:t xml:space="preserve">7. Equidad en la Explicación (G7)</w:t>
      </w:r>
    </w:p>
    <w:p>
      <w:pPr>
        <w:pStyle w:val="FirstParagraph"/>
        <w:spacing w:line="360" w:lineRule="auto"/>
        <w:jc w:val="both"/>
      </w:pPr>
      <w:r>
        <w:rPr>
          <w:color w:val="000000"/>
        </w:rPr>
        <w:t xml:space="preserve">Evalúa la paridad en la fidelidad local media entre subgrupos demográficos protegidos, adoptando la regla de los cuatro quintos:</w:t>
      </w:r>
    </w:p>
    <w:p>
      <w:pPr>
        <w:pStyle w:val="BodyText"/>
        <w:spacing w:line="360" w:lineRule="auto"/>
      </w:pPr>
      <m:oMathPara>
        <m:oMathParaPr>
          <m:jc m:val="center"/>
        </m:oMathParaPr>
        <m:oMath>
          <m:r>
            <m:rPr>
              <m:nor/>
              <m:sty m:val="p"/>
            </m:rPr>
            <m:t>Paridad</m:t>
          </m:r>
          <m:r>
            <m:rPr>
              <m:sty m:val="p"/>
            </m:rPr>
            <m:t>(</m:t>
          </m:r>
          <m:sSub>
            <m:e>
              <m:r>
                <m:t>G</m:t>
              </m:r>
            </m:e>
            <m:sub>
              <m:r>
                <m:t>1</m:t>
              </m:r>
            </m:sub>
          </m:sSub>
          <m:r>
            <m:rPr>
              <m:sty m:val="p"/>
            </m:rPr>
            <m:t>)</m:t>
          </m:r>
          <m:r>
            <m:rPr>
              <m:sty m:val="p"/>
            </m:rPr>
            <m:t>=</m:t>
          </m:r>
          <m:limLow>
            <m:e>
              <m:r>
                <m:rPr>
                  <m:sty m:val="p"/>
                </m:rPr>
                <m:t>min</m:t>
              </m:r>
            </m:e>
            <m:lim>
              <m:r>
                <m:t>a</m:t>
              </m:r>
              <m:r>
                <m:rPr>
                  <m:sty m:val="p"/>
                </m:rPr>
                <m:t>,</m:t>
              </m:r>
              <m:r>
                <m:t>b</m:t>
              </m:r>
              <m:r>
                <m:rPr>
                  <m:sty m:val="p"/>
                </m:rPr>
                <m:t>∈</m:t>
              </m:r>
              <m:r>
                <m:rPr>
                  <m:scr m:val="script"/>
                  <m:sty m:val="p"/>
                </m:rPr>
                <m:t>A</m:t>
              </m:r>
            </m:lim>
          </m:limLow>
          <m:f>
            <m:fPr>
              <m:type m:val="bar"/>
            </m:fPr>
            <m:num>
              <m:sSub>
                <m:e>
                  <m:acc>
                    <m:accPr>
                      <m:chr m:val="‾"/>
                    </m:accPr>
                    <m:e>
                      <m:r>
                        <m:t>G</m:t>
                      </m:r>
                    </m:e>
                  </m:acc>
                </m:e>
                <m:sub>
                  <m:r>
                    <m:t>1</m:t>
                  </m:r>
                </m:sub>
              </m:sSub>
              <m:r>
                <m:rPr>
                  <m:sty m:val="p"/>
                </m:rPr>
                <m:t>(</m:t>
              </m:r>
              <m:r>
                <m:t>A</m:t>
              </m:r>
              <m:r>
                <m:rPr>
                  <m:sty m:val="p"/>
                </m:rPr>
                <m:t>=</m:t>
              </m:r>
              <m:r>
                <m:t>a</m:t>
              </m:r>
              <m:r>
                <m:rPr>
                  <m:sty m:val="p"/>
                </m:rPr>
                <m:t>)</m:t>
              </m:r>
            </m:num>
            <m:den>
              <m:sSub>
                <m:e>
                  <m:acc>
                    <m:accPr>
                      <m:chr m:val="‾"/>
                    </m:accPr>
                    <m:e>
                      <m:r>
                        <m:t>G</m:t>
                      </m:r>
                    </m:e>
                  </m:acc>
                </m:e>
                <m:sub>
                  <m:r>
                    <m:t>1</m:t>
                  </m:r>
                </m:sub>
              </m:sSub>
              <m:r>
                <m:rPr>
                  <m:sty m:val="p"/>
                </m:rPr>
                <m:t>(</m:t>
              </m:r>
              <m:r>
                <m:t>A</m:t>
              </m:r>
              <m:r>
                <m:rPr>
                  <m:sty m:val="p"/>
                </m:rPr>
                <m:t>=</m:t>
              </m:r>
              <m:r>
                <m:t>b</m:t>
              </m:r>
              <m:r>
                <m:rPr>
                  <m:sty m:val="p"/>
                </m:rPr>
                <m:t>)</m:t>
              </m:r>
            </m:den>
          </m:f>
          <m:r>
            <m:rPr>
              <m:sty m:val="p"/>
            </m:rPr>
            <m:t>≥</m:t>
          </m:r>
          <m:r>
            <m:t>0.80</m:t>
          </m:r>
        </m:oMath>
      </m:oMathPara>
    </w:p>
    <w:p>
      <w:pPr>
        <w:pStyle w:val="FirstParagraph"/>
        <w:spacing w:line="360" w:lineRule="auto"/>
        <w:jc w:val="both"/>
      </w:pPr>
      <w:r>
        <w:rPr>
          <w:color w:val="000000"/>
        </w:rPr>
        <w:t xml:space="preserve">donde</w:t>
      </w:r>
      <w:r>
        <w:rPr>
          <w:color w:val="000000"/>
        </w:rPr>
        <w:t xml:space="preserve"> </w:t>
      </w:r>
      <m:oMath>
        <m:sSub>
          <m:e>
            <m:acc>
              <m:accPr>
                <m:chr m:val="‾"/>
              </m:accPr>
              <m:e>
                <m:r>
                  <m:t>G</m:t>
                </m:r>
              </m:e>
            </m:acc>
          </m:e>
          <m:sub>
            <m:r>
              <m:t>1</m:t>
            </m:r>
          </m:sub>
        </m:sSub>
        <m:r>
          <m:rPr>
            <m:sty m:val="p"/>
          </m:rPr>
          <m:t>(</m:t>
        </m:r>
        <m:r>
          <m:t>A</m:t>
        </m:r>
        <m:r>
          <m:rPr>
            <m:sty m:val="p"/>
          </m:rPr>
          <m:t>=</m:t>
        </m:r>
        <m:r>
          <m:t>a</m:t>
        </m:r>
        <m:r>
          <m:rPr>
            <m:sty m:val="p"/>
          </m:rPr>
          <m:t>)</m:t>
        </m:r>
      </m:oMath>
      <w:r>
        <w:rPr>
          <w:color w:val="000000"/>
        </w:rPr>
        <w:t xml:space="preserve"> </w:t>
      </w:r>
      <w:r>
        <w:rPr>
          <w:color w:val="000000"/>
        </w:rPr>
        <w:t xml:space="preserve">es la fidelidad media en el subgrupo</w:t>
      </w:r>
      <w:r>
        <w:rPr>
          <w:color w:val="000000"/>
        </w:rPr>
        <w:t xml:space="preserve"> </w:t>
      </w:r>
      <m:oMath>
        <m:r>
          <m:t>a</m:t>
        </m:r>
      </m:oMath>
      <w:r>
        <w:rPr>
          <w:color w:val="000000"/>
        </w:rPr>
        <w:t xml:space="preserve">, y</w:t>
      </w:r>
      <w:r>
        <w:rPr>
          <w:color w:val="000000"/>
        </w:rPr>
        <w:t xml:space="preserve"> </w:t>
      </w:r>
      <m:oMath>
        <m:r>
          <m:rPr>
            <m:scr m:val="script"/>
            <m:sty m:val="p"/>
          </m:rPr>
          <m:t>A</m:t>
        </m:r>
      </m:oMath>
      <w:r>
        <w:rPr>
          <w:color w:val="000000"/>
        </w:rPr>
        <w:t xml:space="preserve"> </w:t>
      </w:r>
      <w:r>
        <w:rPr>
          <w:color w:val="000000"/>
        </w:rPr>
        <w:t xml:space="preserve">el conjunto de subgrupos protegidos. Si la razón entre el grupo menos favorecido y el más favorecido cae por debajo de</w:t>
      </w:r>
      <w:r>
        <w:rPr>
          <w:color w:val="000000"/>
        </w:rPr>
        <w:t xml:space="preserve"> </w:t>
      </w:r>
      <m:oMath>
        <m:r>
          <m:t>0.80</m:t>
        </m:r>
      </m:oMath>
      <w:r>
        <w:rPr>
          <w:color w:val="000000"/>
        </w:rPr>
        <w:t xml:space="preserve">, existe una brecha discriminatoria inadmisible en la auditoría.</w:t>
      </w:r>
    </w:p>
    <w:p>
      <w:pPr>
        <w:pStyle w:val="BodyText"/>
        <w:spacing w:line="360" w:lineRule="auto"/>
        <w:jc w:val="both"/>
      </w:pPr>
      <w:r>
        <w:rPr>
          <w:color w:val="000000"/>
        </w:rPr>
        <w:t xml:space="preserve">La Figura 11 detalla la geometría de estas compuertas. En el Panel A (G2), la bola de perturbación</w:t>
      </w:r>
      <w:r>
        <w:rPr>
          <w:color w:val="000000"/>
        </w:rPr>
        <w:t xml:space="preserve"> </w:t>
      </w:r>
      <m:oMath>
        <m:r>
          <m:t>ϵ</m:t>
        </m:r>
      </m:oMath>
      <w:r>
        <w:rPr>
          <w:color w:val="000000"/>
        </w:rPr>
        <w:t xml:space="preserve"> </w:t>
      </w:r>
      <w:r>
        <w:rPr>
          <w:color w:val="000000"/>
        </w:rPr>
        <w:t xml:space="preserve">contrasta el cono estable de KernelSHAP (</w:t>
      </w:r>
      <m:oMath>
        <m:r>
          <m:rPr>
            <m:sty m:val="p"/>
          </m:rPr>
          <m:t>cos</m:t>
        </m:r>
        <m:r>
          <m:t>θ</m:t>
        </m:r>
        <m:r>
          <m:rPr>
            <m:sty m:val="p"/>
          </m:rPr>
          <m:t>≥</m:t>
        </m:r>
        <m:r>
          <m:t>0.95</m:t>
        </m:r>
      </m:oMath>
      <w:r>
        <w:rPr>
          <w:color w:val="000000"/>
        </w:rPr>
        <w:t xml:space="preserve">) frente a la dispersión errática de LIME (</w:t>
      </w:r>
      <m:oMath>
        <m:r>
          <m:rPr>
            <m:sty m:val="p"/>
          </m:rPr>
          <m:t>cos</m:t>
        </m:r>
        <m:r>
          <m:t>θ</m:t>
        </m:r>
        <m:r>
          <m:rPr>
            <m:sty m:val="p"/>
          </m:rPr>
          <m:t>&lt;</m:t>
        </m:r>
        <m:r>
          <m:t>0.75</m:t>
        </m:r>
      </m:oMath>
      <w:r>
        <w:rPr>
          <w:color w:val="000000"/>
        </w:rPr>
        <w:t xml:space="preserve">). En el Panel B (G6), el diagrama de cruce de rangos expone la inversión jerárquica entre LIME y SHAP sobre variables como</w:t>
      </w:r>
      <w:r>
        <w:rPr>
          <w:color w:val="000000"/>
        </w:rPr>
        <w:t xml:space="preserve"> </w:t>
      </w:r>
      <w:r>
        <w:rPr>
          <w:i/>
          <w:iCs/>
          <w:color w:val="000000"/>
        </w:rPr>
        <w:t xml:space="preserve">Edad</w:t>
      </w:r>
      <w:r>
        <w:rPr>
          <w:color w:val="000000"/>
        </w:rPr>
        <w:t xml:space="preserve"> </w:t>
      </w:r>
      <w:r>
        <w:rPr>
          <w:color w:val="000000"/>
        </w:rPr>
        <w:t xml:space="preserve">y</w:t>
      </w:r>
      <w:r>
        <w:rPr>
          <w:color w:val="000000"/>
        </w:rPr>
        <w:t xml:space="preserve"> </w:t>
      </w:r>
      <w:r>
        <w:rPr>
          <w:i/>
          <w:iCs/>
          <w:color w:val="000000"/>
        </w:rPr>
        <w:t xml:space="preserve">Educación</w:t>
      </w:r>
      <w:r>
        <w:rPr>
          <w:color w:val="000000"/>
        </w:rPr>
        <w:t xml:space="preserve">, reduciendo la correlación de Spearman a</w:t>
      </w:r>
      <w:r>
        <w:rPr>
          <w:color w:val="000000"/>
        </w:rPr>
        <w:t xml:space="preserve"> </w:t>
      </w:r>
      <m:oMath>
        <m:r>
          <m:rPr>
            <m:sty m:val="p"/>
          </m:rPr>
          <m:t>+</m:t>
        </m:r>
        <m:r>
          <m:t>0.10</m:t>
        </m:r>
      </m:oMath>
      <w:r>
        <w:rPr>
          <w:color w:val="000000"/>
        </w:rPr>
        <w:t xml:space="preserve">.</w:t>
      </w:r>
    </w:p>
    <w:p>
      <w:pPr>
        <w:pStyle w:val="CaptionedFigure"/>
        <w:spacing w:line="360" w:lineRule="auto"/>
        <w:jc w:val="center"/>
      </w:pPr>
      <w:r>
        <w:rPr>
          <w:color w:val="000000"/>
        </w:rPr>
        <w:drawing>
          <wp:inline>
            <wp:extent cx="5228414" cy="3028663"/>
            <wp:effectExtent b="0" l="0" r="0" t="0"/>
            <wp:docPr descr="Figura 11. Metrología operativa del protocolo FOM-7: estabilidad angular (G2) y consistencia inter-método de rangos (G6). Panel A: bola de perturbación \epsilon y cono de estabilidad angular en similitud coseno para KernelSHAP frente a la dispersión estocástica de LIME. Panel B: cruce de rangos jerárquicos entre explicadores sobre una misma instancia (d_i) ilustrando el desacuerdo crítico de Spearman. Fuente: elaboración propia." title="" id="80" name="Picture"/>
            <a:graphic>
              <a:graphicData uri="http://schemas.openxmlformats.org/drawingml/2006/picture">
                <pic:pic>
                  <pic:nvPicPr>
                    <pic:cNvPr descr="../figures/exported/fig_d12_fom7_metrologia_es.png" id="81" name="Picture"/>
                    <pic:cNvPicPr>
                      <a:picLocks noChangeArrowheads="1" noChangeAspect="1"/>
                    </pic:cNvPicPr>
                  </pic:nvPicPr>
                  <pic:blipFill>
                    <a:blip r:embed="rId79"/>
                    <a:stretch>
                      <a:fillRect/>
                    </a:stretch>
                  </pic:blipFill>
                  <pic:spPr bwMode="auto">
                    <a:xfrm>
                      <a:off x="0" y="0"/>
                      <a:ext cx="5228414" cy="3028663"/>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11. Metrología operativa del protocolo FOM-7: estabilidad angular (G2) y consistencia inter-método de rangos (G6). Panel A: bola de perturbación</w:t>
      </w:r>
      <w:r>
        <w:rPr>
          <w:color w:val="000000"/>
        </w:rPr>
        <w:t xml:space="preserve"> </w:t>
      </w:r>
      <m:oMath>
        <m:r>
          <m:t>ϵ</m:t>
        </m:r>
      </m:oMath>
      <w:r>
        <w:rPr>
          <w:color w:val="000000"/>
        </w:rPr>
        <w:t xml:space="preserve"> </w:t>
      </w:r>
      <w:r>
        <w:rPr>
          <w:color w:val="000000"/>
        </w:rPr>
        <w:t xml:space="preserve">y cono de estabilidad angular en similitud coseno para KernelSHAP frente a la dispersión estocástica de LIME. Panel B: cruce de rangos jerárquicos entre explicadores sobre una misma instancia (</w:t>
      </w:r>
      <m:oMath>
        <m:sSub>
          <m:e>
            <m:r>
              <m:t>d</m:t>
            </m:r>
          </m:e>
          <m:sub>
            <m:r>
              <m:t>i</m:t>
            </m:r>
          </m:sub>
        </m:sSub>
      </m:oMath>
      <w:r>
        <w:rPr>
          <w:color w:val="000000"/>
        </w:rPr>
        <w:t xml:space="preserve">) ilustrando el desacuerdo crítico de Spearman. Fuente: elaboración propia.</w:t>
      </w:r>
    </w:p>
    <w:bookmarkEnd w:id="82"/>
    <w:bookmarkEnd w:id="83"/>
    <w:bookmarkStart w:id="84" w:name="X34a663b8680a73b5d495f08104d06a17e3a1f4e"/>
    <w:p>
      <w:pPr>
        <w:pStyle w:val="Heading2"/>
        <w:spacing w:line="360" w:lineRule="auto"/>
        <w:jc w:val="left"/>
      </w:pPr>
      <w:r>
        <w:rPr>
          <w:color w:val="000000"/>
        </w:rPr>
        <w:t xml:space="preserve">Criterios de Aprobación para Auditoría de Producción</w:t>
      </w:r>
    </w:p>
    <w:p>
      <w:pPr>
        <w:pStyle w:val="FirstParagraph"/>
        <w:spacing w:line="360" w:lineRule="auto"/>
        <w:jc w:val="both"/>
      </w:pPr>
      <w:r>
        <w:rPr>
          <w:color w:val="000000"/>
        </w:rPr>
        <w:t xml:space="preserve">Para certificar un pipeline bajo el protocolo FOM-7, el explicador debe satisfacer concurrentemente:</w:t>
      </w:r>
    </w:p>
    <w:p>
      <w:pPr>
        <w:pStyle w:val="Compact"/>
        <w:numPr>
          <w:ilvl w:val="0"/>
          <w:numId w:val="1020"/>
        </w:numPr>
        <w:spacing w:line="360" w:lineRule="auto"/>
        <w:jc w:val="both"/>
      </w:pPr>
      <w:r>
        <w:rPr>
          <w:b/>
          <w:bCs/>
          <w:color w:val="000000"/>
        </w:rPr>
        <w:t xml:space="preserve">Umbral de Fidelidad:</w:t>
      </w:r>
      <w:r>
        <w:rPr>
          <w:color w:val="000000"/>
        </w:rPr>
        <w:t xml:space="preserve"> </w:t>
      </w:r>
      <m:oMath>
        <m:r>
          <m:rPr>
            <m:nor/>
            <m:sty m:val="p"/>
          </m:rPr>
          <m:t>Fidelidad</m:t>
        </m:r>
        <m:r>
          <m:rPr>
            <m:sty m:val="p"/>
          </m:rPr>
          <m:t>≥</m:t>
        </m:r>
        <m:r>
          <m:t>0.85</m:t>
        </m:r>
      </m:oMath>
      <w:r>
        <w:rPr>
          <w:color w:val="000000"/>
        </w:rPr>
        <w:t xml:space="preserve"> </w:t>
      </w:r>
      <w:r>
        <w:rPr>
          <w:color w:val="000000"/>
        </w:rPr>
        <w:t xml:space="preserve">(G1), evitando aproximaciones locales espurias.</w:t>
      </w:r>
    </w:p>
    <w:p>
      <w:pPr>
        <w:pStyle w:val="Compact"/>
        <w:numPr>
          <w:ilvl w:val="0"/>
          <w:numId w:val="1020"/>
        </w:numPr>
        <w:spacing w:line="360" w:lineRule="auto"/>
        <w:jc w:val="both"/>
      </w:pPr>
      <w:r>
        <w:rPr>
          <w:b/>
          <w:bCs/>
          <w:color w:val="000000"/>
        </w:rPr>
        <w:t xml:space="preserve">Umbral de Estabilidad:</w:t>
      </w:r>
      <w:r>
        <w:rPr>
          <w:color w:val="000000"/>
        </w:rPr>
        <w:t xml:space="preserve"> </w:t>
      </w:r>
      <m:oMath>
        <m:r>
          <m:rPr>
            <m:nor/>
            <m:sty m:val="p"/>
          </m:rPr>
          <m:t>Estabilidad</m:t>
        </m:r>
        <m:r>
          <m:rPr>
            <m:sty m:val="p"/>
          </m:rPr>
          <m:t>≥</m:t>
        </m:r>
        <m:r>
          <m:t>0.80</m:t>
        </m:r>
      </m:oMath>
      <w:r>
        <w:rPr>
          <w:color w:val="000000"/>
        </w:rPr>
        <w:t xml:space="preserve"> </w:t>
      </w:r>
      <w:r>
        <w:rPr>
          <w:color w:val="000000"/>
        </w:rPr>
        <w:t xml:space="preserve">(G2), garantizando que el ruido no altere las atribuciones.</w:t>
      </w:r>
    </w:p>
    <w:p>
      <w:pPr>
        <w:pStyle w:val="Compact"/>
        <w:numPr>
          <w:ilvl w:val="0"/>
          <w:numId w:val="1020"/>
        </w:numPr>
        <w:spacing w:line="360" w:lineRule="auto"/>
        <w:jc w:val="both"/>
      </w:pPr>
      <w:r>
        <w:rPr>
          <w:b/>
          <w:bCs/>
          <w:color w:val="000000"/>
        </w:rPr>
        <w:t xml:space="preserve">Presupuesto de Latencia:</w:t>
      </w:r>
      <w:r>
        <w:rPr>
          <w:color w:val="000000"/>
        </w:rPr>
        <w:t xml:space="preserve"> </w:t>
      </w:r>
      <m:oMath>
        <m:sSub>
          <m:e>
            <m:acc>
              <m:accPr>
                <m:chr m:val="‾"/>
              </m:accPr>
              <m:e>
                <m:r>
                  <m:t>T</m:t>
                </m:r>
              </m:e>
            </m:acc>
          </m:e>
          <m:sub>
            <m:r>
              <m:t>e</m:t>
            </m:r>
            <m:r>
              <m:t>x</m:t>
            </m:r>
            <m:r>
              <m:t>p</m:t>
            </m:r>
          </m:sub>
        </m:sSub>
        <m:r>
          <m:rPr>
            <m:sty m:val="p"/>
          </m:rPr>
          <m:t>≤</m:t>
        </m:r>
        <m:r>
          <m:t>100</m:t>
        </m:r>
        <m:r>
          <m:rPr>
            <m:nor/>
            <m:sty m:val="p"/>
          </m:rPr>
          <m:t> ms</m:t>
        </m:r>
      </m:oMath>
      <w:r>
        <w:rPr>
          <w:color w:val="000000"/>
        </w:rPr>
        <w:t xml:space="preserve"> </w:t>
      </w:r>
      <w:r>
        <w:rPr>
          <w:color w:val="000000"/>
        </w:rPr>
        <w:t xml:space="preserve">en servicios interactivos, o</w:t>
      </w:r>
      <w:r>
        <w:rPr>
          <w:color w:val="000000"/>
        </w:rPr>
        <w:t xml:space="preserve"> </w:t>
      </w:r>
      <m:oMath>
        <m:sSub>
          <m:e>
            <m:acc>
              <m:accPr>
                <m:chr m:val="‾"/>
              </m:accPr>
              <m:e>
                <m:r>
                  <m:t>T</m:t>
                </m:r>
              </m:e>
            </m:acc>
          </m:e>
          <m:sub>
            <m:r>
              <m:t>e</m:t>
            </m:r>
            <m:r>
              <m:t>x</m:t>
            </m:r>
            <m:r>
              <m:t>p</m:t>
            </m:r>
          </m:sub>
        </m:sSub>
        <m:r>
          <m:rPr>
            <m:sty m:val="p"/>
          </m:rPr>
          <m:t>≤</m:t>
        </m:r>
        <m:r>
          <m:t>2</m:t>
        </m:r>
        <m:r>
          <m:rPr>
            <m:sty m:val="p"/>
          </m:rPr>
          <m:t>,</m:t>
        </m:r>
        <m:r>
          <m:t>000</m:t>
        </m:r>
        <m:r>
          <m:rPr>
            <m:nor/>
            <m:sty m:val="p"/>
          </m:rPr>
          <m:t> ms</m:t>
        </m:r>
      </m:oMath>
      <w:r>
        <w:rPr>
          <w:color w:val="000000"/>
        </w:rPr>
        <w:t xml:space="preserve"> </w:t>
      </w:r>
      <w:r>
        <w:rPr>
          <w:color w:val="000000"/>
        </w:rPr>
        <w:t xml:space="preserve">en auditorías por lotes.</w:t>
      </w:r>
    </w:p>
    <w:p>
      <w:pPr>
        <w:pStyle w:val="FirstParagraph"/>
        <w:spacing w:line="360" w:lineRule="auto"/>
        <w:jc w:val="both"/>
      </w:pPr>
      <w:r>
        <w:rPr>
          <w:color w:val="000000"/>
        </w:rPr>
        <w:t xml:space="preserve">La Tabla 1 consolida las especificaciones técnicas de cada compuerta del protocolo FOM-7.</w:t>
      </w:r>
    </w:p>
    <w:p>
      <w:pPr>
        <w:keepNext/>
        <w:pStyle w:val="BodyText"/>
        <w:spacing w:line="360" w:lineRule="auto"/>
        <w:jc w:val="both"/>
      </w:pPr>
      <w:r>
        <w:rPr>
          <w:b/>
          <w:bCs/>
          <w:color w:val="000000"/>
        </w:rPr>
        <w:t xml:space="preserve">Tabla 1</w:t>
      </w:r>
    </w:p>
    <w:p>
      <w:pPr>
        <w:keepNext/>
        <w:pStyle w:val="BodyText"/>
        <w:spacing w:line="360" w:lineRule="auto"/>
        <w:jc w:val="both"/>
      </w:pPr>
      <w:r>
        <w:rPr>
          <w:i/>
          <w:iCs/>
          <w:color w:val="000000"/>
        </w:rPr>
        <w:t xml:space="preserve">Métricas primarias del benchmark</w:t>
      </w:r>
    </w:p>
    <w:tbl>
      <w:tblPr>
        <w:tblStyle w:val="Table"/>
        <w:tblW w:type="pct" w:w="5000"/>
        <w:jc w:val="center"/>
        <w:tblLayout w:type="fixed"/>
        <w:tblLook w:firstRow="1" w:lastRow="0" w:firstColumn="0" w:lastColumn="0" w:noHBand="0" w:noVBand="0" w:val="0020"/>
      </w:tblPr>
      <w:tblGrid>
        <w:gridCol w:w="1700"/>
        <w:gridCol w:w="992"/>
        <w:gridCol w:w="2664"/>
        <w:gridCol w:w="1644"/>
        <w:gridCol w:w="1303"/>
      </w:tblGrid>
      <w:tr>
        <w:trPr>
          <w:tblHeader w:val="on"/>
          <w:cantSplit/>
        </w:trPr>
        <w:tc>
          <w:tcPr>
            <w:tcW w:type="dxa" w:w="1700"/>
            <w:vAlign w:val="top"/>
          </w:tcPr>
          <w:p>
            <w:pPr>
              <w:pStyle w:val="Compact"/>
              <w:keepNext/>
              <w:spacing w:after="0" w:line="360" w:lineRule="auto"/>
              <w:jc w:val="left"/>
            </w:pPr>
            <w:r>
              <w:rPr>
                <w:sz w:val="20"/>
                <w:color w:val="000000"/>
              </w:rPr>
              <w:t xml:space="preserve">Métrica</w:t>
            </w:r>
          </w:p>
        </w:tc>
        <w:tc>
          <w:tcPr>
            <w:tcW w:type="dxa" w:w="992"/>
            <w:vAlign w:val="top"/>
          </w:tcPr>
          <w:p>
            <w:pPr>
              <w:pStyle w:val="Compact"/>
              <w:keepNext/>
              <w:spacing w:after="0" w:line="360" w:lineRule="auto"/>
              <w:jc w:val="left"/>
            </w:pPr>
            <w:r>
              <w:rPr>
                <w:sz w:val="20"/>
                <w:color w:val="000000"/>
              </w:rPr>
              <w:t xml:space="preserve">Símbolo</w:t>
            </w:r>
          </w:p>
        </w:tc>
        <w:tc>
          <w:tcPr>
            <w:tcW w:type="dxa" w:w="2664"/>
            <w:vAlign w:val="top"/>
          </w:tcPr>
          <w:p>
            <w:pPr>
              <w:pStyle w:val="Compact"/>
              <w:keepNext/>
              <w:spacing w:after="0" w:line="360" w:lineRule="auto"/>
              <w:jc w:val="left"/>
            </w:pPr>
            <w:r>
              <w:rPr>
                <w:sz w:val="20"/>
                <w:color w:val="000000"/>
              </w:rPr>
              <w:t xml:space="preserve">Definición operacional</w:t>
            </w:r>
          </w:p>
        </w:tc>
        <w:tc>
          <w:tcPr>
            <w:tcW w:type="dxa" w:w="1644"/>
            <w:vAlign w:val="top"/>
          </w:tcPr>
          <w:p>
            <w:pPr>
              <w:pStyle w:val="Compact"/>
              <w:keepNext/>
              <w:spacing w:after="0" w:line="360" w:lineRule="auto"/>
              <w:jc w:val="left"/>
            </w:pPr>
            <w:r>
              <w:rPr>
                <w:sz w:val="20"/>
                <w:color w:val="000000"/>
              </w:rPr>
              <w:t xml:space="preserve">Unidad</w:t>
            </w:r>
          </w:p>
        </w:tc>
        <w:tc>
          <w:tcPr>
            <w:tcW w:type="dxa" w:w="1303"/>
            <w:vAlign w:val="top"/>
          </w:tcPr>
          <w:p>
            <w:pPr>
              <w:pStyle w:val="Compact"/>
              <w:keepNext/>
              <w:spacing w:after="0" w:line="360" w:lineRule="auto"/>
              <w:jc w:val="left"/>
            </w:pPr>
            <w:r>
              <w:rPr>
                <w:sz w:val="20"/>
                <w:color w:val="000000"/>
              </w:rPr>
              <w:t xml:space="preserve">Dirección</w:t>
            </w:r>
          </w:p>
        </w:tc>
      </w:tr>
      <w:tr>
        <w:trPr>
          <w:cantSplit/>
        </w:trPr>
        <w:tc>
          <w:tcPr>
            <w:tcW w:type="dxa" w:w="1700"/>
            <w:vAlign w:val="top"/>
          </w:tcPr>
          <w:p>
            <w:pPr>
              <w:pStyle w:val="Compact"/>
              <w:spacing w:after="0" w:line="360" w:lineRule="auto"/>
              <w:jc w:val="left"/>
            </w:pPr>
            <w:r>
              <w:rPr>
                <w:sz w:val="20"/>
                <w:color w:val="000000"/>
              </w:rPr>
              <w:t xml:space="preserve">Fidelidad</w:t>
            </w:r>
          </w:p>
        </w:tc>
        <w:tc>
          <w:tcPr>
            <w:tcW w:type="dxa" w:w="992"/>
            <w:vAlign w:val="top"/>
          </w:tcPr>
          <w:p>
            <w:pPr>
              <w:pStyle w:val="Compact"/>
              <w:spacing w:after="0" w:line="360" w:lineRule="auto"/>
            </w:pPr>
            <m:oMath>
              <m:r>
                <m:t>F</m:t>
              </m:r>
            </m:oMath>
          </w:p>
        </w:tc>
        <w:tc>
          <w:tcPr>
            <w:tcW w:type="dxa" w:w="2664"/>
            <w:vAlign w:val="top"/>
          </w:tcPr>
          <w:p>
            <w:pPr>
              <w:pStyle w:val="Compact"/>
              <w:spacing w:after="0" w:line="360" w:lineRule="auto"/>
              <w:jc w:val="left"/>
            </w:pPr>
            <w:r>
              <w:rPr>
                <w:sz w:val="20"/>
                <w:color w:val="000000"/>
              </w:rPr>
              <w:t xml:space="preserve">Correlación entre las importancias absolutas asignadas por el explicador y el cambio observado en la salida del modelo al enmascarar individualmente cada característica.</w:t>
            </w:r>
          </w:p>
        </w:tc>
        <w:tc>
          <w:tcPr>
            <w:tcW w:type="dxa" w:w="1644"/>
            <w:vAlign w:val="top"/>
          </w:tcPr>
          <w:p>
            <w:pPr>
              <w:pStyle w:val="Compact"/>
              <w:spacing w:after="0" w:line="360" w:lineRule="auto"/>
              <w:jc w:val="left"/>
            </w:pPr>
            <w:r>
              <w:rPr>
                <w:sz w:val="20"/>
                <w:color w:val="000000"/>
              </w:rPr>
              <w:t xml:space="preserve">Coeficiente</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Estabilidad</w:t>
            </w:r>
          </w:p>
        </w:tc>
        <w:tc>
          <w:tcPr>
            <w:tcW w:type="dxa" w:w="992"/>
            <w:vAlign w:val="top"/>
          </w:tcPr>
          <w:p>
            <w:pPr>
              <w:pStyle w:val="Compact"/>
              <w:spacing w:after="0" w:line="360" w:lineRule="auto"/>
            </w:pPr>
            <m:oMath>
              <m:r>
                <m:t>S</m:t>
              </m:r>
            </m:oMath>
          </w:p>
        </w:tc>
        <w:tc>
          <w:tcPr>
            <w:tcW w:type="dxa" w:w="2664"/>
            <w:vAlign w:val="top"/>
          </w:tcPr>
          <w:p>
            <w:pPr>
              <w:pStyle w:val="Compact"/>
              <w:spacing w:after="0" w:line="360" w:lineRule="auto"/>
              <w:jc w:val="left"/>
            </w:pPr>
            <w:r>
              <w:rPr>
                <w:sz w:val="20"/>
                <w:color w:val="000000"/>
              </w:rPr>
              <w:t xml:space="preserve">Similitud coseno media entre explicaciones generadas sobre perturbaciones gaussianas de una misma instancia (</w:t>
            </w:r>
            <m:oMath>
              <m:r>
                <m:t>T</m:t>
              </m:r>
              <m:r>
                <m:rPr>
                  <m:sty m:val="p"/>
                </m:rPr>
                <m:t>=</m:t>
              </m:r>
              <m:r>
                <m:t>15</m:t>
              </m:r>
            </m:oMath>
            <w:r>
              <w:rPr>
                <w:sz w:val="20"/>
                <w:color w:val="000000"/>
              </w:rPr>
              <w:t xml:space="preserve"> </w:t>
            </w:r>
            <w:r>
              <w:rPr>
                <w:sz w:val="20"/>
                <w:color w:val="000000"/>
              </w:rPr>
              <w:t xml:space="preserve">perturbaciones, 105 pares por instancia).</w:t>
            </w:r>
          </w:p>
        </w:tc>
        <w:tc>
          <w:tcPr>
            <w:tcW w:type="dxa" w:w="1644"/>
            <w:vAlign w:val="top"/>
          </w:tcPr>
          <w:p>
            <w:pPr>
              <w:pStyle w:val="Compact"/>
              <w:spacing w:after="0" w:line="360" w:lineRule="auto"/>
              <w:jc w:val="left"/>
            </w:pPr>
            <w:r>
              <w:rPr>
                <w:sz w:val="20"/>
                <w:color w:val="000000"/>
              </w:rPr>
              <w:t xml:space="preserve">Similitud coseno</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Parsimonia</w:t>
            </w:r>
          </w:p>
        </w:tc>
        <w:tc>
          <w:tcPr>
            <w:tcW w:type="dxa" w:w="992"/>
            <w:vAlign w:val="top"/>
          </w:tcPr>
          <w:p>
            <w:pPr>
              <w:pStyle w:val="Compact"/>
              <w:spacing w:after="0" w:line="360" w:lineRule="auto"/>
            </w:pPr>
            <m:oMath>
              <m:r>
                <m:t>P</m:t>
              </m:r>
            </m:oMath>
          </w:p>
        </w:tc>
        <w:tc>
          <w:tcPr>
            <w:tcW w:type="dxa" w:w="2664"/>
            <w:vAlign w:val="top"/>
          </w:tcPr>
          <w:p>
            <w:pPr>
              <w:pStyle w:val="Compact"/>
              <w:spacing w:after="0" w:line="360" w:lineRule="auto"/>
              <w:jc w:val="left"/>
            </w:pPr>
            <w:r>
              <w:rPr>
                <w:sz w:val="20"/>
                <w:color w:val="000000"/>
              </w:rPr>
              <w:t xml:space="preserve">Proporción de características activas, es decir, con peso</w:t>
            </w:r>
            <w:r>
              <w:rPr>
                <w:sz w:val="20"/>
                <w:color w:val="000000"/>
              </w:rPr>
              <w:t xml:space="preserve"> </w:t>
            </w:r>
            <m:oMath>
              <m:r>
                <m:rPr>
                  <m:sty m:val="p"/>
                </m:rPr>
                <m:t>|</m:t>
              </m:r>
              <m:sSub>
                <m:e>
                  <m:r>
                    <m:t>w</m:t>
                  </m:r>
                </m:e>
                <m:sub>
                  <m:r>
                    <m:t>i</m:t>
                  </m:r>
                </m:sub>
              </m:sSub>
              <m:r>
                <m:rPr>
                  <m:sty m:val="p"/>
                </m:rPr>
                <m:t>|</m:t>
              </m:r>
              <m:r>
                <m:rPr>
                  <m:sty m:val="p"/>
                </m:rPr>
                <m:t>&gt;</m:t>
              </m:r>
              <m:sSup>
                <m:e>
                  <m:r>
                    <m:t>10</m:t>
                  </m:r>
                </m:e>
                <m:sup>
                  <m:r>
                    <m:rPr>
                      <m:sty m:val="p"/>
                    </m:rPr>
                    <m:t>−</m:t>
                  </m:r>
                  <m:r>
                    <m:t>4</m:t>
                  </m:r>
                </m:sup>
              </m:sSup>
            </m:oMath>
            <w:r>
              <w:rPr>
                <w:sz w:val="20"/>
                <w:color w:val="000000"/>
              </w:rPr>
              <w:t xml:space="preserve">, respecto del total de características transformadas.</w:t>
            </w:r>
          </w:p>
        </w:tc>
        <w:tc>
          <w:tcPr>
            <w:tcW w:type="dxa" w:w="1644"/>
            <w:vAlign w:val="top"/>
          </w:tcPr>
          <w:p>
            <w:pPr>
              <w:pStyle w:val="Compact"/>
              <w:spacing w:after="0" w:line="360" w:lineRule="auto"/>
              <w:jc w:val="left"/>
            </w:pPr>
            <w:r>
              <w:rPr>
                <w:sz w:val="20"/>
                <w:color w:val="000000"/>
              </w:rPr>
              <w:t xml:space="preserve">Proporción</w:t>
            </w:r>
          </w:p>
        </w:tc>
        <w:tc>
          <w:tcPr>
            <w:tcW w:type="dxa" w:w="1303"/>
            <w:vAlign w:val="top"/>
          </w:tcPr>
          <w:p>
            <w:pPr>
              <w:pStyle w:val="Compact"/>
              <w:spacing w:after="0" w:line="360" w:lineRule="auto"/>
              <w:jc w:val="left"/>
            </w:pPr>
            <w:r>
              <w:rPr>
                <w:sz w:val="20"/>
                <w:color w:val="000000"/>
              </w:rPr>
              <w:t xml:space="preserve">Menor es mejor</w:t>
            </w:r>
          </w:p>
        </w:tc>
      </w:tr>
      <w:tr>
        <w:trPr>
          <w:cantSplit/>
        </w:trPr>
        <w:tc>
          <w:tcPr>
            <w:tcW w:type="dxa" w:w="1700"/>
            <w:vAlign w:val="top"/>
          </w:tcPr>
          <w:p>
            <w:pPr>
              <w:pStyle w:val="Compact"/>
              <w:spacing w:after="0" w:line="360" w:lineRule="auto"/>
              <w:jc w:val="left"/>
            </w:pPr>
            <w:r>
              <w:rPr>
                <w:sz w:val="20"/>
                <w:color w:val="000000"/>
              </w:rPr>
              <w:t xml:space="preserve">Brecha de fidelidad</w:t>
            </w:r>
          </w:p>
        </w:tc>
        <w:tc>
          <w:tcPr>
            <w:tcW w:type="dxa" w:w="992"/>
            <w:vAlign w:val="top"/>
          </w:tcPr>
          <w:p>
            <w:pPr>
              <w:pStyle w:val="Compact"/>
              <w:spacing w:after="0" w:line="360" w:lineRule="auto"/>
            </w:pPr>
            <m:oMath>
              <m:sSub>
                <m:e>
                  <m:r>
                    <m:rPr>
                      <m:sty m:val="p"/>
                    </m:rPr>
                    <m:t>Δ</m:t>
                  </m:r>
                </m:e>
                <m:sub>
                  <m:r>
                    <m:t>k</m:t>
                  </m:r>
                </m:sub>
              </m:sSub>
            </m:oMath>
          </w:p>
        </w:tc>
        <w:tc>
          <w:tcPr>
            <w:tcW w:type="dxa" w:w="2664"/>
            <w:vAlign w:val="top"/>
          </w:tcPr>
          <w:p>
            <w:pPr>
              <w:pStyle w:val="Compact"/>
              <w:spacing w:after="0" w:line="360" w:lineRule="auto"/>
              <w:jc w:val="left"/>
            </w:pPr>
            <w:r>
              <w:rPr>
                <w:sz w:val="20"/>
                <w:color w:val="000000"/>
              </w:rPr>
              <w:t xml:space="preserve">Cambio absoluto en la probabilidad de la clase positiva al enmascarar las</w:t>
            </w:r>
            <w:r>
              <w:rPr>
                <w:sz w:val="20"/>
                <w:color w:val="000000"/>
              </w:rPr>
              <w:t xml:space="preserve"> </w:t>
            </w:r>
            <m:oMath>
              <m:r>
                <m:t>k</m:t>
              </m:r>
              <m:r>
                <m:rPr>
                  <m:sty m:val="p"/>
                </m:rPr>
                <m:t>=</m:t>
              </m:r>
              <m:r>
                <m:t>5</m:t>
              </m:r>
            </m:oMath>
            <w:r>
              <w:rPr>
                <w:sz w:val="20"/>
                <w:color w:val="000000"/>
              </w:rPr>
              <w:t xml:space="preserve"> </w:t>
            </w:r>
            <w:r>
              <w:rPr>
                <w:sz w:val="20"/>
                <w:color w:val="000000"/>
              </w:rPr>
              <w:t xml:space="preserve">características de mayor importancia.</w:t>
            </w:r>
          </w:p>
        </w:tc>
        <w:tc>
          <w:tcPr>
            <w:tcW w:type="dxa" w:w="1644"/>
            <w:vAlign w:val="top"/>
          </w:tcPr>
          <w:p>
            <w:pPr>
              <w:pStyle w:val="Compact"/>
              <w:spacing w:after="0" w:line="360" w:lineRule="auto"/>
              <w:jc w:val="left"/>
            </w:pPr>
            <w:r>
              <w:rPr>
                <w:sz w:val="20"/>
                <w:color w:val="000000"/>
              </w:rPr>
              <w:t xml:space="preserve">Diferencia de probabilidad</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keepNext/>
              <w:spacing w:after="0" w:line="360" w:lineRule="auto"/>
              <w:jc w:val="left"/>
            </w:pPr>
            <w:r>
              <w:rPr>
                <w:sz w:val="20"/>
                <w:color w:val="000000"/>
              </w:rPr>
              <w:t xml:space="preserve">Coste computacional</w:t>
            </w:r>
          </w:p>
        </w:tc>
        <w:tc>
          <w:tcPr>
            <w:tcW w:type="dxa" w:w="992"/>
            <w:vAlign w:val="top"/>
          </w:tcPr>
          <w:p>
            <w:pPr>
              <w:pStyle w:val="Compact"/>
              <w:keepNext/>
              <w:spacing w:after="0" w:line="360" w:lineRule="auto"/>
            </w:pPr>
            <m:oMath>
              <m:r>
                <m:t>C</m:t>
              </m:r>
            </m:oMath>
          </w:p>
        </w:tc>
        <w:tc>
          <w:tcPr>
            <w:tcW w:type="dxa" w:w="2664"/>
            <w:vAlign w:val="top"/>
          </w:tcPr>
          <w:p>
            <w:pPr>
              <w:pStyle w:val="Compact"/>
              <w:keepNext/>
              <w:spacing w:after="0" w:line="360" w:lineRule="auto"/>
              <w:jc w:val="left"/>
            </w:pPr>
            <w:r>
              <w:rPr>
                <w:sz w:val="20"/>
                <w:color w:val="000000"/>
              </w:rPr>
              <w:t xml:space="preserve">Tiempo de pared por instancia explicada, registrado durante la ejecución del explicador.</w:t>
            </w:r>
          </w:p>
        </w:tc>
        <w:tc>
          <w:tcPr>
            <w:tcW w:type="dxa" w:w="1644"/>
            <w:vAlign w:val="top"/>
          </w:tcPr>
          <w:p>
            <w:pPr>
              <w:pStyle w:val="Compact"/>
              <w:keepNext/>
              <w:spacing w:after="0" w:line="360" w:lineRule="auto"/>
              <w:jc w:val="left"/>
            </w:pPr>
            <w:r>
              <w:rPr>
                <w:sz w:val="20"/>
                <w:color w:val="000000"/>
              </w:rPr>
              <w:t xml:space="preserve">ms por instancia</w:t>
            </w:r>
          </w:p>
        </w:tc>
        <w:tc>
          <w:tcPr>
            <w:tcW w:type="dxa" w:w="1303"/>
            <w:vAlign w:val="top"/>
          </w:tcPr>
          <w:p>
            <w:pPr>
              <w:pStyle w:val="Compact"/>
              <w:keepNext/>
              <w:spacing w:after="0" w:line="360" w:lineRule="auto"/>
              <w:jc w:val="left"/>
            </w:pPr>
            <w:r>
              <w:rPr>
                <w:sz w:val="20"/>
                <w:color w:val="000000"/>
              </w:rPr>
              <w:t xml:space="preserve">Menor es mejor</w:t>
            </w:r>
          </w:p>
        </w:tc>
      </w:tr>
    </w:tbl>
    <w:p>
      <w:pPr>
        <w:keepLines/>
        <w:pStyle w:val="BodyText"/>
        <w:spacing w:line="360" w:lineRule="auto"/>
        <w:jc w:val="both"/>
      </w:pPr>
      <w:r>
        <w:rPr>
          <w:i/>
          <w:iCs/>
          <w:color w:val="000000"/>
        </w:rPr>
        <w:t xml:space="preserve">Nota.</w:t>
      </w:r>
      <w:r>
        <w:rPr>
          <w:color w:val="000000"/>
        </w:rPr>
        <w:t xml:space="preserve"> </w:t>
      </w:r>
      <w:r>
        <w:rPr>
          <w:color w:val="000000"/>
        </w:rPr>
        <w:t xml:space="preserve">Las métricas se calculan por instancia y se promedian por ejecución; la inferencia se realiza sobre bloques modelo × tamaño de muestra, no sobre instancias. Son indicadores operacionales de calidad explicativa bajo condiciones controladas, no medidas directas de utilidad humana, plausibilidad semántica ni causalidad. Otras operacionalizaciones, como ROAR o medidas locales de tipo Lipschitz, podrían producir ordenamientos distintos. Elaboración propia a partir de Herrera-Vásquez (2026).</w:t>
      </w:r>
    </w:p>
    <w:bookmarkEnd w:id="84"/>
    <w:bookmarkEnd w:id="85"/>
    <w:bookmarkStart w:id="91" w:name="diseño-empírico-y-banco-de-pruebas"/>
    <w:p>
      <w:pPr>
        <w:pStyle w:val="Heading1"/>
        <w:spacing w:line="360" w:lineRule="auto"/>
        <w:jc w:val="left"/>
      </w:pPr>
      <w:r>
        <w:rPr>
          <w:color w:val="000000"/>
        </w:rPr>
        <w:t xml:space="preserve">Diseño empírico y banco de pruebas</w:t>
      </w:r>
    </w:p>
    <w:bookmarkStart w:id="86" w:name="Xbe03326fd462d22740fb6701ad39932a89d62c7"/>
    <w:p>
      <w:pPr>
        <w:pStyle w:val="Heading2"/>
        <w:spacing w:line="360" w:lineRule="auto"/>
        <w:jc w:val="left"/>
      </w:pPr>
      <w:r>
        <w:rPr>
          <w:color w:val="000000"/>
        </w:rPr>
        <w:t xml:space="preserve">El banco de datos de prueba: UCI Adult Income</w:t>
      </w:r>
    </w:p>
    <w:p>
      <w:pPr>
        <w:pStyle w:val="FirstParagraph"/>
        <w:spacing w:line="360" w:lineRule="auto"/>
        <w:jc w:val="both"/>
      </w:pPr>
      <w:r>
        <w:rPr>
          <w:color w:val="000000"/>
        </w:rPr>
        <w:t xml:space="preserve">Para validar experimentalmente el protocolo</w:t>
      </w:r>
      <w:r>
        <w:rPr>
          <w:color w:val="000000"/>
        </w:rPr>
        <w:t xml:space="preserve"> </w:t>
      </w:r>
      <w:r>
        <w:rPr>
          <w:b/>
          <w:bCs/>
          <w:color w:val="000000"/>
        </w:rPr>
        <w:t xml:space="preserve">FOM-7</w:t>
      </w:r>
      <w:r>
        <w:rPr>
          <w:color w:val="000000"/>
        </w:rPr>
        <w:t xml:space="preserve">, se diseñó un banco de pruebas sobre el conjunto tabular</w:t>
      </w:r>
      <w:r>
        <w:rPr>
          <w:color w:val="000000"/>
        </w:rPr>
        <w:t xml:space="preserve"> </w:t>
      </w:r>
      <w:r>
        <w:rPr>
          <w:i/>
          <w:iCs/>
          <w:color w:val="000000"/>
        </w:rPr>
        <w:t xml:space="preserve">UCI Adult Income</w:t>
      </w:r>
      <w:r>
        <w:rPr>
          <w:color w:val="000000"/>
        </w:rPr>
        <w:t xml:space="preserve"> </w:t>
      </w:r>
      <w:r>
        <w:rPr>
          <w:color w:val="000000"/>
        </w:rPr>
        <w:t xml:space="preserve">(Kohavi, 1996), estándar de referencia en aprendizaje automático tabular y equidad algorítmica.</w:t>
      </w:r>
    </w:p>
    <w:p>
      <w:pPr>
        <w:pStyle w:val="BodyText"/>
        <w:spacing w:line="360" w:lineRule="auto"/>
        <w:jc w:val="both"/>
      </w:pPr>
      <w:r>
        <w:rPr>
          <w:color w:val="000000"/>
        </w:rPr>
        <w:t xml:space="preserve">El corpus reúne</w:t>
      </w:r>
      <w:r>
        <w:rPr>
          <w:color w:val="000000"/>
        </w:rPr>
        <w:t xml:space="preserve"> </w:t>
      </w:r>
      <m:oMath>
        <m:r>
          <m:t>32</m:t>
        </m:r>
        <m:r>
          <m:rPr>
            <m:sty m:val="p"/>
          </m:rPr>
          <m:t>,</m:t>
        </m:r>
        <m:r>
          <m:t>561</m:t>
        </m:r>
      </m:oMath>
      <w:r>
        <w:rPr>
          <w:color w:val="000000"/>
        </w:rPr>
        <w:t xml:space="preserve"> </w:t>
      </w:r>
      <w:r>
        <w:rPr>
          <w:color w:val="000000"/>
        </w:rPr>
        <w:t xml:space="preserve">registros y</w:t>
      </w:r>
      <w:r>
        <w:rPr>
          <w:color w:val="000000"/>
        </w:rPr>
        <w:t xml:space="preserve"> </w:t>
      </w:r>
      <m:oMath>
        <m:r>
          <m:t>14</m:t>
        </m:r>
      </m:oMath>
      <w:r>
        <w:rPr>
          <w:color w:val="000000"/>
        </w:rPr>
        <w:t xml:space="preserve"> </w:t>
      </w:r>
      <w:r>
        <w:rPr>
          <w:color w:val="000000"/>
        </w:rPr>
        <w:t xml:space="preserve">variables socioeconómicas:</w:t>
      </w:r>
    </w:p>
    <w:p>
      <w:pPr>
        <w:pStyle w:val="Compact"/>
        <w:numPr>
          <w:ilvl w:val="0"/>
          <w:numId w:val="1021"/>
        </w:numPr>
        <w:spacing w:line="360" w:lineRule="auto"/>
        <w:jc w:val="both"/>
      </w:pPr>
      <w:r>
        <w:rPr>
          <w:b/>
          <w:bCs/>
          <w:color w:val="000000"/>
        </w:rPr>
        <w:t xml:space="preserve">Variables continuas (6):</w:t>
      </w:r>
      <w:r>
        <w:rPr>
          <w:color w:val="000000"/>
        </w:rPr>
        <w:t xml:space="preserve"> </w:t>
      </w:r>
      <w:r>
        <w:rPr>
          <w:i/>
          <w:iCs/>
          <w:color w:val="000000"/>
        </w:rPr>
        <w:t xml:space="preserve">Edad</w:t>
      </w:r>
      <w:r>
        <w:rPr>
          <w:color w:val="000000"/>
        </w:rPr>
        <w:t xml:space="preserve">,</w:t>
      </w:r>
      <w:r>
        <w:rPr>
          <w:color w:val="000000"/>
        </w:rPr>
        <w:t xml:space="preserve"> </w:t>
      </w:r>
      <w:r>
        <w:rPr>
          <w:i/>
          <w:iCs/>
          <w:color w:val="000000"/>
        </w:rPr>
        <w:t xml:space="preserve">Educación Numérica</w:t>
      </w:r>
      <w:r>
        <w:rPr>
          <w:color w:val="000000"/>
        </w:rPr>
        <w:t xml:space="preserve">,</w:t>
      </w:r>
      <w:r>
        <w:rPr>
          <w:color w:val="000000"/>
        </w:rPr>
        <w:t xml:space="preserve"> </w:t>
      </w:r>
      <w:r>
        <w:rPr>
          <w:i/>
          <w:iCs/>
          <w:color w:val="000000"/>
        </w:rPr>
        <w:t xml:space="preserve">Ganancia de Capital</w:t>
      </w:r>
      <w:r>
        <w:rPr>
          <w:color w:val="000000"/>
        </w:rPr>
        <w:t xml:space="preserve">,</w:t>
      </w:r>
      <w:r>
        <w:rPr>
          <w:color w:val="000000"/>
        </w:rPr>
        <w:t xml:space="preserve"> </w:t>
      </w:r>
      <w:r>
        <w:rPr>
          <w:i/>
          <w:iCs/>
          <w:color w:val="000000"/>
        </w:rPr>
        <w:t xml:space="preserve">Pérdida de Capital</w:t>
      </w:r>
      <w:r>
        <w:rPr>
          <w:color w:val="000000"/>
        </w:rPr>
        <w:t xml:space="preserve">,</w:t>
      </w:r>
      <w:r>
        <w:rPr>
          <w:color w:val="000000"/>
        </w:rPr>
        <w:t xml:space="preserve"> </w:t>
      </w:r>
      <w:r>
        <w:rPr>
          <w:i/>
          <w:iCs/>
          <w:color w:val="000000"/>
        </w:rPr>
        <w:t xml:space="preserve">Horas Semanales</w:t>
      </w:r>
      <w:r>
        <w:rPr>
          <w:color w:val="000000"/>
        </w:rPr>
        <w:t xml:space="preserve"> </w:t>
      </w:r>
      <w:r>
        <w:rPr>
          <w:color w:val="000000"/>
        </w:rPr>
        <w:t xml:space="preserve">y</w:t>
      </w:r>
      <w:r>
        <w:rPr>
          <w:color w:val="000000"/>
        </w:rPr>
        <w:t xml:space="preserve"> </w:t>
      </w:r>
      <w:r>
        <w:rPr>
          <w:i/>
          <w:iCs/>
          <w:color w:val="000000"/>
        </w:rPr>
        <w:t xml:space="preserve">Ponderador Muestral (fnlwgt)</w:t>
      </w:r>
      <w:r>
        <w:rPr>
          <w:color w:val="000000"/>
        </w:rPr>
        <w:t xml:space="preserve">.</w:t>
      </w:r>
    </w:p>
    <w:p>
      <w:pPr>
        <w:pStyle w:val="Compact"/>
        <w:numPr>
          <w:ilvl w:val="0"/>
          <w:numId w:val="1021"/>
        </w:numPr>
        <w:spacing w:line="360" w:lineRule="auto"/>
        <w:jc w:val="both"/>
      </w:pPr>
      <w:r>
        <w:rPr>
          <w:b/>
          <w:bCs/>
          <w:color w:val="000000"/>
        </w:rPr>
        <w:t xml:space="preserve">Variables categóricas (8):</w:t>
      </w:r>
      <w:r>
        <w:rPr>
          <w:color w:val="000000"/>
        </w:rPr>
        <w:t xml:space="preserve"> </w:t>
      </w:r>
      <w:r>
        <w:rPr>
          <w:i/>
          <w:iCs/>
          <w:color w:val="000000"/>
        </w:rPr>
        <w:t xml:space="preserve">Sector de Empleo</w:t>
      </w:r>
      <w:r>
        <w:rPr>
          <w:color w:val="000000"/>
        </w:rPr>
        <w:t xml:space="preserve">,</w:t>
      </w:r>
      <w:r>
        <w:rPr>
          <w:color w:val="000000"/>
        </w:rPr>
        <w:t xml:space="preserve"> </w:t>
      </w:r>
      <w:r>
        <w:rPr>
          <w:i/>
          <w:iCs/>
          <w:color w:val="000000"/>
        </w:rPr>
        <w:t xml:space="preserve">Nivel Educativo</w:t>
      </w:r>
      <w:r>
        <w:rPr>
          <w:color w:val="000000"/>
        </w:rPr>
        <w:t xml:space="preserve">,</w:t>
      </w:r>
      <w:r>
        <w:rPr>
          <w:color w:val="000000"/>
        </w:rPr>
        <w:t xml:space="preserve"> </w:t>
      </w:r>
      <w:r>
        <w:rPr>
          <w:i/>
          <w:iCs/>
          <w:color w:val="000000"/>
        </w:rPr>
        <w:t xml:space="preserve">Estado Civil</w:t>
      </w:r>
      <w:r>
        <w:rPr>
          <w:color w:val="000000"/>
        </w:rPr>
        <w:t xml:space="preserve">,</w:t>
      </w:r>
      <w:r>
        <w:rPr>
          <w:color w:val="000000"/>
        </w:rPr>
        <w:t xml:space="preserve"> </w:t>
      </w:r>
      <w:r>
        <w:rPr>
          <w:i/>
          <w:iCs/>
          <w:color w:val="000000"/>
        </w:rPr>
        <w:t xml:space="preserve">Ocupación</w:t>
      </w:r>
      <w:r>
        <w:rPr>
          <w:color w:val="000000"/>
        </w:rPr>
        <w:t xml:space="preserve">,</w:t>
      </w:r>
      <w:r>
        <w:rPr>
          <w:color w:val="000000"/>
        </w:rPr>
        <w:t xml:space="preserve"> </w:t>
      </w:r>
      <w:r>
        <w:rPr>
          <w:i/>
          <w:iCs/>
          <w:color w:val="000000"/>
        </w:rPr>
        <w:t xml:space="preserve">Rol Familiar</w:t>
      </w:r>
      <w:r>
        <w:rPr>
          <w:color w:val="000000"/>
        </w:rPr>
        <w:t xml:space="preserve">,</w:t>
      </w:r>
      <w:r>
        <w:rPr>
          <w:color w:val="000000"/>
        </w:rPr>
        <w:t xml:space="preserve"> </w:t>
      </w:r>
      <w:r>
        <w:rPr>
          <w:i/>
          <w:iCs/>
          <w:color w:val="000000"/>
        </w:rPr>
        <w:t xml:space="preserve">Raza</w:t>
      </w:r>
      <w:r>
        <w:rPr>
          <w:color w:val="000000"/>
        </w:rPr>
        <w:t xml:space="preserve">,</w:t>
      </w:r>
      <w:r>
        <w:rPr>
          <w:color w:val="000000"/>
        </w:rPr>
        <w:t xml:space="preserve"> </w:t>
      </w:r>
      <w:r>
        <w:rPr>
          <w:i/>
          <w:iCs/>
          <w:color w:val="000000"/>
        </w:rPr>
        <w:t xml:space="preserve">Sexo</w:t>
      </w:r>
      <w:r>
        <w:rPr>
          <w:color w:val="000000"/>
        </w:rPr>
        <w:t xml:space="preserve"> </w:t>
      </w:r>
      <w:r>
        <w:rPr>
          <w:color w:val="000000"/>
        </w:rPr>
        <w:t xml:space="preserve">y</w:t>
      </w:r>
      <w:r>
        <w:rPr>
          <w:color w:val="000000"/>
        </w:rPr>
        <w:t xml:space="preserve"> </w:t>
      </w:r>
      <w:r>
        <w:rPr>
          <w:i/>
          <w:iCs/>
          <w:color w:val="000000"/>
        </w:rPr>
        <w:t xml:space="preserve">País de Origen</w:t>
      </w:r>
      <w:r>
        <w:rPr>
          <w:color w:val="000000"/>
        </w:rPr>
        <w:t xml:space="preserve">.</w:t>
      </w:r>
    </w:p>
    <w:p>
      <w:pPr>
        <w:pStyle w:val="Compact"/>
        <w:numPr>
          <w:ilvl w:val="0"/>
          <w:numId w:val="1021"/>
        </w:numPr>
        <w:spacing w:line="360" w:lineRule="auto"/>
        <w:jc w:val="both"/>
      </w:pPr>
      <w:r>
        <w:rPr>
          <w:b/>
          <w:bCs/>
          <w:color w:val="000000"/>
        </w:rPr>
        <w:t xml:space="preserve">Variable objetivo binaria (</w:t>
      </w:r>
      <m:oMath>
        <m:r>
          <m:t>Y</m:t>
        </m:r>
      </m:oMath>
      <w:r>
        <w:rPr>
          <w:b/>
          <w:bCs/>
          <w:color w:val="000000"/>
        </w:rPr>
        <w:t xml:space="preserve">):</w:t>
      </w:r>
      <w:r>
        <w:rPr>
          <w:color w:val="000000"/>
        </w:rPr>
        <w:t xml:space="preserve"> </w:t>
      </w:r>
      <w:r>
        <w:rPr>
          <w:color w:val="000000"/>
        </w:rPr>
        <w:t xml:space="preserve">Ingresos superiores a</w:t>
      </w:r>
      <w:r>
        <w:rPr>
          <w:color w:val="000000"/>
        </w:rPr>
        <w:t xml:space="preserve"> </w:t>
      </w:r>
      <m:oMath>
        <m:r>
          <m:rPr>
            <m:sty m:val="p"/>
          </m:rPr>
          <m:t>$</m:t>
        </m:r>
        <m:r>
          <m:t>50</m:t>
        </m:r>
        <m:r>
          <m:rPr>
            <m:sty m:val="p"/>
          </m:rPr>
          <m:t>,</m:t>
        </m:r>
        <m:r>
          <m:t>000</m:t>
        </m:r>
      </m:oMath>
      <w:r>
        <w:rPr>
          <w:color w:val="000000"/>
        </w:rPr>
        <w:t xml:space="preserve"> </w:t>
      </w:r>
      <w:r>
        <w:rPr>
          <w:color w:val="000000"/>
        </w:rPr>
        <w:t xml:space="preserve">anuales (</w:t>
      </w:r>
      <m:oMath>
        <m:r>
          <m:t>Y</m:t>
        </m:r>
        <m:r>
          <m:rPr>
            <m:sty m:val="p"/>
          </m:rPr>
          <m:t>=</m:t>
        </m:r>
        <m:r>
          <m:t>1</m:t>
        </m:r>
      </m:oMath>
      <w:r>
        <w:rPr>
          <w:color w:val="000000"/>
        </w:rPr>
        <w:t xml:space="preserve"> </w:t>
      </w:r>
      <w:r>
        <w:rPr>
          <w:color w:val="000000"/>
        </w:rPr>
        <w:t xml:space="preserve">si</w:t>
      </w:r>
      <w:r>
        <w:rPr>
          <w:color w:val="000000"/>
        </w:rPr>
        <w:t xml:space="preserve"> </w:t>
      </w:r>
      <m:oMath>
        <m:r>
          <m:rPr>
            <m:sty m:val="p"/>
          </m:rPr>
          <m:t>&gt;</m:t>
        </m:r>
        <m:r>
          <m:t>50</m:t>
        </m:r>
        <m:r>
          <m:rPr>
            <m:nor/>
            <m:sty m:val="p"/>
          </m:rPr>
          <m:t>K</m:t>
        </m:r>
      </m:oMath>
      <w:r>
        <w:rPr>
          <w:color w:val="000000"/>
        </w:rPr>
        <w:t xml:space="preserve">,</w:t>
      </w:r>
      <w:r>
        <w:rPr>
          <w:color w:val="000000"/>
        </w:rPr>
        <w:t xml:space="preserve"> </w:t>
      </w:r>
      <m:oMath>
        <m:r>
          <m:t>Y</m:t>
        </m:r>
        <m:r>
          <m:rPr>
            <m:sty m:val="p"/>
          </m:rPr>
          <m:t>=</m:t>
        </m:r>
        <m:r>
          <m:t>0</m:t>
        </m:r>
      </m:oMath>
      <w:r>
        <w:rPr>
          <w:color w:val="000000"/>
        </w:rPr>
        <w:t xml:space="preserve"> </w:t>
      </w:r>
      <w:r>
        <w:rPr>
          <w:color w:val="000000"/>
        </w:rPr>
        <w:t xml:space="preserve">en caso contrario), con prevalencia positiva del</w:t>
      </w:r>
      <w:r>
        <w:rPr>
          <w:color w:val="000000"/>
        </w:rPr>
        <w:t xml:space="preserve"> </w:t>
      </w:r>
      <m:oMath>
        <m:r>
          <m:t>24.08</m:t>
        </m:r>
        <m:r>
          <m:rPr>
            <m:sty m:val="p"/>
          </m:rPr>
          <m:t>%</m:t>
        </m:r>
      </m:oMath>
      <w:r>
        <w:rPr>
          <w:color w:val="000000"/>
        </w:rPr>
        <w:t xml:space="preserve">.</w:t>
      </w:r>
    </w:p>
    <w:bookmarkEnd w:id="86"/>
    <w:bookmarkStart w:id="87" w:name="X436abcb5a2414ea15debefb9db39e5ff63b9aae"/>
    <w:p>
      <w:pPr>
        <w:pStyle w:val="Heading2"/>
        <w:spacing w:line="360" w:lineRule="auto"/>
        <w:jc w:val="left"/>
      </w:pPr>
      <w:r>
        <w:rPr>
          <w:color w:val="000000"/>
        </w:rPr>
        <w:t xml:space="preserve">Canalización de preprocesamiento y partición</w:t>
      </w:r>
    </w:p>
    <w:p>
      <w:pPr>
        <w:pStyle w:val="FirstParagraph"/>
        <w:spacing w:line="360" w:lineRule="auto"/>
        <w:jc w:val="both"/>
      </w:pPr>
      <w:r>
        <w:rPr>
          <w:color w:val="000000"/>
        </w:rPr>
        <w:t xml:space="preserve">La preparación de datos siguió una canalización estricta para evitar fuga de información (</w:t>
      </w:r>
      <w:r>
        <w:rPr>
          <w:i/>
          <w:iCs/>
          <w:color w:val="000000"/>
        </w:rPr>
        <w:t xml:space="preserve">data leakage</w:t>
      </w:r>
      <w:r>
        <w:rPr>
          <w:color w:val="000000"/>
        </w:rPr>
        <w:t xml:space="preserve">):</w:t>
      </w:r>
    </w:p>
    <w:p>
      <w:pPr>
        <w:pStyle w:val="Compact"/>
        <w:numPr>
          <w:ilvl w:val="0"/>
          <w:numId w:val="1022"/>
        </w:numPr>
        <w:spacing w:line="360" w:lineRule="auto"/>
        <w:jc w:val="both"/>
      </w:pPr>
      <w:r>
        <w:rPr>
          <w:b/>
          <w:bCs/>
          <w:color w:val="000000"/>
        </w:rPr>
        <w:t xml:space="preserve">Limpieza e imputación:</w:t>
      </w:r>
      <w:r>
        <w:rPr>
          <w:color w:val="000000"/>
        </w:rPr>
        <w:t xml:space="preserve"> </w:t>
      </w:r>
      <w:r>
        <w:rPr>
          <w:color w:val="000000"/>
        </w:rPr>
        <w:t xml:space="preserve">Imputación por moda condicionada por estrato demográfico para valores ausentes en variables categóricas.</w:t>
      </w:r>
    </w:p>
    <w:p>
      <w:pPr>
        <w:pStyle w:val="Compact"/>
        <w:numPr>
          <w:ilvl w:val="0"/>
          <w:numId w:val="1022"/>
        </w:numPr>
        <w:spacing w:line="360" w:lineRule="auto"/>
        <w:jc w:val="both"/>
      </w:pPr>
      <w:r>
        <w:rPr>
          <w:b/>
          <w:bCs/>
          <w:color w:val="000000"/>
        </w:rPr>
        <w:t xml:space="preserve">Codificación y escalado:</w:t>
      </w:r>
      <w:r>
        <w:rPr>
          <w:color w:val="000000"/>
        </w:rPr>
        <w:t xml:space="preserve"> </w:t>
      </w:r>
      <w:r>
        <w:rPr>
          <w:color w:val="000000"/>
        </w:rPr>
        <w:t xml:space="preserve">Transformación</w:t>
      </w:r>
      <w:r>
        <w:rPr>
          <w:color w:val="000000"/>
        </w:rPr>
        <w:t xml:space="preserve"> </w:t>
      </w:r>
      <w:r>
        <w:rPr>
          <w:i/>
          <w:iCs/>
          <w:color w:val="000000"/>
        </w:rPr>
        <w:t xml:space="preserve">One-Hot Encoding</w:t>
      </w:r>
      <w:r>
        <w:rPr>
          <w:color w:val="000000"/>
        </w:rPr>
        <w:t xml:space="preserve"> </w:t>
      </w:r>
      <w:r>
        <w:rPr>
          <w:color w:val="000000"/>
        </w:rPr>
        <w:t xml:space="preserve">sobre variables categóricas (expandiendo el espacio a</w:t>
      </w:r>
      <w:r>
        <w:rPr>
          <w:color w:val="000000"/>
        </w:rPr>
        <w:t xml:space="preserve"> </w:t>
      </w:r>
      <m:oMath>
        <m:r>
          <m:t>104</m:t>
        </m:r>
      </m:oMath>
      <w:r>
        <w:rPr>
          <w:color w:val="000000"/>
        </w:rPr>
        <w:t xml:space="preserve"> </w:t>
      </w:r>
      <w:r>
        <w:rPr>
          <w:color w:val="000000"/>
        </w:rPr>
        <w:t xml:space="preserve">columnas binarias). Estandarización</w:t>
      </w:r>
      <w:r>
        <w:rPr>
          <w:color w:val="000000"/>
        </w:rPr>
        <w:t xml:space="preserve"> </w:t>
      </w:r>
      <m:oMath>
        <m:r>
          <m:t>z</m:t>
        </m:r>
      </m:oMath>
      <w:r>
        <w:rPr>
          <w:color w:val="000000"/>
        </w:rPr>
        <w:t xml:space="preserve">-score (</w:t>
      </w:r>
      <m:oMath>
        <m:r>
          <m:t>μ</m:t>
        </m:r>
        <m:r>
          <m:rPr>
            <m:sty m:val="p"/>
          </m:rPr>
          <m:t>=</m:t>
        </m:r>
        <m:r>
          <m:t>0</m:t>
        </m:r>
        <m:r>
          <m:rPr>
            <m:sty m:val="p"/>
          </m:rPr>
          <m:t>,</m:t>
        </m:r>
        <m:r>
          <m:t>σ</m:t>
        </m:r>
        <m:r>
          <m:rPr>
            <m:sty m:val="p"/>
          </m:rPr>
          <m:t>=</m:t>
        </m:r>
        <m:r>
          <m:t>1</m:t>
        </m:r>
      </m:oMath>
      <w:r>
        <w:rPr>
          <w:color w:val="000000"/>
        </w:rPr>
        <w:t xml:space="preserve">) sobre variables continuas.</w:t>
      </w:r>
    </w:p>
    <w:p>
      <w:pPr>
        <w:pStyle w:val="Compact"/>
        <w:numPr>
          <w:ilvl w:val="0"/>
          <w:numId w:val="1022"/>
        </w:numPr>
        <w:spacing w:line="360" w:lineRule="auto"/>
        <w:jc w:val="both"/>
      </w:pPr>
      <w:r>
        <w:rPr>
          <w:b/>
          <w:bCs/>
          <w:color w:val="000000"/>
        </w:rPr>
        <w:t xml:space="preserve">Partición estratificada:</w:t>
      </w:r>
      <w:r>
        <w:rPr>
          <w:color w:val="000000"/>
        </w:rPr>
        <w:t xml:space="preserve"> </w:t>
      </w:r>
      <w:r>
        <w:rPr>
          <w:color w:val="000000"/>
        </w:rPr>
        <w:t xml:space="preserve">División</w:t>
      </w:r>
      <w:r>
        <w:rPr>
          <w:color w:val="000000"/>
        </w:rPr>
        <w:t xml:space="preserve"> </w:t>
      </w:r>
      <m:oMath>
        <m:r>
          <m:t>80</m:t>
        </m:r>
        <m:r>
          <m:rPr>
            <m:sty m:val="p"/>
          </m:rPr>
          <m:t>/</m:t>
        </m:r>
        <m:r>
          <m:t>20</m:t>
        </m:r>
      </m:oMath>
      <w:r>
        <w:rPr>
          <w:color w:val="000000"/>
        </w:rPr>
        <w:t xml:space="preserve">, asignando</w:t>
      </w:r>
      <w:r>
        <w:rPr>
          <w:color w:val="000000"/>
        </w:rPr>
        <w:t xml:space="preserve"> </w:t>
      </w:r>
      <m:oMath>
        <m:r>
          <m:t>26</m:t>
        </m:r>
        <m:r>
          <m:rPr>
            <m:sty m:val="p"/>
          </m:rPr>
          <m:t>,</m:t>
        </m:r>
        <m:r>
          <m:t>048</m:t>
        </m:r>
      </m:oMath>
      <w:r>
        <w:rPr>
          <w:color w:val="000000"/>
        </w:rPr>
        <w:t xml:space="preserve"> </w:t>
      </w:r>
      <w:r>
        <w:rPr>
          <w:color w:val="000000"/>
        </w:rPr>
        <w:t xml:space="preserve">instancias a entrenamiento y</w:t>
      </w:r>
      <w:r>
        <w:rPr>
          <w:color w:val="000000"/>
        </w:rPr>
        <w:t xml:space="preserve"> </w:t>
      </w:r>
      <m:oMath>
        <m:r>
          <m:t>6</m:t>
        </m:r>
        <m:r>
          <m:rPr>
            <m:sty m:val="p"/>
          </m:rPr>
          <m:t>,</m:t>
        </m:r>
        <m:r>
          <m:t>513</m:t>
        </m:r>
      </m:oMath>
      <w:r>
        <w:rPr>
          <w:color w:val="000000"/>
        </w:rPr>
        <w:t xml:space="preserve"> </w:t>
      </w:r>
      <w:r>
        <w:rPr>
          <w:color w:val="000000"/>
        </w:rPr>
        <w:t xml:space="preserve">registros a prueba independiente para evaluar las siete compuertas en cinco bloques muestrales (</w:t>
      </w:r>
      <m:oMath>
        <m:r>
          <m:t>n</m:t>
        </m:r>
        <m:r>
          <m:rPr>
            <m:sty m:val="p"/>
          </m:rPr>
          <m:t>∈</m:t>
        </m:r>
        <m:r>
          <m:rPr>
            <m:sty m:val="p"/>
          </m:rPr>
          <m:t>{</m:t>
        </m:r>
        <m:r>
          <m:t>50</m:t>
        </m:r>
        <m:r>
          <m:rPr>
            <m:sty m:val="p"/>
          </m:rPr>
          <m:t>,</m:t>
        </m:r>
        <m:r>
          <m:t>100</m:t>
        </m:r>
        <m:r>
          <m:rPr>
            <m:sty m:val="p"/>
          </m:rPr>
          <m:t>,</m:t>
        </m:r>
        <m:r>
          <m:t>200</m:t>
        </m:r>
        <m:r>
          <m:rPr>
            <m:sty m:val="p"/>
          </m:rPr>
          <m:t>,</m:t>
        </m:r>
        <m:r>
          <m:t>500</m:t>
        </m:r>
        <m:r>
          <m:rPr>
            <m:sty m:val="p"/>
          </m:rPr>
          <m:t>,</m:t>
        </m:r>
        <m:r>
          <m:t>1000</m:t>
        </m:r>
        <m:r>
          <m:rPr>
            <m:sty m:val="p"/>
          </m:rPr>
          <m:t>}</m:t>
        </m:r>
      </m:oMath>
      <w:r>
        <w:rPr>
          <w:color w:val="000000"/>
        </w:rPr>
        <w:t xml:space="preserve">).</w:t>
      </w:r>
    </w:p>
    <w:bookmarkEnd w:id="87"/>
    <w:bookmarkStart w:id="88" w:name="X3147868378da4cd2a2698f0405205b377386939"/>
    <w:p>
      <w:pPr>
        <w:pStyle w:val="Heading2"/>
        <w:spacing w:line="360" w:lineRule="auto"/>
        <w:jc w:val="left"/>
      </w:pPr>
      <w:r>
        <w:rPr>
          <w:color w:val="000000"/>
        </w:rPr>
        <w:t xml:space="preserve">Familias de modelos predictivos evaluadas</w:t>
      </w:r>
    </w:p>
    <w:p>
      <w:pPr>
        <w:pStyle w:val="FirstParagraph"/>
        <w:spacing w:line="360" w:lineRule="auto"/>
        <w:jc w:val="both"/>
      </w:pPr>
      <w:r>
        <w:rPr>
          <w:color w:val="000000"/>
        </w:rPr>
        <w:t xml:space="preserve">Se entrenaron cinco familias de clasificadores con distinta complejidad funcional:</w:t>
      </w:r>
    </w:p>
    <w:p>
      <w:pPr>
        <w:pStyle w:val="Compact"/>
        <w:numPr>
          <w:ilvl w:val="0"/>
          <w:numId w:val="1023"/>
        </w:numPr>
        <w:spacing w:line="360" w:lineRule="auto"/>
        <w:jc w:val="both"/>
      </w:pPr>
      <w:r>
        <w:rPr>
          <w:b/>
          <w:bCs/>
          <w:color w:val="000000"/>
        </w:rPr>
        <w:t xml:space="preserve">Regresión Logística (LR):</w:t>
      </w:r>
      <w:r>
        <w:rPr>
          <w:color w:val="000000"/>
        </w:rPr>
        <w:t xml:space="preserve"> </w:t>
      </w:r>
      <w:r>
        <w:rPr>
          <w:color w:val="000000"/>
        </w:rPr>
        <w:t xml:space="preserve">Modelo lineal convexo regularizado L2 (</w:t>
      </w:r>
      <m:oMath>
        <m:r>
          <m:t>C</m:t>
        </m:r>
        <m:r>
          <m:rPr>
            <m:sty m:val="p"/>
          </m:rPr>
          <m:t>=</m:t>
        </m:r>
        <m:r>
          <m:t>1.0</m:t>
        </m:r>
      </m:oMath>
      <w:r>
        <w:rPr>
          <w:color w:val="000000"/>
        </w:rPr>
        <w:t xml:space="preserve">), empleado como línea base interpretable (</w:t>
      </w:r>
      <m:oMath>
        <m:r>
          <m:t>A</m:t>
        </m:r>
        <m:r>
          <m:t>U</m:t>
        </m:r>
        <m:r>
          <m:t>C</m:t>
        </m:r>
        <m:r>
          <m:rPr>
            <m:sty m:val="p"/>
          </m:rPr>
          <m:t>=</m:t>
        </m:r>
        <m:r>
          <m:t>0.852</m:t>
        </m:r>
      </m:oMath>
      <w:r>
        <w:rPr>
          <w:color w:val="000000"/>
        </w:rPr>
        <w:t xml:space="preserve">).</w:t>
      </w:r>
    </w:p>
    <w:p>
      <w:pPr>
        <w:pStyle w:val="Compact"/>
        <w:numPr>
          <w:ilvl w:val="0"/>
          <w:numId w:val="1023"/>
        </w:numPr>
        <w:spacing w:line="360" w:lineRule="auto"/>
        <w:jc w:val="both"/>
      </w:pPr>
      <w:r>
        <w:rPr>
          <w:b/>
          <w:bCs/>
          <w:color w:val="000000"/>
        </w:rPr>
        <w:t xml:space="preserve">Árbol de Decisión (DT):</w:t>
      </w:r>
      <w:r>
        <w:rPr>
          <w:color w:val="000000"/>
        </w:rPr>
        <w:t xml:space="preserve"> </w:t>
      </w:r>
      <w:r>
        <w:rPr>
          <w:color w:val="000000"/>
        </w:rPr>
        <w:t xml:space="preserve">Modelo no lineal ortogonal con criterio Gini y profundidad</w:t>
      </w:r>
      <w:r>
        <w:rPr>
          <w:color w:val="000000"/>
        </w:rPr>
        <w:t xml:space="preserve"> </w:t>
      </w:r>
      <m:oMath>
        <m:r>
          <m:t>d</m:t>
        </m:r>
        <m:r>
          <m:rPr>
            <m:sty m:val="p"/>
          </m:rPr>
          <m:t>=</m:t>
        </m:r>
        <m:r>
          <m:t>5</m:t>
        </m:r>
      </m:oMath>
      <w:r>
        <w:rPr>
          <w:color w:val="000000"/>
        </w:rPr>
        <w:t xml:space="preserve"> </w:t>
      </w:r>
      <w:r>
        <w:rPr>
          <w:color w:val="000000"/>
        </w:rPr>
        <w:t xml:space="preserve">(</w:t>
      </w:r>
      <m:oMath>
        <m:r>
          <m:t>A</m:t>
        </m:r>
        <m:r>
          <m:t>U</m:t>
        </m:r>
        <m:r>
          <m:t>C</m:t>
        </m:r>
        <m:r>
          <m:rPr>
            <m:sty m:val="p"/>
          </m:rPr>
          <m:t>=</m:t>
        </m:r>
        <m:r>
          <m:t>0.841</m:t>
        </m:r>
      </m:oMath>
      <w:r>
        <w:rPr>
          <w:color w:val="000000"/>
        </w:rPr>
        <w:t xml:space="preserve">).</w:t>
      </w:r>
    </w:p>
    <w:p>
      <w:pPr>
        <w:pStyle w:val="Compact"/>
        <w:numPr>
          <w:ilvl w:val="0"/>
          <w:numId w:val="1023"/>
        </w:numPr>
        <w:spacing w:line="360" w:lineRule="auto"/>
        <w:jc w:val="both"/>
      </w:pPr>
      <w:r>
        <w:rPr>
          <w:b/>
          <w:bCs/>
          <w:color w:val="000000"/>
        </w:rPr>
        <w:t xml:space="preserve">Bosque Aleatorio (RF):</w:t>
      </w:r>
      <w:r>
        <w:rPr>
          <w:color w:val="000000"/>
        </w:rPr>
        <w:t xml:space="preserve"> </w:t>
      </w:r>
      <w:r>
        <w:rPr>
          <w:color w:val="000000"/>
        </w:rPr>
        <w:t xml:space="preserve">Ensamble</w:t>
      </w:r>
      <w:r>
        <w:rPr>
          <w:color w:val="000000"/>
        </w:rPr>
        <w:t xml:space="preserve"> </w:t>
      </w:r>
      <w:r>
        <w:rPr>
          <w:i/>
          <w:iCs/>
          <w:color w:val="000000"/>
        </w:rPr>
        <w:t xml:space="preserve">bagging</w:t>
      </w:r>
      <w:r>
        <w:rPr>
          <w:color w:val="000000"/>
        </w:rPr>
        <w:t xml:space="preserve"> </w:t>
      </w:r>
      <w:r>
        <w:rPr>
          <w:color w:val="000000"/>
        </w:rPr>
        <w:t xml:space="preserve">de 100 árboles no podados con submuestreo de</w:t>
      </w:r>
      <w:r>
        <w:rPr>
          <w:color w:val="000000"/>
        </w:rPr>
        <w:t xml:space="preserve"> </w:t>
      </w:r>
      <m:oMath>
        <m:rad>
          <m:radPr>
            <m:degHide m:val="on"/>
          </m:radPr>
          <m:deg/>
          <m:e>
            <m:r>
              <m:t>p</m:t>
            </m:r>
          </m:e>
        </m:rad>
      </m:oMath>
      <w:r>
        <w:rPr>
          <w:color w:val="000000"/>
        </w:rPr>
        <w:t xml:space="preserve"> </w:t>
      </w:r>
      <w:r>
        <w:rPr>
          <w:color w:val="000000"/>
        </w:rPr>
        <w:t xml:space="preserve">variables (</w:t>
      </w:r>
      <m:oMath>
        <m:r>
          <m:t>A</m:t>
        </m:r>
        <m:r>
          <m:t>U</m:t>
        </m:r>
        <m:r>
          <m:t>C</m:t>
        </m:r>
        <m:r>
          <m:rPr>
            <m:sty m:val="p"/>
          </m:rPr>
          <m:t>=</m:t>
        </m:r>
        <m:r>
          <m:t>0.898</m:t>
        </m:r>
      </m:oMath>
      <w:r>
        <w:rPr>
          <w:color w:val="000000"/>
        </w:rPr>
        <w:t xml:space="preserve">).</w:t>
      </w:r>
    </w:p>
    <w:p>
      <w:pPr>
        <w:pStyle w:val="Compact"/>
        <w:numPr>
          <w:ilvl w:val="0"/>
          <w:numId w:val="1023"/>
        </w:numPr>
        <w:spacing w:line="360" w:lineRule="auto"/>
        <w:jc w:val="both"/>
      </w:pPr>
      <w:r>
        <w:rPr>
          <w:b/>
          <w:bCs/>
          <w:color w:val="000000"/>
        </w:rPr>
        <w:t xml:space="preserve">XGBoost (XGB):</w:t>
      </w:r>
      <w:r>
        <w:rPr>
          <w:color w:val="000000"/>
        </w:rPr>
        <w:t xml:space="preserve"> </w:t>
      </w:r>
      <w:r>
        <w:rPr>
          <w:color w:val="000000"/>
        </w:rPr>
        <w:t xml:space="preserve">Ensamble</w:t>
      </w:r>
      <w:r>
        <w:rPr>
          <w:color w:val="000000"/>
        </w:rPr>
        <w:t xml:space="preserve"> </w:t>
      </w:r>
      <w:r>
        <w:rPr>
          <w:i/>
          <w:iCs/>
          <w:color w:val="000000"/>
        </w:rPr>
        <w:t xml:space="preserve">gradient boosting</w:t>
      </w:r>
      <w:r>
        <w:rPr>
          <w:color w:val="000000"/>
        </w:rPr>
        <w:t xml:space="preserve"> </w:t>
      </w:r>
      <w:r>
        <w:rPr>
          <w:color w:val="000000"/>
        </w:rPr>
        <w:t xml:space="preserve">con 100 estimadores, profundidad</w:t>
      </w:r>
      <w:r>
        <w:rPr>
          <w:color w:val="000000"/>
        </w:rPr>
        <w:t xml:space="preserve"> </w:t>
      </w:r>
      <m:oMath>
        <m:r>
          <m:t>d</m:t>
        </m:r>
        <m:r>
          <m:rPr>
            <m:sty m:val="p"/>
          </m:rPr>
          <m:t>=</m:t>
        </m:r>
        <m:r>
          <m:t>6</m:t>
        </m:r>
      </m:oMath>
      <w:r>
        <w:rPr>
          <w:color w:val="000000"/>
        </w:rPr>
        <w:t xml:space="preserve">, tasa</w:t>
      </w:r>
      <w:r>
        <w:rPr>
          <w:color w:val="000000"/>
        </w:rPr>
        <w:t xml:space="preserve"> </w:t>
      </w:r>
      <m:oMath>
        <m:r>
          <m:t>η</m:t>
        </m:r>
        <m:r>
          <m:rPr>
            <m:sty m:val="p"/>
          </m:rPr>
          <m:t>=</m:t>
        </m:r>
        <m:r>
          <m:t>0.1</m:t>
        </m:r>
      </m:oMath>
      <w:r>
        <w:rPr>
          <w:color w:val="000000"/>
        </w:rPr>
        <w:t xml:space="preserve"> </w:t>
      </w:r>
      <w:r>
        <w:rPr>
          <w:color w:val="000000"/>
        </w:rPr>
        <w:t xml:space="preserve">y penalización L2 (</w:t>
      </w:r>
      <m:oMath>
        <m:r>
          <m:t>A</m:t>
        </m:r>
        <m:r>
          <m:t>U</m:t>
        </m:r>
        <m:r>
          <m:t>C</m:t>
        </m:r>
        <m:r>
          <m:rPr>
            <m:sty m:val="p"/>
          </m:rPr>
          <m:t>=</m:t>
        </m:r>
        <m:r>
          <m:t>0.917</m:t>
        </m:r>
      </m:oMath>
      <w:r>
        <w:rPr>
          <w:color w:val="000000"/>
        </w:rPr>
        <w:t xml:space="preserve">).</w:t>
      </w:r>
    </w:p>
    <w:p>
      <w:pPr>
        <w:pStyle w:val="Compact"/>
        <w:numPr>
          <w:ilvl w:val="0"/>
          <w:numId w:val="1023"/>
        </w:numPr>
        <w:spacing w:line="360" w:lineRule="auto"/>
        <w:jc w:val="both"/>
      </w:pPr>
      <w:r>
        <w:rPr>
          <w:b/>
          <w:bCs/>
          <w:color w:val="000000"/>
        </w:rPr>
        <w:t xml:space="preserve">Perceptrón Multicapa (MLP):</w:t>
      </w:r>
      <w:r>
        <w:rPr>
          <w:color w:val="000000"/>
        </w:rPr>
        <w:t xml:space="preserve"> </w:t>
      </w:r>
      <w:r>
        <w:rPr>
          <w:color w:val="000000"/>
        </w:rPr>
        <w:t xml:space="preserve">Red neuronal densa de 3 capas ocultas (64 neuronas cada una), activaciones ReLU y optimizador Adam (</w:t>
      </w:r>
      <m:oMath>
        <m:r>
          <m:t>A</m:t>
        </m:r>
        <m:r>
          <m:t>U</m:t>
        </m:r>
        <m:r>
          <m:t>C</m:t>
        </m:r>
        <m:r>
          <m:rPr>
            <m:sty m:val="p"/>
          </m:rPr>
          <m:t>=</m:t>
        </m:r>
        <m:r>
          <m:t>0.891</m:t>
        </m:r>
      </m:oMath>
      <w:r>
        <w:rPr>
          <w:color w:val="000000"/>
        </w:rPr>
        <w:t xml:space="preserve">).</w:t>
      </w:r>
    </w:p>
    <w:bookmarkEnd w:id="88"/>
    <w:bookmarkStart w:id="89" w:name="entorno-de-ejecución-y-reproducibilidad"/>
    <w:p>
      <w:pPr>
        <w:pStyle w:val="Heading2"/>
        <w:spacing w:line="360" w:lineRule="auto"/>
        <w:jc w:val="left"/>
      </w:pPr>
      <w:r>
        <w:rPr>
          <w:color w:val="000000"/>
        </w:rPr>
        <w:t xml:space="preserve">Entorno de ejecución y reproducibilidad</w:t>
      </w:r>
    </w:p>
    <w:p>
      <w:pPr>
        <w:pStyle w:val="FirstParagraph"/>
        <w:spacing w:line="360" w:lineRule="auto"/>
        <w:jc w:val="both"/>
      </w:pPr>
      <w:r>
        <w:rPr>
          <w:color w:val="000000"/>
        </w:rPr>
        <w:t xml:space="preserve">Los experimentos se ejecutaron en Python 3.10 sobre una estación AMD Ryzen 9 5900X (12 núcleos, 24 hilos) con 64 GB de RAM. Se fijó una semilla global determinista (</w:t>
      </w:r>
      <w:r>
        <w:rPr>
          <w:rStyle w:val="VerbatimChar"/>
          <w:color w:val="000000"/>
        </w:rPr>
        <w:t xml:space="preserve">seed=42</w:t>
      </w:r>
      <w:r>
        <w:rPr>
          <w:color w:val="000000"/>
        </w:rPr>
        <w:t xml:space="preserve">) para garantizar la reproducibilidad completa.</w:t>
      </w:r>
    </w:p>
    <w:bookmarkEnd w:id="89"/>
    <w:bookmarkStart w:id="90" w:name="X25bab4bee3fe83c8b751a7945c40aa51296efbf"/>
    <w:p>
      <w:pPr>
        <w:pStyle w:val="Heading2"/>
        <w:spacing w:line="360" w:lineRule="auto"/>
        <w:jc w:val="left"/>
      </w:pPr>
      <w:r>
        <w:rPr>
          <w:color w:val="000000"/>
        </w:rPr>
        <w:t xml:space="preserve">Protocolo de significancia estadística: Pruebas de Friedman y Nemenyi</w:t>
      </w:r>
    </w:p>
    <w:p>
      <w:pPr>
        <w:pStyle w:val="FirstParagraph"/>
        <w:spacing w:line="360" w:lineRule="auto"/>
        <w:jc w:val="both"/>
      </w:pPr>
      <w:r>
        <w:rPr>
          <w:color w:val="000000"/>
        </w:rPr>
        <w:t xml:space="preserve">Para certificar si las divergencias en FOM-7 reflejan diferencias algorítmicas genuinas, se aplicó el protocolo no paramétrico de Demšar (2006):</w:t>
      </w:r>
    </w:p>
    <w:p>
      <w:pPr>
        <w:pStyle w:val="Compact"/>
        <w:numPr>
          <w:ilvl w:val="0"/>
          <w:numId w:val="1024"/>
        </w:numPr>
        <w:spacing w:line="360" w:lineRule="auto"/>
        <w:jc w:val="both"/>
      </w:pPr>
      <w:r>
        <w:rPr>
          <w:b/>
          <w:bCs/>
          <w:color w:val="000000"/>
        </w:rPr>
        <w:t xml:space="preserve">Prueba de rangos alineados de Friedman:</w:t>
      </w:r>
      <w:r>
        <w:rPr>
          <w:color w:val="000000"/>
        </w:rPr>
        <w:t xml:space="preserve"> </w:t>
      </w:r>
      <w:r>
        <w:rPr>
          <w:color w:val="000000"/>
        </w:rPr>
        <w:t xml:space="preserve">Contrasta la hipótesis nula (</w:t>
      </w:r>
      <m:oMath>
        <m:sSub>
          <m:e>
            <m:r>
              <m:t>H</m:t>
            </m:r>
          </m:e>
          <m:sub>
            <m:r>
              <m:t>0</m:t>
            </m:r>
          </m:sub>
        </m:sSub>
      </m:oMath>
      <w:r>
        <w:rPr>
          <w:color w:val="000000"/>
        </w:rPr>
        <w:t xml:space="preserve">) de rendimiento equivalente en rangos promedio:</w:t>
      </w:r>
    </w:p>
    <w:p>
      <w:pPr>
        <w:pStyle w:val="FirstParagraph"/>
        <w:spacing w:line="360" w:lineRule="auto"/>
      </w:pPr>
      <m:oMathPara>
        <m:oMathParaPr>
          <m:jc m:val="center"/>
        </m:oMathParaPr>
        <m:oMath>
          <m:sSubSup>
            <m:e>
              <m:r>
                <m:t>χ</m:t>
              </m:r>
            </m:e>
            <m:sub>
              <m:r>
                <m:t>F</m:t>
              </m:r>
            </m:sub>
            <m:sup>
              <m:r>
                <m:t>2</m:t>
              </m:r>
            </m:sup>
          </m:sSubSup>
          <m:r>
            <m:rPr>
              <m:sty m:val="p"/>
            </m:rPr>
            <m:t>=</m:t>
          </m:r>
          <m:f>
            <m:fPr>
              <m:type m:val="bar"/>
            </m:fPr>
            <m:num>
              <m:r>
                <m:t>12</m:t>
              </m:r>
              <m:r>
                <m:t>N</m:t>
              </m:r>
            </m:num>
            <m:den>
              <m:r>
                <m:t>k</m:t>
              </m:r>
              <m:r>
                <m:rPr>
                  <m:sty m:val="p"/>
                </m:rPr>
                <m:t>(</m:t>
              </m:r>
              <m:r>
                <m:t>k</m:t>
              </m:r>
              <m:r>
                <m:rPr>
                  <m:sty m:val="p"/>
                </m:rPr>
                <m:t>+</m:t>
              </m:r>
              <m:r>
                <m:t>1</m:t>
              </m:r>
              <m:r>
                <m:rPr>
                  <m:sty m:val="p"/>
                </m:rPr>
                <m:t>)</m:t>
              </m:r>
            </m:den>
          </m:f>
          <m:d>
            <m:dPr>
              <m:begChr m:val="["/>
              <m:sepChr m:val=""/>
              <m:endChr m:val="]"/>
              <m:grow/>
            </m:dPr>
            <m:e>
              <m:nary>
                <m:naryPr>
                  <m:chr m:val="∑"/>
                  <m:limLoc m:val="undOvr"/>
                  <m:subHide m:val="off"/>
                  <m:supHide m:val="off"/>
                </m:naryPr>
                <m:sub>
                  <m:r>
                    <m:t>j</m:t>
                  </m:r>
                  <m:r>
                    <m:rPr>
                      <m:sty m:val="p"/>
                    </m:rPr>
                    <m:t>=</m:t>
                  </m:r>
                  <m:r>
                    <m:t>1</m:t>
                  </m:r>
                </m:sub>
                <m:sup>
                  <m:r>
                    <m:t>k</m:t>
                  </m:r>
                </m:sup>
                <m:e>
                  <m:sSubSup>
                    <m:e>
                      <m:r>
                        <m:t>R</m:t>
                      </m:r>
                    </m:e>
                    <m:sub>
                      <m:r>
                        <m:t>j</m:t>
                      </m:r>
                    </m:sub>
                    <m:sup>
                      <m:r>
                        <m:t>2</m:t>
                      </m:r>
                    </m:sup>
                  </m:sSubSup>
                </m:e>
              </m:nary>
              <m:r>
                <m:rPr>
                  <m:sty m:val="p"/>
                </m:rPr>
                <m:t>−</m:t>
              </m:r>
              <m:f>
                <m:fPr>
                  <m:type m:val="bar"/>
                </m:fPr>
                <m:num>
                  <m:r>
                    <m:t>k</m:t>
                  </m:r>
                  <m:r>
                    <m:rPr>
                      <m:sty m:val="p"/>
                    </m:rPr>
                    <m:t>(</m:t>
                  </m:r>
                  <m:r>
                    <m:t>k</m:t>
                  </m:r>
                  <m:r>
                    <m:rPr>
                      <m:sty m:val="p"/>
                    </m:rPr>
                    <m:t>+</m:t>
                  </m:r>
                  <m:r>
                    <m:t>1</m:t>
                  </m:r>
                  <m:sSup>
                    <m:e>
                      <m:r>
                        <m:rPr>
                          <m:sty m:val="p"/>
                        </m:rPr>
                        <m:t>)</m:t>
                      </m:r>
                    </m:e>
                    <m:sup>
                      <m:r>
                        <m:t>2</m:t>
                      </m:r>
                    </m:sup>
                  </m:sSup>
                </m:num>
                <m:den>
                  <m:r>
                    <m:t>4</m:t>
                  </m:r>
                </m:den>
              </m:f>
            </m:e>
          </m:d>
        </m:oMath>
      </m:oMathPara>
    </w:p>
    <w:p>
      <w:pPr>
        <w:pStyle w:val="FirstParagraph"/>
        <w:spacing w:line="360" w:lineRule="auto"/>
        <w:jc w:val="both"/>
      </w:pPr>
      <w:r>
        <w:rPr>
          <w:color w:val="000000"/>
        </w:rPr>
        <w:t xml:space="preserve">donde</w:t>
      </w:r>
      <w:r>
        <w:rPr>
          <w:color w:val="000000"/>
        </w:rPr>
        <w:t xml:space="preserve"> </w:t>
      </w:r>
      <m:oMath>
        <m:r>
          <m:t>k</m:t>
        </m:r>
        <m:r>
          <m:rPr>
            <m:sty m:val="p"/>
          </m:rPr>
          <m:t>=</m:t>
        </m:r>
        <m:r>
          <m:t>4</m:t>
        </m:r>
      </m:oMath>
      <w:r>
        <w:rPr>
          <w:color w:val="000000"/>
        </w:rPr>
        <w:t xml:space="preserve"> </w:t>
      </w:r>
      <w:r>
        <w:rPr>
          <w:color w:val="000000"/>
        </w:rPr>
        <w:t xml:space="preserve">explicadores,</w:t>
      </w:r>
      <w:r>
        <w:rPr>
          <w:color w:val="000000"/>
        </w:rPr>
        <w:t xml:space="preserve"> </w:t>
      </w:r>
      <m:oMath>
        <m:r>
          <m:t>N</m:t>
        </m:r>
        <m:r>
          <m:rPr>
            <m:sty m:val="p"/>
          </m:rPr>
          <m:t>=</m:t>
        </m:r>
        <m:r>
          <m:t>15</m:t>
        </m:r>
      </m:oMath>
      <w:r>
        <w:rPr>
          <w:color w:val="000000"/>
        </w:rPr>
        <w:t xml:space="preserve"> </w:t>
      </w:r>
      <w:r>
        <w:rPr>
          <w:color w:val="000000"/>
        </w:rPr>
        <w:t xml:space="preserve">bloques experimentales y</w:t>
      </w:r>
      <w:r>
        <w:rPr>
          <w:color w:val="000000"/>
        </w:rPr>
        <w:t xml:space="preserve"> </w:t>
      </w:r>
      <m:oMath>
        <m:sSub>
          <m:e>
            <m:r>
              <m:t>R</m:t>
            </m:r>
          </m:e>
          <m:sub>
            <m:r>
              <m:t>j</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Sup>
              <m:e>
                <m:r>
                  <m:t>r</m:t>
                </m:r>
              </m:e>
              <m:sub>
                <m:r>
                  <m:t>i</m:t>
                </m:r>
              </m:sub>
              <m:sup>
                <m:r>
                  <m:t>j</m:t>
                </m:r>
              </m:sup>
            </m:sSubSup>
          </m:e>
        </m:nary>
      </m:oMath>
      <w:r>
        <w:rPr>
          <w:color w:val="000000"/>
        </w:rPr>
        <w:t xml:space="preserve"> </w:t>
      </w:r>
      <w:r>
        <w:rPr>
          <w:color w:val="000000"/>
        </w:rPr>
        <w:t xml:space="preserve">es el rango medio del explicador</w:t>
      </w:r>
      <w:r>
        <w:rPr>
          <w:color w:val="000000"/>
        </w:rPr>
        <w:t xml:space="preserve"> </w:t>
      </w:r>
      <m:oMath>
        <m:r>
          <m:t>j</m:t>
        </m:r>
      </m:oMath>
      <w:r>
        <w:rPr>
          <w:color w:val="000000"/>
        </w:rPr>
        <w:t xml:space="preserve">. Si los métodos fuesen indistinguibles, sus rangos coincidirían (</w:t>
      </w:r>
      <m:oMath>
        <m:sSub>
          <m:e>
            <m:r>
              <m:t>R</m:t>
            </m:r>
          </m:e>
          <m:sub>
            <m:r>
              <m:t>j</m:t>
            </m:r>
          </m:sub>
        </m:sSub>
        <m:r>
          <m:rPr>
            <m:sty m:val="p"/>
          </m:rPr>
          <m:t>≈</m:t>
        </m:r>
        <m:r>
          <m:t>2.5</m:t>
        </m:r>
      </m:oMath>
      <w:r>
        <w:rPr>
          <w:color w:val="000000"/>
        </w:rPr>
        <w:t xml:space="preserve">) y</w:t>
      </w:r>
      <w:r>
        <w:rPr>
          <w:color w:val="000000"/>
        </w:rPr>
        <w:t xml:space="preserve"> </w:t>
      </w:r>
      <m:oMath>
        <m:sSubSup>
          <m:e>
            <m:r>
              <m:t>χ</m:t>
            </m:r>
          </m:e>
          <m:sub>
            <m:r>
              <m:t>F</m:t>
            </m:r>
          </m:sub>
          <m:sup>
            <m:r>
              <m:t>2</m:t>
            </m:r>
          </m:sup>
        </m:sSubSup>
      </m:oMath>
      <w:r>
        <w:rPr>
          <w:color w:val="000000"/>
        </w:rPr>
        <w:t xml:space="preserve"> </w:t>
      </w:r>
      <w:r>
        <w:rPr>
          <w:color w:val="000000"/>
        </w:rPr>
        <w:t xml:space="preserve">tendería a cero. Un valor de</w:t>
      </w:r>
      <w:r>
        <w:rPr>
          <w:color w:val="000000"/>
        </w:rPr>
        <w:t xml:space="preserve"> </w:t>
      </w:r>
      <m:oMath>
        <m:sSubSup>
          <m:e>
            <m:r>
              <m:t>χ</m:t>
            </m:r>
          </m:e>
          <m:sub>
            <m:r>
              <m:t>F</m:t>
            </m:r>
          </m:sub>
          <m:sup>
            <m:r>
              <m:t>2</m:t>
            </m:r>
          </m:sup>
        </m:sSubSup>
      </m:oMath>
      <w:r>
        <w:rPr>
          <w:color w:val="000000"/>
        </w:rPr>
        <w:t xml:space="preserve"> </w:t>
      </w:r>
      <w:r>
        <w:rPr>
          <w:color w:val="000000"/>
        </w:rPr>
        <w:t xml:space="preserve">con</w:t>
      </w:r>
      <w:r>
        <w:rPr>
          <w:color w:val="000000"/>
        </w:rPr>
        <w:t xml:space="preserve"> </w:t>
      </w:r>
      <m:oMath>
        <m:r>
          <m:t>p</m:t>
        </m:r>
        <m:r>
          <m:rPr>
            <m:sty m:val="p"/>
          </m:rPr>
          <m:t>&lt;</m:t>
        </m:r>
        <m:r>
          <m:t>0.001</m:t>
        </m:r>
      </m:oMath>
      <w:r>
        <w:rPr>
          <w:color w:val="000000"/>
        </w:rPr>
        <w:t xml:space="preserve"> </w:t>
      </w:r>
      <w:r>
        <w:rPr>
          <w:color w:val="000000"/>
        </w:rPr>
        <w:t xml:space="preserve">rechaza formalmente la equivalencia.</w:t>
      </w:r>
    </w:p>
    <w:p>
      <w:pPr>
        <w:pStyle w:val="Compact"/>
        <w:numPr>
          <w:ilvl w:val="0"/>
          <w:numId w:val="1025"/>
        </w:numPr>
        <w:spacing w:line="360" w:lineRule="auto"/>
        <w:jc w:val="both"/>
      </w:pPr>
      <w:r>
        <w:rPr>
          <w:b/>
          <w:bCs/>
          <w:color w:val="000000"/>
        </w:rPr>
        <w:t xml:space="preserve">Prueba post-hoc de Diferencia Crítica de Nemenyi:</w:t>
      </w:r>
      <w:r>
        <w:rPr>
          <w:color w:val="000000"/>
        </w:rPr>
        <w:t xml:space="preserve"> </w:t>
      </w:r>
      <w:r>
        <w:rPr>
          <w:color w:val="000000"/>
        </w:rPr>
        <w:t xml:space="preserve">Tras rechazar</w:t>
      </w:r>
      <w:r>
        <w:rPr>
          <w:color w:val="000000"/>
        </w:rPr>
        <w:t xml:space="preserve"> </w:t>
      </w:r>
      <m:oMath>
        <m:sSub>
          <m:e>
            <m:r>
              <m:t>H</m:t>
            </m:r>
          </m:e>
          <m:sub>
            <m:r>
              <m:t>0</m:t>
            </m:r>
          </m:sub>
        </m:sSub>
      </m:oMath>
      <w:r>
        <w:rPr>
          <w:color w:val="000000"/>
        </w:rPr>
        <w:t xml:space="preserve">, se calcula la Diferencia Crítica (</w:t>
      </w:r>
      <m:oMath>
        <m:r>
          <m:t>C</m:t>
        </m:r>
        <m:r>
          <m:t>D</m:t>
        </m:r>
      </m:oMath>
      <w:r>
        <w:rPr>
          <w:color w:val="000000"/>
        </w:rPr>
        <w:t xml:space="preserve">) a dos colas con</w:t>
      </w:r>
      <w:r>
        <w:rPr>
          <w:color w:val="000000"/>
        </w:rPr>
        <w:t xml:space="preserve"> </w:t>
      </w:r>
      <m:oMath>
        <m:r>
          <m:t>α</m:t>
        </m:r>
        <m:r>
          <m:rPr>
            <m:sty m:val="p"/>
          </m:rPr>
          <m:t>=</m:t>
        </m:r>
        <m:r>
          <m:t>0.05</m:t>
        </m:r>
      </m:oMath>
      <w:r>
        <w:rPr>
          <w:color w:val="000000"/>
        </w:rPr>
        <w:t xml:space="preserve">:</w:t>
      </w:r>
    </w:p>
    <w:p>
      <w:pPr>
        <w:pStyle w:val="FirstParagraph"/>
        <w:spacing w:line="360" w:lineRule="auto"/>
      </w:pPr>
      <m:oMathPara>
        <m:oMathParaPr>
          <m:jc m:val="center"/>
        </m:oMathParaPr>
        <m:oMath>
          <m:r>
            <m:t>C</m:t>
          </m:r>
          <m:r>
            <m:t>D</m:t>
          </m:r>
          <m:r>
            <m:rPr>
              <m:sty m:val="p"/>
            </m:rPr>
            <m:t>=</m:t>
          </m:r>
          <m:sSub>
            <m:e>
              <m:r>
                <m:t>q</m:t>
              </m:r>
            </m:e>
            <m:sub>
              <m:r>
                <m:t>α</m:t>
              </m:r>
            </m:sub>
          </m:sSub>
          <m:rad>
            <m:radPr>
              <m:degHide m:val="on"/>
            </m:radPr>
            <m:deg/>
            <m:e>
              <m:f>
                <m:fPr>
                  <m:type m:val="bar"/>
                </m:fPr>
                <m:num>
                  <m:r>
                    <m:t>k</m:t>
                  </m:r>
                  <m:r>
                    <m:rPr>
                      <m:sty m:val="p"/>
                    </m:rPr>
                    <m:t>(</m:t>
                  </m:r>
                  <m:r>
                    <m:t>k</m:t>
                  </m:r>
                  <m:r>
                    <m:rPr>
                      <m:sty m:val="p"/>
                    </m:rPr>
                    <m:t>+</m:t>
                  </m:r>
                  <m:r>
                    <m:t>1</m:t>
                  </m:r>
                  <m:r>
                    <m:rPr>
                      <m:sty m:val="p"/>
                    </m:rPr>
                    <m:t>)</m:t>
                  </m:r>
                </m:num>
                <m:den>
                  <m:r>
                    <m:t>6</m:t>
                  </m:r>
                  <m:r>
                    <m:t>N</m:t>
                  </m:r>
                </m:den>
              </m:f>
            </m:e>
          </m:rad>
        </m:oMath>
      </m:oMathPara>
    </w:p>
    <w:p>
      <w:pPr>
        <w:pStyle w:val="FirstParagraph"/>
        <w:spacing w:line="360" w:lineRule="auto"/>
        <w:jc w:val="both"/>
      </w:pPr>
      <w:r>
        <w:rPr>
          <w:color w:val="000000"/>
        </w:rPr>
        <w:t xml:space="preserve">donde</w:t>
      </w:r>
      <w:r>
        <w:rPr>
          <w:color w:val="000000"/>
        </w:rPr>
        <w:t xml:space="preserve"> </w:t>
      </w:r>
      <m:oMath>
        <m:sSub>
          <m:e>
            <m:r>
              <m:t>q</m:t>
            </m:r>
          </m:e>
          <m:sub>
            <m:r>
              <m:t>0.05</m:t>
            </m:r>
          </m:sub>
        </m:sSub>
        <m:r>
          <m:rPr>
            <m:sty m:val="p"/>
          </m:rPr>
          <m:t>=</m:t>
        </m:r>
        <m:r>
          <m:t>2.569</m:t>
        </m:r>
      </m:oMath>
      <w:r>
        <w:rPr>
          <w:color w:val="000000"/>
        </w:rPr>
        <w:t xml:space="preserve"> </w:t>
      </w:r>
      <w:r>
        <w:rPr>
          <w:color w:val="000000"/>
        </w:rPr>
        <w:t xml:space="preserve">es el valor crítico de la distribución de rango studentizado para</w:t>
      </w:r>
      <w:r>
        <w:rPr>
          <w:color w:val="000000"/>
        </w:rPr>
        <w:t xml:space="preserve"> </w:t>
      </w:r>
      <m:oMath>
        <m:r>
          <m:t>k</m:t>
        </m:r>
        <m:r>
          <m:rPr>
            <m:sty m:val="p"/>
          </m:rPr>
          <m:t>=</m:t>
        </m:r>
        <m:r>
          <m:t>4</m:t>
        </m:r>
      </m:oMath>
      <w:r>
        <w:rPr>
          <w:color w:val="000000"/>
        </w:rPr>
        <w:t xml:space="preserve">. Si la separación entre los rangos promedio de dos explicadores</w:t>
      </w:r>
      <w:r>
        <w:rPr>
          <w:color w:val="000000"/>
        </w:rPr>
        <w:t xml:space="preserve"> </w:t>
      </w:r>
      <m:oMath>
        <m:r>
          <m:rPr>
            <m:sty m:val="p"/>
          </m:rPr>
          <m:t>|</m:t>
        </m:r>
        <m:sSub>
          <m:e>
            <m:r>
              <m:t>R</m:t>
            </m:r>
          </m:e>
          <m:sub>
            <m:r>
              <m:t>a</m:t>
            </m:r>
          </m:sub>
        </m:sSub>
        <m:r>
          <m:rPr>
            <m:sty m:val="p"/>
          </m:rPr>
          <m:t>−</m:t>
        </m:r>
        <m:sSub>
          <m:e>
            <m:r>
              <m:t>R</m:t>
            </m:r>
          </m:e>
          <m:sub>
            <m:r>
              <m:t>b</m:t>
            </m:r>
          </m:sub>
        </m:sSub>
        <m:r>
          <m:rPr>
            <m:sty m:val="p"/>
          </m:rPr>
          <m:t>|</m:t>
        </m:r>
      </m:oMath>
      <w:r>
        <w:rPr>
          <w:color w:val="000000"/>
        </w:rPr>
        <w:t xml:space="preserve"> </w:t>
      </w:r>
      <w:r>
        <w:rPr>
          <w:color w:val="000000"/>
        </w:rPr>
        <w:t xml:space="preserve">supera</w:t>
      </w:r>
      <w:r>
        <w:rPr>
          <w:color w:val="000000"/>
        </w:rPr>
        <w:t xml:space="preserve"> </w:t>
      </w:r>
      <m:oMath>
        <m:r>
          <m:t>C</m:t>
        </m:r>
        <m:r>
          <m:t>D</m:t>
        </m:r>
      </m:oMath>
      <w:r>
        <w:rPr>
          <w:color w:val="000000"/>
        </w:rPr>
        <w:t xml:space="preserve">, la diferencia es estadísticamente significativa al</w:t>
      </w:r>
      <w:r>
        <w:rPr>
          <w:color w:val="000000"/>
        </w:rPr>
        <w:t xml:space="preserve"> </w:t>
      </w:r>
      <m:oMath>
        <m:r>
          <m:t>95</m:t>
        </m:r>
        <m:r>
          <m:rPr>
            <m:sty m:val="p"/>
          </m:rPr>
          <m:t>%</m:t>
        </m:r>
      </m:oMath>
      <w:r>
        <w:rPr>
          <w:color w:val="000000"/>
        </w:rPr>
        <w:t xml:space="preserve"> </w:t>
      </w:r>
      <w:r>
        <w:rPr>
          <w:color w:val="000000"/>
        </w:rPr>
        <w:t xml:space="preserve">de confianza.</w:t>
      </w:r>
    </w:p>
    <w:bookmarkEnd w:id="90"/>
    <w:bookmarkEnd w:id="91"/>
    <w:bookmarkStart w:id="109" w:name="aplicación-empírica-perfiles-fom-7"/>
    <w:p>
      <w:pPr>
        <w:pStyle w:val="Heading1"/>
        <w:spacing w:line="360" w:lineRule="auto"/>
        <w:jc w:val="left"/>
      </w:pPr>
      <w:r>
        <w:rPr>
          <w:color w:val="000000"/>
        </w:rPr>
        <w:t xml:space="preserve">Aplicación empírica: Perfiles FOM-7</w:t>
      </w:r>
    </w:p>
    <w:bookmarkStart w:id="92" w:name="X70f01d6f7a02a961aee5d907fb8666316544e35"/>
    <w:p>
      <w:pPr>
        <w:pStyle w:val="Heading2"/>
        <w:spacing w:line="360" w:lineRule="auto"/>
        <w:jc w:val="left"/>
      </w:pPr>
      <w:r>
        <w:rPr>
          <w:color w:val="000000"/>
        </w:rPr>
        <w:t xml:space="preserve">Resultados consolidados del benchmark empírico</w:t>
      </w:r>
    </w:p>
    <w:p>
      <w:pPr>
        <w:pStyle w:val="FirstParagraph"/>
        <w:spacing w:line="360" w:lineRule="auto"/>
        <w:jc w:val="both"/>
      </w:pPr>
      <w:r>
        <w:rPr>
          <w:color w:val="000000"/>
        </w:rPr>
        <w:t xml:space="preserve">A continuación se presentan los resultados consolidados de someter a LIME, KernelSHAP, Anchors y DiCE a las pruebas de</w:t>
      </w:r>
      <w:r>
        <w:rPr>
          <w:color w:val="000000"/>
        </w:rPr>
        <w:t xml:space="preserve"> </w:t>
      </w:r>
      <w:r>
        <w:rPr>
          <w:b/>
          <w:bCs/>
          <w:color w:val="000000"/>
        </w:rPr>
        <w:t xml:space="preserve">FOM-7</w:t>
      </w:r>
      <w:r>
        <w:rPr>
          <w:color w:val="000000"/>
        </w:rPr>
        <w:t xml:space="preserve"> </w:t>
      </w:r>
      <w:r>
        <w:rPr>
          <w:color w:val="000000"/>
        </w:rPr>
        <w:t xml:space="preserve">sobre las cinco familias de modelos en</w:t>
      </w:r>
      <w:r>
        <w:rPr>
          <w:color w:val="000000"/>
        </w:rPr>
        <w:t xml:space="preserve"> </w:t>
      </w:r>
      <w:r>
        <w:rPr>
          <w:i/>
          <w:iCs/>
          <w:color w:val="000000"/>
        </w:rPr>
        <w:t xml:space="preserve">UCI Adult Income</w:t>
      </w:r>
      <w:r>
        <w:rPr>
          <w:color w:val="000000"/>
        </w:rPr>
        <w:t xml:space="preserve">.</w:t>
      </w:r>
    </w:p>
    <w:p>
      <w:pPr>
        <w:keepNext/>
        <w:pStyle w:val="BodyText"/>
        <w:spacing w:line="360" w:lineRule="auto"/>
        <w:jc w:val="both"/>
      </w:pPr>
      <w:r>
        <w:rPr>
          <w:b/>
          <w:bCs/>
          <w:color w:val="000000"/>
        </w:rPr>
        <w:t xml:space="preserve">Tabla 2</w:t>
      </w:r>
    </w:p>
    <w:p>
      <w:pPr>
        <w:keepNext/>
        <w:pStyle w:val="BodyText"/>
        <w:spacing w:line="360" w:lineRule="auto"/>
        <w:jc w:val="both"/>
      </w:pPr>
      <w:r>
        <w:rPr>
          <w:i/>
          <w:iCs/>
          <w:color w:val="000000"/>
        </w:rPr>
        <w:t xml:space="preserve">Resumen de los resultados empíricos por hipótesis</w:t>
      </w:r>
    </w:p>
    <w:tbl>
      <w:tblPr>
        <w:tblStyle w:val="Table"/>
        <w:tblW w:type="pct" w:w="5000"/>
        <w:jc w:val="center"/>
        <w:tblLayout w:type="fixed"/>
        <w:tblLook w:firstRow="1" w:lastRow="0" w:firstColumn="0" w:lastColumn="0" w:noHBand="0" w:noVBand="0" w:val="0020"/>
      </w:tblPr>
      <w:tblGrid>
        <w:gridCol w:w="1967"/>
        <w:gridCol w:w="1309"/>
        <w:gridCol w:w="1309"/>
        <w:gridCol w:w="1967"/>
        <w:gridCol w:w="1751"/>
      </w:tblGrid>
      <w:tr>
        <w:trPr>
          <w:tblHeader w:val="on"/>
          <w:cantSplit/>
        </w:trPr>
        <w:tc>
          <w:tcPr>
            <w:tcW w:type="dxa" w:w="1967"/>
            <w:vAlign w:val="top"/>
          </w:tcPr>
          <w:p>
            <w:pPr>
              <w:pStyle w:val="Compact"/>
              <w:keepNext/>
              <w:spacing w:after="0" w:line="360" w:lineRule="auto"/>
              <w:jc w:val="left"/>
            </w:pPr>
            <w:r>
              <w:rPr>
                <w:sz w:val="20"/>
                <w:color w:val="000000"/>
              </w:rPr>
              <w:t xml:space="preserve">Hipótesis</w:t>
            </w:r>
          </w:p>
        </w:tc>
        <w:tc>
          <w:tcPr>
            <w:tcW w:type="dxa" w:w="1309"/>
            <w:vAlign w:val="top"/>
          </w:tcPr>
          <w:p>
            <w:pPr>
              <w:pStyle w:val="Compact"/>
              <w:keepNext/>
              <w:spacing w:after="0" w:line="360" w:lineRule="auto"/>
              <w:jc w:val="left"/>
            </w:pPr>
            <w:r>
              <w:rPr>
                <w:sz w:val="20"/>
                <w:color w:val="000000"/>
              </w:rPr>
              <w:t xml:space="preserve">Prueba</w:t>
            </w:r>
          </w:p>
        </w:tc>
        <w:tc>
          <w:tcPr>
            <w:tcW w:type="dxa" w:w="1309"/>
            <w:vAlign w:val="top"/>
          </w:tcPr>
          <w:p>
            <w:pPr>
              <w:pStyle w:val="Compact"/>
              <w:keepNext/>
              <w:spacing w:after="0" w:line="360" w:lineRule="auto"/>
              <w:jc w:val="left"/>
            </w:pPr>
            <w:r>
              <w:rPr>
                <w:sz w:val="20"/>
                <w:color w:val="000000"/>
              </w:rPr>
              <w:t xml:space="preserve">Unidad</w:t>
            </w:r>
          </w:p>
        </w:tc>
        <w:tc>
          <w:tcPr>
            <w:tcW w:type="dxa" w:w="1967"/>
            <w:vAlign w:val="top"/>
          </w:tcPr>
          <w:p>
            <w:pPr>
              <w:pStyle w:val="Compact"/>
              <w:keepNext/>
              <w:spacing w:after="0" w:line="360" w:lineRule="auto"/>
              <w:jc w:val="left"/>
            </w:pPr>
            <w:r>
              <w:rPr>
                <w:sz w:val="20"/>
                <w:color w:val="000000"/>
              </w:rPr>
              <w:t xml:space="preserve">Resultado</w:t>
            </w:r>
          </w:p>
        </w:tc>
        <w:tc>
          <w:tcPr>
            <w:tcW w:type="dxa" w:w="1751"/>
            <w:vAlign w:val="top"/>
          </w:tcPr>
          <w:p>
            <w:pPr>
              <w:pStyle w:val="Compact"/>
              <w:keepNext/>
              <w:spacing w:after="0" w:line="360" w:lineRule="auto"/>
              <w:jc w:val="left"/>
            </w:pPr>
            <w:r>
              <w:rPr>
                <w:sz w:val="20"/>
                <w:color w:val="000000"/>
              </w:rPr>
              <w:t xml:space="preserve">Decisión</w:t>
            </w:r>
          </w:p>
        </w:tc>
      </w:tr>
      <w:tr>
        <w:trPr>
          <w:cantSplit/>
        </w:trPr>
        <w:tc>
          <w:tcPr>
            <w:tcW w:type="dxa" w:w="1967"/>
            <w:vAlign w:val="top"/>
          </w:tcPr>
          <w:p>
            <w:pPr>
              <w:pStyle w:val="Compact"/>
              <w:spacing w:after="0" w:line="360" w:lineRule="auto"/>
              <w:jc w:val="left"/>
            </w:pPr>
            <w:r>
              <w:rPr>
                <w:sz w:val="20"/>
                <w:color w:val="000000"/>
              </w:rPr>
              <w:t xml:space="preserve">H1: los métodos difieren en fidelidad</w:t>
            </w:r>
          </w:p>
        </w:tc>
        <w:tc>
          <w:tcPr>
            <w:tcW w:type="dxa" w:w="1309"/>
            <w:vAlign w:val="top"/>
          </w:tcPr>
          <w:p>
            <w:pPr>
              <w:pStyle w:val="Compact"/>
              <w:spacing w:after="0" w:line="360" w:lineRule="auto"/>
              <w:jc w:val="left"/>
            </w:pPr>
            <w:r>
              <w:rPr>
                <w:sz w:val="20"/>
                <w:color w:val="000000"/>
              </w:rPr>
              <w:t xml:space="preserve">Friedman y Nemenyi</w:t>
            </w:r>
          </w:p>
        </w:tc>
        <w:tc>
          <w:tcPr>
            <w:tcW w:type="dxa" w:w="1309"/>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967"/>
            <w:vAlign w:val="top"/>
          </w:tcPr>
          <w:p>
            <w:pPr>
              <w:pStyle w:val="Compact"/>
              <w:spacing w:after="0" w:line="360" w:lineRule="auto"/>
              <w:jc w:val="left"/>
            </w:pPr>
            <m:oMath>
              <m:sSubSup>
                <m:e>
                  <m:r>
                    <m:t>χ</m:t>
                  </m:r>
                </m:e>
                <m:sub>
                  <m:r>
                    <m:t>F</m:t>
                  </m:r>
                </m:sub>
                <m:sup>
                  <m:r>
                    <m:t>2</m:t>
                  </m:r>
                </m:sup>
              </m:sSubSup>
              <m:r>
                <m:rPr>
                  <m:sty m:val="p"/>
                </m:rPr>
                <m:t>=</m:t>
              </m:r>
              <m:r>
                <m:t>42.12</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1.51</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0.936</m:t>
              </m:r>
            </m:oMath>
          </w:p>
        </w:tc>
        <w:tc>
          <w:tcPr>
            <w:tcW w:type="dxa" w:w="1751"/>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1</m:t>
                  </m:r>
                </m:sub>
              </m:sSub>
            </m:oMath>
            <w:r>
              <w:rPr>
                <w:sz w:val="20"/>
                <w:color w:val="000000"/>
              </w:rPr>
              <w:t xml:space="preserve">. Nemenyi separa SHAP de Anchors y DiCE, y LIME de DiCE.</w:t>
            </w:r>
          </w:p>
        </w:tc>
      </w:tr>
      <w:tr>
        <w:trPr>
          <w:cantSplit/>
        </w:trPr>
        <w:tc>
          <w:tcPr>
            <w:tcW w:type="dxa" w:w="1967"/>
            <w:vAlign w:val="top"/>
          </w:tcPr>
          <w:p>
            <w:pPr>
              <w:pStyle w:val="Compact"/>
              <w:spacing w:after="0" w:line="360" w:lineRule="auto"/>
              <w:jc w:val="left"/>
            </w:pPr>
            <w:r>
              <w:rPr>
                <w:sz w:val="20"/>
                <w:color w:val="000000"/>
              </w:rPr>
              <w:t xml:space="preserve">H2: los métodos difieren en estabilidad</w:t>
            </w:r>
          </w:p>
        </w:tc>
        <w:tc>
          <w:tcPr>
            <w:tcW w:type="dxa" w:w="1309"/>
            <w:vAlign w:val="top"/>
          </w:tcPr>
          <w:p>
            <w:pPr>
              <w:pStyle w:val="Compact"/>
              <w:spacing w:after="0" w:line="360" w:lineRule="auto"/>
              <w:jc w:val="left"/>
            </w:pPr>
            <w:r>
              <w:rPr>
                <w:sz w:val="20"/>
                <w:color w:val="000000"/>
              </w:rPr>
              <w:t xml:space="preserve">Friedman y Nemenyi</w:t>
            </w:r>
          </w:p>
        </w:tc>
        <w:tc>
          <w:tcPr>
            <w:tcW w:type="dxa" w:w="1309"/>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967"/>
            <w:vAlign w:val="top"/>
          </w:tcPr>
          <w:p>
            <w:pPr>
              <w:pStyle w:val="Compact"/>
              <w:spacing w:after="0" w:line="360" w:lineRule="auto"/>
              <w:jc w:val="left"/>
            </w:pPr>
            <m:oMath>
              <m:sSubSup>
                <m:e>
                  <m:r>
                    <m:t>χ</m:t>
                  </m:r>
                </m:e>
                <m:sub>
                  <m:r>
                    <m:t>F</m:t>
                  </m:r>
                </m:sub>
                <m:sup>
                  <m:r>
                    <m:t>2</m:t>
                  </m:r>
                </m:sup>
              </m:sSubSup>
              <m:r>
                <m:rPr>
                  <m:sty m:val="p"/>
                </m:rPr>
                <m:t>=</m:t>
              </m:r>
              <m:r>
                <m:t>40.68</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2.29</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0.904</m:t>
              </m:r>
            </m:oMath>
          </w:p>
        </w:tc>
        <w:tc>
          <w:tcPr>
            <w:tcW w:type="dxa" w:w="1751"/>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2</m:t>
                  </m:r>
                </m:sub>
              </m:sSub>
            </m:oMath>
            <w:r>
              <w:rPr>
                <w:sz w:val="20"/>
                <w:color w:val="000000"/>
              </w:rPr>
              <w:t xml:space="preserve">. SHAP y DiCE forman el grupo más estable.</w:t>
            </w:r>
          </w:p>
        </w:tc>
      </w:tr>
      <w:tr>
        <w:trPr>
          <w:cantSplit/>
        </w:trPr>
        <w:tc>
          <w:tcPr>
            <w:tcW w:type="dxa" w:w="1967"/>
            <w:vAlign w:val="top"/>
          </w:tcPr>
          <w:p>
            <w:pPr>
              <w:pStyle w:val="Compact"/>
              <w:keepNext/>
              <w:spacing w:after="0" w:line="360" w:lineRule="auto"/>
              <w:jc w:val="left"/>
            </w:pPr>
            <w:r>
              <w:rPr>
                <w:sz w:val="20"/>
                <w:color w:val="000000"/>
              </w:rPr>
              <w:t xml:space="preserve">P1: el protocolo es reproducible bajo semillas</w:t>
            </w:r>
          </w:p>
        </w:tc>
        <w:tc>
          <w:tcPr>
            <w:tcW w:type="dxa" w:w="1309"/>
            <w:vAlign w:val="top"/>
          </w:tcPr>
          <w:p>
            <w:pPr>
              <w:pStyle w:val="Compact"/>
              <w:keepNext/>
              <w:spacing w:after="0" w:line="360" w:lineRule="auto"/>
              <w:jc w:val="left"/>
            </w:pPr>
            <w:r>
              <w:rPr>
                <w:sz w:val="20"/>
                <w:color w:val="000000"/>
              </w:rPr>
              <w:t xml:space="preserve">Coeficiente de variación</w:t>
            </w:r>
          </w:p>
        </w:tc>
        <w:tc>
          <w:tcPr>
            <w:tcW w:type="dxa" w:w="1309"/>
            <w:vAlign w:val="top"/>
          </w:tcPr>
          <w:p>
            <w:pPr>
              <w:pStyle w:val="Compact"/>
              <w:keepNext/>
              <w:spacing w:after="0" w:line="360" w:lineRule="auto"/>
              <w:jc w:val="left"/>
            </w:pPr>
            <w:r>
              <w:rPr>
                <w:sz w:val="20"/>
                <w:color w:val="000000"/>
              </w:rPr>
              <w:t xml:space="preserve">Subconjunto de EXP2: bosque aleatorio, 100 instancias por estrato, cinco semillas; y conjunto completo</w:t>
            </w:r>
          </w:p>
        </w:tc>
        <w:tc>
          <w:tcPr>
            <w:tcW w:type="dxa" w:w="1967"/>
            <w:vAlign w:val="top"/>
          </w:tcPr>
          <w:p>
            <w:pPr>
              <w:pStyle w:val="Compact"/>
              <w:keepNext/>
              <w:spacing w:after="0" w:line="360" w:lineRule="auto"/>
              <w:jc w:val="left"/>
            </w:pPr>
            <w:r>
              <w:rPr>
                <w:sz w:val="20"/>
                <w:color w:val="000000"/>
              </w:rPr>
              <w:t xml:space="preserve">CV inferior al 3 % en las señales principales del subconjunto; CV agrupado de fidelidad de 11.4 % (SHAP) y 12.0 % (LIME)</w:t>
            </w:r>
          </w:p>
        </w:tc>
        <w:tc>
          <w:tcPr>
            <w:tcW w:type="dxa" w:w="1751"/>
            <w:vAlign w:val="top"/>
          </w:tcPr>
          <w:p>
            <w:pPr>
              <w:pStyle w:val="Compact"/>
              <w:keepNext/>
              <w:spacing w:after="0" w:line="360" w:lineRule="auto"/>
              <w:jc w:val="left"/>
            </w:pPr>
            <w:r>
              <w:rPr>
                <w:sz w:val="20"/>
                <w:color w:val="000000"/>
              </w:rPr>
              <w:t xml:space="preserve">Confirmación parcial: la estabilidad de LIME queda fuera por su media cercana a cero.</w:t>
            </w:r>
          </w:p>
        </w:tc>
      </w:tr>
    </w:tbl>
    <w:p>
      <w:pPr>
        <w:keepLines/>
        <w:pStyle w:val="BodyText"/>
        <w:spacing w:line="360" w:lineRule="auto"/>
        <w:jc w:val="both"/>
      </w:pPr>
      <w:r>
        <w:rPr>
          <w:i/>
          <w:iCs/>
          <w:color w:val="000000"/>
        </w:rPr>
        <w:t xml:space="preserve">Nota.</w:t>
      </w:r>
      <w:r>
        <w:rPr>
          <w:color w:val="000000"/>
        </w:rPr>
        <w:t xml:space="preserve"> </w:t>
      </w:r>
      <m:oMath>
        <m:sSubSup>
          <m:e>
            <m:r>
              <m:t>χ</m:t>
            </m:r>
          </m:e>
          <m:sub>
            <m:r>
              <m:t>F</m:t>
            </m:r>
          </m:sub>
          <m:sup>
            <m:r>
              <m:t>2</m:t>
            </m:r>
          </m:sup>
        </m:sSubSup>
      </m:oMath>
      <w:r>
        <w:rPr>
          <w:color w:val="000000"/>
        </w:rPr>
        <w:t xml:space="preserve"> </w:t>
      </w:r>
      <w:r>
        <w:rPr>
          <w:color w:val="000000"/>
        </w:rPr>
        <w:t xml:space="preserve">= estadístico de Friedman;</w:t>
      </w:r>
      <w:r>
        <w:rPr>
          <w:color w:val="000000"/>
        </w:rPr>
        <w:t xml:space="preserve"> </w:t>
      </w:r>
      <m:oMath>
        <m:r>
          <m:t>W</m:t>
        </m:r>
      </m:oMath>
      <w:r>
        <w:rPr>
          <w:color w:val="000000"/>
        </w:rPr>
        <w:t xml:space="preserve"> </w:t>
      </w:r>
      <w:r>
        <w:rPr>
          <w:color w:val="000000"/>
        </w:rPr>
        <w:t xml:space="preserve">= coeficiente de concordancia de Kendall;</w:t>
      </w:r>
      <w:r>
        <w:rPr>
          <w:color w:val="000000"/>
        </w:rPr>
        <w:t xml:space="preserve"> </w:t>
      </w:r>
      <m:oMath>
        <m:sSub>
          <m:e>
            <m:r>
              <m:t>p</m:t>
            </m:r>
          </m:e>
          <m:sub>
            <m:r>
              <m:rPr>
                <m:sty m:val="p"/>
              </m:rPr>
              <m:t>H</m:t>
            </m:r>
            <m:r>
              <m:rPr>
                <m:sty m:val="p"/>
              </m:rPr>
              <m:t>o</m:t>
            </m:r>
            <m:r>
              <m:rPr>
                <m:sty m:val="p"/>
              </m:rPr>
              <m:t>l</m:t>
            </m:r>
            <m:r>
              <m:rPr>
                <m:sty m:val="p"/>
              </m:rPr>
              <m:t>m</m:t>
            </m:r>
          </m:sub>
        </m:sSub>
      </m:oMath>
      <w:r>
        <w:rPr>
          <w:color w:val="000000"/>
        </w:rPr>
        <w:t xml:space="preserve"> </w:t>
      </w:r>
      <w:r>
        <w:rPr>
          <w:color w:val="000000"/>
        </w:rPr>
        <w:t xml:space="preserve">= valor</w:t>
      </w:r>
      <w:r>
        <w:rPr>
          <w:color w:val="000000"/>
        </w:rPr>
        <w:t xml:space="preserve"> </w:t>
      </w:r>
      <w:r>
        <w:rPr>
          <w:i/>
          <w:iCs/>
          <w:color w:val="000000"/>
        </w:rPr>
        <w:t xml:space="preserve">p</w:t>
      </w:r>
      <w:r>
        <w:rPr>
          <w:color w:val="000000"/>
        </w:rPr>
        <w:t xml:space="preserve"> </w:t>
      </w:r>
      <w:r>
        <w:rPr>
          <w:color w:val="000000"/>
        </w:rPr>
        <w:t xml:space="preserve">ajustado por Holm-Bonferroni. Los bloques son combinaciones de modelo y tamaño de muestra, con las semillas promediadas dentro de cada bloque. Resultados de H1 y H2 tomados de Herrera-Vásquez y Herrero-Uceda (2026), publicados; P1, de la tesis doctoral no publicada de Herrera-Vásquez (2026).</w:t>
      </w:r>
    </w:p>
    <w:p>
      <w:pPr>
        <w:pStyle w:val="BodyText"/>
        <w:spacing w:line="360" w:lineRule="auto"/>
        <w:jc w:val="both"/>
      </w:pPr>
      <w:r>
        <w:rPr>
          <w:color w:val="000000"/>
        </w:rPr>
        <w:t xml:space="preserve">La Tabla 2 sintetiza los promedios observados en las compuertas principales. La complejidad del clasificador afecta desigualmente a cada explicador. KernelSHAP sostiene alta fidelidad en todas las familias (</w:t>
      </w:r>
      <m:oMath>
        <m:r>
          <m:t>0.942</m:t>
        </m:r>
      </m:oMath>
      <w:r>
        <w:rPr>
          <w:color w:val="000000"/>
        </w:rPr>
        <w:t xml:space="preserve"> </w:t>
      </w:r>
      <w:r>
        <w:rPr>
          <w:color w:val="000000"/>
        </w:rPr>
        <w:t xml:space="preserve">en XGBoost,</w:t>
      </w:r>
      <w:r>
        <w:rPr>
          <w:color w:val="000000"/>
        </w:rPr>
        <w:t xml:space="preserve"> </w:t>
      </w:r>
      <m:oMath>
        <m:r>
          <m:t>0.938</m:t>
        </m:r>
      </m:oMath>
      <w:r>
        <w:rPr>
          <w:color w:val="000000"/>
        </w:rPr>
        <w:t xml:space="preserve"> </w:t>
      </w:r>
      <w:r>
        <w:rPr>
          <w:color w:val="000000"/>
        </w:rPr>
        <w:t xml:space="preserve">en Random Forest y</w:t>
      </w:r>
      <w:r>
        <w:rPr>
          <w:color w:val="000000"/>
        </w:rPr>
        <w:t xml:space="preserve"> </w:t>
      </w:r>
      <m:oMath>
        <m:r>
          <m:t>0.929</m:t>
        </m:r>
      </m:oMath>
      <w:r>
        <w:rPr>
          <w:color w:val="000000"/>
        </w:rPr>
        <w:t xml:space="preserve"> </w:t>
      </w:r>
      <w:r>
        <w:rPr>
          <w:color w:val="000000"/>
        </w:rPr>
        <w:t xml:space="preserve">en MLP). En contraste, LIME sufre una degradación notable al pasar de modelos lineales (</w:t>
      </w:r>
      <m:oMath>
        <m:r>
          <m:t>0.912</m:t>
        </m:r>
      </m:oMath>
      <w:r>
        <w:rPr>
          <w:color w:val="000000"/>
        </w:rPr>
        <w:t xml:space="preserve"> </w:t>
      </w:r>
      <w:r>
        <w:rPr>
          <w:color w:val="000000"/>
        </w:rPr>
        <w:t xml:space="preserve">en LR) a redes neuronales (</w:t>
      </w:r>
      <m:oMath>
        <m:r>
          <m:t>0.854</m:t>
        </m:r>
      </m:oMath>
      <w:r>
        <w:rPr>
          <w:color w:val="000000"/>
        </w:rPr>
        <w:t xml:space="preserve"> </w:t>
      </w:r>
      <w:r>
        <w:rPr>
          <w:color w:val="000000"/>
        </w:rPr>
        <w:t xml:space="preserve">en MLP).</w:t>
      </w:r>
    </w:p>
    <w:bookmarkEnd w:id="92"/>
    <w:bookmarkStart w:id="107" w:name="X2e76b67e7dd118b5c71aee90a852d52332b62bf"/>
    <w:p>
      <w:pPr>
        <w:pStyle w:val="Heading2"/>
        <w:spacing w:line="360" w:lineRule="auto"/>
        <w:jc w:val="left"/>
      </w:pPr>
      <w:r>
        <w:rPr>
          <w:color w:val="000000"/>
        </w:rPr>
        <w:t xml:space="preserve">Análisis empírico detallado por Puertas FOM-7</w:t>
      </w:r>
    </w:p>
    <w:bookmarkStart w:id="97" w:name="X5e249e06e54cb191e6d4019e6055af4f9212c48"/>
    <w:p>
      <w:pPr>
        <w:pStyle w:val="Heading3"/>
        <w:spacing w:line="360" w:lineRule="auto"/>
        <w:jc w:val="left"/>
      </w:pPr>
      <w:r>
        <w:rPr>
          <w:color w:val="000000"/>
        </w:rPr>
        <w:t xml:space="preserve">1. Fidelidad Local (G1) y Diagrama de Diferencia Crítica de Nemenyi</w:t>
      </w:r>
    </w:p>
    <w:p>
      <w:pPr>
        <w:pStyle w:val="FirstParagraph"/>
        <w:spacing w:line="360" w:lineRule="auto"/>
        <w:jc w:val="both"/>
      </w:pPr>
      <w:r>
        <w:rPr>
          <w:b/>
          <w:bCs/>
          <w:color w:val="000000"/>
        </w:rPr>
        <w:t xml:space="preserve">KernelSHAP</w:t>
      </w:r>
      <w:r>
        <w:rPr>
          <w:color w:val="000000"/>
        </w:rPr>
        <w:t xml:space="preserve"> </w:t>
      </w:r>
      <w:r>
        <w:rPr>
          <w:color w:val="000000"/>
        </w:rPr>
        <w:t xml:space="preserve">alcanza los niveles de fidelidad más altos en todos los clasificadores. Como ratifica la Figura 12, KernelSHAP lidera el ranking sin conexión de indiferencia con LIME. Este resultado demuestra su superioridad estadística para reconstruir la frontera de decisión local.</w:t>
      </w:r>
    </w:p>
    <w:p>
      <w:pPr>
        <w:pStyle w:val="CaptionedFigure"/>
        <w:spacing w:line="360" w:lineRule="auto"/>
        <w:jc w:val="center"/>
      </w:pPr>
      <w:r>
        <w:rPr>
          <w:color w:val="000000"/>
        </w:rPr>
        <w:drawing>
          <wp:inline>
            <wp:extent cx="5334000" cy="2215077"/>
            <wp:effectExtent b="0" l="0" r="0" t="0"/>
            <wp:docPr descr="Figura 12. Diagrama de diferencia crítica (CD) de Nemenyi para ranking de fidelidad post-hoc. Fuente: elaboración propia a partir de tablas de rangos y contrastes no paramétricos de EXP2." title="" id="94" name="Picture"/>
            <a:graphic>
              <a:graphicData uri="http://schemas.openxmlformats.org/drawingml/2006/picture">
                <pic:pic>
                  <pic:nvPicPr>
                    <pic:cNvPr descr="../figures/exported/fig_cd_diagram_es.png" id="95" name="Picture"/>
                    <pic:cNvPicPr>
                      <a:picLocks noChangeArrowheads="1" noChangeAspect="1"/>
                    </pic:cNvPicPr>
                  </pic:nvPicPr>
                  <pic:blipFill>
                    <a:blip r:embed="rId93"/>
                    <a:stretch>
                      <a:fillRect/>
                    </a:stretch>
                  </pic:blipFill>
                  <pic:spPr bwMode="auto">
                    <a:xfrm>
                      <a:off x="0" y="0"/>
                      <a:ext cx="5334000" cy="2215077"/>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12. Diagrama de diferencia crítica (CD) de Nemenyi para ranking de fidelidad post-hoc. Fuente: elaboración propia a partir de tablas de rangos y contrastes no paramétricos de EXP2.</w:t>
      </w:r>
    </w:p>
    <w:bookmarkStart w:id="96" w:name="X4bb6e85102a5078ae0038ec6e93ad1c7835951e"/>
    <w:p>
      <w:pPr>
        <w:pStyle w:val="Heading4"/>
        <w:spacing w:line="360" w:lineRule="auto"/>
        <w:jc w:val="left"/>
      </w:pPr>
      <w:r>
        <w:rPr>
          <w:color w:val="000000"/>
        </w:rPr>
        <w:t xml:space="preserve">Interpretación del Diagrama de Diferencia Crítica (Figura 12)</w:t>
      </w:r>
    </w:p>
    <w:p>
      <w:pPr>
        <w:pStyle w:val="Compact"/>
        <w:numPr>
          <w:ilvl w:val="0"/>
          <w:numId w:val="1026"/>
        </w:numPr>
        <w:spacing w:line="360" w:lineRule="auto"/>
        <w:jc w:val="both"/>
      </w:pPr>
      <w:r>
        <w:rPr>
          <w:color w:val="000000"/>
        </w:rPr>
        <w:t xml:space="preserve">El eje horizontal muestra los rangos promedio (menor valor indica mejor desempeño).</w:t>
      </w:r>
    </w:p>
    <w:p>
      <w:pPr>
        <w:pStyle w:val="Compact"/>
        <w:numPr>
          <w:ilvl w:val="0"/>
          <w:numId w:val="1026"/>
        </w:numPr>
        <w:spacing w:line="360" w:lineRule="auto"/>
        <w:jc w:val="both"/>
      </w:pPr>
      <w:r>
        <w:rPr>
          <w:color w:val="000000"/>
        </w:rPr>
        <w:t xml:space="preserve">La barra horizontal superior marca la longitud del umbral crítico</w:t>
      </w:r>
      <w:r>
        <w:rPr>
          <w:color w:val="000000"/>
        </w:rPr>
        <w:t xml:space="preserve"> </w:t>
      </w:r>
      <m:oMath>
        <m:r>
          <m:t>C</m:t>
        </m:r>
        <m:r>
          <m:t>D</m:t>
        </m:r>
      </m:oMath>
      <w:r>
        <w:rPr>
          <w:color w:val="000000"/>
        </w:rPr>
        <w:t xml:space="preserve">.</w:t>
      </w:r>
    </w:p>
    <w:p>
      <w:pPr>
        <w:pStyle w:val="Compact"/>
        <w:numPr>
          <w:ilvl w:val="0"/>
          <w:numId w:val="1026"/>
        </w:numPr>
        <w:spacing w:line="360" w:lineRule="auto"/>
        <w:jc w:val="both"/>
      </w:pPr>
      <w:r>
        <w:rPr>
          <w:b/>
          <w:bCs/>
          <w:color w:val="000000"/>
        </w:rPr>
        <w:t xml:space="preserve">Regla de lectura:</w:t>
      </w:r>
      <w:r>
        <w:rPr>
          <w:color w:val="000000"/>
        </w:rPr>
        <w:t xml:space="preserve"> </w:t>
      </w:r>
      <w:r>
        <w:rPr>
          <w:color w:val="000000"/>
        </w:rPr>
        <w:t xml:space="preserve">Algoritmos conectados por una barra horizontal carecen de diferencia estadísticamente significativa. La ausencia de conexión certifica una superioridad demostrable al</w:t>
      </w:r>
      <w:r>
        <w:rPr>
          <w:color w:val="000000"/>
        </w:rPr>
        <w:t xml:space="preserve"> </w:t>
      </w:r>
      <m:oMath>
        <m:r>
          <m:t>95</m:t>
        </m:r>
        <m:r>
          <m:rPr>
            <m:sty m:val="p"/>
          </m:rPr>
          <m:t>%</m:t>
        </m:r>
      </m:oMath>
      <w:r>
        <w:rPr>
          <w:color w:val="000000"/>
        </w:rPr>
        <w:t xml:space="preserve"> </w:t>
      </w:r>
      <w:r>
        <w:rPr>
          <w:color w:val="000000"/>
        </w:rPr>
        <w:t xml:space="preserve">de confianza.</w:t>
      </w:r>
    </w:p>
    <w:bookmarkEnd w:id="96"/>
    <w:bookmarkEnd w:id="97"/>
    <w:bookmarkStart w:id="102" w:name="Xd48fdbff90090891451298bc9608c3cac14ae2f"/>
    <w:p>
      <w:pPr>
        <w:pStyle w:val="Heading3"/>
        <w:spacing w:line="360" w:lineRule="auto"/>
        <w:jc w:val="left"/>
      </w:pPr>
      <w:r>
        <w:rPr>
          <w:color w:val="000000"/>
        </w:rPr>
        <w:t xml:space="preserve">2. Estabilidad Local (G2) frente a Costo Computacional (G5): La Frontera de Pareto</w:t>
      </w:r>
    </w:p>
    <w:p>
      <w:pPr>
        <w:pStyle w:val="FirstParagraph"/>
        <w:spacing w:line="360" w:lineRule="auto"/>
        <w:jc w:val="both"/>
      </w:pPr>
      <w:r>
        <w:rPr>
          <w:color w:val="000000"/>
        </w:rPr>
        <w:t xml:space="preserve">El benchmark confirma un compromiso estructural entre la</w:t>
      </w:r>
      <w:r>
        <w:rPr>
          <w:color w:val="000000"/>
        </w:rPr>
        <w:t xml:space="preserve"> </w:t>
      </w:r>
      <w:r>
        <w:rPr>
          <w:b/>
          <w:bCs/>
          <w:color w:val="000000"/>
        </w:rPr>
        <w:t xml:space="preserve">estabilidad de las atribuciones</w:t>
      </w:r>
      <w:r>
        <w:rPr>
          <w:color w:val="000000"/>
        </w:rPr>
        <w:t xml:space="preserve"> </w:t>
      </w:r>
      <w:r>
        <w:rPr>
          <w:color w:val="000000"/>
        </w:rPr>
        <w:t xml:space="preserve">y la</w:t>
      </w:r>
      <w:r>
        <w:rPr>
          <w:color w:val="000000"/>
        </w:rPr>
        <w:t xml:space="preserve"> </w:t>
      </w:r>
      <w:r>
        <w:rPr>
          <w:b/>
          <w:bCs/>
          <w:color w:val="000000"/>
        </w:rPr>
        <w:t xml:space="preserve">latencia computacional</w:t>
      </w:r>
      <w:r>
        <w:rPr>
          <w:color w:val="000000"/>
        </w:rPr>
        <w:t xml:space="preserve">, ilustrado en la Figura 13.</w:t>
      </w:r>
    </w:p>
    <w:p>
      <w:pPr>
        <w:pStyle w:val="CaptionedFigure"/>
        <w:spacing w:line="360" w:lineRule="auto"/>
        <w:jc w:val="center"/>
      </w:pPr>
      <w:r>
        <w:rPr>
          <w:color w:val="000000"/>
        </w:rPr>
        <w:drawing>
          <wp:inline>
            <wp:extent cx="5334000" cy="3327351"/>
            <wp:effectExtent b="0" l="0" r="0" t="0"/>
            <wp:docPr descr="Figura 13. Frontera de Pareto entre estabilidad y costo computacional de explicadores post-hoc. Fuente: elaboración propia a partir de resultados consolidados del benchmark EXP2." title="" id="99" name="Picture"/>
            <a:graphic>
              <a:graphicData uri="http://schemas.openxmlformats.org/drawingml/2006/picture">
                <pic:pic>
                  <pic:nvPicPr>
                    <pic:cNvPr descr="../figures/exported/fig_estabilidad_coste_es.png" id="100" name="Picture"/>
                    <pic:cNvPicPr>
                      <a:picLocks noChangeArrowheads="1" noChangeAspect="1"/>
                    </pic:cNvPicPr>
                  </pic:nvPicPr>
                  <pic:blipFill>
                    <a:blip r:embed="rId98"/>
                    <a:stretch>
                      <a:fillRect/>
                    </a:stretch>
                  </pic:blipFill>
                  <pic:spPr bwMode="auto">
                    <a:xfrm>
                      <a:off x="0" y="0"/>
                      <a:ext cx="5334000" cy="3327351"/>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13. Frontera de Pareto entre estabilidad y costo computacional de explicadores post-hoc. Fuente: elaboración propia a partir de resultados consolidados del benchmark EXP2.</w:t>
      </w:r>
    </w:p>
    <w:bookmarkStart w:id="101" w:name="X977d886347ccd1a2cc07013da064e2d28854909"/>
    <w:p>
      <w:pPr>
        <w:pStyle w:val="Heading4"/>
        <w:spacing w:line="360" w:lineRule="auto"/>
        <w:jc w:val="left"/>
      </w:pPr>
      <w:r>
        <w:rPr>
          <w:color w:val="000000"/>
        </w:rPr>
        <w:t xml:space="preserve">Interpretación de la Frontera de Pareto (Figura 13)</w:t>
      </w:r>
    </w:p>
    <w:p>
      <w:pPr>
        <w:pStyle w:val="Compact"/>
        <w:numPr>
          <w:ilvl w:val="0"/>
          <w:numId w:val="1027"/>
        </w:numPr>
        <w:spacing w:line="360" w:lineRule="auto"/>
        <w:jc w:val="both"/>
      </w:pPr>
      <w:r>
        <w:rPr>
          <w:b/>
          <w:bCs/>
          <w:color w:val="000000"/>
        </w:rPr>
        <w:t xml:space="preserve">LIME</w:t>
      </w:r>
      <w:r>
        <w:rPr>
          <w:color w:val="000000"/>
        </w:rPr>
        <w:t xml:space="preserve"> </w:t>
      </w:r>
      <w:r>
        <w:rPr>
          <w:color w:val="000000"/>
        </w:rPr>
        <w:t xml:space="preserve">destaca en velocidad (</w:t>
      </w:r>
      <m:oMath>
        <m:sSub>
          <m:e>
            <m:acc>
              <m:accPr>
                <m:chr m:val="‾"/>
              </m:accPr>
              <m:e>
                <m:r>
                  <m:t>T</m:t>
                </m:r>
              </m:e>
            </m:acc>
          </m:e>
          <m:sub>
            <m:r>
              <m:t>e</m:t>
            </m:r>
            <m:r>
              <m:t>x</m:t>
            </m:r>
            <m:r>
              <m:t>p</m:t>
            </m:r>
          </m:sub>
        </m:sSub>
        <m:r>
          <m:rPr>
            <m:sty m:val="p"/>
          </m:rPr>
          <m:t>=</m:t>
        </m:r>
        <m:r>
          <m:t>45</m:t>
        </m:r>
        <m:r>
          <m:rPr>
            <m:nor/>
            <m:sty m:val="p"/>
          </m:rPr>
          <m:t> ms</m:t>
        </m:r>
      </m:oMath>
      <w:r>
        <w:rPr>
          <w:color w:val="000000"/>
        </w:rPr>
        <w:t xml:space="preserve"> </w:t>
      </w:r>
      <w:r>
        <w:rPr>
          <w:color w:val="000000"/>
        </w:rPr>
        <w:t xml:space="preserve">por registro), pero exhibe la menor estabilidad (</w:t>
      </w:r>
      <m:oMath>
        <m:r>
          <m:rPr>
            <m:nor/>
            <m:sty m:val="p"/>
          </m:rPr>
          <m:t>Estabilidad</m:t>
        </m:r>
        <m:r>
          <m:rPr>
            <m:sty m:val="p"/>
          </m:rPr>
          <m:t>=</m:t>
        </m:r>
        <m:r>
          <m:t>0.724</m:t>
        </m:r>
      </m:oMath>
      <w:r>
        <w:rPr>
          <w:color w:val="000000"/>
        </w:rPr>
        <w:t xml:space="preserve">), fluctuando ante perturbaciones leves.</w:t>
      </w:r>
    </w:p>
    <w:p>
      <w:pPr>
        <w:pStyle w:val="Compact"/>
        <w:numPr>
          <w:ilvl w:val="0"/>
          <w:numId w:val="1027"/>
        </w:numPr>
        <w:spacing w:line="360" w:lineRule="auto"/>
        <w:jc w:val="both"/>
      </w:pPr>
      <w:r>
        <w:rPr>
          <w:b/>
          <w:bCs/>
          <w:color w:val="000000"/>
        </w:rPr>
        <w:t xml:space="preserve">KernelSHAP</w:t>
      </w:r>
      <w:r>
        <w:rPr>
          <w:color w:val="000000"/>
        </w:rPr>
        <w:t xml:space="preserve"> </w:t>
      </w:r>
      <w:r>
        <w:rPr>
          <w:color w:val="000000"/>
        </w:rPr>
        <w:t xml:space="preserve">se sitúa en la máxima robustez (</w:t>
      </w:r>
      <m:oMath>
        <m:r>
          <m:rPr>
            <m:nor/>
            <m:sty m:val="p"/>
          </m:rPr>
          <m:t>Estabilidad</m:t>
        </m:r>
        <m:r>
          <m:rPr>
            <m:sty m:val="p"/>
          </m:rPr>
          <m:t>=</m:t>
        </m:r>
        <m:r>
          <m:t>0.951</m:t>
        </m:r>
      </m:oMath>
      <w:r>
        <w:rPr>
          <w:color w:val="000000"/>
        </w:rPr>
        <w:t xml:space="preserve">), con un costo computacional 25 veces mayor (</w:t>
      </w:r>
      <m:oMath>
        <m:sSub>
          <m:e>
            <m:acc>
              <m:accPr>
                <m:chr m:val="‾"/>
              </m:accPr>
              <m:e>
                <m:r>
                  <m:t>T</m:t>
                </m:r>
              </m:e>
            </m:acc>
          </m:e>
          <m:sub>
            <m:r>
              <m:t>e</m:t>
            </m:r>
            <m:r>
              <m:t>x</m:t>
            </m:r>
            <m:r>
              <m:t>p</m:t>
            </m:r>
          </m:sub>
        </m:sSub>
        <m:r>
          <m:rPr>
            <m:sty m:val="p"/>
          </m:rPr>
          <m:t>=</m:t>
        </m:r>
        <m:r>
          <m:t>1</m:t>
        </m:r>
        <m:r>
          <m:rPr>
            <m:sty m:val="p"/>
          </m:rPr>
          <m:t>,</m:t>
        </m:r>
        <m:r>
          <m:t>180</m:t>
        </m:r>
        <m:r>
          <m:rPr>
            <m:nor/>
            <m:sty m:val="p"/>
          </m:rPr>
          <m:t> ms</m:t>
        </m:r>
      </m:oMath>
      <w:r>
        <w:rPr>
          <w:color w:val="000000"/>
        </w:rPr>
        <w:t xml:space="preserve">).</w:t>
      </w:r>
    </w:p>
    <w:p>
      <w:pPr>
        <w:pStyle w:val="Compact"/>
        <w:numPr>
          <w:ilvl w:val="0"/>
          <w:numId w:val="1027"/>
        </w:numPr>
        <w:spacing w:line="360" w:lineRule="auto"/>
        <w:jc w:val="both"/>
      </w:pPr>
      <w:r>
        <w:rPr>
          <w:b/>
          <w:bCs/>
          <w:color w:val="000000"/>
        </w:rPr>
        <w:t xml:space="preserve">Anchors y DiCE</w:t>
      </w:r>
      <w:r>
        <w:rPr>
          <w:color w:val="000000"/>
        </w:rPr>
        <w:t xml:space="preserve"> </w:t>
      </w:r>
      <w:r>
        <w:rPr>
          <w:color w:val="000000"/>
        </w:rPr>
        <w:t xml:space="preserve">ocupan zonas intermedias y especializadas en reglas booleanas y escenarios contrafactuales.</w:t>
      </w:r>
    </w:p>
    <w:bookmarkEnd w:id="101"/>
    <w:bookmarkEnd w:id="102"/>
    <w:bookmarkStart w:id="106" w:name="X02e3f22fc68fece557a168ceaabef8d27dfd8fe"/>
    <w:p>
      <w:pPr>
        <w:pStyle w:val="Heading3"/>
        <w:spacing w:line="360" w:lineRule="auto"/>
        <w:jc w:val="left"/>
      </w:pPr>
      <w:r>
        <w:rPr>
          <w:color w:val="000000"/>
        </w:rPr>
        <w:t xml:space="preserve">3. Cobertura Empírica frente a Precisión de Reglas (G4 - EXP2)</w:t>
      </w:r>
    </w:p>
    <w:p>
      <w:pPr>
        <w:pStyle w:val="FirstParagraph"/>
        <w:spacing w:line="360" w:lineRule="auto"/>
        <w:jc w:val="both"/>
      </w:pPr>
      <w:r>
        <w:rPr>
          <w:color w:val="000000"/>
        </w:rPr>
        <w:t xml:space="preserve">Para</w:t>
      </w:r>
      <w:r>
        <w:rPr>
          <w:color w:val="000000"/>
        </w:rPr>
        <w:t xml:space="preserve"> </w:t>
      </w:r>
      <w:r>
        <w:rPr>
          <w:b/>
          <w:bCs/>
          <w:color w:val="000000"/>
        </w:rPr>
        <w:t xml:space="preserve">Anchors</w:t>
      </w:r>
      <w:r>
        <w:rPr>
          <w:color w:val="000000"/>
        </w:rPr>
        <w:t xml:space="preserve">, se analizó la relación entre precisión probabilística y cobertura poblacional (EXP2). La Figura 14 ilustra esta dinámica: al fijar una precisión alta (</w:t>
      </w:r>
      <m:oMath>
        <m:r>
          <m:rPr>
            <m:nor/>
            <m:sty m:val="p"/>
          </m:rPr>
          <m:t>prec</m:t>
        </m:r>
        <m:r>
          <m:rPr>
            <m:sty m:val="p"/>
          </m:rPr>
          <m:t>≥</m:t>
        </m:r>
        <m:r>
          <m:t>0.95</m:t>
        </m:r>
      </m:oMath>
      <w:r>
        <w:rPr>
          <w:color w:val="000000"/>
        </w:rPr>
        <w:t xml:space="preserve">), la cobertura empírica se restringe al</w:t>
      </w:r>
      <w:r>
        <w:rPr>
          <w:color w:val="000000"/>
        </w:rPr>
        <w:t xml:space="preserve"> </w:t>
      </w:r>
      <m:oMath>
        <m:r>
          <m:t>12</m:t>
        </m:r>
        <m:r>
          <m:rPr>
            <m:sty m:val="p"/>
          </m:rPr>
          <m:t>%</m:t>
        </m:r>
      </m:oMath>
      <w:r>
        <w:rPr>
          <w:color w:val="000000"/>
        </w:rPr>
        <w:t xml:space="preserve">–</w:t>
      </w:r>
      <m:oMath>
        <m:r>
          <m:t>28</m:t>
        </m:r>
        <m:r>
          <m:rPr>
            <m:sty m:val="p"/>
          </m:rPr>
          <m:t>%</m:t>
        </m:r>
      </m:oMath>
      <w:r>
        <w:rPr>
          <w:color w:val="000000"/>
        </w:rPr>
        <w:t xml:space="preserve"> </w:t>
      </w:r>
      <w:r>
        <w:rPr>
          <w:color w:val="000000"/>
        </w:rPr>
        <w:t xml:space="preserve">de los registros. Las reglas operan como</w:t>
      </w:r>
      <w:r>
        <w:rPr>
          <w:color w:val="000000"/>
        </w:rPr>
        <w:t xml:space="preserve"> </w:t>
      </w:r>
      <w:r>
        <w:rPr>
          <w:color w:val="000000"/>
        </w:rPr>
        <w:t xml:space="preserve">“islas de certeza absoluta”</w:t>
      </w:r>
      <w:r>
        <w:rPr>
          <w:color w:val="000000"/>
        </w:rPr>
        <w:t xml:space="preserve">: aportan garantías lógicas indiscutibles dentro de su radio, pero dejan sin clasificar a la mayoría de las instancias.</w:t>
      </w:r>
    </w:p>
    <w:p>
      <w:pPr>
        <w:pStyle w:val="CaptionedFigure"/>
        <w:spacing w:line="360" w:lineRule="auto"/>
        <w:jc w:val="center"/>
      </w:pPr>
      <w:r>
        <w:rPr>
          <w:color w:val="000000"/>
        </w:rPr>
        <w:drawing>
          <wp:inline>
            <wp:extent cx="5334000" cy="3602082"/>
            <wp:effectExtent b="0" l="0" r="0" t="0"/>
            <wp:docPr descr="Figura 14. Análisis de cobertura empírica e interpretabilidad práctica de reglas Anchors (EXP2). Fuente: elaboración propia a partir de registros del clasificador sobre UCI Adult Income." title="" id="104" name="Picture"/>
            <a:graphic>
              <a:graphicData uri="http://schemas.openxmlformats.org/drawingml/2006/picture">
                <pic:pic>
                  <pic:nvPicPr>
                    <pic:cNvPr descr="../figures/exported/fig_cobertura_exp2_es.png" id="105" name="Picture"/>
                    <pic:cNvPicPr>
                      <a:picLocks noChangeArrowheads="1" noChangeAspect="1"/>
                    </pic:cNvPicPr>
                  </pic:nvPicPr>
                  <pic:blipFill>
                    <a:blip r:embed="rId103"/>
                    <a:stretch>
                      <a:fillRect/>
                    </a:stretch>
                  </pic:blipFill>
                  <pic:spPr bwMode="auto">
                    <a:xfrm>
                      <a:off x="0" y="0"/>
                      <a:ext cx="5334000" cy="3602082"/>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14. Análisis de cobertura empírica e interpretabilidad práctica de reglas Anchors (EXP2). Fuente: elaboración propia a partir de registros del clasificador sobre UCI Adult Income.</w:t>
      </w:r>
    </w:p>
    <w:bookmarkEnd w:id="106"/>
    <w:bookmarkEnd w:id="107"/>
    <w:bookmarkStart w:id="108" w:name="X274169f55327c810524003600d813725ceaff1b"/>
    <w:p>
      <w:pPr>
        <w:pStyle w:val="Heading2"/>
        <w:spacing w:line="360" w:lineRule="auto"/>
        <w:jc w:val="left"/>
      </w:pPr>
      <w:r>
        <w:rPr>
          <w:color w:val="000000"/>
        </w:rPr>
        <w:t xml:space="preserve">Matriz de Decisión para Ingenieros de Despliegue</w:t>
      </w:r>
    </w:p>
    <w:p>
      <w:pPr>
        <w:pStyle w:val="FirstParagraph"/>
        <w:spacing w:line="360" w:lineRule="auto"/>
        <w:jc w:val="both"/>
      </w:pPr>
      <w:r>
        <w:rPr>
          <w:color w:val="000000"/>
        </w:rPr>
        <w:t xml:space="preserve">La siguiente guía orienta la selección del método según el caso de uso en producción:</w:t>
      </w:r>
    </w:p>
    <w:p>
      <w:pPr>
        <w:pStyle w:val="Compact"/>
        <w:numPr>
          <w:ilvl w:val="0"/>
          <w:numId w:val="1028"/>
        </w:numPr>
        <w:spacing w:line="360" w:lineRule="auto"/>
        <w:jc w:val="both"/>
      </w:pPr>
      <w:r>
        <w:rPr>
          <w:b/>
          <w:bCs/>
          <w:color w:val="000000"/>
        </w:rPr>
        <w:t xml:space="preserve">Auditoría Regulatoria Ex-Post (Banca, Seguros, Salud):</w:t>
      </w:r>
    </w:p>
    <w:p>
      <w:pPr>
        <w:pStyle w:val="Compact"/>
        <w:numPr>
          <w:ilvl w:val="1"/>
          <w:numId w:val="1029"/>
        </w:numPr>
        <w:spacing w:line="360" w:lineRule="auto"/>
        <w:jc w:val="both"/>
      </w:pPr>
      <w:r>
        <w:rPr>
          <w:i/>
          <w:iCs/>
          <w:color w:val="000000"/>
        </w:rPr>
        <w:t xml:space="preserve">Requisito:</w:t>
      </w:r>
      <w:r>
        <w:rPr>
          <w:color w:val="000000"/>
        </w:rPr>
        <w:t xml:space="preserve"> </w:t>
      </w:r>
      <w:r>
        <w:rPr>
          <w:color w:val="000000"/>
        </w:rPr>
        <w:t xml:space="preserve">Máxima fidelidad axiomática y reproducibilidad jurídica.</w:t>
      </w:r>
    </w:p>
    <w:p>
      <w:pPr>
        <w:pStyle w:val="Compact"/>
        <w:numPr>
          <w:ilvl w:val="1"/>
          <w:numId w:val="1029"/>
        </w:numPr>
        <w:spacing w:line="360" w:lineRule="auto"/>
        <w:jc w:val="both"/>
      </w:pPr>
      <w:r>
        <w:rPr>
          <w:i/>
          <w:iCs/>
          <w:color w:val="000000"/>
        </w:rPr>
        <w:t xml:space="preserve">Recomendación:</w:t>
      </w:r>
      <w:r>
        <w:rPr>
          <w:color w:val="000000"/>
        </w:rPr>
        <w:t xml:space="preserve"> </w:t>
      </w:r>
      <w:r>
        <w:rPr>
          <w:b/>
          <w:bCs/>
          <w:color w:val="000000"/>
        </w:rPr>
        <w:t xml:space="preserve">KernelSHAP</w:t>
      </w:r>
      <w:r>
        <w:rPr>
          <w:color w:val="000000"/>
        </w:rPr>
        <w:t xml:space="preserve"> </w:t>
      </w:r>
      <w:r>
        <w:rPr>
          <w:color w:val="000000"/>
        </w:rPr>
        <w:t xml:space="preserve">(Fidelidad</w:t>
      </w:r>
      <w:r>
        <w:rPr>
          <w:color w:val="000000"/>
        </w:rPr>
        <w:t xml:space="preserve"> </w:t>
      </w:r>
      <m:oMath>
        <m:r>
          <m:t>0.942</m:t>
        </m:r>
      </m:oMath>
      <w:r>
        <w:rPr>
          <w:color w:val="000000"/>
        </w:rPr>
        <w:t xml:space="preserve">, Estabilidad</w:t>
      </w:r>
      <w:r>
        <w:rPr>
          <w:color w:val="000000"/>
        </w:rPr>
        <w:t xml:space="preserve"> </w:t>
      </w:r>
      <m:oMath>
        <m:r>
          <m:t>0.951</m:t>
        </m:r>
      </m:oMath>
      <w:r>
        <w:rPr>
          <w:color w:val="000000"/>
        </w:rPr>
        <w:t xml:space="preserve">). La latencia de</w:t>
      </w:r>
      <w:r>
        <w:rPr>
          <w:color w:val="000000"/>
        </w:rPr>
        <w:t xml:space="preserve"> </w:t>
      </w:r>
      <m:oMath>
        <m:r>
          <m:t>1</m:t>
        </m:r>
        <m:r>
          <m:rPr>
            <m:sty m:val="p"/>
          </m:rPr>
          <m:t>,</m:t>
        </m:r>
        <m:r>
          <m:t>180</m:t>
        </m:r>
        <m:r>
          <m:rPr>
            <m:nor/>
            <m:sty m:val="p"/>
          </m:rPr>
          <m:t> ms</m:t>
        </m:r>
      </m:oMath>
      <w:r>
        <w:rPr>
          <w:color w:val="000000"/>
        </w:rPr>
        <w:t xml:space="preserve"> </w:t>
      </w:r>
      <w:r>
        <w:rPr>
          <w:color w:val="000000"/>
        </w:rPr>
        <w:t xml:space="preserve">resulta viable en procesamiento por lotes (</w:t>
      </w:r>
      <w:r>
        <w:rPr>
          <w:i/>
          <w:iCs/>
          <w:color w:val="000000"/>
        </w:rPr>
        <w:t xml:space="preserve">batch</w:t>
      </w:r>
      <w:r>
        <w:rPr>
          <w:color w:val="000000"/>
        </w:rPr>
        <w:t xml:space="preserve">).</w:t>
      </w:r>
    </w:p>
    <w:p>
      <w:pPr>
        <w:pStyle w:val="Compact"/>
        <w:numPr>
          <w:ilvl w:val="0"/>
          <w:numId w:val="1028"/>
        </w:numPr>
        <w:spacing w:line="360" w:lineRule="auto"/>
        <w:jc w:val="both"/>
      </w:pPr>
      <w:r>
        <w:rPr>
          <w:b/>
          <w:bCs/>
          <w:color w:val="000000"/>
        </w:rPr>
        <w:t xml:space="preserve">Inferencia Interactiva y Microservicios (Comercio Electrónico, Fraude):</w:t>
      </w:r>
    </w:p>
    <w:p>
      <w:pPr>
        <w:pStyle w:val="Compact"/>
        <w:numPr>
          <w:ilvl w:val="1"/>
          <w:numId w:val="1030"/>
        </w:numPr>
        <w:spacing w:line="360" w:lineRule="auto"/>
        <w:jc w:val="both"/>
      </w:pPr>
      <w:r>
        <w:rPr>
          <w:i/>
          <w:iCs/>
          <w:color w:val="000000"/>
        </w:rPr>
        <w:t xml:space="preserve">Requisito:</w:t>
      </w:r>
      <w:r>
        <w:rPr>
          <w:color w:val="000000"/>
        </w:rPr>
        <w:t xml:space="preserve"> </w:t>
      </w:r>
      <w:r>
        <w:rPr>
          <w:color w:val="000000"/>
        </w:rPr>
        <w:t xml:space="preserve">Latencia</w:t>
      </w:r>
      <w:r>
        <w:rPr>
          <w:color w:val="000000"/>
        </w:rPr>
        <w:t xml:space="preserve"> </w:t>
      </w:r>
      <m:oMath>
        <m:r>
          <m:rPr>
            <m:sty m:val="p"/>
          </m:rPr>
          <m:t>&lt;</m:t>
        </m:r>
        <m:r>
          <m:t>100</m:t>
        </m:r>
        <m:r>
          <m:rPr>
            <m:nor/>
            <m:sty m:val="p"/>
          </m:rPr>
          <m:t> ms</m:t>
        </m:r>
      </m:oMath>
      <w:r>
        <w:rPr>
          <w:color w:val="000000"/>
        </w:rPr>
        <w:t xml:space="preserve"> </w:t>
      </w:r>
      <w:r>
        <w:rPr>
          <w:color w:val="000000"/>
        </w:rPr>
        <w:t xml:space="preserve">y bajo consumo computacional.</w:t>
      </w:r>
    </w:p>
    <w:p>
      <w:pPr>
        <w:pStyle w:val="Compact"/>
        <w:numPr>
          <w:ilvl w:val="1"/>
          <w:numId w:val="1030"/>
        </w:numPr>
        <w:spacing w:line="360" w:lineRule="auto"/>
        <w:jc w:val="both"/>
      </w:pPr>
      <w:r>
        <w:rPr>
          <w:i/>
          <w:iCs/>
          <w:color w:val="000000"/>
        </w:rPr>
        <w:t xml:space="preserve">Recomendación:</w:t>
      </w:r>
      <w:r>
        <w:rPr>
          <w:color w:val="000000"/>
        </w:rPr>
        <w:t xml:space="preserve"> </w:t>
      </w:r>
      <w:r>
        <w:rPr>
          <w:b/>
          <w:bCs/>
          <w:color w:val="000000"/>
        </w:rPr>
        <w:t xml:space="preserve">LIME</w:t>
      </w:r>
      <w:r>
        <w:rPr>
          <w:color w:val="000000"/>
        </w:rPr>
        <w:t xml:space="preserve"> </w:t>
      </w:r>
      <w:r>
        <w:rPr>
          <w:color w:val="000000"/>
        </w:rPr>
        <w:t xml:space="preserve">(o TreeSHAP en ensambles de árboles). Latencia de</w:t>
      </w:r>
      <w:r>
        <w:rPr>
          <w:color w:val="000000"/>
        </w:rPr>
        <w:t xml:space="preserve"> </w:t>
      </w:r>
      <m:oMath>
        <m:r>
          <m:t>45</m:t>
        </m:r>
        <m:r>
          <m:rPr>
            <m:nor/>
            <m:sty m:val="p"/>
          </m:rPr>
          <m:t> ms</m:t>
        </m:r>
      </m:oMath>
      <w:r>
        <w:rPr>
          <w:color w:val="000000"/>
        </w:rPr>
        <w:t xml:space="preserve"> </w:t>
      </w:r>
      <w:r>
        <w:rPr>
          <w:color w:val="000000"/>
        </w:rPr>
        <w:t xml:space="preserve">y alta parsimonia, controlando su variabilidad mediante semillas fijas.</w:t>
      </w:r>
    </w:p>
    <w:p>
      <w:pPr>
        <w:pStyle w:val="Compact"/>
        <w:numPr>
          <w:ilvl w:val="0"/>
          <w:numId w:val="1028"/>
        </w:numPr>
        <w:spacing w:line="360" w:lineRule="auto"/>
        <w:jc w:val="both"/>
      </w:pPr>
      <w:r>
        <w:rPr>
          <w:b/>
          <w:bCs/>
          <w:color w:val="000000"/>
        </w:rPr>
        <w:t xml:space="preserve">Control de Políticas y Cumplimiento (Recursos Humanos, Admisiones):</w:t>
      </w:r>
    </w:p>
    <w:p>
      <w:pPr>
        <w:pStyle w:val="Compact"/>
        <w:numPr>
          <w:ilvl w:val="1"/>
          <w:numId w:val="1031"/>
        </w:numPr>
        <w:spacing w:line="360" w:lineRule="auto"/>
        <w:jc w:val="both"/>
      </w:pPr>
      <w:r>
        <w:rPr>
          <w:i/>
          <w:iCs/>
          <w:color w:val="000000"/>
        </w:rPr>
        <w:t xml:space="preserve">Requisito:</w:t>
      </w:r>
      <w:r>
        <w:rPr>
          <w:color w:val="000000"/>
        </w:rPr>
        <w:t xml:space="preserve"> </w:t>
      </w:r>
      <w:r>
        <w:rPr>
          <w:color w:val="000000"/>
        </w:rPr>
        <w:t xml:space="preserve">Reglas deterministas (</w:t>
      </w:r>
      <w:r>
        <w:rPr>
          <w:rStyle w:val="VerbatimChar"/>
          <w:color w:val="000000"/>
        </w:rPr>
        <w:t xml:space="preserve">SI-ENTONCES</w:t>
      </w:r>
      <w:r>
        <w:rPr>
          <w:color w:val="000000"/>
        </w:rPr>
        <w:t xml:space="preserve">) legibles por comités multidisciplinares.</w:t>
      </w:r>
    </w:p>
    <w:p>
      <w:pPr>
        <w:pStyle w:val="Compact"/>
        <w:numPr>
          <w:ilvl w:val="1"/>
          <w:numId w:val="1031"/>
        </w:numPr>
        <w:spacing w:line="360" w:lineRule="auto"/>
        <w:jc w:val="both"/>
      </w:pPr>
      <w:r>
        <w:rPr>
          <w:i/>
          <w:iCs/>
          <w:color w:val="000000"/>
        </w:rPr>
        <w:t xml:space="preserve">Recomendación:</w:t>
      </w:r>
      <w:r>
        <w:rPr>
          <w:color w:val="000000"/>
        </w:rPr>
        <w:t xml:space="preserve"> </w:t>
      </w:r>
      <w:r>
        <w:rPr>
          <w:b/>
          <w:bCs/>
          <w:color w:val="000000"/>
        </w:rPr>
        <w:t xml:space="preserve">Anchors</w:t>
      </w:r>
      <w:r>
        <w:rPr>
          <w:color w:val="000000"/>
        </w:rPr>
        <w:t xml:space="preserve"> </w:t>
      </w:r>
      <w:r>
        <w:rPr>
          <w:color w:val="000000"/>
        </w:rPr>
        <w:t xml:space="preserve">(precisión</w:t>
      </w:r>
      <w:r>
        <w:rPr>
          <w:color w:val="000000"/>
        </w:rPr>
        <w:t xml:space="preserve"> </w:t>
      </w:r>
      <m:oMath>
        <m:r>
          <m:rPr>
            <m:sty m:val="p"/>
          </m:rPr>
          <m:t>≥</m:t>
        </m:r>
        <m:r>
          <m:t>95</m:t>
        </m:r>
        <m:r>
          <m:rPr>
            <m:sty m:val="p"/>
          </m:rPr>
          <m:t>%</m:t>
        </m:r>
      </m:oMath>
      <w:r>
        <w:rPr>
          <w:color w:val="000000"/>
        </w:rPr>
        <w:t xml:space="preserve">), derivando casos fuera de cobertura (</w:t>
      </w:r>
      <m:oMath>
        <m:r>
          <m:rPr>
            <m:sty m:val="p"/>
          </m:rPr>
          <m:t>&gt;</m:t>
        </m:r>
        <m:r>
          <m:t>70</m:t>
        </m:r>
        <m:r>
          <m:rPr>
            <m:sty m:val="p"/>
          </m:rPr>
          <m:t>%</m:t>
        </m:r>
      </m:oMath>
      <w:r>
        <w:rPr>
          <w:color w:val="000000"/>
        </w:rPr>
        <w:t xml:space="preserve">) a supervisión humana.</w:t>
      </w:r>
    </w:p>
    <w:p>
      <w:pPr>
        <w:pStyle w:val="Compact"/>
        <w:numPr>
          <w:ilvl w:val="0"/>
          <w:numId w:val="1028"/>
        </w:numPr>
        <w:spacing w:line="360" w:lineRule="auto"/>
        <w:jc w:val="both"/>
      </w:pPr>
      <w:r>
        <w:rPr>
          <w:b/>
          <w:bCs/>
          <w:color w:val="000000"/>
        </w:rPr>
        <w:t xml:space="preserve">Portales de Autoservicio y Apelaciones (Usuarios Finales):</w:t>
      </w:r>
    </w:p>
    <w:p>
      <w:pPr>
        <w:pStyle w:val="Compact"/>
        <w:numPr>
          <w:ilvl w:val="1"/>
          <w:numId w:val="1032"/>
        </w:numPr>
        <w:spacing w:line="360" w:lineRule="auto"/>
        <w:jc w:val="both"/>
      </w:pPr>
      <w:r>
        <w:rPr>
          <w:i/>
          <w:iCs/>
          <w:color w:val="000000"/>
        </w:rPr>
        <w:t xml:space="preserve">Requisito:</w:t>
      </w:r>
      <w:r>
        <w:rPr>
          <w:color w:val="000000"/>
        </w:rPr>
        <w:t xml:space="preserve"> </w:t>
      </w:r>
      <w:r>
        <w:rPr>
          <w:color w:val="000000"/>
        </w:rPr>
        <w:t xml:space="preserve">Prescripciones accionables con variables inmutables protegidas.</w:t>
      </w:r>
    </w:p>
    <w:p>
      <w:pPr>
        <w:pStyle w:val="Compact"/>
        <w:numPr>
          <w:ilvl w:val="1"/>
          <w:numId w:val="1032"/>
        </w:numPr>
        <w:spacing w:line="360" w:lineRule="auto"/>
        <w:jc w:val="both"/>
      </w:pPr>
      <w:r>
        <w:rPr>
          <w:i/>
          <w:iCs/>
          <w:color w:val="000000"/>
        </w:rPr>
        <w:t xml:space="preserve">Recomendación:</w:t>
      </w:r>
      <w:r>
        <w:rPr>
          <w:color w:val="000000"/>
        </w:rPr>
        <w:t xml:space="preserve"> </w:t>
      </w:r>
      <w:r>
        <w:rPr>
          <w:b/>
          <w:bCs/>
          <w:color w:val="000000"/>
        </w:rPr>
        <w:t xml:space="preserve">DiCE</w:t>
      </w:r>
      <w:r>
        <w:rPr>
          <w:color w:val="000000"/>
        </w:rPr>
        <w:t xml:space="preserve"> </w:t>
      </w:r>
      <w:r>
        <w:rPr>
          <w:color w:val="000000"/>
        </w:rPr>
        <w:t xml:space="preserve">(contrafactuales diversos con mutabilidad restringida para guiar al usuario).</w:t>
      </w:r>
    </w:p>
    <w:bookmarkEnd w:id="108"/>
    <w:bookmarkEnd w:id="109"/>
    <w:bookmarkStart w:id="114" w:name="X99a4d479a708676f46097b7b9345dc7e749bfb9"/>
    <w:p>
      <w:pPr>
        <w:pStyle w:val="Heading1"/>
        <w:spacing w:line="360" w:lineRule="auto"/>
        <w:jc w:val="left"/>
      </w:pPr>
      <w:r>
        <w:rPr>
          <w:color w:val="000000"/>
        </w:rPr>
        <w:t xml:space="preserve">Implicaciones para la evaluación auditable de XAI</w:t>
      </w:r>
    </w:p>
    <w:bookmarkStart w:id="110" w:name="X728481ae43c1af5cc369cb490bf286934bfcf8e"/>
    <w:p>
      <w:pPr>
        <w:pStyle w:val="Heading2"/>
        <w:spacing w:line="360" w:lineRule="auto"/>
        <w:jc w:val="left"/>
      </w:pPr>
      <w:r>
        <w:rPr>
          <w:color w:val="000000"/>
        </w:rPr>
        <w:t xml:space="preserve">Del indicador aislado al perfil multi-dimensional</w:t>
      </w:r>
    </w:p>
    <w:p>
      <w:pPr>
        <w:pStyle w:val="FirstParagraph"/>
        <w:spacing w:line="360" w:lineRule="auto"/>
        <w:jc w:val="both"/>
      </w:pPr>
      <w:r>
        <w:rPr>
          <w:color w:val="000000"/>
        </w:rPr>
        <w:t xml:space="preserve">El principal aprendizaje del benchmark</w:t>
      </w:r>
      <w:r>
        <w:rPr>
          <w:color w:val="000000"/>
        </w:rPr>
        <w:t xml:space="preserve"> </w:t>
      </w:r>
      <w:r>
        <w:rPr>
          <w:b/>
          <w:bCs/>
          <w:color w:val="000000"/>
        </w:rPr>
        <w:t xml:space="preserve">FOM-7</w:t>
      </w:r>
      <w:r>
        <w:rPr>
          <w:color w:val="000000"/>
        </w:rPr>
        <w:t xml:space="preserve"> </w:t>
      </w:r>
      <w:r>
        <w:rPr>
          <w:color w:val="000000"/>
        </w:rPr>
        <w:t xml:space="preserve">para la ingeniería de datos es claro:</w:t>
      </w:r>
      <w:r>
        <w:rPr>
          <w:color w:val="000000"/>
        </w:rPr>
        <w:t xml:space="preserve"> </w:t>
      </w:r>
      <w:r>
        <w:rPr>
          <w:b/>
          <w:bCs/>
          <w:color w:val="000000"/>
        </w:rPr>
        <w:t xml:space="preserve">evaluar la explicabilidad mediante una sola métrica aislada constituye un fallo de diseño</w:t>
      </w:r>
      <w:r>
        <w:rPr>
          <w:color w:val="000000"/>
        </w:rPr>
        <w:t xml:space="preserve">. Ningún método post-hoc domina todas las dimensiones simultáneamente. La gobernanza de la IA exige definir</w:t>
      </w:r>
      <w:r>
        <w:rPr>
          <w:color w:val="000000"/>
        </w:rPr>
        <w:t xml:space="preserve"> </w:t>
      </w:r>
      <w:r>
        <w:rPr>
          <w:b/>
          <w:bCs/>
          <w:color w:val="000000"/>
        </w:rPr>
        <w:t xml:space="preserve">perfiles operacionales de desempeño</w:t>
      </w:r>
      <w:r>
        <w:rPr>
          <w:color w:val="000000"/>
        </w:rPr>
        <w:t xml:space="preserve"> </w:t>
      </w:r>
      <w:r>
        <w:rPr>
          <w:color w:val="000000"/>
        </w:rPr>
        <w:t xml:space="preserve">adaptados a cada escenario productivo.</w:t>
      </w:r>
    </w:p>
    <w:p>
      <w:pPr>
        <w:pStyle w:val="BodyText"/>
        <w:spacing w:line="360" w:lineRule="auto"/>
        <w:jc w:val="both"/>
      </w:pPr>
      <w:r>
        <w:rPr>
          <w:color w:val="000000"/>
        </w:rPr>
        <w:t xml:space="preserve">Para un auditor bajo la Ley de IA de la UE, una explicación carece de validez legal si no acredita conjuntamente fidelidad (G1) y estabilidad (G2). Emitir atribuciones sin certificar estabilidad suficiente (</w:t>
      </w:r>
      <m:oMath>
        <m:r>
          <m:rPr>
            <m:sty m:val="p"/>
          </m:rPr>
          <m:t>≥</m:t>
        </m:r>
        <m:r>
          <m:t>0.80</m:t>
        </m:r>
      </m:oMath>
      <w:r>
        <w:rPr>
          <w:color w:val="000000"/>
        </w:rPr>
        <w:t xml:space="preserve">) expone al sistema a impugnaciones técnicas y legales.</w:t>
      </w:r>
    </w:p>
    <w:bookmarkEnd w:id="110"/>
    <w:bookmarkStart w:id="111" w:name="X682e95dba67911b6b5660d129e1732e2ba91cb3"/>
    <w:p>
      <w:pPr>
        <w:pStyle w:val="Heading2"/>
        <w:spacing w:line="360" w:lineRule="auto"/>
        <w:jc w:val="left"/>
      </w:pPr>
      <w:r>
        <w:rPr>
          <w:color w:val="000000"/>
        </w:rPr>
        <w:t xml:space="preserve">Flujo de Auditoría en Tres Fases para Pipelines de Producción</w:t>
      </w:r>
    </w:p>
    <w:p>
      <w:pPr>
        <w:pStyle w:val="FirstParagraph"/>
        <w:spacing w:line="360" w:lineRule="auto"/>
        <w:jc w:val="both"/>
      </w:pPr>
      <w:r>
        <w:rPr>
          <w:color w:val="000000"/>
        </w:rPr>
        <w:t xml:space="preserve">Para incorporar FOM-7 en entornos de MLOps y gobierno de datos, se establece un flujo estructurado en tres fases:</w:t>
      </w:r>
    </w:p>
    <w:p>
      <w:pPr>
        <w:numPr>
          <w:ilvl w:val="0"/>
          <w:numId w:val="1033"/>
        </w:numPr>
        <w:spacing w:line="360" w:lineRule="auto"/>
        <w:jc w:val="both"/>
      </w:pPr>
      <w:r>
        <w:rPr>
          <w:b/>
          <w:bCs/>
          <w:color w:val="000000"/>
        </w:rPr>
        <w:t xml:space="preserve">Fase 1: Pre-certificación Estática en CI/CD (G1, G2, G3):</w:t>
      </w:r>
      <w:r>
        <w:rPr>
          <w:color w:val="000000"/>
        </w:rPr>
        <w:t xml:space="preserve"> </w:t>
      </w:r>
      <w:r>
        <w:rPr>
          <w:color w:val="000000"/>
        </w:rPr>
        <w:t xml:space="preserve">Durante la integración continua, el clasificador y su explicador deben superar los umbrales mínimos sobre datos de validación independientes. Se exige fidelidad</w:t>
      </w:r>
      <w:r>
        <w:rPr>
          <w:color w:val="000000"/>
        </w:rPr>
        <w:t xml:space="preserve"> </w:t>
      </w:r>
      <m:oMath>
        <m:r>
          <m:rPr>
            <m:sty m:val="p"/>
          </m:rPr>
          <m:t>≥</m:t>
        </m:r>
        <m:r>
          <m:t>0.85</m:t>
        </m:r>
      </m:oMath>
      <w:r>
        <w:rPr>
          <w:color w:val="000000"/>
        </w:rPr>
        <w:t xml:space="preserve">, estabilidad</w:t>
      </w:r>
      <w:r>
        <w:rPr>
          <w:color w:val="000000"/>
        </w:rPr>
        <w:t xml:space="preserve"> </w:t>
      </w:r>
      <m:oMath>
        <m:r>
          <m:rPr>
            <m:sty m:val="p"/>
          </m:rPr>
          <m:t>≥</m:t>
        </m:r>
        <m:r>
          <m:t>0.80</m:t>
        </m:r>
      </m:oMath>
      <w:r>
        <w:rPr>
          <w:color w:val="000000"/>
        </w:rPr>
        <w:t xml:space="preserve"> </w:t>
      </w:r>
      <w:r>
        <w:rPr>
          <w:color w:val="000000"/>
        </w:rPr>
        <w:t xml:space="preserve">y parsimonia cognitiva (</w:t>
      </w:r>
      <m:oMath>
        <m:r>
          <m:rPr>
            <m:sty m:val="p"/>
          </m:rPr>
          <m:t>≤</m:t>
        </m:r>
        <m:r>
          <m:t>7</m:t>
        </m:r>
      </m:oMath>
      <w:r>
        <w:rPr>
          <w:color w:val="000000"/>
        </w:rPr>
        <w:t xml:space="preserve"> </w:t>
      </w:r>
      <w:r>
        <w:rPr>
          <w:color w:val="000000"/>
        </w:rPr>
        <w:t xml:space="preserve">variables dominantes).</w:t>
      </w:r>
    </w:p>
    <w:p>
      <w:pPr>
        <w:numPr>
          <w:ilvl w:val="0"/>
          <w:numId w:val="1033"/>
        </w:numPr>
        <w:spacing w:line="360" w:lineRule="auto"/>
        <w:jc w:val="both"/>
      </w:pPr>
      <w:r>
        <w:rPr>
          <w:b/>
          <w:bCs/>
          <w:color w:val="000000"/>
        </w:rPr>
        <w:t xml:space="preserve">Fase 2: Eficiencia y Restricciones Operacionales (G4, G5):</w:t>
      </w:r>
      <w:r>
        <w:rPr>
          <w:color w:val="000000"/>
        </w:rPr>
        <w:t xml:space="preserve"> </w:t>
      </w:r>
      <w:r>
        <w:rPr>
          <w:color w:val="000000"/>
        </w:rPr>
        <w:t xml:space="preserve">Se verifica el cumplimiento de los SLAs de infraestructura (</w:t>
      </w:r>
      <m:oMath>
        <m:sSub>
          <m:e>
            <m:acc>
              <m:accPr>
                <m:chr m:val="‾"/>
              </m:accPr>
              <m:e>
                <m:r>
                  <m:t>T</m:t>
                </m:r>
              </m:e>
            </m:acc>
          </m:e>
          <m:sub>
            <m:r>
              <m:t>e</m:t>
            </m:r>
            <m:r>
              <m:t>x</m:t>
            </m:r>
            <m:r>
              <m:t>p</m:t>
            </m:r>
          </m:sub>
        </m:sSub>
        <m:r>
          <m:rPr>
            <m:sty m:val="p"/>
          </m:rPr>
          <m:t>&lt;</m:t>
        </m:r>
        <m:r>
          <m:t>100</m:t>
        </m:r>
        <m:r>
          <m:rPr>
            <m:nor/>
            <m:sty m:val="p"/>
          </m:rPr>
          <m:t> ms</m:t>
        </m:r>
      </m:oMath>
      <w:r>
        <w:rPr>
          <w:color w:val="000000"/>
        </w:rPr>
        <w:t xml:space="preserve"> </w:t>
      </w:r>
      <w:r>
        <w:rPr>
          <w:color w:val="000000"/>
        </w:rPr>
        <w:t xml:space="preserve">en servicios en línea). En contrafactuales (DiCE), se audita el respeto irrestricto a las máscaras de inmutabilidad sobre atributos protegidos.</w:t>
      </w:r>
    </w:p>
    <w:p>
      <w:pPr>
        <w:numPr>
          <w:ilvl w:val="0"/>
          <w:numId w:val="1033"/>
        </w:numPr>
        <w:spacing w:line="360" w:lineRule="auto"/>
        <w:jc w:val="both"/>
      </w:pPr>
      <w:r>
        <w:rPr>
          <w:b/>
          <w:bCs/>
          <w:color w:val="000000"/>
        </w:rPr>
        <w:t xml:space="preserve">Fase 3: Auditoría Cruzada y Equidad en Producción (G6, G7):</w:t>
      </w:r>
      <w:r>
        <w:rPr>
          <w:color w:val="000000"/>
        </w:rPr>
        <w:t xml:space="preserve"> </w:t>
      </w:r>
      <w:r>
        <w:rPr>
          <w:color w:val="000000"/>
        </w:rPr>
        <w:t xml:space="preserve">Se programan tareas periódicas por lotes que contrastan pares de explicadores para alertar sobre divergencias de Rashomon (G6). Asimismo, se audita que la calidad explicativa mantenga paridad estadística entre subgrupos demográficos protegidos (G7).</w:t>
      </w:r>
    </w:p>
    <w:bookmarkEnd w:id="111"/>
    <w:bookmarkStart w:id="112" w:name="X29f52835a5c2648aba611a99c0289ebbc428ae9"/>
    <w:p>
      <w:pPr>
        <w:pStyle w:val="Heading2"/>
        <w:spacing w:line="360" w:lineRule="auto"/>
        <w:jc w:val="left"/>
      </w:pPr>
      <w:r>
        <w:rPr>
          <w:color w:val="000000"/>
        </w:rPr>
        <w:t xml:space="preserve">Alineamiento con la Ley de IA de la UE y el Marco NIST AI RMF</w:t>
      </w:r>
    </w:p>
    <w:p>
      <w:pPr>
        <w:pStyle w:val="FirstParagraph"/>
        <w:spacing w:line="360" w:lineRule="auto"/>
        <w:jc w:val="both"/>
      </w:pPr>
      <w:r>
        <w:rPr>
          <w:color w:val="000000"/>
        </w:rPr>
        <w:t xml:space="preserve">El protocolo FOM-7 aporta la base cuantitativa auditable exigida por la regulación internacional:</w:t>
      </w:r>
    </w:p>
    <w:p>
      <w:pPr>
        <w:pStyle w:val="Compact"/>
        <w:numPr>
          <w:ilvl w:val="0"/>
          <w:numId w:val="1034"/>
        </w:numPr>
        <w:spacing w:line="360" w:lineRule="auto"/>
        <w:jc w:val="both"/>
      </w:pPr>
      <w:r>
        <w:rPr>
          <w:b/>
          <w:bCs/>
          <w:color w:val="000000"/>
        </w:rPr>
        <w:t xml:space="preserve">Ley de Inteligencia Artificial de la UE (Reglamento UE 2024/1689):</w:t>
      </w:r>
    </w:p>
    <w:p>
      <w:pPr>
        <w:pStyle w:val="Compact"/>
        <w:numPr>
          <w:ilvl w:val="1"/>
          <w:numId w:val="1035"/>
        </w:numPr>
        <w:spacing w:line="360" w:lineRule="auto"/>
        <w:jc w:val="both"/>
      </w:pPr>
      <w:r>
        <w:rPr>
          <w:i/>
          <w:iCs/>
          <w:color w:val="000000"/>
        </w:rPr>
        <w:t xml:space="preserve">Artículo 13 (Transparencia):</w:t>
      </w:r>
      <w:r>
        <w:rPr>
          <w:color w:val="000000"/>
        </w:rPr>
        <w:t xml:space="preserve"> </w:t>
      </w:r>
      <w:r>
        <w:rPr>
          <w:color w:val="000000"/>
        </w:rPr>
        <w:t xml:space="preserve">Exige que los sistemas de alto riesgo sean interpretables. La Puerta G1 verifica matemáticamente la fidelidad de la aproximación.</w:t>
      </w:r>
    </w:p>
    <w:p>
      <w:pPr>
        <w:pStyle w:val="Compact"/>
        <w:numPr>
          <w:ilvl w:val="1"/>
          <w:numId w:val="1035"/>
        </w:numPr>
        <w:spacing w:line="360" w:lineRule="auto"/>
        <w:jc w:val="both"/>
      </w:pPr>
      <w:r>
        <w:rPr>
          <w:i/>
          <w:iCs/>
          <w:color w:val="000000"/>
        </w:rPr>
        <w:t xml:space="preserve">Artículo 14 (Supervisión humana):</w:t>
      </w:r>
      <w:r>
        <w:rPr>
          <w:color w:val="000000"/>
        </w:rPr>
        <w:t xml:space="preserve"> </w:t>
      </w:r>
      <w:r>
        <w:rPr>
          <w:color w:val="000000"/>
        </w:rPr>
        <w:t xml:space="preserve">Demanda supervisión efectiva (</w:t>
      </w:r>
      <w:r>
        <w:rPr>
          <w:i/>
          <w:iCs/>
          <w:color w:val="000000"/>
        </w:rPr>
        <w:t xml:space="preserve">Human-in-the-Loop</w:t>
      </w:r>
      <w:r>
        <w:rPr>
          <w:color w:val="000000"/>
        </w:rPr>
        <w:t xml:space="preserve">). Las Puertas G2 y G3 garantizan consistencia y parsimonia cognitiva.</w:t>
      </w:r>
    </w:p>
    <w:p>
      <w:pPr>
        <w:pStyle w:val="Compact"/>
        <w:numPr>
          <w:ilvl w:val="1"/>
          <w:numId w:val="1035"/>
        </w:numPr>
        <w:spacing w:line="360" w:lineRule="auto"/>
        <w:jc w:val="both"/>
      </w:pPr>
      <w:r>
        <w:rPr>
          <w:i/>
          <w:iCs/>
          <w:color w:val="000000"/>
        </w:rPr>
        <w:t xml:space="preserve">Artículo 86 (Derecho a explicación):</w:t>
      </w:r>
      <w:r>
        <w:rPr>
          <w:color w:val="000000"/>
        </w:rPr>
        <w:t xml:space="preserve"> </w:t>
      </w:r>
      <w:r>
        <w:rPr>
          <w:color w:val="000000"/>
        </w:rPr>
        <w:t xml:space="preserve">Otorga el derecho a justificaciones claras ante decisiones adversas. La Puerta G7 previene sesgos discriminatorios en la auditoría.</w:t>
      </w:r>
    </w:p>
    <w:p>
      <w:pPr>
        <w:pStyle w:val="Compact"/>
        <w:numPr>
          <w:ilvl w:val="0"/>
          <w:numId w:val="1034"/>
        </w:numPr>
        <w:spacing w:line="360" w:lineRule="auto"/>
        <w:jc w:val="both"/>
      </w:pPr>
      <w:r>
        <w:rPr>
          <w:b/>
          <w:bCs/>
          <w:color w:val="000000"/>
        </w:rPr>
        <w:t xml:space="preserve">Marco NIST AI RMF 1.0:</w:t>
      </w:r>
    </w:p>
    <w:p>
      <w:pPr>
        <w:pStyle w:val="Compact"/>
        <w:numPr>
          <w:ilvl w:val="1"/>
          <w:numId w:val="1036"/>
        </w:numPr>
        <w:spacing w:line="360" w:lineRule="auto"/>
        <w:jc w:val="both"/>
      </w:pPr>
      <w:r>
        <w:rPr>
          <w:i/>
          <w:iCs/>
          <w:color w:val="000000"/>
        </w:rPr>
        <w:t xml:space="preserve">Directriz Measure 1.3:</w:t>
      </w:r>
      <w:r>
        <w:rPr>
          <w:color w:val="000000"/>
        </w:rPr>
        <w:t xml:space="preserve"> </w:t>
      </w:r>
      <w:r>
        <w:rPr>
          <w:color w:val="000000"/>
        </w:rPr>
        <w:t xml:space="preserve">Requiere métricas formales y reproducibles de explicabilidad y confiabilidad.</w:t>
      </w:r>
    </w:p>
    <w:p>
      <w:pPr>
        <w:pStyle w:val="Compact"/>
        <w:numPr>
          <w:ilvl w:val="1"/>
          <w:numId w:val="1036"/>
        </w:numPr>
        <w:spacing w:line="360" w:lineRule="auto"/>
        <w:jc w:val="both"/>
      </w:pPr>
      <w:r>
        <w:rPr>
          <w:i/>
          <w:iCs/>
          <w:color w:val="000000"/>
        </w:rPr>
        <w:t xml:space="preserve">Directriz Govern 1.2:</w:t>
      </w:r>
      <w:r>
        <w:rPr>
          <w:color w:val="000000"/>
        </w:rPr>
        <w:t xml:space="preserve"> </w:t>
      </w:r>
      <w:r>
        <w:rPr>
          <w:color w:val="000000"/>
        </w:rPr>
        <w:t xml:space="preserve">Exige gobernanza técnica documentada. Mediante aserciones cuantitativas, FOM-7 traduce directrices abstractas en pruebas de software auditables.</w:t>
      </w:r>
    </w:p>
    <w:bookmarkEnd w:id="112"/>
    <w:bookmarkStart w:id="113" w:name="Xe6a5baf81d3f238ecfdf96422b06d92aebd2638"/>
    <w:p>
      <w:pPr>
        <w:pStyle w:val="Heading2"/>
        <w:spacing w:line="360" w:lineRule="auto"/>
        <w:jc w:val="left"/>
      </w:pPr>
      <w:r>
        <w:rPr>
          <w:color w:val="000000"/>
        </w:rPr>
        <w:t xml:space="preserve">Recomendaciones prácticas para arquitectos de datos</w:t>
      </w:r>
    </w:p>
    <w:p>
      <w:pPr>
        <w:pStyle w:val="Compact"/>
        <w:numPr>
          <w:ilvl w:val="0"/>
          <w:numId w:val="1037"/>
        </w:numPr>
        <w:spacing w:line="360" w:lineRule="auto"/>
        <w:jc w:val="both"/>
      </w:pPr>
      <w:r>
        <w:rPr>
          <w:b/>
          <w:bCs/>
          <w:color w:val="000000"/>
        </w:rPr>
        <w:t xml:space="preserve">Umbral mínimo de fidelidad local (G1</w:t>
      </w:r>
      <w:r>
        <w:rPr>
          <w:b/>
          <w:bCs/>
          <w:color w:val="000000"/>
        </w:rPr>
        <w:t xml:space="preserve"> </w:t>
      </w:r>
      <m:oMath>
        <m:r>
          <m:rPr>
            <m:sty m:val="p"/>
          </m:rPr>
          <m:t>≥</m:t>
        </m:r>
        <m:r>
          <m:t>0.85</m:t>
        </m:r>
      </m:oMath>
      <w:r>
        <w:rPr>
          <w:b/>
          <w:bCs/>
          <w:color w:val="000000"/>
        </w:rPr>
        <w:t xml:space="preserve">):</w:t>
      </w:r>
      <w:r>
        <w:rPr>
          <w:color w:val="000000"/>
        </w:rPr>
        <w:t xml:space="preserve"> </w:t>
      </w:r>
      <w:r>
        <w:rPr>
          <w:color w:val="000000"/>
        </w:rPr>
        <w:t xml:space="preserve">Rechazar en despliegue explicadores cuya fidelidad respecto a la caja negra sea inferior al</w:t>
      </w:r>
      <w:r>
        <w:rPr>
          <w:color w:val="000000"/>
        </w:rPr>
        <w:t xml:space="preserve"> </w:t>
      </w:r>
      <m:oMath>
        <m:r>
          <m:t>85</m:t>
        </m:r>
        <m:r>
          <m:rPr>
            <m:sty m:val="p"/>
          </m:rPr>
          <m:t>%</m:t>
        </m:r>
      </m:oMath>
      <w:r>
        <w:rPr>
          <w:color w:val="000000"/>
        </w:rPr>
        <w:t xml:space="preserve">.</w:t>
      </w:r>
    </w:p>
    <w:p>
      <w:pPr>
        <w:pStyle w:val="Compact"/>
        <w:numPr>
          <w:ilvl w:val="0"/>
          <w:numId w:val="1037"/>
        </w:numPr>
        <w:spacing w:line="360" w:lineRule="auto"/>
        <w:jc w:val="both"/>
      </w:pPr>
      <w:r>
        <w:rPr>
          <w:b/>
          <w:bCs/>
          <w:color w:val="000000"/>
        </w:rPr>
        <w:t xml:space="preserve">Telemetría de explicabilidad en el Model Card (G5):</w:t>
      </w:r>
      <w:r>
        <w:rPr>
          <w:color w:val="000000"/>
        </w:rPr>
        <w:t xml:space="preserve"> </w:t>
      </w:r>
      <w:r>
        <w:rPr>
          <w:color w:val="000000"/>
        </w:rPr>
        <w:t xml:space="preserve">Registrar latencia media y consumo de memoria en la ficha técnica para dimensionar la infraestructura de inferencia.</w:t>
      </w:r>
    </w:p>
    <w:p>
      <w:pPr>
        <w:pStyle w:val="Compact"/>
        <w:numPr>
          <w:ilvl w:val="0"/>
          <w:numId w:val="1037"/>
        </w:numPr>
        <w:spacing w:line="360" w:lineRule="auto"/>
        <w:jc w:val="both"/>
      </w:pPr>
      <w:r>
        <w:rPr>
          <w:b/>
          <w:bCs/>
          <w:color w:val="000000"/>
        </w:rPr>
        <w:t xml:space="preserve">Arquitectura de explicación híbrida:</w:t>
      </w:r>
      <w:r>
        <w:rPr>
          <w:color w:val="000000"/>
        </w:rPr>
        <w:t xml:space="preserve"> </w:t>
      </w:r>
      <w:r>
        <w:rPr>
          <w:color w:val="000000"/>
        </w:rPr>
        <w:t xml:space="preserve">Emplear vectores de atribución (KernelSHAP) para auditoría técnica y ciencia de datos, combinados con contrafactuales prescriptivos (DiCE) en portales orientados al usuario final.</w:t>
      </w:r>
    </w:p>
    <w:bookmarkEnd w:id="113"/>
    <w:bookmarkEnd w:id="114"/>
    <w:bookmarkStart w:id="118" w:name="conclusiones"/>
    <w:p>
      <w:pPr>
        <w:pStyle w:val="Heading1"/>
        <w:spacing w:line="360" w:lineRule="auto"/>
        <w:jc w:val="left"/>
      </w:pPr>
      <w:r>
        <w:rPr>
          <w:color w:val="000000"/>
        </w:rPr>
        <w:t xml:space="preserve">Conclusiones</w:t>
      </w:r>
    </w:p>
    <w:bookmarkStart w:id="115" w:name="síntesis-de-aportaciones"/>
    <w:p>
      <w:pPr>
        <w:pStyle w:val="Heading2"/>
        <w:spacing w:line="360" w:lineRule="auto"/>
        <w:jc w:val="left"/>
      </w:pPr>
      <w:r>
        <w:rPr>
          <w:color w:val="000000"/>
        </w:rPr>
        <w:t xml:space="preserve">Síntesis de aportaciones</w:t>
      </w:r>
    </w:p>
    <w:p>
      <w:pPr>
        <w:pStyle w:val="FirstParagraph"/>
        <w:spacing w:line="360" w:lineRule="auto"/>
        <w:jc w:val="both"/>
      </w:pPr>
      <w:r>
        <w:rPr>
          <w:color w:val="000000"/>
        </w:rPr>
        <w:t xml:space="preserve">Este capítulo demuestra que la explicabilidad algorítmica constituye la</w:t>
      </w:r>
      <w:r>
        <w:rPr>
          <w:color w:val="000000"/>
        </w:rPr>
        <w:t xml:space="preserve"> </w:t>
      </w:r>
      <w:r>
        <w:rPr>
          <w:b/>
          <w:bCs/>
          <w:color w:val="000000"/>
        </w:rPr>
        <w:t xml:space="preserve">capa de observabilidad indispensable</w:t>
      </w:r>
      <w:r>
        <w:rPr>
          <w:color w:val="000000"/>
        </w:rPr>
        <w:t xml:space="preserve"> </w:t>
      </w:r>
      <w:r>
        <w:rPr>
          <w:color w:val="000000"/>
        </w:rPr>
        <w:t xml:space="preserve">para auditar modelos complejos en entornos de alta responsabilidad.</w:t>
      </w:r>
    </w:p>
    <w:p>
      <w:pPr>
        <w:pStyle w:val="BodyText"/>
        <w:spacing w:line="360" w:lineRule="auto"/>
        <w:jc w:val="both"/>
      </w:pPr>
      <w:r>
        <w:rPr>
          <w:color w:val="000000"/>
        </w:rPr>
        <w:t xml:space="preserve">A través del protocolo</w:t>
      </w:r>
      <w:r>
        <w:rPr>
          <w:color w:val="000000"/>
        </w:rPr>
        <w:t xml:space="preserve"> </w:t>
      </w:r>
      <w:r>
        <w:rPr>
          <w:b/>
          <w:bCs/>
          <w:color w:val="000000"/>
        </w:rPr>
        <w:t xml:space="preserve">FOM-7</w:t>
      </w:r>
      <w:r>
        <w:rPr>
          <w:color w:val="000000"/>
        </w:rPr>
        <w:t xml:space="preserve"> </w:t>
      </w:r>
      <w:r>
        <w:rPr>
          <w:color w:val="000000"/>
        </w:rPr>
        <w:t xml:space="preserve">y su validación empírica en</w:t>
      </w:r>
      <w:r>
        <w:rPr>
          <w:color w:val="000000"/>
        </w:rPr>
        <w:t xml:space="preserve"> </w:t>
      </w:r>
      <w:r>
        <w:rPr>
          <w:i/>
          <w:iCs/>
          <w:color w:val="000000"/>
        </w:rPr>
        <w:t xml:space="preserve">UCI Adult Income</w:t>
      </w:r>
      <w:r>
        <w:rPr>
          <w:color w:val="000000"/>
        </w:rPr>
        <w:t xml:space="preserve">, este trabajo aporta:</w:t>
      </w:r>
    </w:p>
    <w:p>
      <w:pPr>
        <w:pStyle w:val="Compact"/>
        <w:numPr>
          <w:ilvl w:val="0"/>
          <w:numId w:val="1038"/>
        </w:numPr>
        <w:spacing w:line="360" w:lineRule="auto"/>
        <w:jc w:val="both"/>
      </w:pPr>
      <w:r>
        <w:rPr>
          <w:b/>
          <w:bCs/>
          <w:color w:val="000000"/>
        </w:rPr>
        <w:t xml:space="preserve">Un marco conceptual desmitificado:</w:t>
      </w:r>
      <w:r>
        <w:rPr>
          <w:color w:val="000000"/>
        </w:rPr>
        <w:t xml:space="preserve"> </w:t>
      </w:r>
      <w:r>
        <w:rPr>
          <w:color w:val="000000"/>
        </w:rPr>
        <w:t xml:space="preserve">Delimita operativamente transparencia, interpretabilidad intrínseca y explicabilidad post-hoc, distinguiendo la atribución estadística de la causalidad real.</w:t>
      </w:r>
    </w:p>
    <w:p>
      <w:pPr>
        <w:pStyle w:val="Compact"/>
        <w:numPr>
          <w:ilvl w:val="0"/>
          <w:numId w:val="1038"/>
        </w:numPr>
        <w:spacing w:line="360" w:lineRule="auto"/>
        <w:jc w:val="both"/>
      </w:pPr>
      <w:r>
        <w:rPr>
          <w:b/>
          <w:bCs/>
          <w:color w:val="000000"/>
        </w:rPr>
        <w:t xml:space="preserve">Un benchmark multi-métrica reproducible:</w:t>
      </w:r>
      <w:r>
        <w:rPr>
          <w:color w:val="000000"/>
        </w:rPr>
        <w:t xml:space="preserve"> </w:t>
      </w:r>
      <w:r>
        <w:rPr>
          <w:color w:val="000000"/>
        </w:rPr>
        <w:t xml:space="preserve">Evalúa LIME, KernelSHAP, Anchors y DiCE sobre cinco familias de clasificadores. Demuestra la superioridad estadística de KernelSHAP en fidelidad y caracteriza la frontera de Pareto entre estabilidad y costo computacional.</w:t>
      </w:r>
    </w:p>
    <w:p>
      <w:pPr>
        <w:pStyle w:val="Compact"/>
        <w:numPr>
          <w:ilvl w:val="0"/>
          <w:numId w:val="1038"/>
        </w:numPr>
        <w:spacing w:line="360" w:lineRule="auto"/>
        <w:jc w:val="both"/>
      </w:pPr>
      <w:r>
        <w:rPr>
          <w:b/>
          <w:bCs/>
          <w:color w:val="000000"/>
        </w:rPr>
        <w:t xml:space="preserve">Una guía de ingeniería aplicada:</w:t>
      </w:r>
      <w:r>
        <w:rPr>
          <w:color w:val="000000"/>
        </w:rPr>
        <w:t xml:space="preserve"> </w:t>
      </w:r>
      <w:r>
        <w:rPr>
          <w:color w:val="000000"/>
        </w:rPr>
        <w:t xml:space="preserve">Formaliza umbrales cuantitativos, una matriz de decisión para despliegue y un flujo de auditoría en tres fases alineado con la Ley de IA de la UE y NIST AI RMF.</w:t>
      </w:r>
    </w:p>
    <w:bookmarkEnd w:id="115"/>
    <w:bookmarkStart w:id="116" w:name="alcance-limitaciones-y-agenda-futura"/>
    <w:p>
      <w:pPr>
        <w:pStyle w:val="Heading2"/>
        <w:spacing w:line="360" w:lineRule="auto"/>
        <w:jc w:val="left"/>
      </w:pPr>
      <w:r>
        <w:rPr>
          <w:color w:val="000000"/>
        </w:rPr>
        <w:t xml:space="preserve">Alcance, limitaciones y agenda futura</w:t>
      </w:r>
    </w:p>
    <w:p>
      <w:pPr>
        <w:pStyle w:val="FirstParagraph"/>
        <w:spacing w:line="360" w:lineRule="auto"/>
        <w:jc w:val="both"/>
      </w:pPr>
      <w:r>
        <w:rPr>
          <w:color w:val="000000"/>
        </w:rPr>
        <w:t xml:space="preserve">Reconociendo el alcance acotado del estudio experimental, se identifican dos líneas prioritarias de investigación:</w:t>
      </w:r>
    </w:p>
    <w:p>
      <w:pPr>
        <w:pStyle w:val="Compact"/>
        <w:numPr>
          <w:ilvl w:val="0"/>
          <w:numId w:val="1039"/>
        </w:numPr>
        <w:spacing w:line="360" w:lineRule="auto"/>
        <w:jc w:val="both"/>
      </w:pPr>
      <w:r>
        <w:rPr>
          <w:b/>
          <w:bCs/>
          <w:color w:val="000000"/>
        </w:rPr>
        <w:t xml:space="preserve">Extensión a datos no estructurados y Modelos de Lenguaje (LLMs):</w:t>
      </w:r>
      <w:r>
        <w:rPr>
          <w:color w:val="000000"/>
        </w:rPr>
        <w:t xml:space="preserve"> </w:t>
      </w:r>
      <w:r>
        <w:rPr>
          <w:color w:val="000000"/>
        </w:rPr>
        <w:t xml:space="preserve">El benchmark se concentró en datos tabulares. Futuras investigaciones adaptarán FOM-7 a visión artificial y a modelos masivos de lenguaje (</w:t>
      </w:r>
      <w:r>
        <w:rPr>
          <w:i/>
          <w:iCs/>
          <w:color w:val="000000"/>
        </w:rPr>
        <w:t xml:space="preserve">Large Language Models</w:t>
      </w:r>
      <w:r>
        <w:rPr>
          <w:color w:val="000000"/>
        </w:rPr>
        <w:t xml:space="preserve">, LLMs), donde las perturbaciones en representaciones densas (</w:t>
      </w:r>
      <w:r>
        <w:rPr>
          <w:i/>
          <w:iCs/>
          <w:color w:val="000000"/>
        </w:rPr>
        <w:t xml:space="preserve">embeddings</w:t>
      </w:r>
      <w:r>
        <w:rPr>
          <w:color w:val="000000"/>
        </w:rPr>
        <w:t xml:space="preserve">) y los mecanismos de atención plantean nuevos retos de estabilidad.</w:t>
      </w:r>
    </w:p>
    <w:p>
      <w:pPr>
        <w:pStyle w:val="Compact"/>
        <w:numPr>
          <w:ilvl w:val="0"/>
          <w:numId w:val="1039"/>
        </w:numPr>
        <w:spacing w:line="360" w:lineRule="auto"/>
        <w:jc w:val="both"/>
      </w:pPr>
      <w:r>
        <w:rPr>
          <w:b/>
          <w:bCs/>
          <w:color w:val="000000"/>
        </w:rPr>
        <w:t xml:space="preserve">Integración con estudios cognitivos (Niveles 1 y 2):</w:t>
      </w:r>
      <w:r>
        <w:rPr>
          <w:color w:val="000000"/>
        </w:rPr>
        <w:t xml:space="preserve"> </w:t>
      </w:r>
      <w:r>
        <w:rPr>
          <w:color w:val="000000"/>
        </w:rPr>
        <w:t xml:space="preserve">Este trabajo consolida la evaluación funcionalmente fundamentada de Nivel 3 (Doshi-Velez &amp; Kim, 2017). Investigaciones posteriores vincularán las métricas de FOM-7 con pruebas de usabilidad y rendimiento con usuarios humanos en entornos clínicos y financieros.</w:t>
      </w:r>
    </w:p>
    <w:bookmarkEnd w:id="116"/>
    <w:bookmarkStart w:id="117" w:name="reflexión-final"/>
    <w:p>
      <w:pPr>
        <w:pStyle w:val="Heading2"/>
        <w:spacing w:line="360" w:lineRule="auto"/>
        <w:jc w:val="left"/>
      </w:pPr>
      <w:r>
        <w:rPr>
          <w:color w:val="000000"/>
        </w:rPr>
        <w:t xml:space="preserve">Reflexión final</w:t>
      </w:r>
    </w:p>
    <w:p>
      <w:pPr>
        <w:pStyle w:val="FirstParagraph"/>
        <w:spacing w:line="360" w:lineRule="auto"/>
        <w:jc w:val="both"/>
      </w:pPr>
      <w:r>
        <w:rPr>
          <w:color w:val="000000"/>
        </w:rPr>
        <w:t xml:space="preserve">La explicabilidad algorítmica no es un fin en sí misma. Es el instrumento técnico para asegurar que el aprendizaje automático opere bajo supervisión transparente, defendible y centrada en el ser humano. Al dotar a los equipos de ingeniería de un protocolo cuantitativo como</w:t>
      </w:r>
      <w:r>
        <w:rPr>
          <w:color w:val="000000"/>
        </w:rPr>
        <w:t xml:space="preserve"> </w:t>
      </w:r>
      <w:r>
        <w:rPr>
          <w:b/>
          <w:bCs/>
          <w:color w:val="000000"/>
        </w:rPr>
        <w:t xml:space="preserve">FOM-7</w:t>
      </w:r>
      <w:r>
        <w:rPr>
          <w:color w:val="000000"/>
        </w:rPr>
        <w:t xml:space="preserve">, este trabajo aporta una base sólida para transitar desde la opacidad algorítmica hacia una gobernanza verdaderamente responsable.</w:t>
      </w:r>
    </w:p>
    <w:bookmarkEnd w:id="117"/>
    <w:bookmarkEnd w:id="118"/>
    <w:bookmarkStart w:id="119" w:name="referencias"/>
    <w:p>
      <w:pPr>
        <w:pStyle w:val="Heading1"/>
        <w:spacing w:line="360" w:lineRule="auto"/>
        <w:jc w:val="left"/>
      </w:pPr>
      <w:r>
        <w:rPr>
          <w:color w:val="000000"/>
        </w:rPr>
        <w:t xml:space="preserve">Referencias</w:t>
      </w:r>
    </w:p>
    <w:p>
      <w:pPr>
        <w:pStyle w:val="Bibliography"/>
        <w:spacing w:line="360" w:lineRule="auto"/>
        <w:jc w:val="both"/>
      </w:pPr>
      <w:r>
        <w:rPr>
          <w:color w:val="000000"/>
        </w:rPr>
        <w:t xml:space="preserve">Agarwal, C., Krishna, S., Saxena, E., Pawelczyk, M., Johnson, N., Puri, I., Zitnik, M., &amp; Lakkaraju, H. (2022). OpenXAI: Towards a transparent evaluation of model explanations. En</w:t>
      </w:r>
      <w:r>
        <w:rPr>
          <w:color w:val="000000"/>
        </w:rPr>
        <w:t xml:space="preserve"> </w:t>
      </w:r>
      <w:r>
        <w:rPr>
          <w:i/>
          <w:iCs/>
          <w:color w:val="000000"/>
        </w:rPr>
        <w:t xml:space="preserve">Advances in Neural Information Processing Systems</w:t>
      </w:r>
      <w:r>
        <w:rPr>
          <w:color w:val="000000"/>
        </w:rPr>
        <w:t xml:space="preserve"> </w:t>
      </w:r>
      <w:r>
        <w:rPr>
          <w:color w:val="000000"/>
        </w:rPr>
        <w:t xml:space="preserve">(Vol. 35, pp. 15784–15799). https://doi.org/10.52202/068431-1148</w:t>
      </w:r>
    </w:p>
    <w:p>
      <w:pPr>
        <w:pStyle w:val="Bibliography"/>
        <w:spacing w:line="360" w:lineRule="auto"/>
        <w:jc w:val="both"/>
      </w:pPr>
      <w:r>
        <w:rPr>
          <w:color w:val="000000"/>
        </w:rPr>
        <w:t xml:space="preserve">Ali, S., Abuhmed, T., El-Sappagh, S., Muhammad, K., Alonso-Moral, J. M., Confalonieri, R., Guidotti, R., Del Ser, J., Díaz-Rodríguez, N., &amp; Herrera, F. (2023). Explainable artificial intelligence (XAI): What we know and what is left to attain trustworthy artificial intelligence.</w:t>
      </w:r>
      <w:r>
        <w:rPr>
          <w:color w:val="000000"/>
        </w:rPr>
        <w:t xml:space="preserve"> </w:t>
      </w:r>
      <w:r>
        <w:rPr>
          <w:i/>
          <w:iCs/>
          <w:color w:val="000000"/>
        </w:rPr>
        <w:t xml:space="preserve">Information Fusion, 99</w:t>
      </w:r>
      <w:r>
        <w:rPr>
          <w:color w:val="000000"/>
        </w:rPr>
        <w:t xml:space="preserve">, 101805. https://doi.org/10.1016/j.inffus.2023.101805</w:t>
      </w:r>
    </w:p>
    <w:p>
      <w:pPr>
        <w:pStyle w:val="Bibliography"/>
        <w:spacing w:line="360" w:lineRule="auto"/>
        <w:jc w:val="both"/>
      </w:pPr>
      <w:r>
        <w:rPr>
          <w:color w:val="000000"/>
        </w:rPr>
        <w:t xml:space="preserve">Alufaisan, Y., Marusich, L. R., Bakdash, J. Z., Zhou, Y., &amp; Kantarcioglu, M. (2021). Does explainable artificial intelligence improve human decision-making?</w:t>
      </w:r>
      <w:r>
        <w:rPr>
          <w:color w:val="000000"/>
        </w:rPr>
        <w:t xml:space="preserve"> </w:t>
      </w:r>
      <w:r>
        <w:rPr>
          <w:i/>
          <w:iCs/>
          <w:color w:val="000000"/>
        </w:rPr>
        <w:t xml:space="preserve">Proceedings of the AAAI Conference on Artificial Intelligence, 35</w:t>
      </w:r>
      <w:r>
        <w:rPr>
          <w:color w:val="000000"/>
        </w:rPr>
        <w:t xml:space="preserve">(8), 6618–6626. https://doi.org/10.1609/aaai.v35i8.16819</w:t>
      </w:r>
    </w:p>
    <w:p>
      <w:pPr>
        <w:pStyle w:val="Bibliography"/>
        <w:spacing w:line="360" w:lineRule="auto"/>
        <w:jc w:val="both"/>
      </w:pPr>
      <w:r>
        <w:rPr>
          <w:color w:val="000000"/>
        </w:rPr>
        <w:t xml:space="preserve">Alvarez-Melis, D., &amp; Jaakkola, T. S. (2018).</w:t>
      </w:r>
      <w:r>
        <w:rPr>
          <w:color w:val="000000"/>
        </w:rPr>
        <w:t xml:space="preserve"> </w:t>
      </w:r>
      <w:r>
        <w:rPr>
          <w:i/>
          <w:iCs/>
          <w:color w:val="000000"/>
        </w:rPr>
        <w:t xml:space="preserve">On the robustness of interpretability methods</w:t>
      </w:r>
      <w:r>
        <w:rPr>
          <w:color w:val="000000"/>
        </w:rPr>
        <w:t xml:space="preserve">. arXiv. https://arxiv.org/abs/1806.08049</w:t>
      </w:r>
    </w:p>
    <w:p>
      <w:pPr>
        <w:pStyle w:val="Bibliography"/>
        <w:spacing w:line="360" w:lineRule="auto"/>
        <w:jc w:val="both"/>
      </w:pPr>
      <w:r>
        <w:rPr>
          <w:color w:val="000000"/>
        </w:rPr>
        <w:t xml:space="preserve">Barredo Arrieta, A., Díaz-Rodríguez, N., Del Ser, J., Bennetot, A., Tabik, S., Barbado, A., Garcia, S., Gil-Lopez, S., Molina, D., Benjamins, R., Chatila, R., &amp; Herrera, F. (2020). Explainable artificial intelligence (XAI): Concepts, taxonomies, opportunities and challenges toward responsible AI.</w:t>
      </w:r>
      <w:r>
        <w:rPr>
          <w:color w:val="000000"/>
        </w:rPr>
        <w:t xml:space="preserve"> </w:t>
      </w:r>
      <w:r>
        <w:rPr>
          <w:i/>
          <w:iCs/>
          <w:color w:val="000000"/>
        </w:rPr>
        <w:t xml:space="preserve">Information Fusion, 58</w:t>
      </w:r>
      <w:r>
        <w:rPr>
          <w:color w:val="000000"/>
        </w:rPr>
        <w:t xml:space="preserve">, 82–115. https://doi.org/10.1016/j.inffus.2019.12.012</w:t>
      </w:r>
    </w:p>
    <w:p>
      <w:pPr>
        <w:pStyle w:val="Bibliography"/>
        <w:spacing w:line="360" w:lineRule="auto"/>
        <w:jc w:val="both"/>
      </w:pPr>
      <w:r>
        <w:rPr>
          <w:color w:val="000000"/>
        </w:rPr>
        <w:t xml:space="preserve">Becker, B., &amp; Kohavi, R. (1996).</w:t>
      </w:r>
      <w:r>
        <w:rPr>
          <w:color w:val="000000"/>
        </w:rPr>
        <w:t xml:space="preserve"> </w:t>
      </w:r>
      <w:r>
        <w:rPr>
          <w:i/>
          <w:iCs/>
          <w:color w:val="000000"/>
        </w:rPr>
        <w:t xml:space="preserve">Adult</w:t>
      </w:r>
      <w:r>
        <w:rPr>
          <w:color w:val="000000"/>
        </w:rPr>
        <w:t xml:space="preserve"> </w:t>
      </w:r>
      <w:r>
        <w:rPr>
          <w:color w:val="000000"/>
        </w:rPr>
        <w:t xml:space="preserve">[Conjunto de datos]. UCI Machine Learning Repository. https://doi.org/10.24432/C5XW20</w:t>
      </w:r>
    </w:p>
    <w:p>
      <w:pPr>
        <w:pStyle w:val="Bibliography"/>
        <w:spacing w:line="360" w:lineRule="auto"/>
        <w:jc w:val="both"/>
      </w:pPr>
      <w:r>
        <w:rPr>
          <w:color w:val="000000"/>
        </w:rPr>
        <w:t xml:space="preserve">Bhattacharya, A., &amp; Verbert, K. (2024). How good is your explanation? Towards a standardised evaluation approach for diverse XAI methods on multiple dimensions of explainability. En</w:t>
      </w:r>
      <w:r>
        <w:rPr>
          <w:color w:val="000000"/>
        </w:rPr>
        <w:t xml:space="preserve"> </w:t>
      </w:r>
      <w:r>
        <w:rPr>
          <w:i/>
          <w:iCs/>
          <w:color w:val="000000"/>
        </w:rPr>
        <w:t xml:space="preserve">Adjunct Proceedings of the 32nd ACM Conference on User Modeling, Adaptation and Personalization</w:t>
      </w:r>
      <w:r>
        <w:rPr>
          <w:color w:val="000000"/>
        </w:rPr>
        <w:t xml:space="preserve"> </w:t>
      </w:r>
      <w:r>
        <w:rPr>
          <w:color w:val="000000"/>
        </w:rPr>
        <w:t xml:space="preserve">(pp. 513–515). Association for Computing Machinery. https://doi.org/10.1145/3631700.3664911</w:t>
      </w:r>
    </w:p>
    <w:p>
      <w:pPr>
        <w:pStyle w:val="Bibliography"/>
        <w:spacing w:line="360" w:lineRule="auto"/>
        <w:jc w:val="both"/>
      </w:pPr>
      <w:r>
        <w:rPr>
          <w:color w:val="000000"/>
        </w:rPr>
        <w:t xml:space="preserve">Breiman, L. (2001). Random forests.</w:t>
      </w:r>
      <w:r>
        <w:rPr>
          <w:color w:val="000000"/>
        </w:rPr>
        <w:t xml:space="preserve"> </w:t>
      </w:r>
      <w:r>
        <w:rPr>
          <w:i/>
          <w:iCs/>
          <w:color w:val="000000"/>
        </w:rPr>
        <w:t xml:space="preserve">Machine Learning, 45</w:t>
      </w:r>
      <w:r>
        <w:rPr>
          <w:color w:val="000000"/>
        </w:rPr>
        <w:t xml:space="preserve">(1), 5–32. https://doi.org/10.1023/a:1010933404324</w:t>
      </w:r>
    </w:p>
    <w:p>
      <w:pPr>
        <w:pStyle w:val="Bibliography"/>
        <w:spacing w:line="360" w:lineRule="auto"/>
        <w:jc w:val="both"/>
      </w:pPr>
      <w:r>
        <w:rPr>
          <w:color w:val="000000"/>
        </w:rPr>
        <w:t xml:space="preserve">Burger, C., Chen, L., &amp; Le, T. (2023). Are your explanations reliable? Investigating the stability of LIME in explaining text classifiers by marrying XAI and adversarial attack. En</w:t>
      </w:r>
      <w:r>
        <w:rPr>
          <w:color w:val="000000"/>
        </w:rPr>
        <w:t xml:space="preserve"> </w:t>
      </w:r>
      <w:r>
        <w:rPr>
          <w:i/>
          <w:iCs/>
          <w:color w:val="000000"/>
        </w:rPr>
        <w:t xml:space="preserve">Proceedings of the 2023 Conference on Empirical Methods in Natural Language Processing</w:t>
      </w:r>
      <w:r>
        <w:rPr>
          <w:color w:val="000000"/>
        </w:rPr>
        <w:t xml:space="preserve"> </w:t>
      </w:r>
      <w:r>
        <w:rPr>
          <w:color w:val="000000"/>
        </w:rPr>
        <w:t xml:space="preserve">(pp. 12931–12944). https://doi.org/10.18653/v1/2023.emnlp-main.792</w:t>
      </w:r>
    </w:p>
    <w:p>
      <w:pPr>
        <w:pStyle w:val="Bibliography"/>
        <w:spacing w:line="360" w:lineRule="auto"/>
        <w:jc w:val="both"/>
      </w:pPr>
      <w:r>
        <w:rPr>
          <w:color w:val="000000"/>
        </w:rPr>
        <w:t xml:space="preserve">Canha, D., Kubler, S., Främling, K., &amp; Fagherazzi, G. (2025). A functionally-grounded benchmark framework for XAI methods: Insights and foundations from a systematic literature review.</w:t>
      </w:r>
      <w:r>
        <w:rPr>
          <w:color w:val="000000"/>
        </w:rPr>
        <w:t xml:space="preserve"> </w:t>
      </w:r>
      <w:r>
        <w:rPr>
          <w:i/>
          <w:iCs/>
          <w:color w:val="000000"/>
        </w:rPr>
        <w:t xml:space="preserve">ACM Computing Surveys, 57</w:t>
      </w:r>
      <w:r>
        <w:rPr>
          <w:color w:val="000000"/>
        </w:rPr>
        <w:t xml:space="preserve">(12), 1–40. https://doi.org/10.1145/3737445</w:t>
      </w:r>
    </w:p>
    <w:p>
      <w:pPr>
        <w:pStyle w:val="Bibliography"/>
        <w:spacing w:line="360" w:lineRule="auto"/>
        <w:jc w:val="both"/>
      </w:pPr>
      <w:r>
        <w:rPr>
          <w:color w:val="000000"/>
        </w:rPr>
        <w:t xml:space="preserve">Carvalho, D. V., Pereira, E. M., &amp; Cardoso, J. S. (2019). Machine learning interpretability: A survey on methods and metrics.</w:t>
      </w:r>
      <w:r>
        <w:rPr>
          <w:color w:val="000000"/>
        </w:rPr>
        <w:t xml:space="preserve"> </w:t>
      </w:r>
      <w:r>
        <w:rPr>
          <w:i/>
          <w:iCs/>
          <w:color w:val="000000"/>
        </w:rPr>
        <w:t xml:space="preserve">Electronics, 8</w:t>
      </w:r>
      <w:r>
        <w:rPr>
          <w:color w:val="000000"/>
        </w:rPr>
        <w:t xml:space="preserve">(8), 832. https://doi.org/10.3390/electronics8080832</w:t>
      </w:r>
    </w:p>
    <w:p>
      <w:pPr>
        <w:pStyle w:val="Bibliography"/>
        <w:spacing w:line="360" w:lineRule="auto"/>
        <w:jc w:val="both"/>
      </w:pPr>
      <w:r>
        <w:rPr>
          <w:color w:val="000000"/>
        </w:rPr>
        <w:t xml:space="preserve">Demšar, J. (2006). Statistical comparisons of classifiers over multiple data sets.</w:t>
      </w:r>
      <w:r>
        <w:rPr>
          <w:color w:val="000000"/>
        </w:rPr>
        <w:t xml:space="preserve"> </w:t>
      </w:r>
      <w:r>
        <w:rPr>
          <w:i/>
          <w:iCs/>
          <w:color w:val="000000"/>
        </w:rPr>
        <w:t xml:space="preserve">Journal of Machine Learning Research, 7</w:t>
      </w:r>
      <w:r>
        <w:rPr>
          <w:color w:val="000000"/>
        </w:rPr>
        <w:t xml:space="preserve">, 1–30. https://www.jmlr.org/papers/v7/demsar06a.html</w:t>
      </w:r>
    </w:p>
    <w:p>
      <w:pPr>
        <w:pStyle w:val="Bibliography"/>
        <w:spacing w:line="360" w:lineRule="auto"/>
        <w:jc w:val="both"/>
      </w:pPr>
      <w:r>
        <w:rPr>
          <w:color w:val="000000"/>
        </w:rPr>
        <w:t xml:space="preserve">Doshi-Velez, F., &amp; Kim, B. (2017).</w:t>
      </w:r>
      <w:r>
        <w:rPr>
          <w:color w:val="000000"/>
        </w:rPr>
        <w:t xml:space="preserve"> </w:t>
      </w:r>
      <w:r>
        <w:rPr>
          <w:i/>
          <w:iCs/>
          <w:color w:val="000000"/>
        </w:rPr>
        <w:t xml:space="preserve">Towards a rigorous science of interpretable machine learning</w:t>
      </w:r>
      <w:r>
        <w:rPr>
          <w:color w:val="000000"/>
        </w:rPr>
        <w:t xml:space="preserve">. arXiv. https://doi.org/10.48550/arXiv.1702.08608</w:t>
      </w:r>
    </w:p>
    <w:p>
      <w:pPr>
        <w:pStyle w:val="Bibliography"/>
        <w:spacing w:line="360" w:lineRule="auto"/>
        <w:jc w:val="both"/>
      </w:pPr>
      <w:r>
        <w:rPr>
          <w:color w:val="000000"/>
        </w:rPr>
        <w:t xml:space="preserve">European Parliament &amp; Council of the European Union. (2024). Regulation (EU) 2024/1689 laying down harmonised rules on artificial intelligence.</w:t>
      </w:r>
      <w:r>
        <w:rPr>
          <w:color w:val="000000"/>
        </w:rPr>
        <w:t xml:space="preserve"> </w:t>
      </w:r>
      <w:r>
        <w:rPr>
          <w:i/>
          <w:iCs/>
          <w:color w:val="000000"/>
        </w:rPr>
        <w:t xml:space="preserve">Official Journal of the European Union, L</w:t>
      </w:r>
      <w:r>
        <w:rPr>
          <w:color w:val="000000"/>
        </w:rPr>
        <w:t xml:space="preserve">, 2024/1689. https://eur-lex.europa.eu/eli/reg/2024/1689/oj</w:t>
      </w:r>
    </w:p>
    <w:p>
      <w:pPr>
        <w:pStyle w:val="Bibliography"/>
        <w:spacing w:line="360" w:lineRule="auto"/>
        <w:jc w:val="both"/>
      </w:pPr>
      <w:r>
        <w:rPr>
          <w:color w:val="000000"/>
        </w:rPr>
        <w:t xml:space="preserve">Friedman, M. (1937). The use of ranks to avoid the assumption of normality implicit in the analysis of variance.</w:t>
      </w:r>
      <w:r>
        <w:rPr>
          <w:color w:val="000000"/>
        </w:rPr>
        <w:t xml:space="preserve"> </w:t>
      </w:r>
      <w:r>
        <w:rPr>
          <w:i/>
          <w:iCs/>
          <w:color w:val="000000"/>
        </w:rPr>
        <w:t xml:space="preserve">Journal of the American Statistical Association, 32</w:t>
      </w:r>
      <w:r>
        <w:rPr>
          <w:color w:val="000000"/>
        </w:rPr>
        <w:t xml:space="preserve">(200), 675–701. https://doi.org/10.1080/01621459.1937.10503522</w:t>
      </w:r>
    </w:p>
    <w:p>
      <w:pPr>
        <w:pStyle w:val="Bibliography"/>
        <w:spacing w:line="360" w:lineRule="auto"/>
        <w:jc w:val="both"/>
      </w:pPr>
      <w:r>
        <w:rPr>
          <w:color w:val="000000"/>
        </w:rPr>
        <w:t xml:space="preserve">Ghassemi, M., Oakden-Rayner, L., &amp; Beam, A. L. (2021). The false hope of current approaches to explainable artificial intelligence in health care.</w:t>
      </w:r>
      <w:r>
        <w:rPr>
          <w:color w:val="000000"/>
        </w:rPr>
        <w:t xml:space="preserve"> </w:t>
      </w:r>
      <w:r>
        <w:rPr>
          <w:i/>
          <w:iCs/>
          <w:color w:val="000000"/>
        </w:rPr>
        <w:t xml:space="preserve">The Lancet Digital Health, 3</w:t>
      </w:r>
      <w:r>
        <w:rPr>
          <w:color w:val="000000"/>
        </w:rPr>
        <w:t xml:space="preserve">(11), e745–e750. https://doi.org/10.1016/S2589-7500(21)00208-9</w:t>
      </w:r>
    </w:p>
    <w:p>
      <w:pPr>
        <w:pStyle w:val="Bibliography"/>
        <w:spacing w:line="360" w:lineRule="auto"/>
        <w:jc w:val="both"/>
      </w:pPr>
      <w:r>
        <w:rPr>
          <w:color w:val="000000"/>
        </w:rPr>
        <w:t xml:space="preserve">Guidotti, R., Monreale, A., Ruggieri, S., Turini, F., Giannotti, F., &amp; Pedreschi, D. (2018). A survey of methods for explaining black box models.</w:t>
      </w:r>
      <w:r>
        <w:rPr>
          <w:color w:val="000000"/>
        </w:rPr>
        <w:t xml:space="preserve"> </w:t>
      </w:r>
      <w:r>
        <w:rPr>
          <w:i/>
          <w:iCs/>
          <w:color w:val="000000"/>
        </w:rPr>
        <w:t xml:space="preserve">ACM Computing Surveys, 51</w:t>
      </w:r>
      <w:r>
        <w:rPr>
          <w:color w:val="000000"/>
        </w:rPr>
        <w:t xml:space="preserve">(5), 1–42. https://doi.org/10.1145/3236009</w:t>
      </w:r>
    </w:p>
    <w:p>
      <w:pPr>
        <w:pStyle w:val="Bibliography"/>
        <w:spacing w:line="360" w:lineRule="auto"/>
        <w:jc w:val="both"/>
      </w:pPr>
      <w:r>
        <w:rPr>
          <w:color w:val="000000"/>
        </w:rPr>
        <w:t xml:space="preserve">Hedström, A., Weber, L., Bareeva, D., Krakowczyk, D., Motzkus, F., Samek, W., Lapuschkin, S., &amp; Höhne, M. M.-C. (2023). Quantus: An explainable AI toolkit for responsible evaluation of neural network explanations and beyond.</w:t>
      </w:r>
      <w:r>
        <w:rPr>
          <w:color w:val="000000"/>
        </w:rPr>
        <w:t xml:space="preserve"> </w:t>
      </w:r>
      <w:r>
        <w:rPr>
          <w:i/>
          <w:iCs/>
          <w:color w:val="000000"/>
        </w:rPr>
        <w:t xml:space="preserve">Journal of Machine Learning Research, 24</w:t>
      </w:r>
      <w:r>
        <w:rPr>
          <w:color w:val="000000"/>
        </w:rPr>
        <w:t xml:space="preserve">(34), 1–11. https://www.jmlr.org/papers/v24/22-0142.html</w:t>
      </w:r>
    </w:p>
    <w:p>
      <w:pPr>
        <w:pStyle w:val="Bibliography"/>
        <w:spacing w:line="360" w:lineRule="auto"/>
        <w:jc w:val="both"/>
      </w:pPr>
      <w:r>
        <w:rPr>
          <w:color w:val="000000"/>
        </w:rPr>
        <w:t xml:space="preserve">Herrera-Vásquez, J. (2026).</w:t>
      </w:r>
      <w:r>
        <w:rPr>
          <w:color w:val="000000"/>
        </w:rPr>
        <w:t xml:space="preserve"> </w:t>
      </w:r>
      <w:r>
        <w:rPr>
          <w:i/>
          <w:iCs/>
          <w:color w:val="000000"/>
        </w:rPr>
        <w:t xml:space="preserve">Arquitectura agnóstica para la interpretabilidad de modelos de inteligencia artificial de caja negra: Integración de benchmarking técnico, protocolo reproducible (FOM-7) y taxonomía de métricas</w:t>
      </w:r>
      <w:r>
        <w:rPr>
          <w:color w:val="000000"/>
        </w:rPr>
        <w:t xml:space="preserve"> </w:t>
      </w:r>
      <w:r>
        <w:rPr>
          <w:color w:val="000000"/>
        </w:rPr>
        <w:t xml:space="preserve">[Tesis doctoral no publicada]. Universidad Americana de Europa.</w:t>
      </w:r>
    </w:p>
    <w:p>
      <w:pPr>
        <w:pStyle w:val="Bibliography"/>
        <w:spacing w:line="360" w:lineRule="auto"/>
        <w:jc w:val="both"/>
      </w:pPr>
      <w:r>
        <w:rPr>
          <w:color w:val="000000"/>
        </w:rPr>
        <w:t xml:space="preserve">Herrera-Vásquez, J., &amp; Herrero-Uceda, M. (2026). A framework for rigorous evaluation of model-agnostic explainability methods: Multi-metric statistical benchmarking, operational protocol, and reproducibility.</w:t>
      </w:r>
      <w:r>
        <w:rPr>
          <w:color w:val="000000"/>
        </w:rPr>
        <w:t xml:space="preserve"> </w:t>
      </w:r>
      <w:r>
        <w:rPr>
          <w:i/>
          <w:iCs/>
          <w:color w:val="000000"/>
        </w:rPr>
        <w:t xml:space="preserve">Revista de Investigación Multidisciplinaria Iberoamericana</w:t>
      </w:r>
      <w:r>
        <w:rPr>
          <w:color w:val="000000"/>
        </w:rPr>
        <w:t xml:space="preserve">, (3). https://doi.org/10.69850/rimi.vi3.307</w:t>
      </w:r>
    </w:p>
    <w:p>
      <w:pPr>
        <w:pStyle w:val="Bibliography"/>
        <w:spacing w:line="360" w:lineRule="auto"/>
        <w:jc w:val="both"/>
      </w:pPr>
      <w:r>
        <w:rPr>
          <w:color w:val="000000"/>
        </w:rPr>
        <w:t xml:space="preserve">Kadir, M. A., Mosavi, A., &amp; Sonntag, D. (2023). Evaluation metrics for XAI: A review, taxonomy, and practical applications. En</w:t>
      </w:r>
      <w:r>
        <w:rPr>
          <w:color w:val="000000"/>
        </w:rPr>
        <w:t xml:space="preserve"> </w:t>
      </w:r>
      <w:r>
        <w:rPr>
          <w:i/>
          <w:iCs/>
          <w:color w:val="000000"/>
        </w:rPr>
        <w:t xml:space="preserve">2023 IEEE 27th International Conference on Intelligent Engineering Systems (INES)</w:t>
      </w:r>
      <w:r>
        <w:rPr>
          <w:color w:val="000000"/>
        </w:rPr>
        <w:t xml:space="preserve"> </w:t>
      </w:r>
      <w:r>
        <w:rPr>
          <w:color w:val="000000"/>
        </w:rPr>
        <w:t xml:space="preserve">(pp. 111–124). IEEE. https://doi.org/10.1109/INES59282.2023.10297629</w:t>
      </w:r>
    </w:p>
    <w:p>
      <w:pPr>
        <w:pStyle w:val="Bibliography"/>
        <w:spacing w:line="360" w:lineRule="auto"/>
        <w:jc w:val="both"/>
      </w:pPr>
      <w:r>
        <w:rPr>
          <w:color w:val="000000"/>
        </w:rPr>
        <w:t xml:space="preserve">Karimi, A.-H., Barthe, G., Schölkopf, B., &amp; Valera, I. (2022). A survey of algorithmic recourse: Contrastive explanations and consequential recommendations.</w:t>
      </w:r>
      <w:r>
        <w:rPr>
          <w:color w:val="000000"/>
        </w:rPr>
        <w:t xml:space="preserve"> </w:t>
      </w:r>
      <w:r>
        <w:rPr>
          <w:i/>
          <w:iCs/>
          <w:color w:val="000000"/>
        </w:rPr>
        <w:t xml:space="preserve">ACM Computing Surveys, 55</w:t>
      </w:r>
      <w:r>
        <w:rPr>
          <w:color w:val="000000"/>
        </w:rPr>
        <w:t xml:space="preserve">(5), 1–29. https://doi.org/10.1145/3527848</w:t>
      </w:r>
    </w:p>
    <w:p>
      <w:pPr>
        <w:pStyle w:val="Bibliography"/>
        <w:spacing w:line="360" w:lineRule="auto"/>
        <w:jc w:val="both"/>
      </w:pPr>
      <w:r>
        <w:rPr>
          <w:color w:val="000000"/>
        </w:rPr>
        <w:t xml:space="preserve">Kaufman, R. A., Broukhim, A., Kirsh, D., &amp; Weibel, N. (2025). What did my car say? Impact of autonomous vehicle explanation errors and driving context on comfort, reliance, satisfaction, and driving confidence. En</w:t>
      </w:r>
      <w:r>
        <w:rPr>
          <w:color w:val="000000"/>
        </w:rPr>
        <w:t xml:space="preserve"> </w:t>
      </w:r>
      <w:r>
        <w:rPr>
          <w:i/>
          <w:iCs/>
          <w:color w:val="000000"/>
        </w:rPr>
        <w:t xml:space="preserve">Proceedings of the 2025 CHI Conference on Human Factors in Computing Systems</w:t>
      </w:r>
      <w:r>
        <w:rPr>
          <w:color w:val="000000"/>
        </w:rPr>
        <w:t xml:space="preserve"> </w:t>
      </w:r>
      <w:r>
        <w:rPr>
          <w:color w:val="000000"/>
        </w:rPr>
        <w:t xml:space="preserve">(Artículo 89, pp. 1–17). Association for Computing Machinery. https://doi.org/10.1145/3706598.3713088</w:t>
      </w:r>
    </w:p>
    <w:p>
      <w:pPr>
        <w:pStyle w:val="Bibliography"/>
        <w:spacing w:line="360" w:lineRule="auto"/>
        <w:jc w:val="both"/>
      </w:pPr>
      <w:r>
        <w:rPr>
          <w:color w:val="000000"/>
        </w:rPr>
        <w:t xml:space="preserve">Kim, J., Maathuis, H., &amp; Sent, D. (2024). Human-centered evaluation of explainable AI applications: A systematic review.</w:t>
      </w:r>
      <w:r>
        <w:rPr>
          <w:color w:val="000000"/>
        </w:rPr>
        <w:t xml:space="preserve"> </w:t>
      </w:r>
      <w:r>
        <w:rPr>
          <w:i/>
          <w:iCs/>
          <w:color w:val="000000"/>
        </w:rPr>
        <w:t xml:space="preserve">Frontiers in Artificial Intelligence, 7</w:t>
      </w:r>
      <w:r>
        <w:rPr>
          <w:color w:val="000000"/>
        </w:rPr>
        <w:t xml:space="preserve">, Artículo 1456486. https://doi.org/10.3389/frai.2024.1456486</w:t>
      </w:r>
    </w:p>
    <w:p>
      <w:pPr>
        <w:pStyle w:val="Bibliography"/>
        <w:spacing w:line="360" w:lineRule="auto"/>
        <w:jc w:val="both"/>
      </w:pPr>
      <w:r>
        <w:rPr>
          <w:color w:val="000000"/>
        </w:rPr>
        <w:t xml:space="preserve">Kuznietsov, A., Gyevnar, B., Wang, C., Peters, S., &amp; Albrecht, S. V. (2024). Explainable AI for safe and trustworthy autonomous driving: A systematic review.</w:t>
      </w:r>
      <w:r>
        <w:rPr>
          <w:color w:val="000000"/>
        </w:rPr>
        <w:t xml:space="preserve"> </w:t>
      </w:r>
      <w:r>
        <w:rPr>
          <w:i/>
          <w:iCs/>
          <w:color w:val="000000"/>
        </w:rPr>
        <w:t xml:space="preserve">IEEE Transactions on Intelligent Transportation Systems, 25</w:t>
      </w:r>
      <w:r>
        <w:rPr>
          <w:color w:val="000000"/>
        </w:rPr>
        <w:t xml:space="preserve">(12), 19342–19364. https://doi.org/10.1109/TITS.2024.3474469</w:t>
      </w:r>
    </w:p>
    <w:p>
      <w:pPr>
        <w:pStyle w:val="Bibliography"/>
        <w:spacing w:line="360" w:lineRule="auto"/>
        <w:jc w:val="both"/>
      </w:pPr>
      <w:r>
        <w:rPr>
          <w:color w:val="000000"/>
        </w:rPr>
        <w:t xml:space="preserve">Lakkaraju, H., Arsov, N., &amp; Bastani, O. (2020). Robust and stable black box explanations. En</w:t>
      </w:r>
      <w:r>
        <w:rPr>
          <w:color w:val="000000"/>
        </w:rPr>
        <w:t xml:space="preserve"> </w:t>
      </w:r>
      <w:r>
        <w:rPr>
          <w:i/>
          <w:iCs/>
          <w:color w:val="000000"/>
        </w:rPr>
        <w:t xml:space="preserve">Proceedings of the 37th International Conference on Machine Learning</w:t>
      </w:r>
      <w:r>
        <w:rPr>
          <w:color w:val="000000"/>
        </w:rPr>
        <w:t xml:space="preserve"> </w:t>
      </w:r>
      <w:r>
        <w:rPr>
          <w:color w:val="000000"/>
        </w:rPr>
        <w:t xml:space="preserve">(Vol. 119, pp. 5628–5638). PMLR. https://proceedings.mlr.press/v119/lakkaraju20a.html</w:t>
      </w:r>
    </w:p>
    <w:p>
      <w:pPr>
        <w:pStyle w:val="Bibliography"/>
        <w:spacing w:line="360" w:lineRule="auto"/>
        <w:jc w:val="both"/>
      </w:pPr>
      <w:r>
        <w:rPr>
          <w:color w:val="000000"/>
        </w:rPr>
        <w:t xml:space="preserve">Laugel, T., Lesot, M.-J., Marsala, C., Renard, X., &amp; Detyniecki, M. (2019). The dangers of post-hoc interpretability: Unjustified counterfactual explanations. En</w:t>
      </w:r>
      <w:r>
        <w:rPr>
          <w:color w:val="000000"/>
        </w:rPr>
        <w:t xml:space="preserve"> </w:t>
      </w:r>
      <w:r>
        <w:rPr>
          <w:i/>
          <w:iCs/>
          <w:color w:val="000000"/>
        </w:rPr>
        <w:t xml:space="preserve">Proceedings of the Twenty-Eighth International Joint Conference on Artificial Intelligence</w:t>
      </w:r>
      <w:r>
        <w:rPr>
          <w:color w:val="000000"/>
        </w:rPr>
        <w:t xml:space="preserve"> </w:t>
      </w:r>
      <w:r>
        <w:rPr>
          <w:color w:val="000000"/>
        </w:rPr>
        <w:t xml:space="preserve">(pp. 2801–2807). https://doi.org/10.24963/ijcai.2019/388</w:t>
      </w:r>
    </w:p>
    <w:p>
      <w:pPr>
        <w:pStyle w:val="Bibliography"/>
        <w:spacing w:line="360" w:lineRule="auto"/>
        <w:jc w:val="both"/>
      </w:pPr>
      <w:r>
        <w:rPr>
          <w:color w:val="000000"/>
        </w:rPr>
        <w:t xml:space="preserve">Lipton, Z. C. (2018). The mythos of model interpretability.</w:t>
      </w:r>
      <w:r>
        <w:rPr>
          <w:color w:val="000000"/>
        </w:rPr>
        <w:t xml:space="preserve"> </w:t>
      </w:r>
      <w:r>
        <w:rPr>
          <w:i/>
          <w:iCs/>
          <w:color w:val="000000"/>
        </w:rPr>
        <w:t xml:space="preserve">Queue, 16</w:t>
      </w:r>
      <w:r>
        <w:rPr>
          <w:color w:val="000000"/>
        </w:rPr>
        <w:t xml:space="preserve">(3), 31–57. https://doi.org/10.1145/3236386.3241340</w:t>
      </w:r>
    </w:p>
    <w:p>
      <w:pPr>
        <w:pStyle w:val="Bibliography"/>
        <w:spacing w:line="360" w:lineRule="auto"/>
        <w:jc w:val="both"/>
      </w:pPr>
      <w:r>
        <w:rPr>
          <w:color w:val="000000"/>
        </w:rPr>
        <w:t xml:space="preserve">Lundberg, S. M., &amp; Lee, S.-I. (2017). A unified approach to interpreting model predictions. En</w:t>
      </w:r>
      <w:r>
        <w:rPr>
          <w:color w:val="000000"/>
        </w:rPr>
        <w:t xml:space="preserve"> </w:t>
      </w:r>
      <w:r>
        <w:rPr>
          <w:i/>
          <w:iCs/>
          <w:color w:val="000000"/>
        </w:rPr>
        <w:t xml:space="preserve">Advances in Neural Information Processing Systems</w:t>
      </w:r>
      <w:r>
        <w:rPr>
          <w:color w:val="000000"/>
        </w:rPr>
        <w:t xml:space="preserve"> </w:t>
      </w:r>
      <w:r>
        <w:rPr>
          <w:color w:val="000000"/>
        </w:rPr>
        <w:t xml:space="preserve">(Vol. 30). https://proceedings.neurips.cc/paper_files/paper/2017/hash/8a20a8621978632d76c43dfd28b67767-Abstract.html</w:t>
      </w:r>
    </w:p>
    <w:p>
      <w:pPr>
        <w:pStyle w:val="Bibliography"/>
        <w:spacing w:line="360" w:lineRule="auto"/>
        <w:jc w:val="both"/>
      </w:pPr>
      <w:r>
        <w:rPr>
          <w:color w:val="000000"/>
        </w:rPr>
        <w:t xml:space="preserve">Marcinkevičs, R., &amp; Vogt, J. E. (2023). Interpretable and explainable machine learning: A methods-centric overview with concrete examples.</w:t>
      </w:r>
      <w:r>
        <w:rPr>
          <w:color w:val="000000"/>
        </w:rPr>
        <w:t xml:space="preserve"> </w:t>
      </w:r>
      <w:r>
        <w:rPr>
          <w:i/>
          <w:iCs/>
          <w:color w:val="000000"/>
        </w:rPr>
        <w:t xml:space="preserve">WIREs Data Mining and Knowledge Discovery, 13</w:t>
      </w:r>
      <w:r>
        <w:rPr>
          <w:color w:val="000000"/>
        </w:rPr>
        <w:t xml:space="preserve">(3), Artículo e1493. https://doi.org/10.1002/widm.1493</w:t>
      </w:r>
    </w:p>
    <w:p>
      <w:pPr>
        <w:pStyle w:val="Bibliography"/>
        <w:spacing w:line="360" w:lineRule="auto"/>
        <w:jc w:val="both"/>
      </w:pPr>
      <w:r>
        <w:rPr>
          <w:color w:val="000000"/>
        </w:rPr>
        <w:t xml:space="preserve">Miller, T. (2019). Explanation in artificial intelligence: Insights from the social sciences.</w:t>
      </w:r>
      <w:r>
        <w:rPr>
          <w:color w:val="000000"/>
        </w:rPr>
        <w:t xml:space="preserve"> </w:t>
      </w:r>
      <w:r>
        <w:rPr>
          <w:i/>
          <w:iCs/>
          <w:color w:val="000000"/>
        </w:rPr>
        <w:t xml:space="preserve">Artificial Intelligence, 267</w:t>
      </w:r>
      <w:r>
        <w:rPr>
          <w:color w:val="000000"/>
        </w:rPr>
        <w:t xml:space="preserve">, 1–38. https://doi.org/10.1016/j.artint.2018.07.007</w:t>
      </w:r>
    </w:p>
    <w:p>
      <w:pPr>
        <w:pStyle w:val="Bibliography"/>
        <w:spacing w:line="360" w:lineRule="auto"/>
        <w:jc w:val="both"/>
      </w:pPr>
      <w:r>
        <w:rPr>
          <w:color w:val="000000"/>
        </w:rPr>
        <w:t xml:space="preserve">Mothilal, R. K., Sharma, A., &amp; Tan, C. (2020). Explaining machine learning classifiers through diverse counterfactual explanations. En</w:t>
      </w:r>
      <w:r>
        <w:rPr>
          <w:color w:val="000000"/>
        </w:rPr>
        <w:t xml:space="preserve"> </w:t>
      </w:r>
      <w:r>
        <w:rPr>
          <w:i/>
          <w:iCs/>
          <w:color w:val="000000"/>
        </w:rPr>
        <w:t xml:space="preserve">Proceedings of the 2020 Conference on Fairness, Accountability, and Transparency</w:t>
      </w:r>
      <w:r>
        <w:rPr>
          <w:color w:val="000000"/>
        </w:rPr>
        <w:t xml:space="preserve"> </w:t>
      </w:r>
      <w:r>
        <w:rPr>
          <w:color w:val="000000"/>
        </w:rPr>
        <w:t xml:space="preserve">(pp. 607–617). Association for Computing Machinery. https://doi.org/10.1145/3351095.3372850</w:t>
      </w:r>
    </w:p>
    <w:p>
      <w:pPr>
        <w:pStyle w:val="Bibliography"/>
        <w:spacing w:line="360" w:lineRule="auto"/>
        <w:jc w:val="both"/>
      </w:pPr>
      <w:r>
        <w:rPr>
          <w:color w:val="000000"/>
        </w:rPr>
        <w:t xml:space="preserve">Murdoch, W. J., Singh, C., Kumbier, K., Abbasi-Asl, R., &amp; Yu, B. (2019). Definitions, methods, and applications in interpretable machine learning.</w:t>
      </w:r>
      <w:r>
        <w:rPr>
          <w:color w:val="000000"/>
        </w:rPr>
        <w:t xml:space="preserve"> </w:t>
      </w:r>
      <w:r>
        <w:rPr>
          <w:i/>
          <w:iCs/>
          <w:color w:val="000000"/>
        </w:rPr>
        <w:t xml:space="preserve">Proceedings of the National Academy of Sciences, 116</w:t>
      </w:r>
      <w:r>
        <w:rPr>
          <w:color w:val="000000"/>
        </w:rPr>
        <w:t xml:space="preserve">(44), 22071–22080. https://doi.org/10.1073/pnas.1900654116</w:t>
      </w:r>
    </w:p>
    <w:p>
      <w:pPr>
        <w:pStyle w:val="Bibliography"/>
        <w:spacing w:line="360" w:lineRule="auto"/>
        <w:jc w:val="both"/>
      </w:pPr>
      <w:r>
        <w:rPr>
          <w:color w:val="000000"/>
        </w:rPr>
        <w:t xml:space="preserve">Nauta, M., Trienes, J., Pathak, S., Nguyen, E., Peters, M., Schmitt, Y., Schlötterer, J., van Keulen, M., &amp; Seifert, C. (2023). From anecdotal evidence to quantitative evaluation methods: A systematic review on evaluating explainable AI.</w:t>
      </w:r>
      <w:r>
        <w:rPr>
          <w:color w:val="000000"/>
        </w:rPr>
        <w:t xml:space="preserve"> </w:t>
      </w:r>
      <w:r>
        <w:rPr>
          <w:i/>
          <w:iCs/>
          <w:color w:val="000000"/>
        </w:rPr>
        <w:t xml:space="preserve">ACM Computing Surveys, 55</w:t>
      </w:r>
      <w:r>
        <w:rPr>
          <w:color w:val="000000"/>
        </w:rPr>
        <w:t xml:space="preserve">(13s), 1–42. https://doi.org/10.1145/3583558</w:t>
      </w:r>
    </w:p>
    <w:p>
      <w:pPr>
        <w:pStyle w:val="Bibliography"/>
        <w:spacing w:line="360" w:lineRule="auto"/>
        <w:jc w:val="both"/>
      </w:pPr>
      <w:r>
        <w:rPr>
          <w:color w:val="000000"/>
        </w:rPr>
        <w:t xml:space="preserve">Nemenyi, P. B. (1963).</w:t>
      </w:r>
      <w:r>
        <w:rPr>
          <w:color w:val="000000"/>
        </w:rPr>
        <w:t xml:space="preserve"> </w:t>
      </w:r>
      <w:r>
        <w:rPr>
          <w:i/>
          <w:iCs/>
          <w:color w:val="000000"/>
        </w:rPr>
        <w:t xml:space="preserve">Distribution-free multiple comparisons</w:t>
      </w:r>
      <w:r>
        <w:rPr>
          <w:color w:val="000000"/>
        </w:rPr>
        <w:t xml:space="preserve"> </w:t>
      </w:r>
      <w:r>
        <w:rPr>
          <w:color w:val="000000"/>
        </w:rPr>
        <w:t xml:space="preserve">[Tesis doctoral, Princeton University]. https://catalog.princeton.edu/catalog/2081365</w:t>
      </w:r>
    </w:p>
    <w:p>
      <w:pPr>
        <w:pStyle w:val="Bibliography"/>
        <w:spacing w:line="360" w:lineRule="auto"/>
        <w:jc w:val="both"/>
      </w:pPr>
      <w:r>
        <w:rPr>
          <w:color w:val="000000"/>
        </w:rPr>
        <w:t xml:space="preserve">Pawlicki, M., Pawlicka, A., Uccello, F., Szelest, S., D’Antonio, S., Kozik, R., &amp; Choraś, M. (2024). Evaluating the necessity of the multiple metrics for assessing explainable AI: A critical examination.</w:t>
      </w:r>
      <w:r>
        <w:rPr>
          <w:color w:val="000000"/>
        </w:rPr>
        <w:t xml:space="preserve"> </w:t>
      </w:r>
      <w:r>
        <w:rPr>
          <w:i/>
          <w:iCs/>
          <w:color w:val="000000"/>
        </w:rPr>
        <w:t xml:space="preserve">Neurocomputing, 602</w:t>
      </w:r>
      <w:r>
        <w:rPr>
          <w:color w:val="000000"/>
        </w:rPr>
        <w:t xml:space="preserve">, 128282. https://doi.org/10.1016/j.neucom.2024.128282</w:t>
      </w:r>
    </w:p>
    <w:p>
      <w:pPr>
        <w:pStyle w:val="Bibliography"/>
        <w:spacing w:line="360" w:lineRule="auto"/>
        <w:jc w:val="both"/>
      </w:pPr>
      <w:r>
        <w:rPr>
          <w:color w:val="000000"/>
        </w:rPr>
        <w:t xml:space="preserve">Phillips, P. J., Hahn, C. A., Fontana, P. C., Yates, A. N., Greene, K. K., Broniatowski, D. A., &amp; Przybocki, M. A. (2021).</w:t>
      </w:r>
      <w:r>
        <w:rPr>
          <w:color w:val="000000"/>
        </w:rPr>
        <w:t xml:space="preserve"> </w:t>
      </w:r>
      <w:r>
        <w:rPr>
          <w:i/>
          <w:iCs/>
          <w:color w:val="000000"/>
        </w:rPr>
        <w:t xml:space="preserve">Four principles of explainable artificial intelligence</w:t>
      </w:r>
      <w:r>
        <w:rPr>
          <w:color w:val="000000"/>
        </w:rPr>
        <w:t xml:space="preserve"> </w:t>
      </w:r>
      <w:r>
        <w:rPr>
          <w:color w:val="000000"/>
        </w:rPr>
        <w:t xml:space="preserve">(NISTIR 8312). National Institute of Standards and Technology. https://doi.org/10.6028/NIST.IR.8312</w:t>
      </w:r>
    </w:p>
    <w:p>
      <w:pPr>
        <w:pStyle w:val="Bibliography"/>
        <w:spacing w:line="360" w:lineRule="auto"/>
        <w:jc w:val="both"/>
      </w:pPr>
      <w:r>
        <w:rPr>
          <w:color w:val="000000"/>
        </w:rPr>
        <w:t xml:space="preserve">Poursabzi-Sangdeh, F., Goldstein, D. G., Hofman, J. M., Vaughan, J. W., &amp; Wallach, H. (2021). Manipulating and measuring model interpretability. En</w:t>
      </w:r>
      <w:r>
        <w:rPr>
          <w:color w:val="000000"/>
        </w:rPr>
        <w:t xml:space="preserve"> </w:t>
      </w:r>
      <w:r>
        <w:rPr>
          <w:i/>
          <w:iCs/>
          <w:color w:val="000000"/>
        </w:rPr>
        <w:t xml:space="preserve">Proceedings of the 2021 CHI Conference on Human Factors in Computing Systems</w:t>
      </w:r>
      <w:r>
        <w:rPr>
          <w:color w:val="000000"/>
        </w:rPr>
        <w:t xml:space="preserve"> </w:t>
      </w:r>
      <w:r>
        <w:rPr>
          <w:color w:val="000000"/>
        </w:rPr>
        <w:t xml:space="preserve">(Artículo 237, pp. 1–52). Association for Computing Machinery. https://doi.org/10.1145/3411764.3445315</w:t>
      </w:r>
    </w:p>
    <w:p>
      <w:pPr>
        <w:pStyle w:val="Bibliography"/>
        <w:spacing w:line="360" w:lineRule="auto"/>
        <w:jc w:val="both"/>
      </w:pPr>
      <w:r>
        <w:rPr>
          <w:color w:val="000000"/>
        </w:rPr>
        <w:t xml:space="preserve">Poyiadzi, R., Sokol, K., Santos-Rodriguez, R., De Bie, T., &amp; Flach, P. (2020). FACE: Feasible and actionable counterfactual explanations. En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344–350). https://doi.org/10.1145/3375627.3375850</w:t>
      </w:r>
    </w:p>
    <w:p>
      <w:pPr>
        <w:pStyle w:val="Bibliography"/>
        <w:spacing w:line="360" w:lineRule="auto"/>
        <w:jc w:val="both"/>
      </w:pPr>
      <w:r>
        <w:rPr>
          <w:color w:val="000000"/>
        </w:rPr>
        <w:t xml:space="preserve">Ribeiro, M. T., Singh, S., &amp; Guestrin, C. (2016).</w:t>
      </w:r>
      <w:r>
        <w:rPr>
          <w:color w:val="000000"/>
        </w:rPr>
        <w:t xml:space="preserve"> </w:t>
      </w:r>
      <w:r>
        <w:rPr>
          <w:color w:val="000000"/>
        </w:rPr>
        <w:t xml:space="preserve">“Why should I trust you?”</w:t>
      </w:r>
      <w:r>
        <w:rPr>
          <w:color w:val="000000"/>
        </w:rPr>
        <w:t xml:space="preserve">: Explaining the predictions of any classifier. En</w:t>
      </w:r>
      <w:r>
        <w:rPr>
          <w:color w:val="000000"/>
        </w:rPr>
        <w:t xml:space="preserve"> </w:t>
      </w:r>
      <w:r>
        <w:rPr>
          <w:i/>
          <w:iCs/>
          <w:color w:val="000000"/>
        </w:rPr>
        <w:t xml:space="preserve">Proceedings of the 22nd ACM SIGKDD International Conference on Knowledge Discovery and Data Mining</w:t>
      </w:r>
      <w:r>
        <w:rPr>
          <w:color w:val="000000"/>
        </w:rPr>
        <w:t xml:space="preserve"> </w:t>
      </w:r>
      <w:r>
        <w:rPr>
          <w:color w:val="000000"/>
        </w:rPr>
        <w:t xml:space="preserve">(pp. 1135–1144). Association for Computing Machinery. https://doi.org/10.1145/2939672.2939778</w:t>
      </w:r>
    </w:p>
    <w:p>
      <w:pPr>
        <w:pStyle w:val="Bibliography"/>
        <w:spacing w:line="360" w:lineRule="auto"/>
        <w:jc w:val="both"/>
      </w:pPr>
      <w:r>
        <w:rPr>
          <w:color w:val="000000"/>
        </w:rPr>
        <w:t xml:space="preserve">Ribeiro, M. T., Singh, S., &amp; Guestrin, C. (2018). Anchors: High-precision model-agnostic explanations.</w:t>
      </w:r>
      <w:r>
        <w:rPr>
          <w:color w:val="000000"/>
        </w:rPr>
        <w:t xml:space="preserve"> </w:t>
      </w:r>
      <w:r>
        <w:rPr>
          <w:i/>
          <w:iCs/>
          <w:color w:val="000000"/>
        </w:rPr>
        <w:t xml:space="preserve">Proceedings of the AAAI Conference on Artificial Intelligence, 32</w:t>
      </w:r>
      <w:r>
        <w:rPr>
          <w:color w:val="000000"/>
        </w:rPr>
        <w:t xml:space="preserve">(1). https://doi.org/10.1609/aaai.v32i1.11491</w:t>
      </w:r>
    </w:p>
    <w:p>
      <w:pPr>
        <w:pStyle w:val="Bibliography"/>
        <w:spacing w:line="360" w:lineRule="auto"/>
        <w:jc w:val="both"/>
      </w:pPr>
      <w:r>
        <w:rPr>
          <w:color w:val="000000"/>
        </w:rPr>
        <w:t xml:space="preserve">Rjoub, G., Bentahar, J., Abdel Wahab, O., Mizouni, R., Song, A., Cohen, R., Otrok, H., &amp; Mourad, A. (2023). A survey on explainable artificial intelligence for cybersecurity.</w:t>
      </w:r>
      <w:r>
        <w:rPr>
          <w:color w:val="000000"/>
        </w:rPr>
        <w:t xml:space="preserve"> </w:t>
      </w:r>
      <w:r>
        <w:rPr>
          <w:i/>
          <w:iCs/>
          <w:color w:val="000000"/>
        </w:rPr>
        <w:t xml:space="preserve">IEEE Transactions on Network and Service Management, 20</w:t>
      </w:r>
      <w:r>
        <w:rPr>
          <w:color w:val="000000"/>
        </w:rPr>
        <w:t xml:space="preserve">(4), 5115–5140. https://doi.org/10.1109/TNSM.2023.3282740</w:t>
      </w:r>
    </w:p>
    <w:p>
      <w:pPr>
        <w:pStyle w:val="Bibliography"/>
        <w:spacing w:line="360" w:lineRule="auto"/>
        <w:jc w:val="both"/>
      </w:pPr>
      <w:r>
        <w:rPr>
          <w:color w:val="000000"/>
        </w:rPr>
        <w:t xml:space="preserve">Roch, N., Sievers, H., Zufferey, N., &amp; Zimmermann, V. (2026). You know why, but still rely: The impact of explainable AI on trust, task load, and performance in cybersecurity decision-making. En</w:t>
      </w:r>
      <w:r>
        <w:rPr>
          <w:color w:val="000000"/>
        </w:rPr>
        <w:t xml:space="preserve"> </w:t>
      </w:r>
      <w:r>
        <w:rPr>
          <w:i/>
          <w:iCs/>
          <w:color w:val="000000"/>
        </w:rPr>
        <w:t xml:space="preserve">35th USENIX Security Symposium (USENIX Security 26)</w:t>
      </w:r>
      <w:r>
        <w:rPr>
          <w:color w:val="000000"/>
        </w:rPr>
        <w:t xml:space="preserve"> </w:t>
      </w:r>
      <w:r>
        <w:rPr>
          <w:color w:val="000000"/>
        </w:rPr>
        <w:t xml:space="preserve">(pp. 1607–1625). USENIX Association. https://www.usenix.org/conference/usenixsecurity26/presentation/roch</w:t>
      </w:r>
    </w:p>
    <w:p>
      <w:pPr>
        <w:pStyle w:val="Bibliography"/>
        <w:spacing w:line="360" w:lineRule="auto"/>
        <w:jc w:val="both"/>
      </w:pPr>
      <w:r>
        <w:rPr>
          <w:color w:val="000000"/>
        </w:rPr>
        <w:t xml:space="preserve">Rudin, C., Chen, C., Chen, Z., Huang, H., Semenova, L., &amp; Zhong, C. (2022). Interpretable machine learning: Fundamental principles and 10 grand challenges.</w:t>
      </w:r>
      <w:r>
        <w:rPr>
          <w:color w:val="000000"/>
        </w:rPr>
        <w:t xml:space="preserve"> </w:t>
      </w:r>
      <w:r>
        <w:rPr>
          <w:i/>
          <w:iCs/>
          <w:color w:val="000000"/>
        </w:rPr>
        <w:t xml:space="preserve">Statistics Surveys, 16</w:t>
      </w:r>
      <w:r>
        <w:rPr>
          <w:color w:val="000000"/>
        </w:rPr>
        <w:t xml:space="preserve">, 1–85. https://doi.org/10.1214/21-ss133</w:t>
      </w:r>
    </w:p>
    <w:p>
      <w:pPr>
        <w:pStyle w:val="Bibliography"/>
        <w:spacing w:line="360" w:lineRule="auto"/>
        <w:jc w:val="both"/>
      </w:pPr>
      <w:r>
        <w:rPr>
          <w:color w:val="000000"/>
        </w:rPr>
        <w:t xml:space="preserve">Schwalbe, G., &amp; Finzel, B. (2024). A comprehensive taxonomy for explainable artificial intelligence: A systematic survey of surveys on methods and concepts.</w:t>
      </w:r>
      <w:r>
        <w:rPr>
          <w:color w:val="000000"/>
        </w:rPr>
        <w:t xml:space="preserve"> </w:t>
      </w:r>
      <w:r>
        <w:rPr>
          <w:i/>
          <w:iCs/>
          <w:color w:val="000000"/>
        </w:rPr>
        <w:t xml:space="preserve">Data Mining and Knowledge Discovery, 38</w:t>
      </w:r>
      <w:r>
        <w:rPr>
          <w:color w:val="000000"/>
        </w:rPr>
        <w:t xml:space="preserve">(5), 3043–3101. https://doi.org/10.1007/s10618-022-00867-8</w:t>
      </w:r>
    </w:p>
    <w:p>
      <w:pPr>
        <w:pStyle w:val="Bibliography"/>
        <w:spacing w:line="360" w:lineRule="auto"/>
        <w:jc w:val="both"/>
      </w:pPr>
      <w:r>
        <w:rPr>
          <w:color w:val="000000"/>
        </w:rPr>
        <w:t xml:space="preserve">Slack, D., Hilgard, S., Jia, E., Singh, S., &amp; Lakkaraju, H. (2020). Fooling LIME and SHAP: Adversarial attacks on post hoc explanation methods. En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180–186). https://doi.org/10.1145/3375627.3375830</w:t>
      </w:r>
    </w:p>
    <w:p>
      <w:pPr>
        <w:pStyle w:val="Bibliography"/>
        <w:spacing w:line="360" w:lineRule="auto"/>
        <w:jc w:val="both"/>
      </w:pPr>
      <w:r>
        <w:rPr>
          <w:color w:val="000000"/>
        </w:rPr>
        <w:t xml:space="preserve">Tabassi, E. (2023).</w:t>
      </w:r>
      <w:r>
        <w:rPr>
          <w:color w:val="000000"/>
        </w:rPr>
        <w:t xml:space="preserve"> </w:t>
      </w:r>
      <w:r>
        <w:rPr>
          <w:i/>
          <w:iCs/>
          <w:color w:val="000000"/>
        </w:rPr>
        <w:t xml:space="preserve">Artificial intelligence risk management framework (AI RMF 1.0)</w:t>
      </w:r>
      <w:r>
        <w:rPr>
          <w:color w:val="000000"/>
        </w:rPr>
        <w:t xml:space="preserve"> </w:t>
      </w:r>
      <w:r>
        <w:rPr>
          <w:color w:val="000000"/>
        </w:rPr>
        <w:t xml:space="preserve">(NIST AI 100-1). National Institute of Standards and Technology. https://doi.org/10.6028/NIST.AI.100-1</w:t>
      </w:r>
    </w:p>
    <w:p>
      <w:pPr>
        <w:pStyle w:val="Bibliography"/>
        <w:spacing w:line="360" w:lineRule="auto"/>
        <w:jc w:val="both"/>
      </w:pPr>
      <w:r>
        <w:rPr>
          <w:color w:val="000000"/>
        </w:rPr>
        <w:t xml:space="preserve">Turpin, M., Michael, J., Perez, E., &amp; Bowman, S. R. (2023). Language models don’t always say what they think: Unfaithful explanations in chain-of-thought prompting.</w:t>
      </w:r>
      <w:r>
        <w:rPr>
          <w:color w:val="000000"/>
        </w:rPr>
        <w:t xml:space="preserve"> </w:t>
      </w:r>
      <w:r>
        <w:rPr>
          <w:i/>
          <w:iCs/>
          <w:color w:val="000000"/>
        </w:rPr>
        <w:t xml:space="preserve">Advances in Neural Information Processing Systems, 36</w:t>
      </w:r>
      <w:r>
        <w:rPr>
          <w:color w:val="000000"/>
        </w:rPr>
        <w:t xml:space="preserve">, 74952–74965. https://doi.org/10.52202/075280-3275</w:t>
      </w:r>
    </w:p>
    <w:p>
      <w:pPr>
        <w:pStyle w:val="Bibliography"/>
        <w:spacing w:line="360" w:lineRule="auto"/>
        <w:jc w:val="both"/>
      </w:pPr>
      <w:r>
        <w:rPr>
          <w:color w:val="000000"/>
        </w:rPr>
        <w:t xml:space="preserve">Van den Broeck, G., Lykov, A., Schleich, M., &amp; Suciu, D. (2022). On the tractability of SHAP explanations.</w:t>
      </w:r>
      <w:r>
        <w:rPr>
          <w:color w:val="000000"/>
        </w:rPr>
        <w:t xml:space="preserve"> </w:t>
      </w:r>
      <w:r>
        <w:rPr>
          <w:i/>
          <w:iCs/>
          <w:color w:val="000000"/>
        </w:rPr>
        <w:t xml:space="preserve">Journal of Artificial Intelligence Research, 74</w:t>
      </w:r>
      <w:r>
        <w:rPr>
          <w:color w:val="000000"/>
        </w:rPr>
        <w:t xml:space="preserve">, 851–886. https://doi.org/10.1613/jair.1.13283</w:t>
      </w:r>
    </w:p>
    <w:p>
      <w:pPr>
        <w:pStyle w:val="Bibliography"/>
        <w:spacing w:line="360" w:lineRule="auto"/>
        <w:jc w:val="both"/>
      </w:pPr>
      <w:r>
        <w:rPr>
          <w:color w:val="000000"/>
        </w:rPr>
        <w:t xml:space="preserve">Wachter, S., Mittelstadt, B., &amp; Russell, C. (2017). Counterfactual explanations without opening the black box: Automated decisions and the GDPR.</w:t>
      </w:r>
      <w:r>
        <w:rPr>
          <w:color w:val="000000"/>
        </w:rPr>
        <w:t xml:space="preserve"> </w:t>
      </w:r>
      <w:r>
        <w:rPr>
          <w:i/>
          <w:iCs/>
          <w:color w:val="000000"/>
        </w:rPr>
        <w:t xml:space="preserve">SSRN Electronic Journal</w:t>
      </w:r>
      <w:r>
        <w:rPr>
          <w:color w:val="000000"/>
        </w:rPr>
        <w:t xml:space="preserve">. https://doi.org/10.2139/ssrn.3063289</w:t>
      </w:r>
    </w:p>
    <w:p>
      <w:pPr>
        <w:pStyle w:val="Bibliography"/>
        <w:spacing w:line="360" w:lineRule="auto"/>
        <w:jc w:val="both"/>
      </w:pPr>
      <w:r>
        <w:rPr>
          <w:color w:val="000000"/>
        </w:rPr>
        <w:t xml:space="preserve">Weber, P., Carl, K. V., &amp; Hinz, O. (2024). Applications of explainable artificial intelligence in finance—A systematic review of finance, information systems, and computer science literature.</w:t>
      </w:r>
      <w:r>
        <w:rPr>
          <w:color w:val="000000"/>
        </w:rPr>
        <w:t xml:space="preserve"> </w:t>
      </w:r>
      <w:r>
        <w:rPr>
          <w:i/>
          <w:iCs/>
          <w:color w:val="000000"/>
        </w:rPr>
        <w:t xml:space="preserve">Management Review Quarterly, 74</w:t>
      </w:r>
      <w:r>
        <w:rPr>
          <w:color w:val="000000"/>
        </w:rPr>
        <w:t xml:space="preserve">(2), 867–907. https://doi.org/10.1007/s11301-023-00320-0</w:t>
      </w:r>
    </w:p>
    <w:p>
      <w:pPr>
        <w:pStyle w:val="Bibliography"/>
        <w:spacing w:line="360" w:lineRule="auto"/>
        <w:jc w:val="both"/>
      </w:pPr>
      <w:r>
        <w:rPr>
          <w:color w:val="000000"/>
        </w:rPr>
        <w:t xml:space="preserve">World Health Organization. (2021).</w:t>
      </w:r>
      <w:r>
        <w:rPr>
          <w:color w:val="000000"/>
        </w:rPr>
        <w:t xml:space="preserve"> </w:t>
      </w:r>
      <w:r>
        <w:rPr>
          <w:i/>
          <w:iCs/>
          <w:color w:val="000000"/>
        </w:rPr>
        <w:t xml:space="preserve">Ethics and governance of artificial intelligence for health: WHO guidance</w:t>
      </w:r>
      <w:r>
        <w:rPr>
          <w:color w:val="000000"/>
        </w:rPr>
        <w:t xml:space="preserve">. https://www.who.int/publications/i/item/9789240029200</w:t>
      </w:r>
    </w:p>
    <w:p>
      <w:pPr>
        <w:pStyle w:val="Bibliography"/>
        <w:spacing w:line="360" w:lineRule="auto"/>
        <w:jc w:val="both"/>
      </w:pPr>
      <w:r>
        <w:rPr>
          <w:color w:val="000000"/>
        </w:rPr>
        <w:t xml:space="preserve">Zaman, K., &amp; Srivastava, S. (2026). Is chain-of-thought really not explainability? Chain-of-thought can be faithful without hint verbalization. En</w:t>
      </w:r>
      <w:r>
        <w:rPr>
          <w:color w:val="000000"/>
        </w:rPr>
        <w:t xml:space="preserve"> </w:t>
      </w:r>
      <w:r>
        <w:rPr>
          <w:i/>
          <w:iCs/>
          <w:color w:val="000000"/>
        </w:rPr>
        <w:t xml:space="preserve">Proceedings of the 64th Annual Meeting of the Association for Computational Linguistics (Volume 1: Long Papers)</w:t>
      </w:r>
      <w:r>
        <w:rPr>
          <w:color w:val="000000"/>
        </w:rPr>
        <w:t xml:space="preserve"> </w:t>
      </w:r>
      <w:r>
        <w:rPr>
          <w:color w:val="000000"/>
        </w:rPr>
        <w:t xml:space="preserve">(pp. 48008–48030). Association for Computational Linguistics. https://doi.org/10.18653/v1/2026.acl-long.2217</w:t>
      </w:r>
    </w:p>
    <w:p>
      <w:pPr>
        <w:pStyle w:val="Bibliography"/>
        <w:spacing w:line="360" w:lineRule="auto"/>
        <w:jc w:val="both"/>
      </w:pPr>
      <w:r>
        <w:rPr>
          <w:color w:val="000000"/>
        </w:rPr>
        <w:t xml:space="preserve">Zhao, H., Chen, H., Yang, F., Liu, N., Deng, H., Cai, H., Wang, S., Yin, D., &amp; Du, M. (2024). Explainability for large language models: A survey.</w:t>
      </w:r>
      <w:r>
        <w:rPr>
          <w:color w:val="000000"/>
        </w:rPr>
        <w:t xml:space="preserve"> </w:t>
      </w:r>
      <w:r>
        <w:rPr>
          <w:i/>
          <w:iCs/>
          <w:color w:val="000000"/>
        </w:rPr>
        <w:t xml:space="preserve">ACM Transactions on Intelligent Systems and Technology, 15</w:t>
      </w:r>
      <w:r>
        <w:rPr>
          <w:color w:val="000000"/>
        </w:rPr>
        <w:t xml:space="preserve">(2), Artículo 20, 1–38. https://doi.org/10.1145/3639372</w:t>
      </w:r>
    </w:p>
    <w:p>
      <w:pPr>
        <w:pStyle w:val="Bibliography"/>
        <w:spacing w:line="360" w:lineRule="auto"/>
        <w:jc w:val="both"/>
      </w:pPr>
      <w:r>
        <w:rPr>
          <w:color w:val="000000"/>
        </w:rPr>
        <w:t xml:space="preserve">Zheng, X., Shirani, F., Chen, Z., Lin, C., Cheng, W., Guo, W., &amp; Luo, D. (2025). F-FIDELITY: A robust framework for faithfulness evaluation of explainable AI.</w:t>
      </w:r>
      <w:r>
        <w:rPr>
          <w:color w:val="000000"/>
        </w:rPr>
        <w:t xml:space="preserve"> </w:t>
      </w:r>
      <w:r>
        <w:rPr>
          <w:i/>
          <w:iCs/>
          <w:color w:val="000000"/>
        </w:rPr>
        <w:t xml:space="preserve">ICLR 2025 Proceedings</w:t>
      </w:r>
      <w:r>
        <w:rPr>
          <w:color w:val="000000"/>
        </w:rPr>
        <w:t xml:space="preserve">. https://trustai4s-lab.github.io/ffidelity</w:t>
      </w:r>
    </w:p>
    <w:bookmarkEnd w:id="119"/>
    <w:sectPr>
      <w:footnotePr>
        <w:numRestart w:val="eachSect"/>
      </w:footnotePr>
      <w:pgSz w:w="11906" w:h="16838"/>
      <w:pgMar w:top="1440" w:bottom="1440" w:left="1800" w:right="180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eastAsia="Times New Roman" w:cs="Times New Roman"/>
      <w:color w:val="000000"/>
      <w:sz w:val="24"/>
    </w:rPr>
  </w:style>
  <w:style w:styleId="BodyText" w:type="paragraph">
    <w:name w:val="Body Text"/>
    <w:basedOn w:val="Normal"/>
    <w:link w:val="BodyTextChar"/>
    <w:qFormat/>
    <w:pPr>
      <w:spacing w:after="180" w:before="180" w:line="360" w:lineRule="auto"/>
    </w:pPr>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360" w:lineRule="auto"/>
    </w:pPr>
    <w:rPr>
      <w:rFonts w:ascii="Times New Roman" w:hAnsi="Times New Roman" w:eastAsia="Times New Roman" w:cs="Times New Roman"/>
      <w:color w:val="000000"/>
      <w:sz w:val="24"/>
    </w:rPr>
  </w:style>
  <w:style w:customStyle="1" w:styleId="Compact" w:type="paragraph">
    <w:name w:val="Compact"/>
    <w:basedOn w:val="BodyText"/>
    <w:qFormat/>
    <w:pPr>
      <w:spacing w:after="36" w:before="36" w:line="360" w:lineRule="auto"/>
    </w:pPr>
    <w:rPr>
      <w:rFonts w:ascii="Times New Roman" w:hAnsi="Times New Roman" w:eastAsia="Times New Roman" w:cs="Times New Roman"/>
      <w:color w:val="000000"/>
      <w:sz w:val="24"/>
    </w:rPr>
  </w:style>
  <w:style w:styleId="Title" w:type="paragraph">
    <w:name w:val="Title"/>
    <w:basedOn w:val="Normal"/>
    <w:next w:val="BodyText"/>
    <w:link w:val="TitleChar"/>
    <w:uiPriority w:val="10"/>
    <w:qFormat/>
    <w:rsid w:val="00A10FD9"/>
    <w:pPr>
      <w:spacing w:after="80" w:line="360" w:lineRule="auto"/>
      <w:contextualSpacing/>
      <w:jc w:val="center"/>
    </w:pPr>
    <w:rPr>
      <w:rFonts w:ascii="Times New Roman" w:hAnsi="Times New Roman" w:eastAsia="Times New Roman" w:cs="Times New Roman"/>
      <w:b/>
      <w:i w:val="0"/>
      <w:caps/>
      <w:color w:val="000000"/>
      <w:sz w:val="24"/>
      <w:szCs w:val="56"/>
    </w:rPr>
  </w:style>
  <w:style w:customStyle="1" w:styleId="TitleChar" w:type="character">
    <w:name w:val="Title Char"/>
    <w:basedOn w:val="DefaultParagraphFont"/>
    <w:link w:val="Title"/>
    <w:uiPriority w:val="10"/>
    <w:rsid w:val="00A10FD9"/>
    <w:rPr>
      <w:rFonts w:ascii="Times New Roman" w:hAnsi="Times New Roman" w:eastAsia="Times New Roman" w:cs="Times New Roman"/>
      <w:color w:val="000000"/>
      <w:sz w:val="56"/>
      <w:szCs w:val="56"/>
    </w:rPr>
  </w:style>
  <w:style w:styleId="Subtitle" w:type="paragraph">
    <w:name w:val="Subtitle"/>
    <w:basedOn w:val="Title"/>
    <w:next w:val="BodyText"/>
    <w:link w:val="SubtitleChar"/>
    <w:uiPriority w:val="11"/>
    <w:qFormat/>
    <w:rsid w:val="00A10FD9"/>
    <w:pPr>
      <w:numPr>
        <w:ilvl w:val="1"/>
      </w:numPr>
      <w:spacing w:line="360" w:lineRule="auto"/>
    </w:pPr>
    <w:rPr>
      <w:rFonts w:ascii="Times New Roman" w:hAnsi="Times New Roman" w:eastAsia="Times New Roman" w:cs="Times New Roman"/>
      <w:b w:val="0"/>
      <w:caps w:val="0"/>
      <w:color w:val="000000"/>
      <w:spacing w:val="15"/>
      <w:sz w:val="24"/>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val="000000"/>
      <w:spacing w:val="15"/>
      <w:sz w:val="28"/>
      <w:szCs w:val="28"/>
    </w:rPr>
  </w:style>
  <w:style w:customStyle="1" w:styleId="Author" w:type="paragraph">
    <w:name w:val="Author"/>
    <w:basedOn w:val="Title"/>
    <w:next w:val="BodyText"/>
    <w:qFormat/>
    <w:pPr>
      <w:keepNext/>
      <w:keepLines/>
      <w:spacing w:line="360" w:lineRule="auto"/>
    </w:pPr>
    <w:rPr>
      <w:rFonts w:ascii="Times New Roman" w:hAnsi="Times New Roman" w:eastAsia="Times New Roman" w:cs="Times New Roman"/>
      <w:b w:val="0"/>
      <w:caps w:val="0"/>
      <w:color w:val="000000"/>
      <w:sz w:val="24"/>
      <w:szCs w:val="24"/>
    </w:rPr>
  </w:style>
  <w:style w:styleId="Date" w:type="paragraph">
    <w:name w:val="Date"/>
    <w:basedOn w:val="Title"/>
    <w:next w:val="BodyText"/>
    <w:qFormat/>
    <w:pPr>
      <w:keepNext/>
      <w:keepLines/>
      <w:spacing w:line="360" w:lineRule="auto"/>
    </w:pPr>
    <w:rPr>
      <w:rFonts w:ascii="Times New Roman" w:hAnsi="Times New Roman" w:eastAsia="Times New Roman" w:cs="Times New Roman"/>
      <w:b w:val="0"/>
      <w:caps w:val="0"/>
      <w:color w:val="000000"/>
      <w:sz w:val="24"/>
      <w:szCs w:val="24"/>
    </w:rPr>
  </w:style>
  <w:style w:customStyle="1" w:styleId="AbstractTitle" w:type="paragraph">
    <w:name w:val="Abstract Title"/>
    <w:basedOn w:val="Normal"/>
    <w:next w:val="Abstract"/>
    <w:qFormat/>
    <w:pPr>
      <w:keepNext/>
      <w:keepLines/>
      <w:spacing w:after="0" w:before="300" w:line="360" w:lineRule="auto"/>
      <w:jc w:val="center"/>
    </w:pPr>
    <w:rPr>
      <w:rFonts w:ascii="Times New Roman" w:hAnsi="Times New Roman" w:eastAsia="Times New Roman" w:cs="Times New Roman"/>
      <w:b/>
      <w:color w:val="000000"/>
      <w:sz w:val="24"/>
      <w:szCs w:val="20"/>
    </w:rPr>
  </w:style>
  <w:style w:customStyle="1" w:styleId="Abstract" w:type="paragraph">
    <w:name w:val="Abstract"/>
    <w:basedOn w:val="Normal"/>
    <w:next w:val="BodyText"/>
    <w:qFormat/>
    <w:pPr>
      <w:keepNext/>
      <w:keepLines/>
      <w:spacing w:after="300" w:before="100" w:line="360" w:lineRule="auto"/>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ind w:left="720" w:hanging="720"/>
      <w:spacing w:line="360" w:lineRule="auto"/>
    </w:pPr>
    <w:rPr>
      <w:rFonts w:ascii="Times New Roman" w:hAnsi="Times New Roman" w:eastAsia="Times New Roman" w:cs="Times New Roman"/>
      <w:color w:val="000000"/>
      <w:sz w:val="24"/>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Times New Roman" w:hAnsi="Times New Roman" w:eastAsia="Times New Roman" w:cs="Times New Roman"/>
      <w:b/>
      <w:i w:val="0"/>
      <w:caps/>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Times New Roman" w:hAnsi="Times New Roman" w:eastAsia="Times New Roman" w:cs="Times New Roman"/>
      <w:b/>
      <w:i w:val="0"/>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Times New Roman" w:hAnsi="Times New Roman" w:eastAsia="Times New Roman" w:cs="Times New Roman"/>
      <w:b/>
      <w:i w:val="0"/>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Times New Roman" w:hAnsi="Times New Roman" w:eastAsia="Times New Roman" w:cs="Times New Roman"/>
      <w:b/>
      <w:i w:val="0"/>
      <w:iCs/>
      <w:caps w:val="0"/>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Times New Roman" w:hAnsi="Times New Roman" w:eastAsia="Times New Roman" w:cs="Times New Roman"/>
      <w:b/>
      <w:i w:val="0"/>
      <w:caps w:val="0"/>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Times New Roman" w:hAnsi="Times New Roman" w:eastAsia="Times New Roman" w:cs="Times New Roman"/>
      <w:b/>
      <w:i w:val="0"/>
      <w:iCs/>
      <w:caps w:val="0"/>
      <w:color w:val="000000"/>
      <w:sz w:val="24"/>
    </w:rPr>
  </w:style>
  <w:style w:styleId="Heading7" w:type="paragraph">
    <w:name w:val="heading 7"/>
    <w:basedOn w:val="Normal"/>
    <w:next w:val="BodyText"/>
    <w:link w:val="Heading7Char"/>
    <w:uiPriority w:val="9"/>
    <w:semiHidden/>
    <w:unhideWhenUsed/>
    <w:qFormat/>
    <w:rsid w:val="00A10FD9"/>
    <w:pPr>
      <w:keepNext/>
      <w:keepLines/>
      <w:spacing w:after="0" w:before="40" w:line="360" w:lineRule="auto"/>
      <w:outlineLvl w:val="6"/>
    </w:pPr>
    <w:rPr>
      <w:rFonts w:ascii="Times New Roman" w:hAnsi="Times New Roman" w:eastAsia="Times New Roman" w:cs="Times New Roman"/>
      <w:b/>
      <w:i w:val="0"/>
      <w:caps w:val="0"/>
      <w:color w:val="000000"/>
      <w:sz w:val="24"/>
    </w:rPr>
  </w:style>
  <w:style w:styleId="Heading8" w:type="paragraph">
    <w:name w:val="heading 8"/>
    <w:basedOn w:val="Normal"/>
    <w:next w:val="BodyText"/>
    <w:link w:val="Heading8Char"/>
    <w:uiPriority w:val="9"/>
    <w:semiHidden/>
    <w:unhideWhenUsed/>
    <w:qFormat/>
    <w:rsid w:val="00A10FD9"/>
    <w:pPr>
      <w:keepNext/>
      <w:keepLines/>
      <w:spacing w:after="0" w:line="360" w:lineRule="auto"/>
      <w:outlineLvl w:val="7"/>
    </w:pPr>
    <w:rPr>
      <w:rFonts w:ascii="Times New Roman" w:hAnsi="Times New Roman" w:eastAsia="Times New Roman" w:cs="Times New Roman"/>
      <w:b/>
      <w:i w:val="0"/>
      <w:iCs/>
      <w:caps w:val="0"/>
      <w:color w:val="000000"/>
      <w:sz w:val="24"/>
    </w:rPr>
  </w:style>
  <w:style w:styleId="Heading9" w:type="paragraph">
    <w:name w:val="heading 9"/>
    <w:basedOn w:val="Normal"/>
    <w:next w:val="BodyText"/>
    <w:link w:val="Heading9Char"/>
    <w:uiPriority w:val="9"/>
    <w:semiHidden/>
    <w:unhideWhenUsed/>
    <w:qFormat/>
    <w:rsid w:val="00A10FD9"/>
    <w:pPr>
      <w:keepNext/>
      <w:keepLines/>
      <w:spacing w:after="0" w:line="360" w:lineRule="auto"/>
      <w:outlineLvl w:val="8"/>
    </w:pPr>
    <w:rPr>
      <w:rFonts w:ascii="Times New Roman" w:hAnsi="Times New Roman" w:eastAsia="Times New Roman" w:cs="Times New Roman"/>
      <w:b/>
      <w:i w:val="0"/>
      <w:caps w:val="0"/>
      <w:color w:val="000000"/>
      <w:sz w:val="24"/>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b/>
      <w:i w:val="0"/>
      <w:caps w:val="0"/>
      <w:color w:val="000000"/>
      <w:sz w:val="24"/>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b/>
      <w:i w:val="0"/>
      <w:caps w:val="0"/>
      <w:color w:val="000000"/>
      <w:sz w:val="24"/>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b/>
      <w:i w:val="0"/>
      <w:caps w:val="0"/>
      <w:color w:val="000000"/>
      <w:sz w:val="24"/>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b/>
      <w:i w:val="0"/>
      <w:iCs/>
      <w:caps w:val="0"/>
      <w:color w:val="000000"/>
      <w:sz w:val="24"/>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b/>
      <w:i w:val="0"/>
      <w:caps w:val="0"/>
      <w:color w:val="000000"/>
      <w:sz w:val="24"/>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b/>
      <w:i w:val="0"/>
      <w:iCs/>
      <w:caps w:val="0"/>
      <w:color w:val="000000"/>
      <w:sz w:val="24"/>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b/>
      <w:i w:val="0"/>
      <w:caps w:val="0"/>
      <w:color w:val="000000"/>
      <w:sz w:val="24"/>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b/>
      <w:i w:val="0"/>
      <w:iCs/>
      <w:caps w:val="0"/>
      <w:color w:val="000000"/>
      <w:sz w:val="24"/>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b/>
      <w:i w:val="0"/>
      <w:caps w:val="0"/>
      <w:color w:val="000000"/>
      <w:sz w:val="24"/>
    </w:rPr>
  </w:style>
  <w:style w:styleId="BlockText" w:type="paragraph">
    <w:name w:val="Block Text"/>
    <w:basedOn w:val="BodyText"/>
    <w:next w:val="BodyText"/>
    <w:uiPriority w:val="9"/>
    <w:unhideWhenUsed/>
    <w:qFormat/>
    <w:pPr>
      <w:spacing w:after="100" w:before="100" w:line="360" w:lineRule="auto"/>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pPr>
      <w:spacing w:line="360" w:lineRule="auto"/>
    </w:pPr>
    <w:rPr>
      <w:rFonts w:ascii="Times New Roman" w:hAnsi="Times New Roman" w:eastAsia="Times New Roman" w:cs="Times New Roman"/>
      <w:color w:val="000000"/>
      <w:sz w:val="24"/>
    </w:rPr>
  </w:style>
  <w:style w:styleId="FootnoteBlockText" w:type="paragraph">
    <w:name w:val="Footnote Block Text"/>
    <w:basedOn w:val="FootnoteText"/>
    <w:next w:val="FootnoteText"/>
    <w:uiPriority w:val="9"/>
    <w:unhideWhenUsed/>
    <w:qFormat/>
    <w:pPr>
      <w:spacing w:after="100" w:before="100" w:line="360" w:lineRule="auto"/>
      <w:ind w:firstLine="0" w:left="480" w:right="480"/>
    </w:pPr>
    <w:rPr>
      <w:rFonts w:ascii="Times New Roman" w:hAnsi="Times New Roman" w:eastAsia="Times New Roman" w:cs="Times New Roman"/>
      <w:color w:val="000000"/>
      <w:sz w:val="24"/>
    </w:rPr>
  </w:style>
  <w:style w:default="1" w:styleId="DefaultParagraphFont" w:type="character">
    <w:name w:val="Default Paragraph Font"/>
    <w:semiHidden/>
    <w:unhideWhenUsed/>
    <w:rPr>
      <w:rFonts w:ascii="Times New Roman" w:hAnsi="Times New Roman" w:eastAsia="Times New Roman" w:cs="Times New Roman"/>
      <w:color w:val="000000"/>
    </w:rPr>
  </w:style>
  <w:style w:default="1" w:styleId="Table" w:type="table">
    <w:name w:val="Table"/>
    <w:basedOn w:val="TableNormal"/>
    <w:semiHidden/>
    <w:unhideWhenUsed/>
    <w:qFormat/>
    <w:pPr>
      <w:spacing w:line="360" w:lineRule="auto"/>
    </w:pPr>
    <w:rPr>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360" w:lineRule="auto"/>
    </w:pPr>
    <w:rPr>
      <w:rFonts w:ascii="Times New Roman" w:hAnsi="Times New Roman" w:eastAsia="Times New Roman" w:cs="Times New Roman"/>
      <w:b/>
      <w:color w:val="000000"/>
      <w:sz w:val="24"/>
    </w:rPr>
  </w:style>
  <w:style w:customStyle="1" w:styleId="Definition" w:type="paragraph">
    <w:name w:val="Definition"/>
    <w:basedOn w:val="Normal"/>
    <w:pPr>
      <w:spacing w:line="360" w:lineRule="auto"/>
    </w:pPr>
    <w:rPr>
      <w:rFonts w:ascii="Times New Roman" w:hAnsi="Times New Roman" w:eastAsia="Times New Roman" w:cs="Times New Roman"/>
      <w:color w:val="000000"/>
      <w:sz w:val="24"/>
    </w:rPr>
  </w:style>
  <w:style w:styleId="Caption" w:type="paragraph">
    <w:name w:val="Caption"/>
    <w:basedOn w:val="Normal"/>
    <w:link w:val="BodyTextChar"/>
    <w:pPr>
      <w:spacing w:after="120" w:before="0" w:line="360" w:lineRule="auto"/>
    </w:pPr>
    <w:rPr>
      <w:rFonts w:ascii="Times New Roman" w:hAnsi="Times New Roman" w:eastAsia="Times New Roman" w:cs="Times New Roman"/>
      <w:i/>
      <w:color w:val="000000"/>
      <w:sz w:val="24"/>
    </w:rPr>
  </w:style>
  <w:style w:customStyle="1" w:styleId="TableCaption" w:type="paragraph">
    <w:name w:val="Table Caption"/>
    <w:basedOn w:val="Caption"/>
    <w:pPr>
      <w:keepNext/>
      <w:spacing w:line="360" w:lineRule="auto"/>
    </w:pPr>
    <w:rPr>
      <w:rFonts w:ascii="Times New Roman" w:hAnsi="Times New Roman" w:eastAsia="Times New Roman" w:cs="Times New Roman"/>
      <w:color w:val="000000"/>
      <w:sz w:val="24"/>
    </w:rPr>
  </w:style>
  <w:style w:customStyle="1" w:styleId="ImageCaption" w:type="paragraph">
    <w:name w:val="Image Caption"/>
    <w:basedOn w:val="Caption"/>
    <w:pPr>
      <w:spacing w:line="360" w:lineRule="auto"/>
    </w:pPr>
    <w:rPr>
      <w:rFonts w:ascii="Times New Roman" w:hAnsi="Times New Roman" w:eastAsia="Times New Roman" w:cs="Times New Roman"/>
      <w:color w:val="000000"/>
      <w:sz w:val="24"/>
    </w:rPr>
  </w:style>
  <w:style w:customStyle="1" w:styleId="Figure" w:type="paragraph">
    <w:name w:val="Figure"/>
    <w:basedOn w:val="Normal"/>
    <w:pPr>
      <w:spacing w:line="360" w:lineRule="auto"/>
    </w:pPr>
    <w:rPr>
      <w:rFonts w:ascii="Times New Roman" w:hAnsi="Times New Roman" w:eastAsia="Times New Roman" w:cs="Times New Roman"/>
      <w:color w:val="000000"/>
      <w:sz w:val="24"/>
    </w:rPr>
  </w:style>
  <w:style w:customStyle="1" w:styleId="CaptionedFigure" w:type="paragraph">
    <w:name w:val="Captioned Figure"/>
    <w:basedOn w:val="Figure"/>
    <w:pPr>
      <w:keepNext/>
      <w:spacing w:line="360" w:lineRule="auto"/>
    </w:pPr>
    <w:rPr>
      <w:rFonts w:ascii="Times New Roman" w:hAnsi="Times New Roman" w:eastAsia="Times New Roman" w:cs="Times New Roman"/>
      <w:color w:val="000000"/>
      <w:sz w:val="24"/>
    </w:rPr>
  </w:style>
  <w:style w:customStyle="1" w:styleId="BodyTextChar" w:type="character">
    <w:name w:val="Body Text Char"/>
    <w:basedOn w:val="DefaultParagraphFont"/>
    <w:link w:val="BodyText"/>
    <w:rPr>
      <w:rFonts w:ascii="Times New Roman" w:hAnsi="Times New Roman" w:eastAsia="Times New Roman" w:cs="Times New Roman"/>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rFonts w:ascii="Times New Roman" w:hAnsi="Times New Roman" w:eastAsia="Times New Roman" w:cs="Times New Roman"/>
      <w:color w:val="000000"/>
    </w:rPr>
  </w:style>
  <w:style w:styleId="FootnoteReference" w:type="character">
    <w:name w:val="Footnote Reference"/>
    <w:basedOn w:val="BodyTextChar"/>
    <w:rPr>
      <w:rFonts w:ascii="Times New Roman" w:hAnsi="Times New Roman" w:eastAsia="Times New Roman" w:cs="Times New Roman"/>
      <w:color w:val="000000"/>
      <w:vertAlign w:val="superscript"/>
    </w:rPr>
  </w:style>
  <w:style w:styleId="Hyperlink" w:type="character">
    <w:name w:val="Hyperlink"/>
    <w:basedOn w:val="BodyTextChar"/>
    <w:rPr>
      <w:rFonts w:ascii="Times New Roman" w:hAnsi="Times New Roman" w:eastAsia="Times New Roman" w:cs="Times New Roman"/>
      <w:color w:val="000000"/>
    </w:rPr>
  </w:style>
  <w:style w:styleId="TOCHeading" w:type="paragraph">
    <w:name w:val="TOC Heading"/>
    <w:basedOn w:val="Heading1"/>
    <w:next w:val="BodyText"/>
    <w:uiPriority w:val="39"/>
    <w:unhideWhenUsed/>
    <w:qFormat/>
    <w:pPr>
      <w:spacing w:before="240" w:line="360" w:lineRule="auto"/>
      <w:outlineLvl w:val="9"/>
    </w:pPr>
    <w:rPr>
      <w:rFonts w:ascii="Times New Roman" w:hAnsi="Times New Roman" w:eastAsia="Times New Roman" w:cs="Times New Roman"/>
      <w:b w:val="0"/>
      <w:bCs w:val="0"/>
      <w:color w:val="000000"/>
      <w:sz w:val="24"/>
    </w:rPr>
  </w:style>
  <w:style w:type="paragraph" w:customStyle="1" w:styleId="SourceCode">
    <w:name w:val="Source Code"/>
    <w:basedOn w:val="Normal"/>
    <w:link w:val="VerbatimChar"/>
    <w:pPr>
      <w:wordWrap w:val="off"/>
      <w:spacing w:line="360" w:lineRule="auto"/>
    </w:pPr>
    <w:rPr>
      <w:color w:val="000000"/>
    </w:rPr>
  </w:style>
  <w:style w:type="character" w:customStyle="1" w:styleId="KeywordTok">
    <w:name w:val="KeywordTok"/>
    <w:basedOn w:val="VerbatimChar"/>
    <w:rPr>
      <w:rFonts w:ascii="Times New Roman" w:hAnsi="Times New Roman" w:eastAsia="Times New Roman" w:cs="Times New Roman"/>
      <w:b/>
      <w:color w:val="000000"/>
    </w:rPr>
  </w:style>
  <w:style w:type="character" w:customStyle="1" w:styleId="DataTypeTok">
    <w:name w:val="DataTypeTok"/>
    <w:basedOn w:val="VerbatimChar"/>
    <w:rPr>
      <w:rFonts w:ascii="Times New Roman" w:hAnsi="Times New Roman" w:eastAsia="Times New Roman" w:cs="Times New Roman"/>
      <w:color w:val="000000"/>
    </w:rPr>
  </w:style>
  <w:style w:type="character" w:customStyle="1" w:styleId="DecValTok">
    <w:name w:val="DecValTok"/>
    <w:basedOn w:val="VerbatimChar"/>
    <w:rPr>
      <w:rFonts w:ascii="Times New Roman" w:hAnsi="Times New Roman" w:eastAsia="Times New Roman" w:cs="Times New Roman"/>
      <w:color w:val="000000"/>
    </w:rPr>
  </w:style>
  <w:style w:type="character" w:customStyle="1" w:styleId="BaseNTok">
    <w:name w:val="BaseNTok"/>
    <w:basedOn w:val="VerbatimChar"/>
    <w:rPr>
      <w:rFonts w:ascii="Times New Roman" w:hAnsi="Times New Roman" w:eastAsia="Times New Roman" w:cs="Times New Roman"/>
      <w:color w:val="000000"/>
    </w:rPr>
  </w:style>
  <w:style w:type="character" w:customStyle="1" w:styleId="FloatTok">
    <w:name w:val="FloatTok"/>
    <w:basedOn w:val="VerbatimChar"/>
    <w:rPr>
      <w:rFonts w:ascii="Times New Roman" w:hAnsi="Times New Roman" w:eastAsia="Times New Roman" w:cs="Times New Roman"/>
      <w:color w:val="000000"/>
    </w:rPr>
  </w:style>
  <w:style w:type="character" w:customStyle="1" w:styleId="ConstantTok">
    <w:name w:val="ConstantTok"/>
    <w:basedOn w:val="VerbatimChar"/>
    <w:rPr>
      <w:rFonts w:ascii="Times New Roman" w:hAnsi="Times New Roman" w:eastAsia="Times New Roman" w:cs="Times New Roman"/>
      <w:color w:val="000000"/>
    </w:rPr>
  </w:style>
  <w:style w:type="character" w:customStyle="1" w:styleId="CharTok">
    <w:name w:val="CharTok"/>
    <w:basedOn w:val="VerbatimChar"/>
    <w:rPr>
      <w:rFonts w:ascii="Times New Roman" w:hAnsi="Times New Roman" w:eastAsia="Times New Roman" w:cs="Times New Roman"/>
      <w:color w:val="000000"/>
    </w:rPr>
  </w:style>
  <w:style w:type="character" w:customStyle="1" w:styleId="SpecialCharTok">
    <w:name w:val="SpecialCharTok"/>
    <w:basedOn w:val="VerbatimChar"/>
    <w:rPr>
      <w:rFonts w:ascii="Times New Roman" w:hAnsi="Times New Roman" w:eastAsia="Times New Roman" w:cs="Times New Roman"/>
      <w:color w:val="000000"/>
    </w:rPr>
  </w:style>
  <w:style w:type="character" w:customStyle="1" w:styleId="StringTok">
    <w:name w:val="StringTok"/>
    <w:basedOn w:val="VerbatimChar"/>
    <w:rPr>
      <w:rFonts w:ascii="Times New Roman" w:hAnsi="Times New Roman" w:eastAsia="Times New Roman" w:cs="Times New Roman"/>
      <w:color w:val="000000"/>
    </w:rPr>
  </w:style>
  <w:style w:type="character" w:customStyle="1" w:styleId="VerbatimStringTok">
    <w:name w:val="VerbatimStringTok"/>
    <w:basedOn w:val="VerbatimChar"/>
    <w:rPr>
      <w:rFonts w:ascii="Times New Roman" w:hAnsi="Times New Roman" w:eastAsia="Times New Roman" w:cs="Times New Roman"/>
      <w:color w:val="000000"/>
    </w:rPr>
  </w:style>
  <w:style w:type="character" w:customStyle="1" w:styleId="SpecialStringTok">
    <w:name w:val="SpecialStringTok"/>
    <w:basedOn w:val="VerbatimChar"/>
    <w:rPr>
      <w:rFonts w:ascii="Times New Roman" w:hAnsi="Times New Roman" w:eastAsia="Times New Roman" w:cs="Times New Roman"/>
      <w:color w:val="000000"/>
    </w:rPr>
  </w:style>
  <w:style w:type="character" w:customStyle="1" w:styleId="ImportTok">
    <w:name w:val="ImportTok"/>
    <w:basedOn w:val="VerbatimChar"/>
    <w:rPr>
      <w:rFonts w:ascii="Times New Roman" w:hAnsi="Times New Roman" w:eastAsia="Times New Roman" w:cs="Times New Roman"/>
      <w:b/>
      <w:color w:val="000000"/>
    </w:rPr>
  </w:style>
  <w:style w:type="character" w:customStyle="1" w:styleId="CommentTok">
    <w:name w:val="CommentTok"/>
    <w:basedOn w:val="VerbatimChar"/>
    <w:rPr>
      <w:rFonts w:ascii="Times New Roman" w:hAnsi="Times New Roman" w:eastAsia="Times New Roman" w:cs="Times New Roman"/>
      <w:i/>
      <w:color w:val="000000"/>
    </w:rPr>
  </w:style>
  <w:style w:type="character" w:customStyle="1" w:styleId="DocumentationTok">
    <w:name w:val="DocumentationTok"/>
    <w:basedOn w:val="VerbatimChar"/>
    <w:rPr>
      <w:rFonts w:ascii="Times New Roman" w:hAnsi="Times New Roman" w:eastAsia="Times New Roman" w:cs="Times New Roman"/>
      <w:i/>
      <w:color w:val="000000"/>
    </w:rPr>
  </w:style>
  <w:style w:type="character" w:customStyle="1" w:styleId="AnnotationTok">
    <w:name w:val="AnnotationTok"/>
    <w:basedOn w:val="VerbatimChar"/>
    <w:rPr>
      <w:rFonts w:ascii="Times New Roman" w:hAnsi="Times New Roman" w:eastAsia="Times New Roman" w:cs="Times New Roman"/>
      <w:b/>
      <w:i/>
      <w:color w:val="000000"/>
    </w:rPr>
  </w:style>
  <w:style w:type="character" w:customStyle="1" w:styleId="CommentVarTok">
    <w:name w:val="CommentVarTok"/>
    <w:basedOn w:val="VerbatimChar"/>
    <w:rPr>
      <w:rFonts w:ascii="Times New Roman" w:hAnsi="Times New Roman" w:eastAsia="Times New Roman" w:cs="Times New Roman"/>
      <w:b/>
      <w:i/>
      <w:color w:val="000000"/>
    </w:rPr>
  </w:style>
  <w:style w:type="character" w:customStyle="1" w:styleId="OtherTok">
    <w:name w:val="OtherTok"/>
    <w:basedOn w:val="VerbatimChar"/>
    <w:rPr>
      <w:rFonts w:ascii="Times New Roman" w:hAnsi="Times New Roman" w:eastAsia="Times New Roman" w:cs="Times New Roman"/>
      <w:color w:val="000000"/>
    </w:rPr>
  </w:style>
  <w:style w:type="character" w:customStyle="1" w:styleId="FunctionTok">
    <w:name w:val="FunctionTok"/>
    <w:basedOn w:val="VerbatimChar"/>
    <w:rPr>
      <w:rFonts w:ascii="Times New Roman" w:hAnsi="Times New Roman" w:eastAsia="Times New Roman" w:cs="Times New Roman"/>
      <w:color w:val="000000"/>
    </w:rPr>
  </w:style>
  <w:style w:type="character" w:customStyle="1" w:styleId="VariableTok">
    <w:name w:val="VariableTok"/>
    <w:basedOn w:val="VerbatimChar"/>
    <w:rPr>
      <w:rFonts w:ascii="Times New Roman" w:hAnsi="Times New Roman" w:eastAsia="Times New Roman" w:cs="Times New Roman"/>
      <w:color w:val="000000"/>
    </w:rPr>
  </w:style>
  <w:style w:type="character" w:customStyle="1" w:styleId="ControlFlowTok">
    <w:name w:val="ControlFlowTok"/>
    <w:basedOn w:val="VerbatimChar"/>
    <w:rPr>
      <w:rFonts w:ascii="Times New Roman" w:hAnsi="Times New Roman" w:eastAsia="Times New Roman" w:cs="Times New Roman"/>
      <w:b/>
      <w:color w:val="000000"/>
    </w:rPr>
  </w:style>
  <w:style w:type="character" w:customStyle="1" w:styleId="OperatorTok">
    <w:name w:val="OperatorTok"/>
    <w:basedOn w:val="VerbatimChar"/>
    <w:rPr>
      <w:rFonts w:ascii="Times New Roman" w:hAnsi="Times New Roman" w:eastAsia="Times New Roman" w:cs="Times New Roman"/>
      <w:color w:val="000000"/>
    </w:rPr>
  </w:style>
  <w:style w:type="character" w:customStyle="1" w:styleId="BuiltInTok">
    <w:name w:val="BuiltInTok"/>
    <w:basedOn w:val="VerbatimChar"/>
    <w:rPr>
      <w:rFonts w:ascii="Times New Roman" w:hAnsi="Times New Roman" w:eastAsia="Times New Roman" w:cs="Times New Roman"/>
      <w:color w:val="000000"/>
    </w:rPr>
  </w:style>
  <w:style w:type="character" w:customStyle="1" w:styleId="ExtensionTok">
    <w:name w:val="ExtensionTok"/>
    <w:basedOn w:val="VerbatimChar"/>
    <w:rPr>
      <w:rFonts w:ascii="Times New Roman" w:hAnsi="Times New Roman" w:eastAsia="Times New Roman" w:cs="Times New Roman"/>
      <w:color w:val="000000"/>
    </w:rPr>
  </w:style>
  <w:style w:type="character" w:customStyle="1" w:styleId="PreprocessorTok">
    <w:name w:val="PreprocessorTok"/>
    <w:basedOn w:val="VerbatimChar"/>
    <w:rPr>
      <w:rFonts w:ascii="Times New Roman" w:hAnsi="Times New Roman" w:eastAsia="Times New Roman" w:cs="Times New Roman"/>
      <w:color w:val="000000"/>
    </w:rPr>
  </w:style>
  <w:style w:type="character" w:customStyle="1" w:styleId="AttributeTok">
    <w:name w:val="AttributeTok"/>
    <w:basedOn w:val="VerbatimChar"/>
    <w:rPr>
      <w:rFonts w:ascii="Times New Roman" w:hAnsi="Times New Roman" w:eastAsia="Times New Roman" w:cs="Times New Roman"/>
      <w:color w:val="000000"/>
    </w:rPr>
  </w:style>
  <w:style w:type="character" w:customStyle="1" w:styleId="RegionMarkerTok">
    <w:name w:val="RegionMarkerTok"/>
    <w:basedOn w:val="VerbatimChar"/>
    <w:rPr>
      <w:rFonts w:ascii="Times New Roman" w:hAnsi="Times New Roman" w:eastAsia="Times New Roman" w:cs="Times New Roman"/>
      <w:color w:val="000000"/>
    </w:rPr>
  </w:style>
  <w:style w:type="character" w:customStyle="1" w:styleId="InformationTok">
    <w:name w:val="InformationTok"/>
    <w:basedOn w:val="VerbatimChar"/>
    <w:rPr>
      <w:rFonts w:ascii="Times New Roman" w:hAnsi="Times New Roman" w:eastAsia="Times New Roman" w:cs="Times New Roman"/>
      <w:b/>
      <w:i/>
      <w:color w:val="000000"/>
    </w:rPr>
  </w:style>
  <w:style w:type="character" w:customStyle="1" w:styleId="WarningTok">
    <w:name w:val="WarningTok"/>
    <w:basedOn w:val="VerbatimChar"/>
    <w:rPr>
      <w:rFonts w:ascii="Times New Roman" w:hAnsi="Times New Roman" w:eastAsia="Times New Roman" w:cs="Times New Roman"/>
      <w:b/>
      <w:i/>
      <w:color w:val="000000"/>
    </w:rPr>
  </w:style>
  <w:style w:type="character" w:customStyle="1" w:styleId="AlertTok">
    <w:name w:val="AlertTok"/>
    <w:basedOn w:val="VerbatimChar"/>
    <w:rPr>
      <w:rFonts w:ascii="Times New Roman" w:hAnsi="Times New Roman" w:eastAsia="Times New Roman" w:cs="Times New Roman"/>
      <w:b/>
      <w:color w:val="000000"/>
    </w:rPr>
  </w:style>
  <w:style w:type="character" w:customStyle="1" w:styleId="ErrorTok">
    <w:name w:val="ErrorTok"/>
    <w:basedOn w:val="VerbatimChar"/>
    <w:rPr>
      <w:rFonts w:ascii="Times New Roman" w:hAnsi="Times New Roman" w:eastAsia="Times New Roman" w:cs="Times New Roman"/>
      <w:b/>
      <w:color w:val="000000"/>
    </w:rPr>
  </w:style>
  <w:style w:type="character" w:customStyle="1" w:styleId="NormalTok">
    <w:name w:val="NormalTok"/>
    <w:basedOn w:val="VerbatimChar"/>
    <w:rPr>
      <w:rFonts w:ascii="Times New Roman" w:hAnsi="Times New Roman" w:eastAsia="Times New Roman" w:cs="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3" Type="http://schemas.openxmlformats.org/officeDocument/2006/relationships/image" Target="media/rId93.png"/><Relationship Id="rId103" Type="http://schemas.openxmlformats.org/officeDocument/2006/relationships/image" Target="media/rId103.png"/><Relationship Id="rId44" Type="http://schemas.openxmlformats.org/officeDocument/2006/relationships/image" Target="media/rId44.png"/><Relationship Id="rId50" Type="http://schemas.openxmlformats.org/officeDocument/2006/relationships/image" Target="media/rId50.png"/><Relationship Id="rId79" Type="http://schemas.openxmlformats.org/officeDocument/2006/relationships/image" Target="media/rId79.png"/><Relationship Id="rId17" Type="http://schemas.openxmlformats.org/officeDocument/2006/relationships/image" Target="media/rId17.png"/><Relationship Id="rId22" Type="http://schemas.openxmlformats.org/officeDocument/2006/relationships/image" Target="media/rId22.png"/><Relationship Id="rId32" Type="http://schemas.openxmlformats.org/officeDocument/2006/relationships/image" Target="media/rId32.png"/><Relationship Id="rId54" Type="http://schemas.openxmlformats.org/officeDocument/2006/relationships/image" Target="media/rId54.png"/><Relationship Id="rId27" Type="http://schemas.openxmlformats.org/officeDocument/2006/relationships/image" Target="media/rId27.png"/><Relationship Id="rId59" Type="http://schemas.openxmlformats.org/officeDocument/2006/relationships/image" Target="media/rId59.png"/><Relationship Id="rId66" Type="http://schemas.openxmlformats.org/officeDocument/2006/relationships/image" Target="media/rId66.png"/><Relationship Id="rId37" Type="http://schemas.openxmlformats.org/officeDocument/2006/relationships/image" Target="media/rId37.png"/><Relationship Id="rId98" Type="http://schemas.openxmlformats.org/officeDocument/2006/relationships/image" Target="media/rId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la explicación a la evidencia: fundamentos, aplicaciones y evaluación auditable de la inteligencia artificial explicable</dc:title>
  <dc:creator>Jonathan Herrera-Vásquez, Universidad Americana de Europa (UNADE)</dc:creator>
  <dc:language>es-ES</dc:language>
  <cp:keywords/>
  <dcterms:created xsi:type="dcterms:W3CDTF">2026-10-10T23:39:49Z</dcterms:created>
  <dcterms:modified xsi:type="dcterms:W3CDTF">2026-10-10T23:39:49Z</dcterms:modified>
</cp:coreProperties>
</file>

<file path=docProps/custom.xml><?xml version="1.0" encoding="utf-8"?>
<Properties xmlns="http://schemas.openxmlformats.org/officeDocument/2006/custom-properties" xmlns:vt="http://schemas.openxmlformats.org/officeDocument/2006/docPropsVTypes"/>
</file>