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2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Are explanations less reliable when the model is wrong? Post-hoc</w:t>
      </w:r>
      <w:r>
        <w:rPr>
          <w:b/>
          <w:bCs/>
        </w:rPr>
        <w:t xml:space="preserve"> </w:t>
      </w:r>
      <w:r>
        <w:rPr>
          <w:b/>
          <w:bCs/>
        </w:rPr>
        <w:t xml:space="preserve">explanation quality on misclassified instances</w:t>
      </w:r>
    </w:p>
    <w:p>
      <w:pPr>
        <w:pStyle w:val="BodyText"/>
      </w:pPr>
      <w:r>
        <w:rPr>
          <w:b/>
          <w:bCs/>
        </w:rPr>
        <w:t xml:space="preserve">Son menos fiables las explicaciones cuando el modelo se</w:t>
      </w:r>
      <w:r>
        <w:rPr>
          <w:b/>
          <w:bCs/>
        </w:rPr>
        <w:t xml:space="preserve"> </w:t>
      </w:r>
      <w:r>
        <w:rPr>
          <w:b/>
          <w:bCs/>
        </w:rPr>
        <w:t xml:space="preserve">equivoca? Calidad de las explicaciones post hoc en instancias mal clasificadas</w:t>
      </w:r>
    </w:p>
    <w:p>
      <w:pPr>
        <w:pStyle w:val="BodyText"/>
      </w:pPr>
      <w:r>
        <w:rPr>
          <w:i/>
          <w:iCs/>
        </w:rPr>
        <w:t xml:space="preserve">Author information omitted for double-blind review.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Explanations of machine-learning predictions are consulted most when a prediction is in</w:t>
      </w:r>
      <w:r>
        <w:t xml:space="preserve"> </w:t>
      </w:r>
      <w:r>
        <w:t xml:space="preserve">doubt, yet explainers are evaluated on averages over all instances. This study asks whether</w:t>
      </w:r>
      <w:r>
        <w:t xml:space="preserve"> </w:t>
      </w:r>
      <w:r>
        <w:t xml:space="preserve">post-hoc explanations are less reliable when the model is wrong. On the UCI Adult Income</w:t>
      </w:r>
      <w:r>
        <w:t xml:space="preserve"> </w:t>
      </w:r>
      <w:r>
        <w:t xml:space="preserve">dataset, the analysis compares fidelity, stability and faithfulness gap</w:t>
      </w:r>
      <w:r>
        <w:t xml:space="preserve"> </w:t>
      </w:r>
      <w:r>
        <w:t xml:space="preserve">between correctly and incorrectly classified instances for SHAP, LIME, Anchors and DiCE</w:t>
      </w:r>
      <w:r>
        <w:t xml:space="preserve"> </w:t>
      </w:r>
      <w:r>
        <w:t xml:space="preserve">across five model families, with the run as the unit of analysis</w:t>
      </w:r>
      <w:r>
        <w:t xml:space="preserve"> </w:t>
      </w:r>
      <w:r>
        <w:t xml:space="preserve">(265 runs, 122,529 explained instances), Wilcoxon</w:t>
      </w:r>
      <w:r>
        <w:t xml:space="preserve"> </w:t>
      </w:r>
      <w:r>
        <w:t xml:space="preserve">signed-rank tests with Holm correction and a control for the prediction margin; the</w:t>
      </w:r>
      <w:r>
        <w:t xml:space="preserve"> </w:t>
      </w:r>
      <w:r>
        <w:t xml:space="preserve">Statlog German Credit dataset serves for external validation. Explanations were less</w:t>
      </w:r>
      <w:r>
        <w:t xml:space="preserve"> </w:t>
      </w:r>
      <w:r>
        <w:t xml:space="preserve">stable on misclassified instances for all four explainers, and the deficit was large for SHAP (median difference</w:t>
      </w:r>
      <w:r>
        <w:t xml:space="preserve"> </w:t>
      </w:r>
      <w:r>
        <w:t xml:space="preserve">−0.076,</w:t>
      </w:r>
      <w: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−1.36) and DiCE</w:t>
      </w:r>
      <w:r>
        <w:t xml:space="preserve"> </w:t>
      </w:r>
      <w:r>
        <w:t xml:space="preserve">(−0.210,</w:t>
      </w:r>
      <w: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−2.15). The prediction</w:t>
      </w:r>
      <w:r>
        <w:t xml:space="preserve"> </w:t>
      </w:r>
      <w:r>
        <w:t xml:space="preserve">margin explained most of the DiCE deficit but not the SHAP deficit, and at equal margin</w:t>
      </w:r>
      <w:r>
        <w:t xml:space="preserve"> </w:t>
      </w:r>
      <w:r>
        <w:t xml:space="preserve">the features SHAP ranked first carried less of an erroneous prediction. Both SHAP results</w:t>
      </w:r>
      <w:r>
        <w:t xml:space="preserve"> </w:t>
      </w:r>
      <w:r>
        <w:t xml:space="preserve">held on instances outside the models’ training data. Fidelity changed little and in</w:t>
      </w:r>
      <w:r>
        <w:t xml:space="preserve"> </w:t>
      </w:r>
      <w:r>
        <w:t xml:space="preserve">opposite directions across explainers. The pattern depended on the model family; external</w:t>
      </w:r>
      <w:r>
        <w:t xml:space="preserve"> </w:t>
      </w:r>
      <w:r>
        <w:t xml:space="preserve">validation reproduced it for Anchors but not for SHAP stability. Quality reported as an average can therefore</w:t>
      </w:r>
      <w:r>
        <w:t xml:space="preserve"> </w:t>
      </w:r>
      <w:r>
        <w:t xml:space="preserve">overstate how far an explanation of a wrong prediction should be trusted; audits should</w:t>
      </w:r>
      <w:r>
        <w:t xml:space="preserve"> </w:t>
      </w:r>
      <w:r>
        <w:t xml:space="preserve">report explanation quality separately for correct and incorrect predictions.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explainable artificial intelligence; post-hoc explanations;</w:t>
      </w:r>
      <w:r>
        <w:t xml:space="preserve"> </w:t>
      </w:r>
      <w:r>
        <w:t xml:space="preserve">misclassification; explanation reliability; SHAP; LIME.</w:t>
      </w:r>
    </w:p>
    <w:bookmarkEnd w:id="9"/>
    <w:bookmarkStart w:id="10" w:name="resumen"/>
    <w:p>
      <w:pPr>
        <w:pStyle w:val="Heading1"/>
      </w:pPr>
      <w:r>
        <w:t xml:space="preserve">Resumen</w:t>
      </w:r>
    </w:p>
    <w:p>
      <w:pPr>
        <w:pStyle w:val="FirstParagraph"/>
      </w:pPr>
      <w:r>
        <w:t xml:space="preserve">Las explicaciones de las predicciones de aprendizaje automático se consultan sobre todo</w:t>
      </w:r>
      <w:r>
        <w:t xml:space="preserve"> </w:t>
      </w:r>
      <w:r>
        <w:t xml:space="preserve">cuando una predicción es dudosa, pero los explicadores se evalúan con promedios sobre</w:t>
      </w:r>
      <w:r>
        <w:t xml:space="preserve"> </w:t>
      </w:r>
      <w:r>
        <w:t xml:space="preserve">todas las instancias. Este estudio examina si las explicaciones post hoc son menos fiables</w:t>
      </w:r>
      <w:r>
        <w:t xml:space="preserve"> </w:t>
      </w:r>
      <w:r>
        <w:t xml:space="preserve">cuando el modelo se equivoca. Sobre el conjunto de datos UCI Adult Income,</w:t>
      </w:r>
      <w:r>
        <w:t xml:space="preserve"> </w:t>
      </w:r>
      <w:r>
        <w:t xml:space="preserve">se comparan fidelidad, estabilidad y brecha de borrado entre instancias bien y mal</w:t>
      </w:r>
      <w:r>
        <w:t xml:space="preserve"> </w:t>
      </w:r>
      <w:r>
        <w:t xml:space="preserve">clasificadas para SHAP, LIME, Anchors y DiCE en cinco familias de modelos, con la</w:t>
      </w:r>
      <w:r>
        <w:t xml:space="preserve"> </w:t>
      </w:r>
      <w:r>
        <w:t xml:space="preserve">ejecución como unidad de análisis (265 ejecuciones,</w:t>
      </w:r>
      <w:r>
        <w:t xml:space="preserve"> </w:t>
      </w:r>
      <w:r>
        <w:t xml:space="preserve">122,529 instancias), pruebas de Wilcoxon con corrección de Holm,</w:t>
      </w:r>
      <w:r>
        <w:t xml:space="preserve"> </w:t>
      </w:r>
      <w:r>
        <w:t xml:space="preserve">y un control del margen de predicción; el conjunto Statlog German Credit sirve de</w:t>
      </w:r>
      <w:r>
        <w:t xml:space="preserve"> </w:t>
      </w:r>
      <w:r>
        <w:t xml:space="preserve">validación externa.</w:t>
      </w:r>
      <w:r>
        <w:t xml:space="preserve"> </w:t>
      </w:r>
      <w:r>
        <w:t xml:space="preserve">Las explicaciones fueron menos estables en las</w:t>
      </w:r>
      <w:r>
        <w:t xml:space="preserve"> </w:t>
      </w:r>
      <w:r>
        <w:t xml:space="preserve">instancias mal clasificadas para los cuatro explicadores, y el déficit fue grande para</w:t>
      </w:r>
      <w:r>
        <w:t xml:space="preserve"> </w:t>
      </w:r>
      <w:r>
        <w:t xml:space="preserve">SHAP (diferencia mediana −0.076,</w:t>
      </w:r>
      <w: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−1.36) y DiCE (−0.210,</w:t>
      </w:r>
      <w: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−2.15). El margen de predicción explicó la mayor parte</w:t>
      </w:r>
      <w:r>
        <w:t xml:space="preserve"> </w:t>
      </w:r>
      <w:r>
        <w:t xml:space="preserve">del déficit de DiCE, pero no el de SHAP; con el margen fijo, las variables que SHAP</w:t>
      </w:r>
      <w:r>
        <w:t xml:space="preserve"> </w:t>
      </w:r>
      <w:r>
        <w:t xml:space="preserve">situó primero sostuvieron una parte menor de la predicción errónea. Ambos resultados</w:t>
      </w:r>
      <w:r>
        <w:t xml:space="preserve"> </w:t>
      </w:r>
      <w:r>
        <w:t xml:space="preserve">de SHAP se mantuvieron fuera de los datos de entrenamiento. El patrón dependió de la familia de modelos; la validación externa lo</w:t>
      </w:r>
      <w:r>
        <w:t xml:space="preserve"> </w:t>
      </w:r>
      <w:r>
        <w:t xml:space="preserve">reprodujo para Anchors, pero no para la estabilidad de SHAP. La calidad promedio puede exagerar la</w:t>
      </w:r>
      <w:r>
        <w:t xml:space="preserve"> </w:t>
      </w:r>
      <w:r>
        <w:t xml:space="preserve">confianza que merece la explicación de una predicción errónea; las auditorías</w:t>
      </w:r>
      <w:r>
        <w:t xml:space="preserve"> </w:t>
      </w:r>
      <w:r>
        <w:t xml:space="preserve">deberían informarla por separado para predicciones correctas e incorrectas.</w:t>
      </w:r>
    </w:p>
    <w:p>
      <w:pPr>
        <w:pStyle w:val="BodyText"/>
      </w:pPr>
      <w:r>
        <w:rPr>
          <w:b/>
          <w:bCs/>
        </w:rPr>
        <w:t xml:space="preserve">Palabras clave:</w:t>
      </w:r>
      <w:r>
        <w:t xml:space="preserve"> </w:t>
      </w:r>
      <w:r>
        <w:t xml:space="preserve">inteligencia artificial explicable; explicaciones post</w:t>
      </w:r>
      <w:r>
        <w:t xml:space="preserve"> </w:t>
      </w:r>
      <w:r>
        <w:t xml:space="preserve">hoc; errores de clasificación; fiabilidad de las explicaciones; SHAP; LIME.</w:t>
      </w:r>
    </w:p>
    <w:bookmarkEnd w:id="10"/>
    <w:bookmarkStart w:id="1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Post-hoc explainers such as SHAP</w:t>
      </w:r>
      <w:r>
        <w:t xml:space="preserve"> </w:t>
      </w:r>
      <w:r>
        <w:t xml:space="preserve">[1]</w:t>
      </w:r>
      <w:r>
        <w:t xml:space="preserve">, LIME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Anchors</w:t>
      </w:r>
      <w:r>
        <w:t xml:space="preserve"> </w:t>
      </w:r>
      <w:r>
        <w:t xml:space="preserve">[3]</w:t>
      </w:r>
      <w:r>
        <w:t xml:space="preserve"> </w:t>
      </w:r>
      <w:r>
        <w:t xml:space="preserve">and DiCE</w:t>
      </w:r>
      <w:r>
        <w:t xml:space="preserve"> </w:t>
      </w:r>
      <w:r>
        <w:t xml:space="preserve">[4]</w:t>
      </w:r>
      <w:r>
        <w:t xml:space="preserve"> </w:t>
      </w:r>
      <w:r>
        <w:t xml:space="preserve">are the usual way to</w:t>
      </w:r>
      <w:r>
        <w:t xml:space="preserve"> </w:t>
      </w:r>
      <w:r>
        <w:t xml:space="preserve">inspect the predictions of an opaque classifier. Their quality is</w:t>
      </w:r>
      <w:r>
        <w:t xml:space="preserve"> </w:t>
      </w:r>
      <w:r>
        <w:t xml:space="preserve">measured with proxies: whether the features an explanation ranks first are those that move</w:t>
      </w:r>
      <w:r>
        <w:t xml:space="preserve"> </w:t>
      </w:r>
      <w:r>
        <w:t xml:space="preserve">the prediction</w:t>
      </w:r>
      <w:r>
        <w:t xml:space="preserve"> </w:t>
      </w:r>
      <w:r>
        <w:t xml:space="preserve">[5], [6], [7]</w:t>
      </w:r>
      <w:r>
        <w:t xml:space="preserve">, and</w:t>
      </w:r>
      <w:r>
        <w:t xml:space="preserve"> </w:t>
      </w:r>
      <w:r>
        <w:t xml:space="preserve">whether similar inputs receive similar explanations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Benchmarks report these metrics as averages over instances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BodyText"/>
      </w:pPr>
      <w:r>
        <w:t xml:space="preserve">An average hides one split that matters: whether the prediction was right. Explanations</w:t>
      </w:r>
      <w:r>
        <w:t xml:space="preserve"> </w:t>
      </w:r>
      <w:r>
        <w:t xml:space="preserve">are consulted when a decision is contested, when an auditor examines a failure, or when a</w:t>
      </w:r>
      <w:r>
        <w:t xml:space="preserve"> </w:t>
      </w:r>
      <w:r>
        <w:t xml:space="preserve">user decides whether to accept a recommendation, situations in which the prediction is</w:t>
      </w:r>
      <w:r>
        <w:t xml:space="preserve"> </w:t>
      </w:r>
      <w:r>
        <w:t xml:space="preserve">disproportionately likely to be wrong. Explanations can raise acceptance of a</w:t>
      </w:r>
      <w:r>
        <w:t xml:space="preserve"> </w:t>
      </w:r>
      <w:r>
        <w:t xml:space="preserve">recommendation whether or not it is correct</w:t>
      </w:r>
      <w:r>
        <w:t xml:space="preserve"> </w:t>
      </w:r>
      <w:r>
        <w:t xml:space="preserve">[10]</w:t>
      </w:r>
      <w:r>
        <w:t xml:space="preserve">, and they can be</w:t>
      </w:r>
      <w:r>
        <w:t xml:space="preserve"> </w:t>
      </w:r>
      <w:r>
        <w:t xml:space="preserve">unreliable in ways their appearance does not reveal</w:t>
      </w:r>
      <w:r>
        <w:t xml:space="preserve"> </w:t>
      </w:r>
      <w:r>
        <w:t xml:space="preserve">[11], [12]</w:t>
      </w:r>
      <w:r>
        <w:t xml:space="preserve">.</w:t>
      </w:r>
      <w:r>
        <w:t xml:space="preserve"> </w:t>
      </w:r>
      <w:r>
        <w:t xml:space="preserve">If they are also less faithful or less stable on errors, an explanation can look most</w:t>
      </w:r>
      <w:r>
        <w:t xml:space="preserve"> </w:t>
      </w:r>
      <w:r>
        <w:t xml:space="preserve">convincing where it deserves the least trust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The closest line of work relates explanations to model uncertainty. A recent survey of</w:t>
      </w:r>
      <w:r>
        <w:t xml:space="preserve"> </w:t>
      </w:r>
      <w:r>
        <w:t xml:space="preserve">uncertainty-aware XAI finds that the stability of explanations is reported inconsistently</w:t>
      </w:r>
      <w:r>
        <w:t xml:space="preserve"> </w:t>
      </w:r>
      <w:r>
        <w:t xml:space="preserve">[14]</w:t>
      </w:r>
      <w:r>
        <w:t xml:space="preserve">; uncertainty in inputs and model parameters propagates into</w:t>
      </w:r>
      <w:r>
        <w:t xml:space="preserve"> </w:t>
      </w:r>
      <w:r>
        <w:t xml:space="preserve">explanation variance, and not all methods propagate it reliably</w:t>
      </w:r>
      <w:r>
        <w:t xml:space="preserve"> </w:t>
      </w:r>
      <w:r>
        <w:t xml:space="preserve">[15]</w:t>
      </w:r>
      <w:r>
        <w:t xml:space="preserve">; counterfactual explanations are highly sensitive to model</w:t>
      </w:r>
      <w:r>
        <w:t xml:space="preserve"> </w:t>
      </w:r>
      <w:r>
        <w:t xml:space="preserve">uncertainty, even when accuracy is high</w:t>
      </w:r>
      <w:r>
        <w:t xml:space="preserve"> </w:t>
      </w:r>
      <w:r>
        <w:t xml:space="preserve">[16]</w:t>
      </w:r>
      <w:r>
        <w:t xml:space="preserve">; and SHAP can be</w:t>
      </w:r>
      <w:r>
        <w:t xml:space="preserve"> </w:t>
      </w:r>
      <w:r>
        <w:t xml:space="preserve">used to explain the uncertainty itself rather than the prediction</w:t>
      </w:r>
      <w:r>
        <w:t xml:space="preserve"> </w:t>
      </w:r>
      <w:r>
        <w:t xml:space="preserve">[17]</w:t>
      </w:r>
      <w:r>
        <w:t xml:space="preserve">. These studies vary uncertainty; whether explanation quality differs between a</w:t>
      </w:r>
      <w:r>
        <w:t xml:space="preserve"> </w:t>
      </w:r>
      <w:r>
        <w:t xml:space="preserve">model’s correct and wrong predictions is a separate question.</w:t>
      </w:r>
    </w:p>
    <w:p>
      <w:pPr>
        <w:pStyle w:val="BodyText"/>
      </w:pPr>
      <w:r>
        <w:t xml:space="preserve">This study tests this with a pre-specified re-analysis of an existing benchmark that explained</w:t>
      </w:r>
      <w:r>
        <w:t xml:space="preserve"> </w:t>
      </w:r>
      <w:r>
        <w:t xml:space="preserve">balanced samples of true positives, true negatives, false positives and false negatives</w:t>
      </w:r>
      <w:r>
        <w:t xml:space="preserve"> </w:t>
      </w:r>
      <w:r>
        <w:t xml:space="preserve">for four explainers and five model families, and asks: does explanation quality differ</w:t>
      </w:r>
      <w:r>
        <w:t xml:space="preserve"> </w:t>
      </w:r>
      <w:r>
        <w:t xml:space="preserve">between correct and misclassified instances (RQ1), does the difference depend on the</w:t>
      </w:r>
      <w:r>
        <w:t xml:space="preserve"> </w:t>
      </w:r>
      <w:r>
        <w:t xml:space="preserve">model family (RQ2), do false positives and false negatives differ (RQ3), and is the</w:t>
      </w:r>
      <w:r>
        <w:t xml:space="preserve"> </w:t>
      </w:r>
      <w:r>
        <w:t xml:space="preserve">difference explained by proximity to the decision boundary, where errors tend to lie</w:t>
      </w:r>
      <w:r>
        <w:t xml:space="preserve"> </w:t>
      </w:r>
      <w:r>
        <w:t xml:space="preserve">(RQ4)?</w:t>
      </w:r>
    </w:p>
    <w:bookmarkEnd w:id="11"/>
    <w:bookmarkStart w:id="15" w:name="materials-and-methods"/>
    <w:p>
      <w:pPr>
        <w:pStyle w:val="Heading1"/>
      </w:pPr>
      <w:r>
        <w:t xml:space="preserve">Materials and methods</w:t>
      </w:r>
    </w:p>
    <w:bookmarkStart w:id="12" w:name="datasets-and-experimental-runs"/>
    <w:p>
      <w:pPr>
        <w:pStyle w:val="Heading2"/>
      </w:pPr>
      <w:r>
        <w:t xml:space="preserve">Datasets and experimental runs</w:t>
      </w:r>
    </w:p>
    <w:p>
      <w:pPr>
        <w:pStyle w:val="FirstParagraph"/>
      </w:pPr>
      <w:r>
        <w:t xml:space="preserve">Two tabular datasets are used: UCI Adult Income</w:t>
      </w:r>
      <w:r>
        <w:t xml:space="preserve"> </w:t>
      </w:r>
      <w:r>
        <w:t xml:space="preserve">[18]</w:t>
      </w:r>
      <w:r>
        <w:t xml:space="preserve"> </w:t>
      </w:r>
      <w:r>
        <w:t xml:space="preserve">(primary) and Statlog</w:t>
      </w:r>
      <w:r>
        <w:t xml:space="preserve"> </w:t>
      </w:r>
      <w:r>
        <w:t xml:space="preserve">German Credit</w:t>
      </w:r>
      <w:r>
        <w:t xml:space="preserve"> </w:t>
      </w:r>
      <w:r>
        <w:t xml:space="preserve">[19]</w:t>
      </w:r>
      <w:r>
        <w:t xml:space="preserve"> </w:t>
      </w:r>
      <w:r>
        <w:t xml:space="preserve">(external validation). The explanation runs come from</w:t>
      </w:r>
      <w:r>
        <w:t xml:space="preserve"> </w:t>
      </w:r>
      <w:r>
        <w:t xml:space="preserve">a benchmark whose protocol is described in</w:t>
      </w:r>
      <w:r>
        <w:t xml:space="preserve"> </w:t>
      </w:r>
      <w:r>
        <w:t xml:space="preserve">[9]</w:t>
      </w:r>
      <w:r>
        <w:t xml:space="preserve">. That study, and a</w:t>
      </w:r>
      <w:r>
        <w:t xml:space="preserve"> </w:t>
      </w:r>
      <w:r>
        <w:t xml:space="preserve">later analysis of the same runs, compare explainers by their average quality; the present</w:t>
      </w:r>
      <w:r>
        <w:t xml:space="preserve"> </w:t>
      </w:r>
      <w:r>
        <w:t xml:space="preserve">analysis reports none of their results and compares each explainer with itself, between</w:t>
      </w:r>
      <w:r>
        <w:t xml:space="preserve"> </w:t>
      </w:r>
      <w:r>
        <w:t xml:space="preserve">correct and misclassified instances of the same run.</w:t>
      </w:r>
    </w:p>
    <w:p>
      <w:pPr>
        <w:pStyle w:val="BodyText"/>
      </w:pPr>
      <w:r>
        <w:t xml:space="preserve">Five classifiers were explained: logistic regression, random forest</w:t>
      </w:r>
      <w:r>
        <w:t xml:space="preserve"> </w:t>
      </w:r>
      <w:r>
        <w:t xml:space="preserve">[20]</w:t>
      </w:r>
      <w:r>
        <w:t xml:space="preserve">, XGBoost</w:t>
      </w:r>
      <w:r>
        <w:t xml:space="preserve"> </w:t>
      </w:r>
      <w:r>
        <w:t xml:space="preserve">[21]</w:t>
      </w:r>
      <w:r>
        <w:t xml:space="preserve">, a support vector machine and a</w:t>
      </w:r>
      <w:r>
        <w:t xml:space="preserve"> </w:t>
      </w:r>
      <w:r>
        <w:t xml:space="preserve">multilayer perceptron, all trained once on the seed-42 partition of the data. Each run</w:t>
      </w:r>
      <w:r>
        <w:t xml:space="preserve"> </w:t>
      </w:r>
      <w:r>
        <w:t xml:space="preserve">crossed one model, one explainer, one seed (42, 123, 456, 789 or 999), which fixed the</w:t>
      </w:r>
      <w:r>
        <w:t xml:space="preserve"> </w:t>
      </w:r>
      <w:r>
        <w:t xml:space="preserve">partition sampled,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,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200</m:t>
        </m:r>
      </m:oMath>
      <w:r>
        <w:t xml:space="preserve"> </w:t>
      </w:r>
      <w:r>
        <w:t xml:space="preserve">instances per error quadrant (TP, TN, FP,</w:t>
      </w:r>
      <w:r>
        <w:t xml:space="preserve"> </w:t>
      </w:r>
      <w:r>
        <w:t xml:space="preserve">FN), so correct and misclassified instances are about equally represented. Of the</w:t>
      </w:r>
      <w:r>
        <w:t xml:space="preserve"> </w:t>
      </w:r>
      <w:r>
        <w:t xml:space="preserve">299 runs, 265 were analysed (Anchors and DiCE runs</w:t>
      </w:r>
      <w:r>
        <w:t xml:space="preserve"> </w:t>
      </w:r>
      <w:r>
        <w:t xml:space="preserve">without explanations, and SHAP runs with fewer than ten instances in a group, were</w:t>
      </w:r>
      <w:r>
        <w:t xml:space="preserve"> </w:t>
      </w:r>
      <w:r>
        <w:t xml:space="preserve">excluded). They contain 122,529 explained instances, of which</w:t>
      </w:r>
      <w:r>
        <w:t xml:space="preserve"> </w:t>
      </w:r>
      <w:r>
        <w:t xml:space="preserve">70,788 belong to the training data (Section </w:t>
      </w:r>
      <w:hyperlink w:anchor="sec:sens">
        <w:r>
          <w:rPr>
            <w:rStyle w:val="Hyperlink"/>
          </w:rPr>
          <w:t xml:space="preserve">3.4</w:t>
        </w:r>
      </w:hyperlink>
      <w:r>
        <w:t xml:space="preserve">);</w:t>
      </w:r>
      <w:r>
        <w:t xml:space="preserve"> </w:t>
      </w:r>
      <w:r>
        <w:t xml:space="preserve">278 instances without a quadrant were excluded. On German Credit, random</w:t>
      </w:r>
      <w:r>
        <w:t xml:space="preserve"> </w:t>
      </w:r>
      <w:r>
        <w:t xml:space="preserve">forest and XGBoost were explained by SHAP and Anchors with three seeds each (12 runs, 13 to</w:t>
      </w:r>
      <w:r>
        <w:t xml:space="preserve"> </w:t>
      </w:r>
      <w:r>
        <w:t xml:space="preserve">37 errors per quadrant). Breast Cancer was excluded in advance, with one to four errors</w:t>
      </w:r>
      <w:r>
        <w:t xml:space="preserve"> </w:t>
      </w:r>
      <w:r>
        <w:t xml:space="preserve">per quadrant.</w:t>
      </w:r>
    </w:p>
    <w:bookmarkEnd w:id="12"/>
    <w:bookmarkStart w:id="13" w:name="quality-metrics"/>
    <w:p>
      <w:pPr>
        <w:pStyle w:val="Heading2"/>
      </w:pPr>
      <w:r>
        <w:t xml:space="preserve">Quality metrics</w:t>
      </w:r>
    </w:p>
    <w:p>
      <w:pPr>
        <w:pStyle w:val="FirstParagraph"/>
      </w:pPr>
      <w:r>
        <w:t xml:space="preserve">SHAP (TreeExplainer for tree models, KernelExplainer otherwise) and LIME (ten features)</w:t>
      </w:r>
      <w:r>
        <w:t xml:space="preserve"> </w:t>
      </w:r>
      <w:r>
        <w:t xml:space="preserve">return an attribution vector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; Anchors is represented as a binary</w:t>
      </w:r>
      <w:r>
        <w:t xml:space="preserve"> </w:t>
      </w:r>
      <w:r>
        <w:t xml:space="preserve">vector of the features in its rule, and DiCE 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|</m:t>
        </m:r>
      </m:oMath>
      <w:r>
        <w:t xml:space="preserve"> </w:t>
      </w:r>
      <w:r>
        <w:t xml:space="preserve">for its counterfactual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predicted probability of the positive class and masking a feature meaning</w:t>
      </w:r>
      <w:r>
        <w:t xml:space="preserve"> </w:t>
      </w:r>
      <w:r>
        <w:t xml:space="preserve">replacing it with its training mean, the benchmark</w:t>
      </w:r>
      <w:r>
        <w:t xml:space="preserve"> </w:t>
      </w:r>
      <w:r>
        <w:t xml:space="preserve">[9]</w:t>
      </w:r>
      <w:r>
        <w:t xml:space="preserve"> </w:t>
      </w:r>
      <w:r>
        <w:t xml:space="preserve">computes</w:t>
      </w:r>
      <w:r>
        <w:t xml:space="preserve"> </w:t>
      </w:r>
      <w:r>
        <w:t xml:space="preserve">per instance the stability</w:t>
      </w:r>
      <w:r>
        <w:t xml:space="preserve"> </w:t>
      </w:r>
      <w:r>
        <w:t xml:space="preserve">[8]</w:t>
      </w:r>
      <w:r>
        <w:t xml:space="preserve">, the mean cosine similarity of</w:t>
      </w:r>
      <w:r>
        <w:t xml:space="preserve"> </w:t>
      </w:r>
      <w:r>
        <w:t xml:space="preserve">explanations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noisy copies of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cos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fidelity</w:t>
      </w:r>
      <w:r>
        <w:t xml:space="preserve"> </w:t>
      </w:r>
      <w:r>
        <w:t xml:space="preserve">[5]</w:t>
      </w:r>
      <w:r>
        <w:t xml:space="preserve">, the correlation across features between</w:t>
      </w:r>
      <w:r>
        <w:t xml:space="preserve"> </w:t>
      </w:r>
      <w:r>
        <w:t xml:space="preserve">attribution size and the effect of masking that feature,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ρ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|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|</m:t>
                      </m:r>
                    </m:e>
                  </m:d>
                </m:e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 </m:t>
              </m:r>
              <m:sSub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|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|</m:t>
                      </m:r>
                    </m:e>
                  </m:d>
                </m:e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faithfulness gap</w:t>
      </w:r>
      <w:r>
        <w:t xml:space="preserve"> </w:t>
      </w:r>
      <w:r>
        <w:t xml:space="preserve">[6], [7]</w:t>
      </w:r>
      <w:r>
        <w:t xml:space="preserve">, the effect of</w:t>
      </w:r>
      <w:r>
        <w:t xml:space="preserve"> </w:t>
      </w:r>
      <w:r>
        <w:t xml:space="preserve">masking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top-ranked features together,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top-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Higher is better for all three. Sparsity was a secondary metric and explanation time was</w:t>
      </w:r>
      <w:r>
        <w:t xml:space="preserve"> </w:t>
      </w:r>
      <w:r>
        <w:t xml:space="preserve">described.</w:t>
      </w:r>
    </w:p>
    <w:bookmarkEnd w:id="13"/>
    <w:bookmarkStart w:id="14" w:name="statistical-analysis"/>
    <w:p>
      <w:pPr>
        <w:pStyle w:val="Heading2"/>
      </w:pPr>
      <w:r>
        <w:t xml:space="preserve">Statistical analysis</w:t>
      </w:r>
    </w:p>
    <w:p>
      <w:pPr>
        <w:pStyle w:val="FirstParagraph"/>
      </w:pPr>
      <w:r>
        <w:t xml:space="preserve">The analysis plan was committed to the project repository before any result was</w:t>
      </w:r>
      <w:r>
        <w:t xml:space="preserve"> </w:t>
      </w:r>
      <w:r>
        <w:t xml:space="preserve">computed. Instances are nested in runs, so the run is the unit of inference. For run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metric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Q</m:t>
                  </m:r>
                </m:e>
              </m:acc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Q</m:t>
                  </m:r>
                </m:e>
              </m:acc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a negative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means lower quality on errors. RQ1 uses a two-sided Wilcoxon</w:t>
      </w:r>
      <w:r>
        <w:t xml:space="preserve"> </w:t>
      </w:r>
      <w:r>
        <w:t xml:space="preserve">signed-rank test per explainer and metric</w:t>
      </w:r>
      <w:r>
        <w:t xml:space="preserve"> </w:t>
      </w:r>
      <w:r>
        <w:t xml:space="preserve">[22]</w:t>
      </w:r>
      <w:r>
        <w:t xml:space="preserve">, Holm-corrected</w:t>
      </w:r>
      <w:r>
        <w:t xml:space="preserve"> </w:t>
      </w:r>
      <w:r>
        <w:t xml:space="preserve">across the 12 tests</w:t>
      </w:r>
      <w:r>
        <w:t xml:space="preserve"> </w:t>
      </w:r>
      <w:r>
        <w:t xml:space="preserve">[23]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with</w:t>
      </w:r>
      <w: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[24]</w:t>
      </w:r>
      <w:r>
        <w:t xml:space="preserve">; an effect is practically relevant if also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|</m:t>
        </m:r>
        <m:r>
          <m:rPr>
            <m:nor/>
            <m:sty m:val="p"/>
          </m:rPr>
          <m:t>median</m:t>
        </m:r>
        <m:r>
          <m:t> </m:t>
        </m:r>
        <m:r>
          <m:rPr>
            <m:sty m:val="p"/>
          </m:rPr>
          <m:t>Δ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0.05</m:t>
        </m:r>
      </m:oMath>
      <w:r>
        <w:t xml:space="preserve">. It was repeated with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averaged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within model and seed. RQ2 uses Kruskal–Wallis tests across families</w:t>
      </w:r>
      <w:r>
        <w:t xml:space="preserve"> </w:t>
      </w:r>
      <w:r>
        <w:t xml:space="preserve">[25]</w:t>
      </w:r>
      <w:r>
        <w:t xml:space="preserve"> </w:t>
      </w:r>
      <w:r>
        <w:t xml:space="preserve">and RQ3 the RQ1 test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Q</m:t>
                </m:r>
              </m:e>
            </m:acc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Q</m:t>
                </m:r>
              </m:e>
            </m:acc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both Holm-corrected. For RQ4 the margin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|</m:t>
        </m:r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−</m:t>
        </m:r>
        <m:r>
          <m:t>0.5</m:t>
        </m:r>
        <m:r>
          <m:rPr>
            <m:sty m:val="p"/>
          </m:rPr>
          <m:t>|</m:t>
        </m:r>
      </m:oMath>
      <w:r>
        <w:t xml:space="preserve"> </w:t>
      </w:r>
      <w:r>
        <w:t xml:space="preserve">was recomputed from the</w:t>
      </w:r>
      <w:r>
        <w:t xml:space="preserve"> </w:t>
      </w:r>
      <w:r>
        <w:t xml:space="preserve">stored models and, per explainer and metric, the analysis fitted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r>
            <m:t>β</m:t>
          </m:r>
          <m:r>
            <m:t> 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e>
            <m:sub>
              <m:r>
                <m:t>i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r>
            <m:t>γ</m:t>
          </m:r>
          <m:r>
            <m:t> </m:t>
          </m:r>
          <m:sSub>
            <m:e>
              <m:r>
                <m:t>m</m:t>
              </m:r>
            </m:e>
            <m:sub>
              <m:r>
                <m:t>i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r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run fixed effects and standard errors clustered by run</w:t>
      </w:r>
      <w:r>
        <w:t xml:space="preserve"> </w:t>
      </w:r>
      <w:r>
        <w:t xml:space="preserve">[26]</w:t>
      </w:r>
      <w:r>
        <w:t xml:space="preserve">; a difference is explained by the margin if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more</w:t>
      </w:r>
      <w:r>
        <w:t xml:space="preserve"> </w:t>
      </w:r>
      <w:r>
        <w:t xml:space="preserve">than halves and its interval includes zero. German Credit, with six runs per explainer, is</w:t>
      </w:r>
      <w:r>
        <w:t xml:space="preserve"> </w:t>
      </w:r>
      <w:r>
        <w:t xml:space="preserve">reported descriptively.</w:t>
      </w:r>
    </w:p>
    <w:p>
      <w:pPr>
        <w:pStyle w:val="BodyText"/>
      </w:pPr>
      <w:r>
        <w:t xml:space="preserve">Deviations from the plan: (1) for random-forest runs made first, the stored model</w:t>
      </w:r>
      <w:r>
        <w:t xml:space="preserve"> </w:t>
      </w:r>
      <w:r>
        <w:t xml:space="preserve">reproduces only part of the recorded predictions, so RQ4 uses the</w:t>
      </w:r>
      <w:r>
        <w:t xml:space="preserve"> </w:t>
      </w:r>
      <w:r>
        <w:t xml:space="preserve">223 of 274 runs it reproduces (99% or more),</w:t>
      </w:r>
      <w:r>
        <w:t xml:space="preserve"> </w:t>
      </w:r>
      <w:r>
        <w:t xml:space="preserve">including 9 of 60 random-forest runs;</w:t>
      </w:r>
      <w:r>
        <w:t xml:space="preserve"> </w:t>
      </w:r>
      <w:r>
        <w:t xml:space="preserve">RQ1–RQ3 are unaffected, as their labels come from the model that ran. (2) For the SVM,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Platt-scaled</w:t>
      </w:r>
      <w:r>
        <w:t xml:space="preserve"> </w:t>
      </w:r>
      <w:r>
        <w:t xml:space="preserve">[27]</w:t>
      </w:r>
      <w:r>
        <w:t xml:space="preserve"> </w:t>
      </w:r>
      <w:r>
        <w:t xml:space="preserve">and disagrees with the predicted</w:t>
      </w:r>
      <w:r>
        <w:t xml:space="preserve"> </w:t>
      </w:r>
      <w:r>
        <w:t xml:space="preserve">class for 404 of 22,426 instances,</w:t>
      </w:r>
      <w:r>
        <w:t xml:space="preserve"> </w:t>
      </w:r>
      <w:r>
        <w:t xml:space="preserve">which were kept. Two post-hoc analyses were added: (3) RQ1 and RQ4 without training</w:t>
      </w:r>
      <w:r>
        <w:t xml:space="preserve"> </w:t>
      </w:r>
      <w:r>
        <w:t xml:space="preserve">instances, and RQ1 on seed 42 alone; (4) a check of the mechanism proposed for RQ3.</w:t>
      </w:r>
    </w:p>
    <w:bookmarkEnd w:id="14"/>
    <w:bookmarkEnd w:id="15"/>
    <w:bookmarkStart w:id="35" w:name="results"/>
    <w:p>
      <w:pPr>
        <w:pStyle w:val="Heading1"/>
      </w:pPr>
      <w:r>
        <w:t xml:space="preserve">Results</w:t>
      </w:r>
    </w:p>
    <w:bookmarkStart w:id="21" w:name="X113a1311184c30a7f1c357e0d675c998f9d33b0"/>
    <w:p>
      <w:pPr>
        <w:pStyle w:val="Heading2"/>
      </w:pPr>
      <w:r>
        <w:t xml:space="preserve">Correct versus misclassified instances (RQ1)</w:t>
      </w:r>
    </w:p>
    <w:p>
      <w:pPr>
        <w:pStyle w:val="FirstParagraph"/>
      </w:pPr>
      <w:r>
        <w:t xml:space="preserve">Stability was lower on misclassified instances for all four explainers</w:t>
      </w:r>
      <w:r>
        <w:t xml:space="preserve"> </w:t>
      </w:r>
      <w:r>
        <w:t xml:space="preserve">(Table </w:t>
      </w:r>
      <w:hyperlink w:anchor="tab:rq1">
        <w:r>
          <w:rPr>
            <w:rStyle w:val="Hyperlink"/>
          </w:rPr>
          <w:t xml:space="preserve">1</w:t>
        </w:r>
      </w:hyperlink>
      <w:r>
        <w:t xml:space="preserve">, Figure </w:t>
      </w:r>
      <w:hyperlink w:anchor="fig:rq1">
        <w:r>
          <w:rPr>
            <w:rStyle w:val="Hyperlink"/>
          </w:rPr>
          <w:t xml:space="preserve">1</w:t>
        </w:r>
      </w:hyperlink>
      <w:r>
        <w:t xml:space="preserve">). The deficit was large for SHAP, in all</w:t>
      </w:r>
      <w:r>
        <w:t xml:space="preserve"> </w:t>
      </w:r>
      <w:r>
        <w:t xml:space="preserve">65 runs, and DiCE, in 67 of</w:t>
      </w:r>
      <w:r>
        <w:t xml:space="preserve"> </w:t>
      </w:r>
      <w:r>
        <w:t xml:space="preserve">68. For LIME it was consistent (73 of</w:t>
      </w:r>
      <w:r>
        <w:t xml:space="preserve"> </w:t>
      </w:r>
      <w:r>
        <w:t xml:space="preserve">75 runs) but small, as LIME’s stability on these data is near zero.</w:t>
      </w:r>
      <w:r>
        <w:t xml:space="preserve"> </w:t>
      </w:r>
      <w:r>
        <w:t xml:space="preserve">For Anchors most runs had stability near zero in both groups, so the median is close to</w:t>
      </w:r>
      <w:r>
        <w:t xml:space="preserve"> </w:t>
      </w:r>
      <w:r>
        <w:t xml:space="preserve">zero, yet the difference was negative in 49 of</w:t>
      </w:r>
      <w:r>
        <w:t xml:space="preserve"> </w:t>
      </w:r>
      <w:r>
        <w:t xml:space="preserve">57 runs. Fidelity was lower on errors for DiCE and Anchors,</w:t>
      </w:r>
      <w:r>
        <w:t xml:space="preserve"> </w:t>
      </w:r>
      <w:r>
        <w:t xml:space="preserve">higher for LIME, and not significant for SHAP, whose positive mean comes from a minority of</w:t>
      </w:r>
      <w:r>
        <w:t xml:space="preserve"> </w:t>
      </w:r>
      <w:r>
        <w:t xml:space="preserve">random-forest and SVM runs while its median is near zero. The faithfulness gap was lower on</w:t>
      </w:r>
      <w:r>
        <w:t xml:space="preserve"> </w:t>
      </w:r>
      <w:r>
        <w:t xml:space="preserve">errors for SHAP and DiCE only. Of the 12 tests, 9 were significant and</w:t>
      </w:r>
      <w:r>
        <w:t xml:space="preserve"> </w:t>
      </w:r>
      <w:r>
        <w:t xml:space="preserve">3 practically relevant (SHAP stability, DiCE stability and fidelity); the</w:t>
      </w:r>
      <w:r>
        <w:t xml:space="preserve"> </w:t>
      </w:r>
      <w:r>
        <w:t xml:space="preserve">model–seed analysis agreed for 10. Sparsity differences were within</w:t>
      </w:r>
      <w:r>
        <w:t xml:space="preserve"> </w:t>
      </w:r>
      <w:r>
        <w:t xml:space="preserve">0.005 of zero; only Anchors was slower on errors.</w:t>
      </w:r>
    </w:p>
    <w:bookmarkStart w:id="16" w:name="tab:rq1"/>
    <w:p>
      <w:pPr>
        <w:pStyle w:val="TableCaption"/>
      </w:pPr>
      <w:r>
        <w:t xml:space="preserve">Per-run difference in quality, misclassified minus correct instances (UCI Adult).</w:t>
      </w:r>
      <w:r>
        <w:t xml:space="preserve"> </w:t>
      </w:r>
      <m:oMath>
        <m:r>
          <m:t>n</m:t>
        </m:r>
      </m:oMath>
      <w:r>
        <w:t xml:space="preserve">: runs; CI: 95% confidence interval of the mean;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</m:oMath>
      <w:r>
        <w:t xml:space="preserve">: Wilcoxon</w:t>
      </w:r>
      <w:r>
        <w:t xml:space="preserve"> </w:t>
      </w:r>
      <w:r>
        <w:t xml:space="preserve">signed-rank, Holm-corrected across the 12 tests.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run difference in quality, misclassified minus correct instances (UCI Adult). n: runs; CI: 95% confidence interval of the mean; p_{\mathrm{Holm}}: Wilcoxon signed-rank, Holm-corrected across the 12 test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Metric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Explainer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m:oMath>
              <m:r>
                <m:t>n</m:t>
              </m:r>
            </m:oMath>
            <w:r>
              <w:rPr>
                <w:sz w:val="20"/>
                <w:szCs w:val="20"/>
              </w:rPr>
              <w:t xml:space="preserve">​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Median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Mean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[95% CI]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m:oMath>
              <m:sSub>
                <m:e>
                  <m:r>
                    <m:t>d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sz w:val="20"/>
                <w:szCs w:val="20"/>
              </w:rPr>
              <w:t xml:space="preserve">​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m</m:t>
                  </m:r>
                </m:sub>
              </m:sSub>
            </m:oMath>
            <w:r>
              <w:rPr>
                <w:sz w:val="20"/>
                <w:szCs w:val="20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Stability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SHAP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65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−0.076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−0.117 [−0.138, −0.095]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−1.36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LIME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75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−0.003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−0.007 [−0.009, −0.006]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−1.06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Anchors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57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0.000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−0.016 [−0.032, −0.001]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−0.28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DiCE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68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−0.210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−0.198 [−0.221, −0.176]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−2.15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Fidelity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SHAP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65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+0.007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+0.021 [+0.009, +0.033]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+0.42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0.057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LIME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75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+0.032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+0.028 [+0.020, +0.035]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+0.82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Anchors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57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−0.022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−0.025 [−0.040, −0.010]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−0.45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0.013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DiCE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68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−0.053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−0.047 [−0.061, −0.033]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−0.82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Faithfulness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SHAP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65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−0.023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−0.024 [−0.029, −0.018]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−1.07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gap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LIME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75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0.000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+0.001 [−0.007, +0.008]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+0.02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0.992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Anchors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57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0.000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−0.003 [−0.012, +0.007]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−0.08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0.954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DiCE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68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−0.022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−0.018 [−0.029, −0.007]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−0.41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right"/>
            </w:pPr>
            <w:r>
              <w:rPr>
                <w:sz w:val="20"/>
                <w:szCs w:val="20"/>
              </w:rPr>
              <w:t xml:space="preserve">0.013</w:t>
            </w:r>
          </w:p>
        </w:tc>
      </w:tr>
    </w:tbl>
    <w:bookmarkEnd w:id="16"/>
    <w:bookmarkStart w:id="20" w:name="fig:rq1"/>
    <w:p>
      <w:pPr>
        <w:pStyle w:val="CaptionedFigure"/>
      </w:pPr>
      <w:r>
        <w:drawing>
          <wp:inline>
            <wp:extent cx="4800600" cy="1590214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figures/fig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90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 per-run difference in quality between misclassified and correct instances,</w:t>
      </w:r>
      <w:r>
        <w:t xml:space="preserve"> </w:t>
      </w:r>
      <w:r>
        <w:t xml:space="preserve">with 95% confidence intervals (UCI Adult). Filled markers: significant after Holm</w:t>
      </w:r>
      <w:r>
        <w:t xml:space="preserve"> </w:t>
      </w:r>
      <w:r>
        <w:t xml:space="preserve">correction; open markers: not significant (the Wilcoxon test concerns the median; for SHAP fidelity the median is</w:t>
      </w:r>
      <w:r>
        <w:t xml:space="preserve"> </w:t>
      </w:r>
      <w:r>
        <w:t xml:space="preserve">near zero while the mean is not). Negative values mean lower quality on errors.</w:t>
      </w:r>
    </w:p>
    <w:bookmarkEnd w:id="20"/>
    <w:bookmarkEnd w:id="21"/>
    <w:bookmarkStart w:id="27" w:name="model-families-and-error-types-rq2-rq3"/>
    <w:p>
      <w:pPr>
        <w:pStyle w:val="Heading2"/>
      </w:pPr>
      <w:r>
        <w:t xml:space="preserve">Model families and error types (RQ2, RQ3)</w:t>
      </w:r>
    </w:p>
    <w:p>
      <w:pPr>
        <w:pStyle w:val="FirstParagraph"/>
      </w:pPr>
      <w:r>
        <w:t xml:space="preserve">The size, and for fidelity and faithfulness gap the sign, of the difference depended on the</w:t>
      </w:r>
      <w:r>
        <w:t xml:space="preserve"> </w:t>
      </w:r>
      <w:r>
        <w:t xml:space="preserve">family (Figure </w:t>
      </w:r>
      <w:hyperlink w:anchor="fig:rq2">
        <w:r>
          <w:rPr>
            <w:rStyle w:val="Hyperlink"/>
          </w:rPr>
          <w:t xml:space="preserve">2</w:t>
        </w:r>
      </w:hyperlink>
      <w:r>
        <w:t xml:space="preserve">); the Kruskal–Wallis test was significant for</w:t>
      </w:r>
      <w:r>
        <w:t xml:space="preserve"> </w:t>
      </w:r>
      <w:r>
        <w:t xml:space="preserve">10 of 12 combinations, all but LIME and Anchors</w:t>
      </w:r>
      <w:r>
        <w:t xml:space="preserve"> </w:t>
      </w:r>
      <w:r>
        <w:t xml:space="preserve">stability. The SHAP stability deficit was largest for the multilayer perceptron</w:t>
      </w:r>
      <w:r>
        <w:t xml:space="preserve"> </w:t>
      </w:r>
      <w:r>
        <w:t xml:space="preserve">(−0.216) and XGBoost (−0.168);</w:t>
      </w:r>
      <w:r>
        <w:t xml:space="preserve"> </w:t>
      </w:r>
      <w:r>
        <w:t xml:space="preserve">the DiCE deficit appeared in every family.</w:t>
      </w:r>
    </w:p>
    <w:bookmarkStart w:id="25" w:name="fig:rq2"/>
    <w:p>
      <w:pPr>
        <w:pStyle w:val="CaptionedFigure"/>
      </w:pPr>
      <w:r>
        <w:drawing>
          <wp:inline>
            <wp:extent cx="4800600" cy="166510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ures/fig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65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Median per-run difference (misclassified minus correct) by explainer and model</w:t>
      </w:r>
      <w:r>
        <w:t xml:space="preserve"> </w:t>
      </w:r>
      <w:r>
        <w:t xml:space="preserve">family. LR: logistic regression; RF: random forest; XGB: XGBoost; SVM: support vector</w:t>
      </w:r>
      <w:r>
        <w:t xml:space="preserve"> </w:t>
      </w:r>
      <w:r>
        <w:t xml:space="preserve">machine; MLP: multilayer perceptron. Red: lower quality on errors; blue: higher. LIME</w:t>
      </w:r>
      <w:r>
        <w:t xml:space="preserve"> </w:t>
      </w:r>
      <w:r>
        <w:t xml:space="preserve">and Anchors stability differences are small on this scale.</w:t>
      </w:r>
    </w:p>
    <w:bookmarkEnd w:id="25"/>
    <w:p>
      <w:pPr>
        <w:pStyle w:val="BodyText"/>
      </w:pPr>
      <w:r>
        <w:t xml:space="preserve">Among errors, the faithfulness gap was much larger for false positives than for false</w:t>
      </w:r>
      <w:r>
        <w:t xml:space="preserve"> </w:t>
      </w:r>
      <w:r>
        <w:t xml:space="preserve">negatives for every explainer (Table </w:t>
      </w:r>
      <w:hyperlink w:anchor="tab:rq3">
        <w:r>
          <w:rPr>
            <w:rStyle w:val="Hyperlink"/>
          </w:rPr>
          <w:t xml:space="preserve">2</w:t>
        </w:r>
      </w:hyperlink>
      <w:r>
        <w:t xml:space="preserve">). This follows the predicted class, not</w:t>
      </w:r>
      <w:r>
        <w:t xml:space="preserve"> </w:t>
      </w:r>
      <w:r>
        <w:t xml:space="preserve">the error: between correct predictions the gap was far larger for true positives than for</w:t>
      </w:r>
      <w:r>
        <w:t xml:space="preserve"> </w:t>
      </w:r>
      <w:r>
        <w:t xml:space="preserve">true negatives (SHAP +0.597, positive in every run), and errors fell</w:t>
      </w:r>
      <w:r>
        <w:t xml:space="preserve"> </w:t>
      </w:r>
      <w:r>
        <w:t xml:space="preserve">between them (false positives below true positives, SHAP −0.142;</w:t>
      </w:r>
      <w:r>
        <w:t xml:space="preserve"> </w:t>
      </w:r>
      <w:r>
        <w:t xml:space="preserve">false negatives above true negatives, +0.078). Masking to the</w:t>
      </w:r>
      <w:r>
        <w:t xml:space="preserve"> </w:t>
      </w:r>
      <w:r>
        <w:t xml:space="preserve">training mean plausibly pushes instances towards the majority, negative class, so the gap</w:t>
      </w:r>
      <w:r>
        <w:t xml:space="preserve"> </w:t>
      </w:r>
      <w:r>
        <w:t xml:space="preserve">is not comparable across predicted classes.</w:t>
      </w:r>
    </w:p>
    <w:bookmarkStart w:id="26" w:name="tab:rq3"/>
    <w:p>
      <w:pPr>
        <w:pStyle w:val="TableCaption"/>
      </w:pPr>
      <w:r>
        <w:t xml:space="preserve">Per-run difference, false positives minus false negatives: median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</m:sub>
        </m:sSub>
      </m:oMath>
      <w:r>
        <w:t xml:space="preserve">, Wilcoxon signed-rank, Holm-corrected across the 12 tests).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run difference, false positives minus false negatives: median \Delta (p_{\mathrm{Holm}}, Wilcoxon signed-rank, Holm-corrected across the 12 tests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Explainer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Fidelity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Stability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Faithfulness gap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SHAP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+0.022 (&lt;0.001)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+0.015 (0.705)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+0.353 (&lt;0.001)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LIME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+0.003 (0.315)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+0.004 (&lt;0.001)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+0.239 (&lt;0.001)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Anchors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+0.027 (0.002)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0.000 (0.705)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+0.172 (&lt;0.001)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DiCE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−0.019 (0.276)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−0.269 (&lt;0.001)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+0.046 (&lt;0.001)</w:t>
            </w:r>
          </w:p>
        </w:tc>
      </w:tr>
    </w:tbl>
    <w:bookmarkEnd w:id="26"/>
    <w:bookmarkEnd w:id="27"/>
    <w:bookmarkStart w:id="33" w:name="the-role-of-the-decision-boundary-rq4"/>
    <w:p>
      <w:pPr>
        <w:pStyle w:val="Heading2"/>
      </w:pPr>
      <w:r>
        <w:t xml:space="preserve">The role of the decision boundary (RQ4)</w:t>
      </w:r>
    </w:p>
    <w:p>
      <w:pPr>
        <w:pStyle w:val="FirstParagraph"/>
      </w:pPr>
      <w:r>
        <w:t xml:space="preserve">Errors lay closer to the boundary (median margin</w:t>
      </w:r>
      <w:r>
        <w:t xml:space="preserve"> </w:t>
      </w:r>
      <w:r>
        <w:t xml:space="preserve">0.18 against</w:t>
      </w:r>
      <w:r>
        <w:t xml:space="preserve"> </w:t>
      </w:r>
      <w:r>
        <w:t xml:space="preserve">0.43 in the SHAP runs), and stability rose with</w:t>
      </w:r>
      <w:r>
        <w:t xml:space="preserve"> </w:t>
      </w:r>
      <w:r>
        <w:t xml:space="preserve">the margin (Figure </w:t>
      </w:r>
      <w:hyperlink w:anchor="fig:rq4">
        <w:r>
          <w:rPr>
            <w:rStyle w:val="Hyperlink"/>
          </w:rPr>
          <w:t xml:space="preserve">3</w:t>
        </w:r>
      </w:hyperlink>
      <w:r>
        <w:t xml:space="preserve">). With the margin controlled (Table </w:t>
      </w:r>
      <w:hyperlink w:anchor="tab:rq4">
        <w:r>
          <w:rPr>
            <w:rStyle w:val="Hyperlink"/>
          </w:rPr>
          <w:t xml:space="preserve">3</w:t>
        </w:r>
      </w:hyperlink>
      <w:r>
        <w:t xml:space="preserve">), the</w:t>
      </w:r>
      <w:r>
        <w:t xml:space="preserve"> </w:t>
      </w:r>
      <w:r>
        <w:t xml:space="preserve">DiCE stability deficit almost vanished: near the boundary a counterfactual needs only a</w:t>
      </w:r>
      <w:r>
        <w:t xml:space="preserve"> </w:t>
      </w:r>
      <w:r>
        <w:t xml:space="preserve">small change, which varies more under noise. The SHAP stability deficit shrank but</w:t>
      </w:r>
      <w:r>
        <w:t xml:space="preserve"> </w:t>
      </w:r>
      <w:r>
        <w:t xml:space="preserve">remained, and is visible in every margin bin of Figure </w:t>
      </w:r>
      <w:hyperlink w:anchor="fig:rq4">
        <w:r>
          <w:rPr>
            <w:rStyle w:val="Hyperlink"/>
          </w:rPr>
          <w:t xml:space="preserve">3</w:t>
        </w:r>
      </w:hyperlink>
      <w:r>
        <w:t xml:space="preserve">. The faithfulness gap,</w:t>
      </w:r>
      <w:r>
        <w:t xml:space="preserve"> </w:t>
      </w:r>
      <w:r>
        <w:t xml:space="preserve">which near the boundary is inflated because any deletion moves the prediction, became</w:t>
      </w:r>
      <w:r>
        <w:t xml:space="preserve"> </w:t>
      </w:r>
      <w:r>
        <w:t xml:space="preserve">lower on errors for SHAP, LIME and Anchors. The fidelity differences were largely margin</w:t>
      </w:r>
      <w:r>
        <w:t xml:space="preserve"> </w:t>
      </w:r>
      <w:r>
        <w:t xml:space="preserve">effects (LIME’s advantage fell from +0.039 to</w:t>
      </w:r>
      <w:r>
        <w:t xml:space="preserve"> </w:t>
      </w:r>
      <w:r>
        <w:t xml:space="preserve">+0.014; DiCE’s deficit reversed).</w:t>
      </w:r>
    </w:p>
    <w:bookmarkStart w:id="28" w:name="tab:rq4"/>
    <w:p>
      <w:pPr>
        <w:pStyle w:val="TableCaption"/>
      </w:pPr>
      <w:r>
        <w:t xml:space="preserve">Coefficient of misclassification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for stability and faithfulness gap in run</w:t>
      </w:r>
      <w:r>
        <w:t xml:space="preserve"> </w:t>
      </w:r>
      <w:r>
        <w:t xml:space="preserve">fixed-effects regressions:</w:t>
      </w:r>
      <w:r>
        <w:t xml:space="preserve"> </w:t>
      </w:r>
      <w:r>
        <w:t xml:space="preserve">without the margin, with the margin (95% CI), and with the margin on instances outside</w:t>
      </w:r>
      <w:r>
        <w:t xml:space="preserve"> </w:t>
      </w:r>
      <w:r>
        <w:t xml:space="preserve">the training data (95% CI). Standard errors clustered by run; runs whose recorded</w:t>
      </w:r>
      <w:r>
        <w:t xml:space="preserve"> </w:t>
      </w:r>
      <w:r>
        <w:t xml:space="preserve">predictions the stored model reproduces.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 of misclassification \beta for stability and faithfulness gap in run fixed-effects regressions: without the margin, with the margin (95% CI), and with the margin on instances outside the training data (95% CI). Standard errors clustered by run; runs whose recorded predictions the stored model reproduce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Metric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Explainer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Without margin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With margin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With margin, held out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Stability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SHAP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−0.146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−0.042 [−0.057, −0.027]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−0.040 [−0.059, −0.021]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LIME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−0.008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−0.003 [−0.004, −0.002]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−0.001 [−0.002, 0.000]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Anchors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−0.030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−0.025 [−0.058, +0.008]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−0.017 [−0.042, +0.007]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DiCE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−0.191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−0.014 [−0.031, +0.004]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−0.027 [−0.052, −0.002]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Faithfulness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SHAP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−0.024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−0.064 [−0.075, −0.054]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−0.031 [−0.054, −0.008]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gap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LIME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+0.008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−0.031 [−0.045, −0.018]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−0.011 [−0.037, +0.015]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Anchors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+0.003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−0.017 [−0.025, −0.008]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−0.008 [−0.021, +0.006]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DiCE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−0.013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−0.007 [−0.014, 0.000]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−0.005 [−0.016, +0.006]</w:t>
            </w:r>
          </w:p>
        </w:tc>
      </w:tr>
    </w:tbl>
    <w:bookmarkEnd w:id="28"/>
    <w:bookmarkStart w:id="32" w:name="fig:rq4"/>
    <w:p>
      <w:pPr>
        <w:pStyle w:val="CaptionedFigure"/>
      </w:pPr>
      <w:r>
        <w:drawing>
          <wp:inline>
            <wp:extent cx="4800600" cy="159095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ures/fig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90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 stability by prediction margin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−</m:t>
        </m:r>
        <m:r>
          <m:t>0.5</m:t>
        </m:r>
        <m:r>
          <m:rPr>
            <m:sty m:val="p"/>
          </m:rPr>
          <m:t>|</m:t>
        </m:r>
      </m:oMath>
      <w:r>
        <w:t xml:space="preserve"> </w:t>
      </w:r>
      <w:r>
        <w:t xml:space="preserve">for correct and</w:t>
      </w:r>
      <w:r>
        <w:t xml:space="preserve"> </w:t>
      </w:r>
      <w:r>
        <w:t xml:space="preserve">misclassified instances (UCI Adult; bins of width 0.05 with at least 30 instances).</w:t>
      </w:r>
    </w:p>
    <w:bookmarkEnd w:id="32"/>
    <w:bookmarkEnd w:id="33"/>
    <w:bookmarkStart w:id="34" w:name="sec:sens"/>
    <w:p>
      <w:pPr>
        <w:pStyle w:val="Heading2"/>
      </w:pPr>
      <w:r>
        <w:t xml:space="preserve">Robustness and external check</w:t>
      </w:r>
    </w:p>
    <w:p>
      <w:pPr>
        <w:pStyle w:val="FirstParagraph"/>
      </w:pPr>
      <w:r>
        <w:t xml:space="preserve">Errors were less often training instances than correct predictions (for SHAP,</w:t>
      </w:r>
      <w:r>
        <w:t xml:space="preserve"> </w:t>
      </w:r>
      <w:r>
        <w:t xml:space="preserve">0.59 against 0.81 outside seed 42).</w:t>
      </w:r>
      <w:r>
        <w:t xml:space="preserve"> </w:t>
      </w:r>
      <w:r>
        <w:t xml:space="preserve">On held-out instances the stability deficit remained significant for all four explainers</w:t>
      </w:r>
      <w:r>
        <w:t xml:space="preserve"> </w:t>
      </w:r>
      <w:r>
        <w:t xml:space="preserve">(SHAP −0.068, DiCE</w:t>
      </w:r>
      <w:r>
        <w:t xml:space="preserve"> </w:t>
      </w:r>
      <w:r>
        <w:t xml:space="preserve">−0.212), and on seed 42 alone, which has no training</w:t>
      </w:r>
      <w:r>
        <w:t xml:space="preserve"> </w:t>
      </w:r>
      <w:r>
        <w:t xml:space="preserve">instances, for SHAP, LIME and DiCE. The raw faithfulness-gap deficits of SHAP and DiCE</w:t>
      </w:r>
      <w:r>
        <w:t xml:space="preserve"> </w:t>
      </w:r>
      <w:r>
        <w:t xml:space="preserve">fell to medians close to zero, but the margin-adjusted SHAP deficit remained, unlike those</w:t>
      </w:r>
      <w:r>
        <w:t xml:space="preserve"> </w:t>
      </w:r>
      <w:r>
        <w:t xml:space="preserve">of LIME and Anchors, and DiCE stability kept a small margin-adjusted residual</w:t>
      </w:r>
      <w:r>
        <w:t xml:space="preserve"> </w:t>
      </w:r>
      <w:r>
        <w:t xml:space="preserve">(Table </w:t>
      </w:r>
      <w:hyperlink w:anchor="tab:rq4">
        <w:r>
          <w:rPr>
            <w:rStyle w:val="Hyperlink"/>
          </w:rPr>
          <w:t xml:space="preserve">3</w:t>
        </w:r>
      </w:hyperlink>
      <w:r>
        <w:t xml:space="preserve">).</w:t>
      </w:r>
    </w:p>
    <w:p>
      <w:pPr>
        <w:pStyle w:val="BodyText"/>
      </w:pPr>
      <w:r>
        <w:t xml:space="preserve">On German Credit, Anchors reproduced the Adult pattern, with fidelity and faithfulness</w:t>
      </w:r>
      <w:r>
        <w:t xml:space="preserve"> </w:t>
      </w:r>
      <w:r>
        <w:t xml:space="preserve">gap lower on errors in all six runs (medians −0.084 and</w:t>
      </w:r>
      <w:r>
        <w:t xml:space="preserve"> </w:t>
      </w:r>
      <w:r>
        <w:t xml:space="preserve">−0.017). SHAP did not: its stability was higher on</w:t>
      </w:r>
      <w:r>
        <w:t xml:space="preserve"> </w:t>
      </w:r>
      <w:r>
        <w:t xml:space="preserve">errors in 4 of six runs (+0.025).</w:t>
      </w:r>
      <w:r>
        <w:t xml:space="preserve"> </w:t>
      </w:r>
      <w:r>
        <w:t xml:space="preserve">These runs use only tree models, but on Adult the SHAP deficit was also large for XGBoost,</w:t>
      </w:r>
      <w:r>
        <w:t xml:space="preserve"> </w:t>
      </w:r>
      <w:r>
        <w:t xml:space="preserve">so the reason for the reversal remains unknown.</w:t>
      </w:r>
    </w:p>
    <w:bookmarkEnd w:id="34"/>
    <w:bookmarkEnd w:id="35"/>
    <w:bookmarkStart w:id="36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answer to the title question is a qualified yes. Explanations of wrong predictions</w:t>
      </w:r>
      <w:r>
        <w:t xml:space="preserve"> </w:t>
      </w:r>
      <w:r>
        <w:t xml:space="preserve">were less stable for every explainer, also outside the training data, and markedly so for</w:t>
      </w:r>
      <w:r>
        <w:t xml:space="preserve"> </w:t>
      </w:r>
      <w:r>
        <w:t xml:space="preserve">SHAP and DiCE. Averages hide this, and would hide it further in deployment, where errors</w:t>
      </w:r>
      <w:r>
        <w:t xml:space="preserve"> </w:t>
      </w:r>
      <w:r>
        <w:t xml:space="preserve">are rarer than in this balanced sample. The margin control separates two causes. For DiCE</w:t>
      </w:r>
      <w:r>
        <w:t xml:space="preserve"> </w:t>
      </w:r>
      <w:r>
        <w:t xml:space="preserve">the deficit is mainly geometric: errors lie near the boundary, where explanations are less</w:t>
      </w:r>
      <w:r>
        <w:t xml:space="preserve"> </w:t>
      </w:r>
      <w:r>
        <w:t xml:space="preserve">stable whether or not the prediction is right, consistent with the sensitivity of</w:t>
      </w:r>
      <w:r>
        <w:t xml:space="preserve"> </w:t>
      </w:r>
      <w:r>
        <w:t xml:space="preserve">counterfactuals to model uncertainty</w:t>
      </w:r>
      <w:r>
        <w:t xml:space="preserve"> </w:t>
      </w:r>
      <w:r>
        <w:t xml:space="preserve">[16]</w:t>
      </w:r>
      <w:r>
        <w:t xml:space="preserve">. For SHAP it remains at</w:t>
      </w:r>
      <w:r>
        <w:t xml:space="preserve"> </w:t>
      </w:r>
      <w:r>
        <w:t xml:space="preserve">equal margin, and there its top features also carry less of an erroneous prediction.</w:t>
      </w:r>
    </w:p>
    <w:p>
      <w:pPr>
        <w:pStyle w:val="BodyText"/>
      </w:pPr>
      <w:r>
        <w:t xml:space="preserve">Three consequences follow for practice: explanation quality should be reported</w:t>
      </w:r>
      <w:r>
        <w:t xml:space="preserve"> </w:t>
      </w:r>
      <w:r>
        <w:t xml:space="preserve">separately for correct and misclassified instances; the stability of an explanation used</w:t>
      </w:r>
      <w:r>
        <w:t xml:space="preserve"> </w:t>
      </w:r>
      <w:r>
        <w:t xml:space="preserve">to contest or justify a decision should be checked for that instance; and deletion</w:t>
      </w:r>
      <w:r>
        <w:t xml:space="preserve"> </w:t>
      </w:r>
      <w:r>
        <w:t xml:space="preserve">metrics with a mean baseline should be reported per predicted class.</w:t>
      </w:r>
    </w:p>
    <w:p>
      <w:pPr>
        <w:pStyle w:val="BodyText"/>
      </w:pPr>
      <w:r>
        <w:t xml:space="preserve">Limits: one tabular benchmark, with an external check of six runs per explainer that</w:t>
      </w:r>
      <w:r>
        <w:t xml:space="preserve"> </w:t>
      </w:r>
      <w:r>
        <w:t xml:space="preserve">did not reproduce the SHAP stability deficit; fixed explainer settings, under which LIME’s</w:t>
      </w:r>
      <w:r>
        <w:t xml:space="preserve"> </w:t>
      </w:r>
      <w:r>
        <w:t xml:space="preserve">stability is near zero and the absolute relevance threshold cannot be met; Anchors and DiCE</w:t>
      </w:r>
      <w:r>
        <w:t xml:space="preserve"> </w:t>
      </w:r>
      <w:r>
        <w:t xml:space="preserve">runs missing not at random (removing units, not biasing within-run contrasts); part of the</w:t>
      </w:r>
      <w:r>
        <w:t xml:space="preserve"> </w:t>
      </w:r>
      <w:r>
        <w:t xml:space="preserve">random-forest runs in RQ4; a post-hoc treatment of the training overlap; and proxy metrics,</w:t>
      </w:r>
      <w:r>
        <w:t xml:space="preserve"> </w:t>
      </w:r>
      <w:r>
        <w:t xml:space="preserve">so whether users are misled needs a user study.</w:t>
      </w:r>
    </w:p>
    <w:bookmarkEnd w:id="36"/>
    <w:bookmarkStart w:id="37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Post-hoc explanations were less reliable when the model was wrong. In</w:t>
      </w:r>
      <w:r>
        <w:t xml:space="preserve"> </w:t>
      </w:r>
      <w:r>
        <w:t xml:space="preserve">265 benchmark runs, stability was lower on misclassified instances for</w:t>
      </w:r>
      <w:r>
        <w:t xml:space="preserve"> </w:t>
      </w:r>
      <w:r>
        <w:t xml:space="preserve">SHAP, LIME, Anchors and DiCE, also outside the training data. The DiCE deficit is mostly</w:t>
      </w:r>
      <w:r>
        <w:t xml:space="preserve"> </w:t>
      </w:r>
      <w:r>
        <w:t xml:space="preserve">explained by the proximity of errors to the boundary; the SHAP deficit is not, and at equal</w:t>
      </w:r>
      <w:r>
        <w:t xml:space="preserve"> </w:t>
      </w:r>
      <w:r>
        <w:t xml:space="preserve">margin SHAP’s top features carry less of an erroneous prediction. Explanation quality</w:t>
      </w:r>
      <w:r>
        <w:t xml:space="preserve"> </w:t>
      </w:r>
      <w:r>
        <w:t xml:space="preserve">should be reported separately for correct and incorrect predictions, because an average</w:t>
      </w:r>
      <w:r>
        <w:t xml:space="preserve"> </w:t>
      </w:r>
      <w:r>
        <w:t xml:space="preserve">describes the explanations that are needed least.</w:t>
      </w:r>
    </w:p>
    <w:bookmarkEnd w:id="37"/>
    <w:bookmarkStart w:id="38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Both datasets are public</w:t>
      </w:r>
      <w:r>
        <w:t xml:space="preserve"> </w:t>
      </w:r>
      <w:r>
        <w:t xml:space="preserve">[18], [19]</w:t>
      </w:r>
      <w:r>
        <w:t xml:space="preserve">. The code, trained</w:t>
      </w:r>
      <w:r>
        <w:t xml:space="preserve"> </w:t>
      </w:r>
      <w:r>
        <w:t xml:space="preserve">models, per-instance run outputs and analysis results are in a public repository and a</w:t>
      </w:r>
      <w:r>
        <w:t xml:space="preserve"> </w:t>
      </w:r>
      <w:r>
        <w:t xml:space="preserve">versioned archive, with instructions to regenerate every reported value from the stored</w:t>
      </w:r>
      <w:r>
        <w:t xml:space="preserve"> </w:t>
      </w:r>
      <w:r>
        <w:t xml:space="preserve">runs; their addresses are withheld for double-blind review.</w:t>
      </w:r>
    </w:p>
    <w:bookmarkEnd w:id="38"/>
    <w:bookmarkStart w:id="39" w:name="Xe536ab5833287908b18f3f9d173acc61830ffab"/>
    <w:p>
      <w:pPr>
        <w:pStyle w:val="Heading1"/>
      </w:pPr>
      <w:r>
        <w:t xml:space="preserve">References</w:t>
      </w:r>
    </w:p>
    <w:bookmarkStart w:id="76" w:name="refs"/>
    <w:bookmarkStart w:id="40" w:name="ref-lundberg2017unifi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S. M. Lundberg and S.-I. Lee,</w:t>
      </w:r>
      <w:r>
        <w:t xml:space="preserve"> </w:t>
      </w:r>
      <w:r>
        <w:t xml:space="preserve">“A unified approach to interpreting model predictions,”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2017, pp. 4765–4774.</w:t>
      </w:r>
    </w:p>
    <w:bookmarkEnd w:id="40"/>
    <w:bookmarkStart w:id="42" w:name="ref-ribeiro2016wh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M. T. Ribeiro, S. Singh, and C. Guestrin,</w:t>
      </w:r>
      <w:r>
        <w:t xml:space="preserve"> </w:t>
      </w:r>
      <w:r>
        <w:t xml:space="preserve">“</w:t>
      </w:r>
      <w:r>
        <w:t xml:space="preserve">Why</w:t>
      </w:r>
      <w:r>
        <w:t xml:space="preserve"> </w:t>
      </w:r>
      <w:r>
        <w:t xml:space="preserve">should</w:t>
      </w:r>
      <w:r>
        <w:t xml:space="preserve"> </w:t>
      </w:r>
      <w:r>
        <w:t xml:space="preserve">I</w:t>
      </w:r>
      <w:r>
        <w:t xml:space="preserve"> </w:t>
      </w:r>
      <w:r>
        <w:t xml:space="preserve">trust you?: Explaining the predictions of any classifier,”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22nd ACM SIGKDD international conference on knowledge discovery and data mining</w:t>
      </w:r>
      <w:r>
        <w:t xml:space="preserve">, 2016, pp. 1135–1144. doi:</w:t>
      </w:r>
      <w:r>
        <w:t xml:space="preserve"> </w:t>
      </w:r>
      <w:hyperlink r:id="rId41">
        <w:r>
          <w:rPr>
            <w:rStyle w:val="Hyperlink"/>
          </w:rPr>
          <w:t xml:space="preserve">10.1145/2939672.2939778</w:t>
        </w:r>
      </w:hyperlink>
      <w:r>
        <w:t xml:space="preserve">.</w:t>
      </w:r>
    </w:p>
    <w:bookmarkEnd w:id="42"/>
    <w:bookmarkStart w:id="44" w:name="ref-ribeiro2018anchor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T. Ribeiro, S. Singh, and C. Guestrin,</w:t>
      </w:r>
      <w:r>
        <w:t xml:space="preserve"> </w:t>
      </w:r>
      <w:r>
        <w:t xml:space="preserve">“Anchors: High-precision model-agnostic explanations,”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thirty-second AAAI conference on artificial intelligence</w:t>
      </w:r>
      <w:r>
        <w:t xml:space="preserve">, 2018, pp. 1527–1535. doi:</w:t>
      </w:r>
      <w:r>
        <w:t xml:space="preserve"> </w:t>
      </w:r>
      <w:hyperlink r:id="rId43">
        <w:r>
          <w:rPr>
            <w:rStyle w:val="Hyperlink"/>
          </w:rPr>
          <w:t xml:space="preserve">10.1609/aaai.v32i1.11491</w:t>
        </w:r>
      </w:hyperlink>
      <w:r>
        <w:t xml:space="preserve">.</w:t>
      </w:r>
    </w:p>
    <w:bookmarkEnd w:id="44"/>
    <w:bookmarkStart w:id="46" w:name="ref-mothilal2020di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K. Mothilal, A. Sharma, and C. Tan,</w:t>
      </w:r>
      <w:r>
        <w:t xml:space="preserve"> </w:t>
      </w:r>
      <w:r>
        <w:t xml:space="preserve">“Explaining machine learning classifiers through diverse counterfactual explanations,”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2020 conference on fairness, accountability, and transparency</w:t>
      </w:r>
      <w:r>
        <w:t xml:space="preserve">, 2020, pp. 607–617. doi:</w:t>
      </w:r>
      <w:r>
        <w:t xml:space="preserve"> </w:t>
      </w:r>
      <w:hyperlink r:id="rId45">
        <w:r>
          <w:rPr>
            <w:rStyle w:val="Hyperlink"/>
          </w:rPr>
          <w:t xml:space="preserve">10.1145/3351095.3372850</w:t>
        </w:r>
      </w:hyperlink>
      <w:r>
        <w:t xml:space="preserve">.</w:t>
      </w:r>
    </w:p>
    <w:bookmarkEnd w:id="46"/>
    <w:bookmarkStart w:id="47" w:name="ref-bhatt2020evaluating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U. Bhatt, A. Weller, and J. M. F. Moura,</w:t>
      </w:r>
      <w:r>
        <w:t xml:space="preserve"> </w:t>
      </w:r>
      <w:r>
        <w:t xml:space="preserve">“Evaluating and aggregating feature-based model explanations,”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twenty-ninth international joint conference on artificial intelligence (IJCAI)</w:t>
      </w:r>
      <w:r>
        <w:t xml:space="preserve">, 2020, pp. 3016–3022.</w:t>
      </w:r>
    </w:p>
    <w:bookmarkEnd w:id="47"/>
    <w:bookmarkStart w:id="48" w:name="ref-samek2017evalua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Samek, A. Binder, G. Montavon, S. Lapuschkin, and K.-R. Müller,</w:t>
      </w:r>
      <w:r>
        <w:t xml:space="preserve"> </w:t>
      </w:r>
      <w:r>
        <w:t xml:space="preserve">“Evaluating the visualization of what a deep neural network has learned,”</w:t>
      </w:r>
      <w:r>
        <w:t xml:space="preserve"> </w:t>
      </w:r>
      <w:r>
        <w:rPr>
          <w:i/>
          <w:iCs/>
        </w:rPr>
        <w:t xml:space="preserve">IEEE Transactions on Neural Networks and Learning Systems</w:t>
      </w:r>
      <w:r>
        <w:t xml:space="preserve">, vol. 28, no. 11, pp. 2660–2673, 2017.</w:t>
      </w:r>
    </w:p>
    <w:bookmarkEnd w:id="48"/>
    <w:bookmarkStart w:id="49" w:name="ref-hooker2019benchmar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S. Hooker, D. Erhan, P.-J. Kindermans, and B. Kim,</w:t>
      </w:r>
      <w:r>
        <w:t xml:space="preserve"> </w:t>
      </w:r>
      <w:r>
        <w:t xml:space="preserve">“A benchmark for interpretability methods in deep neural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2019, pp. 9737–9748.</w:t>
      </w:r>
    </w:p>
    <w:bookmarkEnd w:id="49"/>
    <w:bookmarkStart w:id="51" w:name="ref-alvarezmelis2018robustnes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Alvarez-Melis and T. S. Jaakkola,</w:t>
      </w:r>
      <w:r>
        <w:t xml:space="preserve"> </w:t>
      </w:r>
      <w:r>
        <w:t xml:space="preserve">“On the robustness of interpretability methods,”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ICML workshop on human interpretability in machine learning (WHI 2018)</w:t>
      </w:r>
      <w:r>
        <w:t xml:space="preserve">, 2018. Available:</w:t>
      </w:r>
      <w:r>
        <w:t xml:space="preserve"> </w:t>
      </w:r>
      <w:hyperlink r:id="rId50">
        <w:r>
          <w:rPr>
            <w:rStyle w:val="Hyperlink"/>
          </w:rPr>
          <w:t xml:space="preserve">https://arxiv.org/abs/1806.08049</w:t>
        </w:r>
      </w:hyperlink>
    </w:p>
    <w:bookmarkEnd w:id="51"/>
    <w:bookmarkStart w:id="52" w:name="ref-herrera2026framework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Herrera-Vásquez and M. Herrero-Uceda,</w:t>
      </w:r>
      <w:r>
        <w:t xml:space="preserve"> </w:t>
      </w:r>
      <w:r>
        <w:t xml:space="preserve">“A framework for rigorous evaluation of model-agnostic explainability methods: Multi-metric statistical benchmarking, operational protocol, and reproducibility,”</w:t>
      </w:r>
      <w:r>
        <w:t xml:space="preserve"> </w:t>
      </w:r>
      <w:r>
        <w:rPr>
          <w:i/>
          <w:iCs/>
        </w:rPr>
        <w:t xml:space="preserve">Revista de Investigaci</w:t>
      </w:r>
      <w:r>
        <w:rPr>
          <w:i/>
          <w:iCs/>
        </w:rPr>
        <w:t xml:space="preserve">ó</w:t>
      </w:r>
      <w:r>
        <w:rPr>
          <w:i/>
          <w:iCs/>
        </w:rPr>
        <w:t xml:space="preserve">n Multidisciplinaria Iberoamericana (RIMI)</w:t>
      </w:r>
      <w:r>
        <w:t xml:space="preserve">, no. 3, 2026.</w:t>
      </w:r>
    </w:p>
    <w:bookmarkEnd w:id="52"/>
    <w:bookmarkStart w:id="53" w:name="ref-bansal2021whol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Bansal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“Does the whole exceed its parts?</w:t>
      </w:r>
      <w:r>
        <w:t xml:space="preserve"> </w:t>
      </w:r>
      <w:r>
        <w:t xml:space="preserve">The</w:t>
      </w:r>
      <w:r>
        <w:t xml:space="preserve"> </w:t>
      </w:r>
      <w:r>
        <w:t xml:space="preserve">effect of</w:t>
      </w:r>
      <w:r>
        <w:t xml:space="preserve"> </w:t>
      </w:r>
      <w:r>
        <w:t xml:space="preserve">AI</w:t>
      </w:r>
      <w:r>
        <w:t xml:space="preserve"> </w:t>
      </w:r>
      <w:r>
        <w:t xml:space="preserve">explanations on complementary team performance,”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CHI conference on human factors in computing systems</w:t>
      </w:r>
      <w:r>
        <w:t xml:space="preserve">, 2021, pp. 1–16.</w:t>
      </w:r>
    </w:p>
    <w:bookmarkEnd w:id="53"/>
    <w:bookmarkStart w:id="54" w:name="ref-adebayo2018san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Adebayo, J. Gilmer, M. Muelly, I. Goodfellow, M. Hardt, and B. Kim,</w:t>
      </w:r>
      <w:r>
        <w:t xml:space="preserve"> </w:t>
      </w:r>
      <w:r>
        <w:t xml:space="preserve">“Sanity checks for saliency maps,”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2018, pp. 9505–9515.</w:t>
      </w:r>
    </w:p>
    <w:bookmarkEnd w:id="54"/>
    <w:bookmarkStart w:id="55" w:name="ref-slack2020fooling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Slack, S. Hilgard, E. Jia, S. Singh, and H. Lakkaraju,</w:t>
      </w:r>
      <w:r>
        <w:t xml:space="preserve"> </w:t>
      </w:r>
      <w:r>
        <w:t xml:space="preserve">“Fooling</w:t>
      </w:r>
      <w:r>
        <w:t xml:space="preserve"> </w:t>
      </w:r>
      <w:r>
        <w:t xml:space="preserve">LIME</w:t>
      </w:r>
      <w:r>
        <w:t xml:space="preserve"> </w:t>
      </w:r>
      <w:r>
        <w:t xml:space="preserve">and</w:t>
      </w:r>
      <w:r>
        <w:t xml:space="preserve"> </w:t>
      </w:r>
      <w:r>
        <w:t xml:space="preserve">SHAP</w:t>
      </w:r>
      <w:r>
        <w:t xml:space="preserve">: Adversarial attacks on post hoc explanation methods,”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AAAI/ACM conference on AI, ethics, and society</w:t>
      </w:r>
      <w:r>
        <w:t xml:space="preserve">, 2020, pp. 180–186.</w:t>
      </w:r>
    </w:p>
    <w:bookmarkEnd w:id="55"/>
    <w:bookmarkStart w:id="56" w:name="ref-rudin2019stop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C. Rudin,</w:t>
      </w:r>
      <w:r>
        <w:t xml:space="preserve"> </w:t>
      </w:r>
      <w:r>
        <w:t xml:space="preserve">“Stop explaining black box machine learning models for high stakes decisions and use interpretable models instead,”</w:t>
      </w:r>
      <w:r>
        <w:t xml:space="preserve"> </w:t>
      </w:r>
      <w:r>
        <w:rPr>
          <w:i/>
          <w:iCs/>
        </w:rPr>
        <w:t xml:space="preserve">Nature Machine Intelligence</w:t>
      </w:r>
      <w:r>
        <w:t xml:space="preserve">, vol. 1, no. 5, pp. 206–215, 2019.</w:t>
      </w:r>
    </w:p>
    <w:bookmarkEnd w:id="56"/>
    <w:bookmarkStart w:id="57" w:name="ref-lofstrom2026concerning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Löfström, T. Löfström, A. Hjort, and F. R. Yapicioglu,</w:t>
      </w:r>
      <w:r>
        <w:t xml:space="preserve"> </w:t>
      </w:r>
      <w:r>
        <w:t xml:space="preserve">“Concerning uncertainty—a systematic survey of uncertainty-aware</w:t>
      </w:r>
      <w:r>
        <w:t xml:space="preserve"> </w:t>
      </w:r>
      <w:r>
        <w:t xml:space="preserve">XAI</w:t>
      </w:r>
      <w:r>
        <w:t xml:space="preserve">,”</w:t>
      </w:r>
      <w:r>
        <w:t xml:space="preserve"> </w:t>
      </w:r>
      <w:r>
        <w:rPr>
          <w:i/>
          <w:iCs/>
        </w:rPr>
        <w:t xml:space="preserve">Philosophical Transactions of the Royal Society A</w:t>
      </w:r>
      <w:r>
        <w:t xml:space="preserve">, vol. 384, no. 2327, p. 20250079, 2026.</w:t>
      </w:r>
    </w:p>
    <w:bookmarkEnd w:id="57"/>
    <w:bookmarkStart w:id="59" w:name="ref-chiaburu2026uncertain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T. Chiaburu, F. Bießmann, and F. Haußer,</w:t>
      </w:r>
      <w:r>
        <w:t xml:space="preserve"> </w:t>
      </w:r>
      <w:r>
        <w:t xml:space="preserve">“Uncertainty propagation in</w:t>
      </w:r>
      <w:r>
        <w:t xml:space="preserve"> </w:t>
      </w:r>
      <w:r>
        <w:t xml:space="preserve">XAI</w:t>
      </w:r>
      <w:r>
        <w:t xml:space="preserve">: A comparison of analytical and empirical estimators,”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Explainable Artificial Intelligence (xAI 2025)</w:t>
      </w:r>
      <w:r>
        <w:t xml:space="preserve">, in</w:t>
      </w:r>
      <w:r>
        <w:t xml:space="preserve"> </w:t>
      </w:r>
      <w:r>
        <w:t xml:space="preserve">Communications in Computer and Information Science</w:t>
      </w:r>
      <w:r>
        <w:t xml:space="preserve">, vol. 2580. Springer, 2026, pp. 390–411. doi:</w:t>
      </w:r>
      <w:r>
        <w:t xml:space="preserve"> </w:t>
      </w:r>
      <w:hyperlink r:id="rId58">
        <w:r>
          <w:rPr>
            <w:rStyle w:val="Hyperlink"/>
          </w:rPr>
          <w:t xml:space="preserve">10.1007/978-3-032-08333-3_18</w:t>
        </w:r>
      </w:hyperlink>
      <w:r>
        <w:t xml:space="preserve">.</w:t>
      </w:r>
    </w:p>
    <w:bookmarkEnd w:id="59"/>
    <w:bookmarkStart w:id="61" w:name="ref-christodoulou2026impa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L. Christodoulou and C. Sun,</w:t>
      </w:r>
      <w:r>
        <w:t xml:space="preserve"> </w:t>
      </w:r>
      <w:r>
        <w:t xml:space="preserve">“The impact of machine learning uncertainty on the robustness of counterfactual explanations,”</w:t>
      </w:r>
      <w:r>
        <w:t xml:space="preserve"> </w:t>
      </w:r>
      <w:r>
        <w:rPr>
          <w:i/>
          <w:iCs/>
        </w:rPr>
        <w:t xml:space="preserve">Expert Systems with Applications</w:t>
      </w:r>
      <w:r>
        <w:t xml:space="preserve">, vol. 309, p. 131198, 2026, doi:</w:t>
      </w:r>
      <w:r>
        <w:t xml:space="preserve"> </w:t>
      </w:r>
      <w:hyperlink r:id="rId60">
        <w:r>
          <w:rPr>
            <w:rStyle w:val="Hyperlink"/>
          </w:rPr>
          <w:t xml:space="preserve">10.1016/j.eswa.2026.131198</w:t>
        </w:r>
      </w:hyperlink>
      <w:r>
        <w:t xml:space="preserve">.</w:t>
      </w:r>
    </w:p>
    <w:bookmarkEnd w:id="61"/>
    <w:bookmarkStart w:id="63" w:name="ref-cheng2026uncertain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X. Cheng, T. Wang, D. Zhu, and J. Ma,</w:t>
      </w:r>
      <w:r>
        <w:t xml:space="preserve"> </w:t>
      </w:r>
      <w:r>
        <w:t xml:space="preserve">“Uncertainty explanation of artificial intelligence models by</w:t>
      </w:r>
      <w:r>
        <w:t xml:space="preserve"> </w:t>
      </w:r>
      <w:r>
        <w:t xml:space="preserve">SHAP</w:t>
      </w:r>
      <w:r>
        <w:t xml:space="preserve">,”</w:t>
      </w:r>
      <w:r>
        <w:t xml:space="preserve"> </w:t>
      </w:r>
      <w:r>
        <w:rPr>
          <w:i/>
          <w:iCs/>
        </w:rPr>
        <w:t xml:space="preserve">Knowledge-Based Systems</w:t>
      </w:r>
      <w:r>
        <w:t xml:space="preserve">, vol. 337, p. 115437, 2026, doi:</w:t>
      </w:r>
      <w:r>
        <w:t xml:space="preserve"> </w:t>
      </w:r>
      <w:hyperlink r:id="rId62">
        <w:r>
          <w:rPr>
            <w:rStyle w:val="Hyperlink"/>
          </w:rPr>
          <w:t xml:space="preserve">10.1016/j.knosys.2026.115437</w:t>
        </w:r>
      </w:hyperlink>
      <w:r>
        <w:t xml:space="preserve">.</w:t>
      </w:r>
    </w:p>
    <w:bookmarkEnd w:id="63"/>
    <w:bookmarkStart w:id="64" w:name="ref-becker1996adul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B. Becker and R. Kohavi,</w:t>
      </w:r>
      <w:r>
        <w:t xml:space="preserve"> </w:t>
      </w:r>
      <w:r>
        <w:t xml:space="preserve">“Adult [dataset].”</w:t>
      </w:r>
      <w:r>
        <w:t xml:space="preserve"> </w:t>
      </w:r>
      <w:r>
        <w:t xml:space="preserve">UCI Machine Learning Repository, 1996.</w:t>
      </w:r>
    </w:p>
    <w:bookmarkEnd w:id="64"/>
    <w:bookmarkStart w:id="65" w:name="ref-hofmann1994statlog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Hofmann,</w:t>
      </w:r>
      <w:r>
        <w:t xml:space="preserve"> </w:t>
      </w:r>
      <w:r>
        <w:t xml:space="preserve">“Statlog (</w:t>
      </w:r>
      <w:r>
        <w:t xml:space="preserve">German</w:t>
      </w:r>
      <w:r>
        <w:t xml:space="preserve"> </w:t>
      </w:r>
      <w:r>
        <w:t xml:space="preserve">credit data) [dataset].”</w:t>
      </w:r>
      <w:r>
        <w:t xml:space="preserve"> </w:t>
      </w:r>
      <w:r>
        <w:t xml:space="preserve">UCI Machine Learning Repository, 1994.</w:t>
      </w:r>
    </w:p>
    <w:bookmarkEnd w:id="65"/>
    <w:bookmarkStart w:id="66" w:name="ref-breiman2001rando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L. Breiman,</w:t>
      </w:r>
      <w:r>
        <w:t xml:space="preserve"> </w:t>
      </w:r>
      <w:r>
        <w:t xml:space="preserve">“Random forests,”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vol. 45, no. 1, pp. 5–32, 2001.</w:t>
      </w:r>
    </w:p>
    <w:bookmarkEnd w:id="66"/>
    <w:bookmarkStart w:id="67" w:name="ref-chen2016xgboost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T. Chen and C. Guestrin,</w:t>
      </w:r>
      <w:r>
        <w:t xml:space="preserve"> </w:t>
      </w:r>
      <w:r>
        <w:t xml:space="preserve">“</w:t>
      </w:r>
      <w:r>
        <w:t xml:space="preserve">XGBoost</w:t>
      </w:r>
      <w:r>
        <w:t xml:space="preserve">: A scalable tree boosting system,”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22nd ACM SIGKDD international conference on knowledge discovery and data mining</w:t>
      </w:r>
      <w:r>
        <w:t xml:space="preserve">, 2016, pp. 785–794.</w:t>
      </w:r>
    </w:p>
    <w:bookmarkEnd w:id="67"/>
    <w:bookmarkStart w:id="68" w:name="ref-wilcoxon1945individu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F. Wilcoxon,</w:t>
      </w:r>
      <w:r>
        <w:t xml:space="preserve"> </w:t>
      </w:r>
      <w:r>
        <w:t xml:space="preserve">“Individual comparisons by ranking methods,”</w:t>
      </w:r>
      <w:r>
        <w:t xml:space="preserve"> </w:t>
      </w:r>
      <w:r>
        <w:rPr>
          <w:i/>
          <w:iCs/>
        </w:rPr>
        <w:t xml:space="preserve">Biometrics Bulletin</w:t>
      </w:r>
      <w:r>
        <w:t xml:space="preserve">, vol. 1, no. 6, pp. 80–83, 1945.</w:t>
      </w:r>
    </w:p>
    <w:bookmarkEnd w:id="68"/>
    <w:bookmarkStart w:id="69" w:name="ref-holm1979simpl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69"/>
    <w:bookmarkStart w:id="70" w:name="ref-lakens2013calculating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Lakens,</w:t>
      </w:r>
      <w:r>
        <w:t xml:space="preserve"> </w:t>
      </w:r>
      <w:r>
        <w:t xml:space="preserve">“Calculating and reporting effect sizes to facilitate cumulative science: A practical primer for t-tests and</w:t>
      </w:r>
      <w:r>
        <w:t xml:space="preserve"> </w:t>
      </w:r>
      <w:r>
        <w:t xml:space="preserve">ANOVAs</w:t>
      </w:r>
      <w:r>
        <w:t xml:space="preserve">,”</w:t>
      </w:r>
      <w:r>
        <w:t xml:space="preserve"> </w:t>
      </w:r>
      <w:r>
        <w:rPr>
          <w:i/>
          <w:iCs/>
        </w:rPr>
        <w:t xml:space="preserve">Frontiers in Psychology</w:t>
      </w:r>
      <w:r>
        <w:t xml:space="preserve">, vol. 4, p. 863, 2013.</w:t>
      </w:r>
    </w:p>
    <w:bookmarkEnd w:id="70"/>
    <w:bookmarkStart w:id="72" w:name="ref-kruskal1952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W. H. Kruskal and W. A. Wallis,</w:t>
      </w:r>
      <w:r>
        <w:t xml:space="preserve"> </w:t>
      </w:r>
      <w:r>
        <w:t xml:space="preserve">“Use of ranks in one-criterion variance analysis,”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47, no. 260, pp. 583–621, 1952, doi:</w:t>
      </w:r>
      <w:r>
        <w:t xml:space="preserve"> </w:t>
      </w:r>
      <w:hyperlink r:id="rId71">
        <w:r>
          <w:rPr>
            <w:rStyle w:val="Hyperlink"/>
          </w:rPr>
          <w:t xml:space="preserve">10.1080/01621459.1952.10483441</w:t>
        </w:r>
      </w:hyperlink>
      <w:r>
        <w:t xml:space="preserve">.</w:t>
      </w:r>
    </w:p>
    <w:bookmarkEnd w:id="72"/>
    <w:bookmarkStart w:id="74" w:name="ref-cameron2015practitioner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C. Cameron and D. L. Miller,</w:t>
      </w:r>
      <w:r>
        <w:t xml:space="preserve"> </w:t>
      </w:r>
      <w:r>
        <w:t xml:space="preserve">“A practitioner’s guide to cluster-robust inference,”</w:t>
      </w:r>
      <w:r>
        <w:t xml:space="preserve"> </w:t>
      </w:r>
      <w:r>
        <w:rPr>
          <w:i/>
          <w:iCs/>
        </w:rPr>
        <w:t xml:space="preserve">Journal of Human Resources</w:t>
      </w:r>
      <w:r>
        <w:t xml:space="preserve">, vol. 50, no. 2, pp. 317–372, 2015, doi:</w:t>
      </w:r>
      <w:r>
        <w:t xml:space="preserve"> </w:t>
      </w:r>
      <w:hyperlink r:id="rId73">
        <w:r>
          <w:rPr>
            <w:rStyle w:val="Hyperlink"/>
          </w:rPr>
          <w:t xml:space="preserve">10.3368/jhr.50.2.317</w:t>
        </w:r>
      </w:hyperlink>
      <w:r>
        <w:t xml:space="preserve">.</w:t>
      </w:r>
    </w:p>
    <w:bookmarkEnd w:id="74"/>
    <w:bookmarkStart w:id="75" w:name="ref-platt1999probabilistic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J. C. Platt,</w:t>
      </w:r>
      <w:r>
        <w:t xml:space="preserve"> </w:t>
      </w:r>
      <w:r>
        <w:t xml:space="preserve">“Probabilistic outputs for support vector machines and comparisons to regularized likelihood methods,”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large margin classifiers</w:t>
      </w:r>
      <w:r>
        <w:t xml:space="preserve">, A. J. Smola, P. Bartlett, B. Schölkopf, and D. Schuurmans, Eds., MIT Press, 1999, pp. 61–74.</w:t>
      </w:r>
    </w:p>
    <w:bookmarkEnd w:id="75"/>
    <w:bookmarkEnd w:id="76"/>
    <w:bookmarkEnd w:id="77"/>
    <w:p>
      <w:pPr>
        <w:pStyle w:val="Heading1"/>
      </w:pPr>
      <w:r>
        <w:t xml:space="preserve">Declaration on the Use of Artificial Intelligence (AI)</w:t>
      </w:r>
    </w:p>
    <w:p>
      <w:pPr>
        <w:pStyle w:val="FirstParagraph"/>
      </w:pPr>
      <w:r>
        <w:t xml:space="preserve">The author declares the use of the AI tool Claude (Anthropic), under the author’s</w:t>
      </w:r>
      <w:r>
        <w:t xml:space="preserve"> </w:t>
      </w:r>
      <w:r>
        <w:t xml:space="preserve">direction, to help write the analysis and figure code, edit the English text, translate the</w:t>
      </w:r>
      <w:r>
        <w:t xml:space="preserve"> </w:t>
      </w:r>
      <w:r>
        <w:t xml:space="preserve">abstract into Spanish and format the references. The research questions, analysis plan,</w:t>
      </w:r>
      <w:r>
        <w:t xml:space="preserve"> </w:t>
      </w:r>
      <w:r>
        <w:t xml:space="preserve">design and interpretation are the author’s. All contents were thoroughly reviewed by the</w:t>
      </w:r>
      <w:r>
        <w:t xml:space="preserve"> </w:t>
      </w:r>
      <w:r>
        <w:t xml:space="preserve">author to ensure accuracy and coherence.</w:t>
      </w:r>
    </w:p>
    <w:bookmarkEnd w:id="39"/>
    <w:bookmarkStart w:id="77" w:name="bibliography"/>
    <w:sectPr>
      <w:pgSz w:w="12240" w:h="15840"/>
      <w:pgMar w:top="1418" w:right="1418" w:bottom="1418" w:left="1418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bidi="ar-SA" w:eastAsia="Times New Roman" w:val="en-US"/>
      </w:rPr>
    </w:rPrDefault>
    <w:pPrDefault>
      <w:pPr>
        <w:spacing w:before="0" w:after="1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before="0" w:after="100" w:line="360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before="0" w:after="0" w:line="240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="Times New Roman" w:hAnsi="Times New Roman" w:eastAsia="Times New Roman" w:cs="Times New Roman"/>
      <w:sz w:val="24"/>
      <w:szCs w:val="2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24"/>
      <w:szCs w:val="2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spacing w:val="15" w:line="360" w:lineRule="auto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themeColor="text1" w:themeTint="A6" w:val="595959"/>
      <w:spacing w:val="15" w:line="360" w:lineRule="auto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 w:line="360" w:lineRule="auto"/>
      <w:jc w:val="center"/>
    </w:pPr>
    <w:rPr>
      <w:b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360" w:lineRule="auto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="Times New Roman" w:hAnsi="Times New Roman" w:eastAsia="Times New Roman" w:cs="Times New Roman"/>
      <w:color w:themeColor="accent1" w:themeShade="BF" w:val="0F4761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="Times New Roman" w:hAnsi="Times New Roman" w:eastAsia="Times New Roman" w:cs="Times New Roman"/>
      <w:color w:themeColor="accent1" w:themeShade="BF" w:val="0F4761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ascii="Times New Roman" w:hAnsi="Times New Roman" w:eastAsia="Times New Roman" w:cs="Times New Roman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ascii="Times New Roman" w:hAnsi="Times New Roman" w:eastAsia="Times New Roman" w:cs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4"/>
    </w:pPr>
    <w:rPr>
      <w:rFonts w:ascii="Times New Roman" w:hAnsi="Times New Roman" w:eastAsia="Times New Roman" w:cs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360" w:lineRule="auto"/>
      <w:outlineLvl w:val="5"/>
    </w:pPr>
    <w:rPr>
      <w:rFonts w:ascii="Times New Roman" w:hAnsi="Times New Roman" w:eastAsia="Times New Roman" w:cs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 w:line="360" w:lineRule="auto"/>
      <w:outlineLvl w:val="6"/>
    </w:pPr>
    <w:rPr>
      <w:rFonts w:ascii="Times New Roman" w:hAnsi="Times New Roman" w:eastAsia="Times New Roman" w:cs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line="360" w:lineRule="auto"/>
      <w:outlineLvl w:val="7"/>
    </w:pPr>
    <w:rPr>
      <w:rFonts w:ascii="Times New Roman" w:hAnsi="Times New Roman" w:eastAsia="Times New Roman" w:cs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line="360" w:lineRule="auto"/>
      <w:outlineLvl w:val="8"/>
    </w:pPr>
    <w:rPr>
      <w:rFonts w:ascii="Times New Roman" w:hAnsi="Times New Roman" w:eastAsia="Times New Roman" w:cs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themeColor="accent1" w:themeShade="BF" w:val="0F4761"/>
      <w:sz w:val="24"/>
      <w:szCs w:val="24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  <w:sz w:val="24"/>
      <w:szCs w:val="24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360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 w:line="360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360" w:lineRule="auto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360" w:lineRule="auto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eastAsia="Times New Roman" w:cs="Times New Roman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360" w:lineRule="auto"/>
      <w:outlineLvl w:val="9"/>
    </w:pPr>
    <w:rPr>
      <w:rFonts w:ascii="Times New Roman" w:hAnsi="Times New Roman" w:eastAsia="Times New Roman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hyperlink" Id="rId50" Target="https://arxiv.org/abs/1806.08049" TargetMode="External" /><Relationship Type="http://schemas.openxmlformats.org/officeDocument/2006/relationships/hyperlink" Id="rId58" Target="https://doi.org/10.1007/978-3-032-08333-3_18" TargetMode="External" /><Relationship Type="http://schemas.openxmlformats.org/officeDocument/2006/relationships/hyperlink" Id="rId60" Target="https://doi.org/10.1016/j.eswa.2026.131198" TargetMode="External" /><Relationship Type="http://schemas.openxmlformats.org/officeDocument/2006/relationships/hyperlink" Id="rId62" Target="https://doi.org/10.1016/j.knosys.2026.115437" TargetMode="External" /><Relationship Type="http://schemas.openxmlformats.org/officeDocument/2006/relationships/hyperlink" Id="rId71" Target="https://doi.org/10.1080/01621459.1952.10483441" TargetMode="External" /><Relationship Type="http://schemas.openxmlformats.org/officeDocument/2006/relationships/hyperlink" Id="rId41" Target="https://doi.org/10.1145/2939672.2939778" TargetMode="External" /><Relationship Type="http://schemas.openxmlformats.org/officeDocument/2006/relationships/hyperlink" Id="rId45" Target="https://doi.org/10.1145/3351095.3372850" TargetMode="External" /><Relationship Type="http://schemas.openxmlformats.org/officeDocument/2006/relationships/hyperlink" Id="rId43" Target="https://doi.org/10.1609/aaai.v32i1.11491" TargetMode="External" /><Relationship Type="http://schemas.openxmlformats.org/officeDocument/2006/relationships/hyperlink" Id="rId73" Target="https://doi.org/10.3368/jhr.50.2.31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arxiv.org/abs/1806.08049" TargetMode="External" /><Relationship Type="http://schemas.openxmlformats.org/officeDocument/2006/relationships/hyperlink" Id="rId58" Target="https://doi.org/10.1007/978-3-032-08333-3_18" TargetMode="External" /><Relationship Type="http://schemas.openxmlformats.org/officeDocument/2006/relationships/hyperlink" Id="rId60" Target="https://doi.org/10.1016/j.eswa.2026.131198" TargetMode="External" /><Relationship Type="http://schemas.openxmlformats.org/officeDocument/2006/relationships/hyperlink" Id="rId62" Target="https://doi.org/10.1016/j.knosys.2026.115437" TargetMode="External" /><Relationship Type="http://schemas.openxmlformats.org/officeDocument/2006/relationships/hyperlink" Id="rId71" Target="https://doi.org/10.1080/01621459.1952.10483441" TargetMode="External" /><Relationship Type="http://schemas.openxmlformats.org/officeDocument/2006/relationships/hyperlink" Id="rId41" Target="https://doi.org/10.1145/2939672.2939778" TargetMode="External" /><Relationship Type="http://schemas.openxmlformats.org/officeDocument/2006/relationships/hyperlink" Id="rId45" Target="https://doi.org/10.1145/3351095.3372850" TargetMode="External" /><Relationship Type="http://schemas.openxmlformats.org/officeDocument/2006/relationships/hyperlink" Id="rId43" Target="https://doi.org/10.1609/aaai.v32i1.11491" TargetMode="External" /><Relationship Type="http://schemas.openxmlformats.org/officeDocument/2006/relationships/hyperlink" Id="rId73" Target="https://doi.org/10.3368/jhr.50.2.31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2026-10-04T01:35:49Z</dcterms:created>
  <dcterms:modified xsi:type="dcterms:W3CDTF">2026-10-04T01:35:49Z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ieee.csl</vt:lpwstr>
  </property>
  <property fmtid="{D5CDD505-2E9C-101B-9397-08002B2CF9AE}" pid="4" name="reference-section-title">
    <vt:lpwstr>References</vt:lpwstr>
  </property>
</Properties>
</file>