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t xml:space="preserve">Jonathan Herrera-Vásquez</w:t>
      </w:r>
    </w:p>
    <w:p>
      <w:pPr>
        <w:pStyle w:val="BodyText"/>
      </w:pPr>
      <w:r>
        <w:t xml:space="preserve">[</w:t>
      </w:r>
      <w:r>
        <w:t xml:space="preserve">AUTHOR: profession</w:t>
      </w:r>
      <w:r>
        <w:t xml:space="preserve">]</w:t>
      </w:r>
      <w:r>
        <w:t xml:space="preserve">. Department of Computer Science, Universidad Americana de Europa</w:t>
      </w:r>
      <w:r>
        <w:t xml:space="preserve"> </w:t>
      </w:r>
      <w:r>
        <w:t xml:space="preserve">(UNADE), Cancún, Quintana Roo, Mexico.</w:t>
      </w:r>
    </w:p>
    <w:p>
      <w:pPr>
        <w:pStyle w:val="BodyText"/>
      </w:pPr>
      <w:r>
        <w:t xml:space="preserve">jonnabio@gmail.com ORCID:</w:t>
      </w:r>
      <w:r>
        <w:t xml:space="preserve"> </w:t>
      </w:r>
      <w:hyperlink r:id="rId9">
        <w:r>
          <w:rPr>
            <w:rStyle w:val="Hyperlink"/>
          </w:rPr>
          <w:t xml:space="preserve">https://orcid.org/0000-0002-7149-6635</w:t>
        </w:r>
      </w:hyperlink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This study asks whether</w:t>
      </w:r>
      <w:r>
        <w:t xml:space="preserve"> </w:t>
      </w:r>
      <w:r>
        <w:t xml:space="preserve">post-hoc explanations are less reliable when the model is wrong. On the UCI Adult Income</w:t>
      </w:r>
      <w:r>
        <w:t xml:space="preserve"> </w:t>
      </w:r>
      <w:r>
        <w:t xml:space="preserve">dataset, the analysis compares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 and a control for the prediction margin; the</w:t>
      </w:r>
      <w:r>
        <w:t xml:space="preserve"> </w:t>
      </w:r>
      <w:r>
        <w:t xml:space="preserve">Statlog German Credit dataset serves for external validation. Explanations were less</w:t>
      </w:r>
      <w:r>
        <w:t xml:space="preserve"> </w:t>
      </w:r>
      <w:r>
        <w:t xml:space="preserve">stable on misclassified instances 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family; external</w:t>
      </w:r>
      <w:r>
        <w:t xml:space="preserve"> </w:t>
      </w:r>
      <w:r>
        <w:t xml:space="preserve">validation reproduced it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10"/>
    <w:bookmarkStart w:id="11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Este estudio examina si las explicaciones post hoc son menos fiables</w:t>
      </w:r>
      <w:r>
        <w:t xml:space="preserve"> </w:t>
      </w:r>
      <w:r>
        <w:t xml:space="preserve">cuando el modelo se equivoca. Sobre el conjunto de datos UCI Adult Income,</w:t>
      </w:r>
      <w:r>
        <w:t xml:space="preserve"> </w:t>
      </w:r>
      <w:r>
        <w:t xml:space="preserve">se comparan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y un control del margen de predicción; el conjunto Statlog German Credit sirve de</w:t>
      </w:r>
      <w:r>
        <w:t xml:space="preserve"> </w:t>
      </w:r>
      <w:r>
        <w:t xml:space="preserve">validación externa.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modelos; la validación externa lo</w:t>
      </w:r>
      <w:r>
        <w:t xml:space="preserve"> </w:t>
      </w:r>
      <w:r>
        <w:t xml:space="preserve">reprodujo para Anchors,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1"/>
    <w:bookmarkStart w:id="1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[5], [6], [7]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[10]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[11], [12]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The closest line of work relates explanations to model uncertainty. A recent survey of</w:t>
      </w:r>
      <w:r>
        <w:t xml:space="preserve"> </w:t>
      </w:r>
      <w:r>
        <w:t xml:space="preserve">uncertainty-aware XAI finds that the stability of explanations is reported inconsistently</w:t>
      </w:r>
      <w:r>
        <w:t xml:space="preserve"> </w:t>
      </w:r>
      <w:r>
        <w:t xml:space="preserve">[14]</w:t>
      </w:r>
      <w:r>
        <w:t xml:space="preserve">; uncertainty in inputs and model parameters propagates into</w:t>
      </w:r>
      <w:r>
        <w:t xml:space="preserve"> </w:t>
      </w:r>
      <w:r>
        <w:t xml:space="preserve">explanation variance, and not all methods propagate it reliably</w:t>
      </w:r>
      <w:r>
        <w:t xml:space="preserve"> </w:t>
      </w:r>
      <w:r>
        <w:t xml:space="preserve">[15]</w:t>
      </w:r>
      <w:r>
        <w:t xml:space="preserve">; counterfactual explanations are highly sensitive to model</w:t>
      </w:r>
      <w:r>
        <w:t xml:space="preserve"> </w:t>
      </w:r>
      <w:r>
        <w:t xml:space="preserve">uncertainty, even when accuracy is high</w:t>
      </w:r>
      <w:r>
        <w:t xml:space="preserve"> </w:t>
      </w:r>
      <w:r>
        <w:t xml:space="preserve">[16]</w:t>
      </w:r>
      <w:r>
        <w:t xml:space="preserve">; and SHAP can be</w:t>
      </w:r>
      <w:r>
        <w:t xml:space="preserve"> </w:t>
      </w:r>
      <w:r>
        <w:t xml:space="preserve">used to explain the uncertainty itself rather than the prediction</w:t>
      </w:r>
      <w:r>
        <w:t xml:space="preserve"> </w:t>
      </w:r>
      <w:r>
        <w:t xml:space="preserve">[17]</w:t>
      </w:r>
      <w:r>
        <w:t xml:space="preserve">. These studies vary uncertainty; whether explanation quality differs between a</w:t>
      </w:r>
      <w:r>
        <w:t xml:space="preserve"> </w:t>
      </w:r>
      <w:r>
        <w:t xml:space="preserve">model’s correct and wrong predictions is a separate question.</w:t>
      </w:r>
    </w:p>
    <w:p>
      <w:pPr>
        <w:pStyle w:val="BodyText"/>
      </w:pPr>
      <w:r>
        <w:t xml:space="preserve">This study tests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asks: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2"/>
    <w:bookmarkStart w:id="16" w:name="materials-and-methods"/>
    <w:p>
      <w:pPr>
        <w:pStyle w:val="Heading1"/>
      </w:pPr>
      <w:r>
        <w:t xml:space="preserve">Materials and methods</w:t>
      </w:r>
    </w:p>
    <w:bookmarkStart w:id="13" w:name="datasets-and-experimental-runs"/>
    <w:p>
      <w:pPr>
        <w:pStyle w:val="Heading2"/>
      </w:pPr>
      <w:r>
        <w:t xml:space="preserve">Datasets and experimental runs</w:t>
      </w:r>
    </w:p>
    <w:p>
      <w:pPr>
        <w:pStyle w:val="FirstParagraph"/>
      </w:pPr>
      <w:r>
        <w:t xml:space="preserve">Two tabular datasets are used: UCI Adult Income</w:t>
      </w:r>
      <w:r>
        <w:t xml:space="preserve"> </w:t>
      </w:r>
      <w:r>
        <w:t xml:space="preserve">[18]</w:t>
      </w:r>
      <w:r>
        <w:t xml:space="preserve"> </w:t>
      </w:r>
      <w:r>
        <w:t xml:space="preserve">(primary) and Statlog</w:t>
      </w:r>
      <w:r>
        <w:t xml:space="preserve"> </w:t>
      </w:r>
      <w:r>
        <w:t xml:space="preserve">German Credit</w:t>
      </w:r>
      <w:r>
        <w:t xml:space="preserve"> </w:t>
      </w:r>
      <w:r>
        <w:t xml:space="preserve">[19]</w:t>
      </w:r>
      <w:r>
        <w:t xml:space="preserve"> </w:t>
      </w:r>
      <w:r>
        <w:t xml:space="preserve">(external validation). The explanation runs come from</w:t>
      </w:r>
      <w:r>
        <w:t xml:space="preserve"> </w:t>
      </w:r>
      <w:r>
        <w:t xml:space="preserve">a benchmark whose protocol is described in</w:t>
      </w:r>
      <w:r>
        <w:t xml:space="preserve"> </w:t>
      </w:r>
      <w:r>
        <w:t xml:space="preserve">[9]</w:t>
      </w:r>
      <w:r>
        <w:t xml:space="preserve">. That study, and a</w:t>
      </w:r>
      <w:r>
        <w:t xml:space="preserve"> </w:t>
      </w:r>
      <w:r>
        <w:t xml:space="preserve">later analysis of the same runs, compare explainers by their average quality; the present</w:t>
      </w:r>
      <w:r>
        <w:t xml:space="preserve"> </w:t>
      </w:r>
      <w:r>
        <w:t xml:space="preserve">analysis reports none of their results and compares each explainer with itself, between</w:t>
      </w:r>
      <w:r>
        <w:t xml:space="preserve"> </w:t>
      </w:r>
      <w:r>
        <w:t xml:space="preserve">correct and misclassified instances of 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[20]</w:t>
      </w:r>
      <w:r>
        <w:t xml:space="preserve">, XGBoost</w:t>
      </w:r>
      <w:r>
        <w:t xml:space="preserve"> </w:t>
      </w:r>
      <w:r>
        <w:t xml:space="preserve">[21]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 (Anchors and DiCE runs</w:t>
      </w:r>
      <w:r>
        <w:t xml:space="preserve"> </w:t>
      </w:r>
      <w:r>
        <w:t xml:space="preserve">without explanations, and SHAP runs with fewer than ten instances in a group, were</w:t>
      </w:r>
      <w:r>
        <w:t xml:space="preserve"> </w:t>
      </w:r>
      <w:r>
        <w:t xml:space="preserve">excluded).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On German Credit, random</w:t>
      </w:r>
      <w:r>
        <w:t xml:space="preserve"> </w:t>
      </w:r>
      <w:r>
        <w:t xml:space="preserve">forest and XGBoost were explained by SHAP and Anchors with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3"/>
    <w:bookmarkStart w:id="14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[9]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[8]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[5]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[6], [7]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4"/>
    <w:bookmarkStart w:id="15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[22]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[23]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[24]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[25]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the analysis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[26]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[27]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5"/>
    <w:bookmarkEnd w:id="16"/>
    <w:bookmarkStart w:id="36" w:name="results"/>
    <w:p>
      <w:pPr>
        <w:pStyle w:val="Heading1"/>
      </w:pPr>
      <w:r>
        <w:t xml:space="preserve">Results</w:t>
      </w:r>
    </w:p>
    <w:bookmarkStart w:id="22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10. Sparsity differences were within</w:t>
      </w:r>
      <w:r>
        <w:t xml:space="preserve"> </w:t>
      </w:r>
      <w:r>
        <w:t xml:space="preserve">0.005 of zero; only Anchors was slower on errors.</w:t>
      </w:r>
    </w:p>
    <w:bookmarkStart w:id="17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7"/>
    <w:bookmarkStart w:id="21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es/fig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1"/>
    <w:bookmarkEnd w:id="22"/>
    <w:bookmarkStart w:id="28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6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6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7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7"/>
    <w:bookmarkEnd w:id="28"/>
    <w:bookmarkStart w:id="34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9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9"/>
    <w:bookmarkStart w:id="33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fig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3"/>
    <w:bookmarkEnd w:id="34"/>
    <w:bookmarkStart w:id="35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the reason for the reversal remains unknown.</w:t>
      </w:r>
    </w:p>
    <w:bookmarkEnd w:id="35"/>
    <w:bookmarkEnd w:id="36"/>
    <w:bookmarkStart w:id="37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right, consistent with the sensitivity of</w:t>
      </w:r>
      <w:r>
        <w:t xml:space="preserve"> </w:t>
      </w:r>
      <w:r>
        <w:t xml:space="preserve">counterfactuals to model uncertainty</w:t>
      </w:r>
      <w:r>
        <w:t xml:space="preserve"> </w:t>
      </w:r>
      <w:r>
        <w:t xml:space="preserve">[16]</w:t>
      </w:r>
      <w:r>
        <w:t xml:space="preserve">. For SHAP it remains at</w:t>
      </w:r>
      <w:r>
        <w:t xml:space="preserve"> </w:t>
      </w:r>
      <w:r>
        <w:t xml:space="preserve">equal margin, and there its top features also carry less of an erroneous prediction.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Limits: one tabular benchmark, with an external check of six runs per explainer that</w:t>
      </w:r>
      <w:r>
        <w:t xml:space="preserve"> </w:t>
      </w:r>
      <w:r>
        <w:t xml:space="preserve">did not reproduce the SHAP stability deficit; fixed explainer settings, under which LIME’s</w:t>
      </w:r>
      <w:r>
        <w:t xml:space="preserve"> </w:t>
      </w:r>
      <w:r>
        <w:t xml:space="preserve">stability is near zero and the absolute relevance threshold cannot be met; Anchors and DiCE</w:t>
      </w:r>
      <w:r>
        <w:t xml:space="preserve"> </w:t>
      </w:r>
      <w:r>
        <w:t xml:space="preserve">runs missing not at random (removing units, not biasing within-run contrasts); part of the</w:t>
      </w:r>
      <w:r>
        <w:t xml:space="preserve"> </w:t>
      </w:r>
      <w:r>
        <w:t xml:space="preserve">random-forest runs in RQ4; a post-hoc treatment of the training overlap; and proxy metrics,</w:t>
      </w:r>
      <w:r>
        <w:t xml:space="preserve"> </w:t>
      </w:r>
      <w:r>
        <w:t xml:space="preserve">so whether users are misled needs a user study.</w:t>
      </w:r>
    </w:p>
    <w:bookmarkEnd w:id="37"/>
    <w:bookmarkStart w:id="38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8"/>
    <w:bookmarkStart w:id="4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Both datasets are public</w:t>
      </w:r>
      <w:r>
        <w:t xml:space="preserve"> </w:t>
      </w:r>
      <w:r>
        <w:t xml:space="preserve">[18], [19]</w:t>
      </w:r>
      <w:r>
        <w:t xml:space="preserve">. The code, the trained</w:t>
      </w:r>
      <w:r>
        <w:t xml:space="preserve"> </w:t>
      </w:r>
      <w:r>
        <w:t xml:space="preserve">models, the per-instance run outputs and the analysis results are available at</w:t>
      </w:r>
      <w:r>
        <w:t xml:space="preserve"> </w:t>
      </w:r>
      <w:hyperlink r:id="rId39">
        <w:r>
          <w:rPr>
            <w:rStyle w:val="Hyperlink"/>
          </w:rPr>
          <w:t xml:space="preserve">https://github.com/jonnabio/xai-eval-framework</w:t>
        </w:r>
      </w:hyperlink>
      <w:r>
        <w:t xml:space="preserve"> </w:t>
      </w:r>
      <w:r>
        <w:t xml:space="preserve">(release</w:t>
      </w:r>
      <w:r>
        <w:t xml:space="preserve"> </w:t>
      </w:r>
      <w:r>
        <w:rPr>
          <w:rStyle w:val="VerbatimChar"/>
        </w:rPr>
        <w:t xml:space="preserve">paper-d-submission-2026-10-03</w:t>
      </w:r>
      <w:r>
        <w:t xml:space="preserve">),</w:t>
      </w:r>
      <w:r>
        <w:t xml:space="preserve"> </w:t>
      </w:r>
      <w:r>
        <w:t xml:space="preserve">archived at [ZENODO VERSION DOI PENDING]. Every reported value can be regenerated from the stored runs</w:t>
      </w:r>
      <w:r>
        <w:t xml:space="preserve"> </w:t>
      </w:r>
      <w:r>
        <w:t xml:space="preserve">by following</w:t>
      </w:r>
      <w:r>
        <w:t xml:space="preserve"> </w:t>
      </w:r>
      <w:r>
        <w:rPr>
          <w:rStyle w:val="VerbatimChar"/>
        </w:rPr>
        <w:t xml:space="preserve">docs/reports/paper_d/README.md</w:t>
      </w:r>
      <w:r>
        <w:t xml:space="preserve">, with the package versions fixed in</w:t>
      </w:r>
      <w:r>
        <w:t xml:space="preserve"> </w:t>
      </w:r>
      <w:r>
        <w:rPr>
          <w:rStyle w:val="VerbatimChar"/>
        </w:rPr>
        <w:t xml:space="preserve">docs/reports/paper_d/requirements.txt</w:t>
      </w:r>
      <w:r>
        <w:t xml:space="preserve">; the explanation runs themselves were not</w:t>
      </w:r>
      <w:r>
        <w:t xml:space="preserve"> </w:t>
      </w:r>
      <w:r>
        <w:t xml:space="preserve">repeated.</w:t>
      </w:r>
    </w:p>
    <w:bookmarkEnd w:id="40"/>
    <w:bookmarkStart w:id="41" w:name="Xe536ab5833287908b18f3f9d173acc61830ffab"/>
    <w:p>
      <w:pPr>
        <w:pStyle w:val="Heading1"/>
      </w:pPr>
      <w:r>
        <w:t xml:space="preserve">References</w:t>
      </w:r>
    </w:p>
    <w:bookmarkStart w:id="78" w:name="refs"/>
    <w:bookmarkStart w:id="42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42"/>
    <w:bookmarkStart w:id="44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3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4"/>
    <w:bookmarkStart w:id="46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5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6"/>
    <w:bookmarkStart w:id="48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7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8"/>
    <w:bookmarkStart w:id="49" w:name="ref-bhatt2020evaluat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9"/>
    <w:bookmarkStart w:id="50" w:name="ref-samek2017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50"/>
    <w:bookmarkStart w:id="51" w:name="ref-hooker2019benchmar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51"/>
    <w:bookmarkStart w:id="53" w:name="ref-alvarezmelis2018robustnes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52">
        <w:r>
          <w:rPr>
            <w:rStyle w:val="Hyperlink"/>
          </w:rPr>
          <w:t xml:space="preserve">https://arxiv.org/abs/1806.08049</w:t>
        </w:r>
      </w:hyperlink>
    </w:p>
    <w:bookmarkEnd w:id="53"/>
    <w:bookmarkStart w:id="54" w:name="ref-herrera2026framework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4"/>
    <w:bookmarkStart w:id="55" w:name="ref-bansal2021whol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5"/>
    <w:bookmarkStart w:id="56" w:name="ref-adebayo2018san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6"/>
    <w:bookmarkStart w:id="57" w:name="ref-slack2020fooling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7"/>
    <w:bookmarkStart w:id="58" w:name="ref-rudin2019stop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8"/>
    <w:bookmarkStart w:id="59" w:name="ref-lofstrom2026concern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Löfström, T. Löfström, A. Hjort, and F. R. Yapicioglu,</w:t>
      </w:r>
      <w:r>
        <w:t xml:space="preserve"> </w:t>
      </w:r>
      <w:r>
        <w:t xml:space="preserve">“Concerning uncertainty—a systematic survey of uncertainty-aware</w:t>
      </w:r>
      <w:r>
        <w:t xml:space="preserve"> </w:t>
      </w:r>
      <w:r>
        <w:t xml:space="preserve">XAI</w:t>
      </w:r>
      <w:r>
        <w:t xml:space="preserve">,”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vol. 384, no. 2327, p. 20250079, 2026.</w:t>
      </w:r>
    </w:p>
    <w:bookmarkEnd w:id="59"/>
    <w:bookmarkStart w:id="61" w:name="ref-chiaburu2026uncertain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T. Chiaburu, F. Bießmann, and F. Haußer,</w:t>
      </w:r>
      <w:r>
        <w:t xml:space="preserve"> </w:t>
      </w:r>
      <w:r>
        <w:t xml:space="preserve">“Uncertainty propagation in</w:t>
      </w:r>
      <w:r>
        <w:t xml:space="preserve"> </w:t>
      </w:r>
      <w:r>
        <w:t xml:space="preserve">XAI</w:t>
      </w:r>
      <w:r>
        <w:t xml:space="preserve">: A comparison of analytical and empirical estimators,”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Explainable Artificial Intelligence (xAI 2025)</w:t>
      </w:r>
      <w:r>
        <w:t xml:space="preserve">, in</w:t>
      </w:r>
      <w:r>
        <w:t xml:space="preserve"> </w:t>
      </w:r>
      <w:r>
        <w:t xml:space="preserve">Communications in Computer and Information Science</w:t>
      </w:r>
      <w:r>
        <w:t xml:space="preserve">, vol. 2580. Springer, 2026, pp. 390–411. doi:</w:t>
      </w:r>
      <w:r>
        <w:t xml:space="preserve"> </w:t>
      </w:r>
      <w:hyperlink r:id="rId60">
        <w:r>
          <w:rPr>
            <w:rStyle w:val="Hyperlink"/>
          </w:rPr>
          <w:t xml:space="preserve">10.1007/978-3-032-08333-3_18</w:t>
        </w:r>
      </w:hyperlink>
      <w:r>
        <w:t xml:space="preserve">.</w:t>
      </w:r>
    </w:p>
    <w:bookmarkEnd w:id="61"/>
    <w:bookmarkStart w:id="63" w:name="ref-christodoulou2026impa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L. Christodoulou and C. Sun,</w:t>
      </w:r>
      <w:r>
        <w:t xml:space="preserve"> </w:t>
      </w:r>
      <w:r>
        <w:t xml:space="preserve">“The impact of machine learning uncertainty on the robustness of counterfactual explanations,”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 309, p. 131198, 2026, doi:</w:t>
      </w:r>
      <w:r>
        <w:t xml:space="preserve"> </w:t>
      </w:r>
      <w:hyperlink r:id="rId62">
        <w:r>
          <w:rPr>
            <w:rStyle w:val="Hyperlink"/>
          </w:rPr>
          <w:t xml:space="preserve">10.1016/j.eswa.2026.131198</w:t>
        </w:r>
      </w:hyperlink>
      <w:r>
        <w:t xml:space="preserve">.</w:t>
      </w:r>
    </w:p>
    <w:bookmarkEnd w:id="63"/>
    <w:bookmarkStart w:id="65" w:name="ref-cheng2026uncertain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X. Cheng, T. Wang, D. Zhu, and J. Ma,</w:t>
      </w:r>
      <w:r>
        <w:t xml:space="preserve"> </w:t>
      </w:r>
      <w:r>
        <w:t xml:space="preserve">“Uncertainty explanation of artificial intelligence models by</w:t>
      </w:r>
      <w:r>
        <w:t xml:space="preserve"> </w:t>
      </w:r>
      <w:r>
        <w:t xml:space="preserve">SHAP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337, p. 115437, 2026, doi:</w:t>
      </w:r>
      <w:r>
        <w:t xml:space="preserve"> </w:t>
      </w:r>
      <w:hyperlink r:id="rId64">
        <w:r>
          <w:rPr>
            <w:rStyle w:val="Hyperlink"/>
          </w:rPr>
          <w:t xml:space="preserve">10.1016/j.knosys.2026.115437</w:t>
        </w:r>
      </w:hyperlink>
      <w:r>
        <w:t xml:space="preserve">.</w:t>
      </w:r>
    </w:p>
    <w:bookmarkEnd w:id="65"/>
    <w:bookmarkStart w:id="66" w:name="ref-becker1996adul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6"/>
    <w:bookmarkStart w:id="67" w:name="ref-hofmann1994statlog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7"/>
    <w:bookmarkStart w:id="68" w:name="ref-breiman2001rando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8"/>
    <w:bookmarkStart w:id="69" w:name="ref-chen2016xgboost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9"/>
    <w:bookmarkStart w:id="70" w:name="ref-wilcoxon1945individu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70"/>
    <w:bookmarkStart w:id="71" w:name="ref-holm1979simpl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71"/>
    <w:bookmarkStart w:id="72" w:name="ref-lakens2013calculat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72"/>
    <w:bookmarkStart w:id="74" w:name="ref-kruskal1952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73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4"/>
    <w:bookmarkStart w:id="76" w:name="ref-cameron2015practitioner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5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6"/>
    <w:bookmarkStart w:id="77" w:name="ref-platt1999probabilistic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7"/>
    <w:bookmarkEnd w:id="78"/>
    <w:bookmarkEnd w:id="79"/>
    <w:p>
      <w:pPr>
        <w:pStyle w:val="Heading1"/>
      </w:pPr>
      <w:r>
        <w:t xml:space="preserve">Declaration on the Use of Artificial Intelligence (AI)</w:t>
      </w:r>
    </w:p>
    <w:p>
      <w:pPr>
        <w:pStyle w:val="FirstParagraph"/>
      </w:pPr>
      <w:r>
        <w:t xml:space="preserve">The author declares the use of the AI tool Claude (Anthropic), under the author’s</w:t>
      </w:r>
      <w:r>
        <w:t xml:space="preserve"> </w:t>
      </w:r>
      <w:r>
        <w:t xml:space="preserve">direction, to help write the analysis and figure code, edit the English text, translate the</w:t>
      </w:r>
      <w:r>
        <w:t xml:space="preserve"> </w:t>
      </w:r>
      <w:r>
        <w:t xml:space="preserve">abstract into Spanish and format the references. The research questions, analysis plan,</w:t>
      </w:r>
      <w:r>
        <w:t xml:space="preserve"> </w:t>
      </w:r>
      <w:r>
        <w:t xml:space="preserve">design and interpretation are the author’s. All contents were thoroughly reviewed by the</w:t>
      </w:r>
      <w:r>
        <w:t xml:space="preserve"> </w:t>
      </w:r>
      <w:r>
        <w:t xml:space="preserve">author to ensure accuracy and coherence.</w:t>
      </w:r>
    </w:p>
    <w:bookmarkEnd w:id="41"/>
    <w:bookmarkStart w:id="79" w:name="bibliography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0" Target="media/rId30.png" /><Relationship Type="http://schemas.openxmlformats.org/officeDocument/2006/relationships/hyperlink" Id="rId52" Target="https://arxiv.org/abs/1806.08049" TargetMode="External" /><Relationship Type="http://schemas.openxmlformats.org/officeDocument/2006/relationships/hyperlink" Id="rId60" Target="https://doi.org/10.1007/978-3-032-08333-3_18" TargetMode="External" /><Relationship Type="http://schemas.openxmlformats.org/officeDocument/2006/relationships/hyperlink" Id="rId62" Target="https://doi.org/10.1016/j.eswa.2026.131198" TargetMode="External" /><Relationship Type="http://schemas.openxmlformats.org/officeDocument/2006/relationships/hyperlink" Id="rId64" Target="https://doi.org/10.1016/j.knosys.2026.115437" TargetMode="External" /><Relationship Type="http://schemas.openxmlformats.org/officeDocument/2006/relationships/hyperlink" Id="rId73" Target="https://doi.org/10.1080/01621459.1952.10483441" TargetMode="External" /><Relationship Type="http://schemas.openxmlformats.org/officeDocument/2006/relationships/hyperlink" Id="rId43" Target="https://doi.org/10.1145/2939672.2939778" TargetMode="External" /><Relationship Type="http://schemas.openxmlformats.org/officeDocument/2006/relationships/hyperlink" Id="rId47" Target="https://doi.org/10.1145/3351095.3372850" TargetMode="External" /><Relationship Type="http://schemas.openxmlformats.org/officeDocument/2006/relationships/hyperlink" Id="rId45" Target="https://doi.org/10.1609/aaai.v32i1.11491" TargetMode="External" /><Relationship Type="http://schemas.openxmlformats.org/officeDocument/2006/relationships/hyperlink" Id="rId75" Target="https://doi.org/10.3368/jhr.50.2.317" TargetMode="External" /><Relationship Type="http://schemas.openxmlformats.org/officeDocument/2006/relationships/hyperlink" Id="rId39" Target="https://github.com/jonnabio/xai-eval-framework" TargetMode="External" /><Relationship Type="http://schemas.openxmlformats.org/officeDocument/2006/relationships/hyperlink" Id="rId9" Target="https://orcid.org/0000-0002-7149-663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arxiv.org/abs/1806.08049" TargetMode="External" /><Relationship Type="http://schemas.openxmlformats.org/officeDocument/2006/relationships/hyperlink" Id="rId60" Target="https://doi.org/10.1007/978-3-032-08333-3_18" TargetMode="External" /><Relationship Type="http://schemas.openxmlformats.org/officeDocument/2006/relationships/hyperlink" Id="rId62" Target="https://doi.org/10.1016/j.eswa.2026.131198" TargetMode="External" /><Relationship Type="http://schemas.openxmlformats.org/officeDocument/2006/relationships/hyperlink" Id="rId64" Target="https://doi.org/10.1016/j.knosys.2026.115437" TargetMode="External" /><Relationship Type="http://schemas.openxmlformats.org/officeDocument/2006/relationships/hyperlink" Id="rId73" Target="https://doi.org/10.1080/01621459.1952.10483441" TargetMode="External" /><Relationship Type="http://schemas.openxmlformats.org/officeDocument/2006/relationships/hyperlink" Id="rId43" Target="https://doi.org/10.1145/2939672.2939778" TargetMode="External" /><Relationship Type="http://schemas.openxmlformats.org/officeDocument/2006/relationships/hyperlink" Id="rId47" Target="https://doi.org/10.1145/3351095.3372850" TargetMode="External" /><Relationship Type="http://schemas.openxmlformats.org/officeDocument/2006/relationships/hyperlink" Id="rId45" Target="https://doi.org/10.1609/aaai.v32i1.11491" TargetMode="External" /><Relationship Type="http://schemas.openxmlformats.org/officeDocument/2006/relationships/hyperlink" Id="rId75" Target="https://doi.org/10.3368/jhr.50.2.317" TargetMode="External" /><Relationship Type="http://schemas.openxmlformats.org/officeDocument/2006/relationships/hyperlink" Id="rId39" Target="https://github.com/jonnabio/xai-eval-framework" TargetMode="External" /><Relationship Type="http://schemas.openxmlformats.org/officeDocument/2006/relationships/hyperlink" Id="rId9" Target="https://orcid.org/0000-0002-7149-663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2026-10-04T01:35:49Z</dcterms:created>
  <dcterms:modified xsi:type="dcterms:W3CDTF">2026-10-04T01:35:49Z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  <property fmtid="{D5CDD505-2E9C-101B-9397-08002B2CF9AE}" pid="4" name="reference-section-title">
    <vt:lpwstr>References</vt:lpwstr>
  </property>
</Properties>
</file>