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D5FB3" w14:textId="77777777" w:rsidR="00D075F6" w:rsidRDefault="00734411">
      <w:pPr>
        <w:spacing w:line="240" w:lineRule="auto"/>
        <w:jc w:val="center"/>
      </w:pPr>
      <w:r>
        <w:t>Doctorado en Informática</w:t>
      </w:r>
    </w:p>
    <w:p w14:paraId="6ABD46CB" w14:textId="77777777" w:rsidR="00D075F6" w:rsidRDefault="00D075F6">
      <w:pPr>
        <w:spacing w:line="240" w:lineRule="auto"/>
        <w:jc w:val="center"/>
      </w:pPr>
    </w:p>
    <w:p w14:paraId="7A51C1BE" w14:textId="77777777" w:rsidR="00D075F6" w:rsidRDefault="00D075F6">
      <w:pPr>
        <w:spacing w:line="240" w:lineRule="auto"/>
        <w:jc w:val="center"/>
      </w:pPr>
    </w:p>
    <w:p w14:paraId="2D829AB9" w14:textId="77777777" w:rsidR="00D075F6" w:rsidRDefault="00734411">
      <w:pPr>
        <w:spacing w:line="240" w:lineRule="auto"/>
        <w:jc w:val="center"/>
      </w:pPr>
      <w:r>
        <w:t>Arquitectura Agnóstica para la Interpretabilidad de Modelos de Inteligencia Artificial de Caja Negra</w:t>
      </w:r>
    </w:p>
    <w:p w14:paraId="06767910" w14:textId="77777777" w:rsidR="00D075F6" w:rsidRDefault="00D075F6">
      <w:pPr>
        <w:spacing w:line="240" w:lineRule="auto"/>
        <w:jc w:val="center"/>
      </w:pPr>
    </w:p>
    <w:p w14:paraId="0A0F03BA" w14:textId="77777777" w:rsidR="00D075F6" w:rsidRDefault="00D075F6">
      <w:pPr>
        <w:spacing w:line="240" w:lineRule="auto"/>
        <w:jc w:val="center"/>
      </w:pPr>
    </w:p>
    <w:p w14:paraId="7D0EB0C9" w14:textId="77777777" w:rsidR="00D075F6" w:rsidRDefault="00D075F6">
      <w:pPr>
        <w:spacing w:line="240" w:lineRule="auto"/>
        <w:jc w:val="center"/>
      </w:pPr>
    </w:p>
    <w:p w14:paraId="37A11465" w14:textId="77777777" w:rsidR="00D075F6" w:rsidRDefault="00734411">
      <w:pPr>
        <w:spacing w:line="240" w:lineRule="auto"/>
        <w:jc w:val="center"/>
      </w:pPr>
      <w:r>
        <w:t>Jonathan Herrera Vásquez</w:t>
      </w:r>
    </w:p>
    <w:p w14:paraId="39982675" w14:textId="77777777" w:rsidR="00D075F6" w:rsidRDefault="00734411">
      <w:pPr>
        <w:spacing w:line="240" w:lineRule="auto"/>
        <w:jc w:val="center"/>
      </w:pPr>
      <w:r>
        <w:t>Director: Dr. Miguel Herrero Uceda</w:t>
      </w:r>
    </w:p>
    <w:p w14:paraId="1D082016" w14:textId="77777777" w:rsidR="00D075F6" w:rsidRDefault="00D075F6">
      <w:pPr>
        <w:spacing w:line="240" w:lineRule="auto"/>
        <w:jc w:val="center"/>
      </w:pPr>
    </w:p>
    <w:p w14:paraId="5BC3ADB4" w14:textId="77777777" w:rsidR="00D075F6" w:rsidRDefault="00D075F6">
      <w:pPr>
        <w:spacing w:line="240" w:lineRule="auto"/>
        <w:jc w:val="center"/>
      </w:pPr>
    </w:p>
    <w:p w14:paraId="7CEBB7B1" w14:textId="77777777" w:rsidR="00D075F6" w:rsidRDefault="00D075F6">
      <w:pPr>
        <w:spacing w:line="240" w:lineRule="auto"/>
        <w:jc w:val="center"/>
      </w:pPr>
    </w:p>
    <w:p w14:paraId="79F2F151" w14:textId="77777777" w:rsidR="00D075F6" w:rsidRDefault="00734411">
      <w:pPr>
        <w:spacing w:line="240" w:lineRule="auto"/>
        <w:jc w:val="center"/>
      </w:pPr>
      <w:r>
        <w:t>Cancún, México</w:t>
      </w:r>
    </w:p>
    <w:p w14:paraId="78209F8B" w14:textId="77777777" w:rsidR="00D075F6" w:rsidRDefault="00734411">
      <w:r>
        <w:br w:type="page"/>
      </w:r>
    </w:p>
    <w:sdt>
      <w:sdtPr>
        <w:rPr>
          <w:rFonts w:eastAsiaTheme="minorHAnsi" w:cstheme="minorBidi"/>
          <w:b w:val="0"/>
          <w:sz w:val="24"/>
          <w:szCs w:val="22"/>
          <w:lang w:eastAsia="en-US"/>
        </w:rPr>
        <w:id w:val="672839395"/>
        <w:docPartObj>
          <w:docPartGallery w:val="Table of Contents"/>
          <w:docPartUnique/>
        </w:docPartObj>
      </w:sdtPr>
      <w:sdtEndPr/>
      <w:sdtContent>
        <w:p w14:paraId="16957FB9" w14:textId="77777777" w:rsidR="00D075F6" w:rsidRDefault="00734411">
          <w:pPr>
            <w:pStyle w:val="TOCHeading"/>
          </w:pPr>
          <w:r>
            <w:t>Tabla de contenidos</w:t>
          </w:r>
        </w:p>
        <w:p w14:paraId="0EA2AFD1" w14:textId="1B826A52" w:rsidR="008E091D" w:rsidRDefault="00734411">
          <w:pPr>
            <w:pStyle w:val="TOC1"/>
            <w:tabs>
              <w:tab w:val="right" w:leader="dot" w:pos="9350"/>
            </w:tabs>
            <w:rPr>
              <w:rFonts w:asciiTheme="minorHAnsi" w:eastAsiaTheme="minorEastAsia" w:hAnsiTheme="minorHAnsi"/>
              <w:noProof/>
              <w:kern w:val="2"/>
              <w:szCs w:val="24"/>
              <w:lang w:val="en-US"/>
              <w14:ligatures w14:val="standardContextual"/>
            </w:rPr>
          </w:pPr>
          <w:r>
            <w:fldChar w:fldCharType="begin"/>
          </w:r>
          <w:r>
            <w:instrText>TOC \o "1-3" \h \z \u</w:instrText>
          </w:r>
          <w:r>
            <w:fldChar w:fldCharType="separate"/>
          </w:r>
          <w:hyperlink w:anchor="_Toc241413227" w:history="1">
            <w:r w:rsidR="008E091D" w:rsidRPr="00F636B6">
              <w:rPr>
                <w:rStyle w:val="Hyperlink"/>
                <w:noProof/>
              </w:rPr>
              <w:t>Dedicatoria</w:t>
            </w:r>
            <w:r w:rsidR="008E091D">
              <w:rPr>
                <w:noProof/>
                <w:webHidden/>
              </w:rPr>
              <w:tab/>
            </w:r>
            <w:r w:rsidR="008E091D">
              <w:rPr>
                <w:noProof/>
                <w:webHidden/>
              </w:rPr>
              <w:fldChar w:fldCharType="begin"/>
            </w:r>
            <w:r w:rsidR="008E091D">
              <w:rPr>
                <w:noProof/>
                <w:webHidden/>
              </w:rPr>
              <w:instrText xml:space="preserve"> PAGEREF _Toc241413227 \h </w:instrText>
            </w:r>
            <w:r w:rsidR="008E091D">
              <w:rPr>
                <w:noProof/>
                <w:webHidden/>
              </w:rPr>
            </w:r>
            <w:r w:rsidR="008E091D">
              <w:rPr>
                <w:noProof/>
                <w:webHidden/>
              </w:rPr>
              <w:fldChar w:fldCharType="separate"/>
            </w:r>
            <w:r w:rsidR="008E091D">
              <w:rPr>
                <w:noProof/>
                <w:webHidden/>
              </w:rPr>
              <w:t>8</w:t>
            </w:r>
            <w:r w:rsidR="008E091D">
              <w:rPr>
                <w:noProof/>
                <w:webHidden/>
              </w:rPr>
              <w:fldChar w:fldCharType="end"/>
            </w:r>
          </w:hyperlink>
        </w:p>
        <w:p w14:paraId="123F9781" w14:textId="2063053F"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28" w:history="1">
            <w:r w:rsidRPr="00F636B6">
              <w:rPr>
                <w:rStyle w:val="Hyperlink"/>
                <w:noProof/>
              </w:rPr>
              <w:t>Agradecimientos</w:t>
            </w:r>
            <w:r>
              <w:rPr>
                <w:noProof/>
                <w:webHidden/>
              </w:rPr>
              <w:tab/>
            </w:r>
            <w:r>
              <w:rPr>
                <w:noProof/>
                <w:webHidden/>
              </w:rPr>
              <w:fldChar w:fldCharType="begin"/>
            </w:r>
            <w:r>
              <w:rPr>
                <w:noProof/>
                <w:webHidden/>
              </w:rPr>
              <w:instrText xml:space="preserve"> PAGEREF _Toc241413228 \h </w:instrText>
            </w:r>
            <w:r>
              <w:rPr>
                <w:noProof/>
                <w:webHidden/>
              </w:rPr>
            </w:r>
            <w:r>
              <w:rPr>
                <w:noProof/>
                <w:webHidden/>
              </w:rPr>
              <w:fldChar w:fldCharType="separate"/>
            </w:r>
            <w:r>
              <w:rPr>
                <w:noProof/>
                <w:webHidden/>
              </w:rPr>
              <w:t>9</w:t>
            </w:r>
            <w:r>
              <w:rPr>
                <w:noProof/>
                <w:webHidden/>
              </w:rPr>
              <w:fldChar w:fldCharType="end"/>
            </w:r>
          </w:hyperlink>
        </w:p>
        <w:p w14:paraId="2CA3FAA5" w14:textId="04010801"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29" w:history="1">
            <w:r w:rsidRPr="00F636B6">
              <w:rPr>
                <w:rStyle w:val="Hyperlink"/>
                <w:noProof/>
              </w:rPr>
              <w:t>Resumen</w:t>
            </w:r>
            <w:r>
              <w:rPr>
                <w:noProof/>
                <w:webHidden/>
              </w:rPr>
              <w:tab/>
            </w:r>
            <w:r>
              <w:rPr>
                <w:noProof/>
                <w:webHidden/>
              </w:rPr>
              <w:fldChar w:fldCharType="begin"/>
            </w:r>
            <w:r>
              <w:rPr>
                <w:noProof/>
                <w:webHidden/>
              </w:rPr>
              <w:instrText xml:space="preserve"> PAGEREF _Toc241413229 \h </w:instrText>
            </w:r>
            <w:r>
              <w:rPr>
                <w:noProof/>
                <w:webHidden/>
              </w:rPr>
            </w:r>
            <w:r>
              <w:rPr>
                <w:noProof/>
                <w:webHidden/>
              </w:rPr>
              <w:fldChar w:fldCharType="separate"/>
            </w:r>
            <w:r>
              <w:rPr>
                <w:noProof/>
                <w:webHidden/>
              </w:rPr>
              <w:t>10</w:t>
            </w:r>
            <w:r>
              <w:rPr>
                <w:noProof/>
                <w:webHidden/>
              </w:rPr>
              <w:fldChar w:fldCharType="end"/>
            </w:r>
          </w:hyperlink>
        </w:p>
        <w:p w14:paraId="29D34A0F" w14:textId="39434A11"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30" w:history="1">
            <w:r w:rsidRPr="00F636B6">
              <w:rPr>
                <w:rStyle w:val="Hyperlink"/>
                <w:noProof/>
              </w:rPr>
              <w:t>Abstract</w:t>
            </w:r>
            <w:r>
              <w:rPr>
                <w:noProof/>
                <w:webHidden/>
              </w:rPr>
              <w:tab/>
            </w:r>
            <w:r>
              <w:rPr>
                <w:noProof/>
                <w:webHidden/>
              </w:rPr>
              <w:fldChar w:fldCharType="begin"/>
            </w:r>
            <w:r>
              <w:rPr>
                <w:noProof/>
                <w:webHidden/>
              </w:rPr>
              <w:instrText xml:space="preserve"> PAGEREF _Toc241413230 \h </w:instrText>
            </w:r>
            <w:r>
              <w:rPr>
                <w:noProof/>
                <w:webHidden/>
              </w:rPr>
            </w:r>
            <w:r>
              <w:rPr>
                <w:noProof/>
                <w:webHidden/>
              </w:rPr>
              <w:fldChar w:fldCharType="separate"/>
            </w:r>
            <w:r>
              <w:rPr>
                <w:noProof/>
                <w:webHidden/>
              </w:rPr>
              <w:t>11</w:t>
            </w:r>
            <w:r>
              <w:rPr>
                <w:noProof/>
                <w:webHidden/>
              </w:rPr>
              <w:fldChar w:fldCharType="end"/>
            </w:r>
          </w:hyperlink>
        </w:p>
        <w:p w14:paraId="29CCEB2E" w14:textId="130F89D1"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31" w:history="1">
            <w:r w:rsidRPr="00F636B6">
              <w:rPr>
                <w:rStyle w:val="Hyperlink"/>
                <w:noProof/>
              </w:rPr>
              <w:t>Introducción</w:t>
            </w:r>
            <w:r>
              <w:rPr>
                <w:noProof/>
                <w:webHidden/>
              </w:rPr>
              <w:tab/>
            </w:r>
            <w:r>
              <w:rPr>
                <w:noProof/>
                <w:webHidden/>
              </w:rPr>
              <w:fldChar w:fldCharType="begin"/>
            </w:r>
            <w:r>
              <w:rPr>
                <w:noProof/>
                <w:webHidden/>
              </w:rPr>
              <w:instrText xml:space="preserve"> PAGEREF _Toc241413231 \h </w:instrText>
            </w:r>
            <w:r>
              <w:rPr>
                <w:noProof/>
                <w:webHidden/>
              </w:rPr>
            </w:r>
            <w:r>
              <w:rPr>
                <w:noProof/>
                <w:webHidden/>
              </w:rPr>
              <w:fldChar w:fldCharType="separate"/>
            </w:r>
            <w:r>
              <w:rPr>
                <w:noProof/>
                <w:webHidden/>
              </w:rPr>
              <w:t>12</w:t>
            </w:r>
            <w:r>
              <w:rPr>
                <w:noProof/>
                <w:webHidden/>
              </w:rPr>
              <w:fldChar w:fldCharType="end"/>
            </w:r>
          </w:hyperlink>
        </w:p>
        <w:p w14:paraId="3567135C" w14:textId="2AA55247"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32" w:history="1">
            <w:r w:rsidRPr="00F636B6">
              <w:rPr>
                <w:rStyle w:val="Hyperlink"/>
                <w:noProof/>
              </w:rPr>
              <w:t>Capítulo 1. Problema, objetivos y diseño general de la investigación</w:t>
            </w:r>
            <w:r>
              <w:rPr>
                <w:noProof/>
                <w:webHidden/>
              </w:rPr>
              <w:tab/>
            </w:r>
            <w:r>
              <w:rPr>
                <w:noProof/>
                <w:webHidden/>
              </w:rPr>
              <w:fldChar w:fldCharType="begin"/>
            </w:r>
            <w:r>
              <w:rPr>
                <w:noProof/>
                <w:webHidden/>
              </w:rPr>
              <w:instrText xml:space="preserve"> PAGEREF _Toc241413232 \h </w:instrText>
            </w:r>
            <w:r>
              <w:rPr>
                <w:noProof/>
                <w:webHidden/>
              </w:rPr>
            </w:r>
            <w:r>
              <w:rPr>
                <w:noProof/>
                <w:webHidden/>
              </w:rPr>
              <w:fldChar w:fldCharType="separate"/>
            </w:r>
            <w:r>
              <w:rPr>
                <w:noProof/>
                <w:webHidden/>
              </w:rPr>
              <w:t>15</w:t>
            </w:r>
            <w:r>
              <w:rPr>
                <w:noProof/>
                <w:webHidden/>
              </w:rPr>
              <w:fldChar w:fldCharType="end"/>
            </w:r>
          </w:hyperlink>
        </w:p>
        <w:p w14:paraId="4E5E8D7B" w14:textId="26B561F9"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33" w:history="1">
            <w:r w:rsidRPr="00F636B6">
              <w:rPr>
                <w:rStyle w:val="Hyperlink"/>
                <w:noProof/>
              </w:rPr>
              <w:t>1.1 Problema de investigación</w:t>
            </w:r>
            <w:r>
              <w:rPr>
                <w:noProof/>
                <w:webHidden/>
              </w:rPr>
              <w:tab/>
            </w:r>
            <w:r>
              <w:rPr>
                <w:noProof/>
                <w:webHidden/>
              </w:rPr>
              <w:fldChar w:fldCharType="begin"/>
            </w:r>
            <w:r>
              <w:rPr>
                <w:noProof/>
                <w:webHidden/>
              </w:rPr>
              <w:instrText xml:space="preserve"> PAGEREF _Toc241413233 \h </w:instrText>
            </w:r>
            <w:r>
              <w:rPr>
                <w:noProof/>
                <w:webHidden/>
              </w:rPr>
            </w:r>
            <w:r>
              <w:rPr>
                <w:noProof/>
                <w:webHidden/>
              </w:rPr>
              <w:fldChar w:fldCharType="separate"/>
            </w:r>
            <w:r>
              <w:rPr>
                <w:noProof/>
                <w:webHidden/>
              </w:rPr>
              <w:t>15</w:t>
            </w:r>
            <w:r>
              <w:rPr>
                <w:noProof/>
                <w:webHidden/>
              </w:rPr>
              <w:fldChar w:fldCharType="end"/>
            </w:r>
          </w:hyperlink>
        </w:p>
        <w:p w14:paraId="1C669874" w14:textId="18D8F433"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34" w:history="1">
            <w:r w:rsidRPr="00F636B6">
              <w:rPr>
                <w:rStyle w:val="Hyperlink"/>
                <w:noProof/>
              </w:rPr>
              <w:t>1.2 Justificación científica y práctica</w:t>
            </w:r>
            <w:r>
              <w:rPr>
                <w:noProof/>
                <w:webHidden/>
              </w:rPr>
              <w:tab/>
            </w:r>
            <w:r>
              <w:rPr>
                <w:noProof/>
                <w:webHidden/>
              </w:rPr>
              <w:fldChar w:fldCharType="begin"/>
            </w:r>
            <w:r>
              <w:rPr>
                <w:noProof/>
                <w:webHidden/>
              </w:rPr>
              <w:instrText xml:space="preserve"> PAGEREF _Toc241413234 \h </w:instrText>
            </w:r>
            <w:r>
              <w:rPr>
                <w:noProof/>
                <w:webHidden/>
              </w:rPr>
            </w:r>
            <w:r>
              <w:rPr>
                <w:noProof/>
                <w:webHidden/>
              </w:rPr>
              <w:fldChar w:fldCharType="separate"/>
            </w:r>
            <w:r>
              <w:rPr>
                <w:noProof/>
                <w:webHidden/>
              </w:rPr>
              <w:t>16</w:t>
            </w:r>
            <w:r>
              <w:rPr>
                <w:noProof/>
                <w:webHidden/>
              </w:rPr>
              <w:fldChar w:fldCharType="end"/>
            </w:r>
          </w:hyperlink>
        </w:p>
        <w:p w14:paraId="26F35BC8" w14:textId="340A60D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35" w:history="1">
            <w:r w:rsidRPr="00F636B6">
              <w:rPr>
                <w:rStyle w:val="Hyperlink"/>
                <w:noProof/>
              </w:rPr>
              <w:t>1.3 Objetivos e hipótesis</w:t>
            </w:r>
            <w:r>
              <w:rPr>
                <w:noProof/>
                <w:webHidden/>
              </w:rPr>
              <w:tab/>
            </w:r>
            <w:r>
              <w:rPr>
                <w:noProof/>
                <w:webHidden/>
              </w:rPr>
              <w:fldChar w:fldCharType="begin"/>
            </w:r>
            <w:r>
              <w:rPr>
                <w:noProof/>
                <w:webHidden/>
              </w:rPr>
              <w:instrText xml:space="preserve"> PAGEREF _Toc241413235 \h </w:instrText>
            </w:r>
            <w:r>
              <w:rPr>
                <w:noProof/>
                <w:webHidden/>
              </w:rPr>
            </w:r>
            <w:r>
              <w:rPr>
                <w:noProof/>
                <w:webHidden/>
              </w:rPr>
              <w:fldChar w:fldCharType="separate"/>
            </w:r>
            <w:r>
              <w:rPr>
                <w:noProof/>
                <w:webHidden/>
              </w:rPr>
              <w:t>18</w:t>
            </w:r>
            <w:r>
              <w:rPr>
                <w:noProof/>
                <w:webHidden/>
              </w:rPr>
              <w:fldChar w:fldCharType="end"/>
            </w:r>
          </w:hyperlink>
        </w:p>
        <w:p w14:paraId="6114BFA0" w14:textId="6B8726C5"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36" w:history="1">
            <w:r w:rsidRPr="00F636B6">
              <w:rPr>
                <w:rStyle w:val="Hyperlink"/>
                <w:noProof/>
              </w:rPr>
              <w:t>1.3.1 Objetivo general</w:t>
            </w:r>
            <w:r>
              <w:rPr>
                <w:noProof/>
                <w:webHidden/>
              </w:rPr>
              <w:tab/>
            </w:r>
            <w:r>
              <w:rPr>
                <w:noProof/>
                <w:webHidden/>
              </w:rPr>
              <w:fldChar w:fldCharType="begin"/>
            </w:r>
            <w:r>
              <w:rPr>
                <w:noProof/>
                <w:webHidden/>
              </w:rPr>
              <w:instrText xml:space="preserve"> PAGEREF _Toc241413236 \h </w:instrText>
            </w:r>
            <w:r>
              <w:rPr>
                <w:noProof/>
                <w:webHidden/>
              </w:rPr>
            </w:r>
            <w:r>
              <w:rPr>
                <w:noProof/>
                <w:webHidden/>
              </w:rPr>
              <w:fldChar w:fldCharType="separate"/>
            </w:r>
            <w:r>
              <w:rPr>
                <w:noProof/>
                <w:webHidden/>
              </w:rPr>
              <w:t>18</w:t>
            </w:r>
            <w:r>
              <w:rPr>
                <w:noProof/>
                <w:webHidden/>
              </w:rPr>
              <w:fldChar w:fldCharType="end"/>
            </w:r>
          </w:hyperlink>
        </w:p>
        <w:p w14:paraId="74085143" w14:textId="5597148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37" w:history="1">
            <w:r w:rsidRPr="00F636B6">
              <w:rPr>
                <w:rStyle w:val="Hyperlink"/>
                <w:noProof/>
              </w:rPr>
              <w:t>1.3.2 Objetivos específicos</w:t>
            </w:r>
            <w:r>
              <w:rPr>
                <w:noProof/>
                <w:webHidden/>
              </w:rPr>
              <w:tab/>
            </w:r>
            <w:r>
              <w:rPr>
                <w:noProof/>
                <w:webHidden/>
              </w:rPr>
              <w:fldChar w:fldCharType="begin"/>
            </w:r>
            <w:r>
              <w:rPr>
                <w:noProof/>
                <w:webHidden/>
              </w:rPr>
              <w:instrText xml:space="preserve"> PAGEREF _Toc241413237 \h </w:instrText>
            </w:r>
            <w:r>
              <w:rPr>
                <w:noProof/>
                <w:webHidden/>
              </w:rPr>
            </w:r>
            <w:r>
              <w:rPr>
                <w:noProof/>
                <w:webHidden/>
              </w:rPr>
              <w:fldChar w:fldCharType="separate"/>
            </w:r>
            <w:r>
              <w:rPr>
                <w:noProof/>
                <w:webHidden/>
              </w:rPr>
              <w:t>18</w:t>
            </w:r>
            <w:r>
              <w:rPr>
                <w:noProof/>
                <w:webHidden/>
              </w:rPr>
              <w:fldChar w:fldCharType="end"/>
            </w:r>
          </w:hyperlink>
        </w:p>
        <w:p w14:paraId="7E226601" w14:textId="34834D7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38" w:history="1">
            <w:r w:rsidRPr="00F636B6">
              <w:rPr>
                <w:rStyle w:val="Hyperlink"/>
                <w:noProof/>
              </w:rPr>
              <w:t>1.3.3 Nomenclatura de los estudios</w:t>
            </w:r>
            <w:r>
              <w:rPr>
                <w:noProof/>
                <w:webHidden/>
              </w:rPr>
              <w:tab/>
            </w:r>
            <w:r>
              <w:rPr>
                <w:noProof/>
                <w:webHidden/>
              </w:rPr>
              <w:fldChar w:fldCharType="begin"/>
            </w:r>
            <w:r>
              <w:rPr>
                <w:noProof/>
                <w:webHidden/>
              </w:rPr>
              <w:instrText xml:space="preserve"> PAGEREF _Toc241413238 \h </w:instrText>
            </w:r>
            <w:r>
              <w:rPr>
                <w:noProof/>
                <w:webHidden/>
              </w:rPr>
            </w:r>
            <w:r>
              <w:rPr>
                <w:noProof/>
                <w:webHidden/>
              </w:rPr>
              <w:fldChar w:fldCharType="separate"/>
            </w:r>
            <w:r>
              <w:rPr>
                <w:noProof/>
                <w:webHidden/>
              </w:rPr>
              <w:t>19</w:t>
            </w:r>
            <w:r>
              <w:rPr>
                <w:noProof/>
                <w:webHidden/>
              </w:rPr>
              <w:fldChar w:fldCharType="end"/>
            </w:r>
          </w:hyperlink>
        </w:p>
        <w:p w14:paraId="08B03F82" w14:textId="1DDB11D9"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39" w:history="1">
            <w:r w:rsidRPr="00F636B6">
              <w:rPr>
                <w:rStyle w:val="Hyperlink"/>
                <w:noProof/>
              </w:rPr>
              <w:t>1.3.4 Hipótesis o proposiciones de trabajo</w:t>
            </w:r>
            <w:r>
              <w:rPr>
                <w:noProof/>
                <w:webHidden/>
              </w:rPr>
              <w:tab/>
            </w:r>
            <w:r>
              <w:rPr>
                <w:noProof/>
                <w:webHidden/>
              </w:rPr>
              <w:fldChar w:fldCharType="begin"/>
            </w:r>
            <w:r>
              <w:rPr>
                <w:noProof/>
                <w:webHidden/>
              </w:rPr>
              <w:instrText xml:space="preserve"> PAGEREF _Toc241413239 \h </w:instrText>
            </w:r>
            <w:r>
              <w:rPr>
                <w:noProof/>
                <w:webHidden/>
              </w:rPr>
            </w:r>
            <w:r>
              <w:rPr>
                <w:noProof/>
                <w:webHidden/>
              </w:rPr>
              <w:fldChar w:fldCharType="separate"/>
            </w:r>
            <w:r>
              <w:rPr>
                <w:noProof/>
                <w:webHidden/>
              </w:rPr>
              <w:t>20</w:t>
            </w:r>
            <w:r>
              <w:rPr>
                <w:noProof/>
                <w:webHidden/>
              </w:rPr>
              <w:fldChar w:fldCharType="end"/>
            </w:r>
          </w:hyperlink>
        </w:p>
        <w:p w14:paraId="6C811D8A" w14:textId="0DD068F3"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40" w:history="1">
            <w:r w:rsidRPr="00F636B6">
              <w:rPr>
                <w:rStyle w:val="Hyperlink"/>
                <w:noProof/>
              </w:rPr>
              <w:t>1.4 Metodología general de la investigación</w:t>
            </w:r>
            <w:r>
              <w:rPr>
                <w:noProof/>
                <w:webHidden/>
              </w:rPr>
              <w:tab/>
            </w:r>
            <w:r>
              <w:rPr>
                <w:noProof/>
                <w:webHidden/>
              </w:rPr>
              <w:fldChar w:fldCharType="begin"/>
            </w:r>
            <w:r>
              <w:rPr>
                <w:noProof/>
                <w:webHidden/>
              </w:rPr>
              <w:instrText xml:space="preserve"> PAGEREF _Toc241413240 \h </w:instrText>
            </w:r>
            <w:r>
              <w:rPr>
                <w:noProof/>
                <w:webHidden/>
              </w:rPr>
            </w:r>
            <w:r>
              <w:rPr>
                <w:noProof/>
                <w:webHidden/>
              </w:rPr>
              <w:fldChar w:fldCharType="separate"/>
            </w:r>
            <w:r>
              <w:rPr>
                <w:noProof/>
                <w:webHidden/>
              </w:rPr>
              <w:t>22</w:t>
            </w:r>
            <w:r>
              <w:rPr>
                <w:noProof/>
                <w:webHidden/>
              </w:rPr>
              <w:fldChar w:fldCharType="end"/>
            </w:r>
          </w:hyperlink>
        </w:p>
        <w:p w14:paraId="305723A1" w14:textId="15B897C5"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1" w:history="1">
            <w:r w:rsidRPr="00F636B6">
              <w:rPr>
                <w:rStyle w:val="Hyperlink"/>
                <w:noProof/>
              </w:rPr>
              <w:t>1.4.1 Enfoque</w:t>
            </w:r>
            <w:r>
              <w:rPr>
                <w:noProof/>
                <w:webHidden/>
              </w:rPr>
              <w:tab/>
            </w:r>
            <w:r>
              <w:rPr>
                <w:noProof/>
                <w:webHidden/>
              </w:rPr>
              <w:fldChar w:fldCharType="begin"/>
            </w:r>
            <w:r>
              <w:rPr>
                <w:noProof/>
                <w:webHidden/>
              </w:rPr>
              <w:instrText xml:space="preserve"> PAGEREF _Toc241413241 \h </w:instrText>
            </w:r>
            <w:r>
              <w:rPr>
                <w:noProof/>
                <w:webHidden/>
              </w:rPr>
            </w:r>
            <w:r>
              <w:rPr>
                <w:noProof/>
                <w:webHidden/>
              </w:rPr>
              <w:fldChar w:fldCharType="separate"/>
            </w:r>
            <w:r>
              <w:rPr>
                <w:noProof/>
                <w:webHidden/>
              </w:rPr>
              <w:t>22</w:t>
            </w:r>
            <w:r>
              <w:rPr>
                <w:noProof/>
                <w:webHidden/>
              </w:rPr>
              <w:fldChar w:fldCharType="end"/>
            </w:r>
          </w:hyperlink>
        </w:p>
        <w:p w14:paraId="19FEB1EE" w14:textId="3B814476"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2" w:history="1">
            <w:r w:rsidRPr="00F636B6">
              <w:rPr>
                <w:rStyle w:val="Hyperlink"/>
                <w:noProof/>
              </w:rPr>
              <w:t>1.4.2 Tipo de investigación</w:t>
            </w:r>
            <w:r>
              <w:rPr>
                <w:noProof/>
                <w:webHidden/>
              </w:rPr>
              <w:tab/>
            </w:r>
            <w:r>
              <w:rPr>
                <w:noProof/>
                <w:webHidden/>
              </w:rPr>
              <w:fldChar w:fldCharType="begin"/>
            </w:r>
            <w:r>
              <w:rPr>
                <w:noProof/>
                <w:webHidden/>
              </w:rPr>
              <w:instrText xml:space="preserve"> PAGEREF _Toc241413242 \h </w:instrText>
            </w:r>
            <w:r>
              <w:rPr>
                <w:noProof/>
                <w:webHidden/>
              </w:rPr>
            </w:r>
            <w:r>
              <w:rPr>
                <w:noProof/>
                <w:webHidden/>
              </w:rPr>
              <w:fldChar w:fldCharType="separate"/>
            </w:r>
            <w:r>
              <w:rPr>
                <w:noProof/>
                <w:webHidden/>
              </w:rPr>
              <w:t>22</w:t>
            </w:r>
            <w:r>
              <w:rPr>
                <w:noProof/>
                <w:webHidden/>
              </w:rPr>
              <w:fldChar w:fldCharType="end"/>
            </w:r>
          </w:hyperlink>
        </w:p>
        <w:p w14:paraId="5AFCB427" w14:textId="62D0EA06"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3" w:history="1">
            <w:r w:rsidRPr="00F636B6">
              <w:rPr>
                <w:rStyle w:val="Hyperlink"/>
                <w:noProof/>
              </w:rPr>
              <w:t>1.4.3 Universo y contexto experimental</w:t>
            </w:r>
            <w:r>
              <w:rPr>
                <w:noProof/>
                <w:webHidden/>
              </w:rPr>
              <w:tab/>
            </w:r>
            <w:r>
              <w:rPr>
                <w:noProof/>
                <w:webHidden/>
              </w:rPr>
              <w:fldChar w:fldCharType="begin"/>
            </w:r>
            <w:r>
              <w:rPr>
                <w:noProof/>
                <w:webHidden/>
              </w:rPr>
              <w:instrText xml:space="preserve"> PAGEREF _Toc241413243 \h </w:instrText>
            </w:r>
            <w:r>
              <w:rPr>
                <w:noProof/>
                <w:webHidden/>
              </w:rPr>
            </w:r>
            <w:r>
              <w:rPr>
                <w:noProof/>
                <w:webHidden/>
              </w:rPr>
              <w:fldChar w:fldCharType="separate"/>
            </w:r>
            <w:r>
              <w:rPr>
                <w:noProof/>
                <w:webHidden/>
              </w:rPr>
              <w:t>22</w:t>
            </w:r>
            <w:r>
              <w:rPr>
                <w:noProof/>
                <w:webHidden/>
              </w:rPr>
              <w:fldChar w:fldCharType="end"/>
            </w:r>
          </w:hyperlink>
        </w:p>
        <w:p w14:paraId="2B981AF4" w14:textId="675DD18C"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4" w:history="1">
            <w:r w:rsidRPr="00F636B6">
              <w:rPr>
                <w:rStyle w:val="Hyperlink"/>
                <w:noProof/>
              </w:rPr>
              <w:t>1.4.4 Muestra de datasets, modelos y métodos XAI</w:t>
            </w:r>
            <w:r>
              <w:rPr>
                <w:noProof/>
                <w:webHidden/>
              </w:rPr>
              <w:tab/>
            </w:r>
            <w:r>
              <w:rPr>
                <w:noProof/>
                <w:webHidden/>
              </w:rPr>
              <w:fldChar w:fldCharType="begin"/>
            </w:r>
            <w:r>
              <w:rPr>
                <w:noProof/>
                <w:webHidden/>
              </w:rPr>
              <w:instrText xml:space="preserve"> PAGEREF _Toc241413244 \h </w:instrText>
            </w:r>
            <w:r>
              <w:rPr>
                <w:noProof/>
                <w:webHidden/>
              </w:rPr>
            </w:r>
            <w:r>
              <w:rPr>
                <w:noProof/>
                <w:webHidden/>
              </w:rPr>
              <w:fldChar w:fldCharType="separate"/>
            </w:r>
            <w:r>
              <w:rPr>
                <w:noProof/>
                <w:webHidden/>
              </w:rPr>
              <w:t>22</w:t>
            </w:r>
            <w:r>
              <w:rPr>
                <w:noProof/>
                <w:webHidden/>
              </w:rPr>
              <w:fldChar w:fldCharType="end"/>
            </w:r>
          </w:hyperlink>
        </w:p>
        <w:p w14:paraId="054ED3DE" w14:textId="5BD64889"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5" w:history="1">
            <w:r w:rsidRPr="00F636B6">
              <w:rPr>
                <w:rStyle w:val="Hyperlink"/>
                <w:noProof/>
              </w:rPr>
              <w:t>1.4.5 Criterios de inclusión y exclusión</w:t>
            </w:r>
            <w:r>
              <w:rPr>
                <w:noProof/>
                <w:webHidden/>
              </w:rPr>
              <w:tab/>
            </w:r>
            <w:r>
              <w:rPr>
                <w:noProof/>
                <w:webHidden/>
              </w:rPr>
              <w:fldChar w:fldCharType="begin"/>
            </w:r>
            <w:r>
              <w:rPr>
                <w:noProof/>
                <w:webHidden/>
              </w:rPr>
              <w:instrText xml:space="preserve"> PAGEREF _Toc241413245 \h </w:instrText>
            </w:r>
            <w:r>
              <w:rPr>
                <w:noProof/>
                <w:webHidden/>
              </w:rPr>
            </w:r>
            <w:r>
              <w:rPr>
                <w:noProof/>
                <w:webHidden/>
              </w:rPr>
              <w:fldChar w:fldCharType="separate"/>
            </w:r>
            <w:r>
              <w:rPr>
                <w:noProof/>
                <w:webHidden/>
              </w:rPr>
              <w:t>23</w:t>
            </w:r>
            <w:r>
              <w:rPr>
                <w:noProof/>
                <w:webHidden/>
              </w:rPr>
              <w:fldChar w:fldCharType="end"/>
            </w:r>
          </w:hyperlink>
        </w:p>
        <w:p w14:paraId="3C229B3A" w14:textId="73FC55B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6" w:history="1">
            <w:r w:rsidRPr="00F636B6">
              <w:rPr>
                <w:rStyle w:val="Hyperlink"/>
                <w:noProof/>
              </w:rPr>
              <w:t>1.4.6 Variables, dimensiones y métricas</w:t>
            </w:r>
            <w:r>
              <w:rPr>
                <w:noProof/>
                <w:webHidden/>
              </w:rPr>
              <w:tab/>
            </w:r>
            <w:r>
              <w:rPr>
                <w:noProof/>
                <w:webHidden/>
              </w:rPr>
              <w:fldChar w:fldCharType="begin"/>
            </w:r>
            <w:r>
              <w:rPr>
                <w:noProof/>
                <w:webHidden/>
              </w:rPr>
              <w:instrText xml:space="preserve"> PAGEREF _Toc241413246 \h </w:instrText>
            </w:r>
            <w:r>
              <w:rPr>
                <w:noProof/>
                <w:webHidden/>
              </w:rPr>
            </w:r>
            <w:r>
              <w:rPr>
                <w:noProof/>
                <w:webHidden/>
              </w:rPr>
              <w:fldChar w:fldCharType="separate"/>
            </w:r>
            <w:r>
              <w:rPr>
                <w:noProof/>
                <w:webHidden/>
              </w:rPr>
              <w:t>24</w:t>
            </w:r>
            <w:r>
              <w:rPr>
                <w:noProof/>
                <w:webHidden/>
              </w:rPr>
              <w:fldChar w:fldCharType="end"/>
            </w:r>
          </w:hyperlink>
        </w:p>
        <w:p w14:paraId="16A9E706" w14:textId="40144071"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47" w:history="1">
            <w:r w:rsidRPr="00F636B6">
              <w:rPr>
                <w:rStyle w:val="Hyperlink"/>
                <w:noProof/>
              </w:rPr>
              <w:t>1.4.7 Estrategia procedimental</w:t>
            </w:r>
            <w:r>
              <w:rPr>
                <w:noProof/>
                <w:webHidden/>
              </w:rPr>
              <w:tab/>
            </w:r>
            <w:r>
              <w:rPr>
                <w:noProof/>
                <w:webHidden/>
              </w:rPr>
              <w:fldChar w:fldCharType="begin"/>
            </w:r>
            <w:r>
              <w:rPr>
                <w:noProof/>
                <w:webHidden/>
              </w:rPr>
              <w:instrText xml:space="preserve"> PAGEREF _Toc241413247 \h </w:instrText>
            </w:r>
            <w:r>
              <w:rPr>
                <w:noProof/>
                <w:webHidden/>
              </w:rPr>
            </w:r>
            <w:r>
              <w:rPr>
                <w:noProof/>
                <w:webHidden/>
              </w:rPr>
              <w:fldChar w:fldCharType="separate"/>
            </w:r>
            <w:r>
              <w:rPr>
                <w:noProof/>
                <w:webHidden/>
              </w:rPr>
              <w:t>24</w:t>
            </w:r>
            <w:r>
              <w:rPr>
                <w:noProof/>
                <w:webHidden/>
              </w:rPr>
              <w:fldChar w:fldCharType="end"/>
            </w:r>
          </w:hyperlink>
        </w:p>
        <w:p w14:paraId="0F109AB0" w14:textId="638947FD"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48" w:history="1">
            <w:r w:rsidRPr="00F636B6">
              <w:rPr>
                <w:rStyle w:val="Hyperlink"/>
                <w:noProof/>
              </w:rPr>
              <w:t>Capítulo 2. Marco teórico específico / fundamentos conceptuales</w:t>
            </w:r>
            <w:r>
              <w:rPr>
                <w:noProof/>
                <w:webHidden/>
              </w:rPr>
              <w:tab/>
            </w:r>
            <w:r>
              <w:rPr>
                <w:noProof/>
                <w:webHidden/>
              </w:rPr>
              <w:fldChar w:fldCharType="begin"/>
            </w:r>
            <w:r>
              <w:rPr>
                <w:noProof/>
                <w:webHidden/>
              </w:rPr>
              <w:instrText xml:space="preserve"> PAGEREF _Toc241413248 \h </w:instrText>
            </w:r>
            <w:r>
              <w:rPr>
                <w:noProof/>
                <w:webHidden/>
              </w:rPr>
            </w:r>
            <w:r>
              <w:rPr>
                <w:noProof/>
                <w:webHidden/>
              </w:rPr>
              <w:fldChar w:fldCharType="separate"/>
            </w:r>
            <w:r>
              <w:rPr>
                <w:noProof/>
                <w:webHidden/>
              </w:rPr>
              <w:t>26</w:t>
            </w:r>
            <w:r>
              <w:rPr>
                <w:noProof/>
                <w:webHidden/>
              </w:rPr>
              <w:fldChar w:fldCharType="end"/>
            </w:r>
          </w:hyperlink>
        </w:p>
        <w:p w14:paraId="0B0B0CAF" w14:textId="03DC1295"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49" w:history="1">
            <w:r w:rsidRPr="00F636B6">
              <w:rPr>
                <w:rStyle w:val="Hyperlink"/>
                <w:noProof/>
              </w:rPr>
              <w:t>2.1 Propósito del capítulo</w:t>
            </w:r>
            <w:r>
              <w:rPr>
                <w:noProof/>
                <w:webHidden/>
              </w:rPr>
              <w:tab/>
            </w:r>
            <w:r>
              <w:rPr>
                <w:noProof/>
                <w:webHidden/>
              </w:rPr>
              <w:fldChar w:fldCharType="begin"/>
            </w:r>
            <w:r>
              <w:rPr>
                <w:noProof/>
                <w:webHidden/>
              </w:rPr>
              <w:instrText xml:space="preserve"> PAGEREF _Toc241413249 \h </w:instrText>
            </w:r>
            <w:r>
              <w:rPr>
                <w:noProof/>
                <w:webHidden/>
              </w:rPr>
            </w:r>
            <w:r>
              <w:rPr>
                <w:noProof/>
                <w:webHidden/>
              </w:rPr>
              <w:fldChar w:fldCharType="separate"/>
            </w:r>
            <w:r>
              <w:rPr>
                <w:noProof/>
                <w:webHidden/>
              </w:rPr>
              <w:t>26</w:t>
            </w:r>
            <w:r>
              <w:rPr>
                <w:noProof/>
                <w:webHidden/>
              </w:rPr>
              <w:fldChar w:fldCharType="end"/>
            </w:r>
          </w:hyperlink>
        </w:p>
        <w:p w14:paraId="41F258A3" w14:textId="199F919D"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50" w:history="1">
            <w:r w:rsidRPr="00F636B6">
              <w:rPr>
                <w:rStyle w:val="Hyperlink"/>
                <w:noProof/>
              </w:rPr>
              <w:t>2.2 Desarrollo histórico de la interpretabilidad y la XAI</w:t>
            </w:r>
            <w:r>
              <w:rPr>
                <w:noProof/>
                <w:webHidden/>
              </w:rPr>
              <w:tab/>
            </w:r>
            <w:r>
              <w:rPr>
                <w:noProof/>
                <w:webHidden/>
              </w:rPr>
              <w:fldChar w:fldCharType="begin"/>
            </w:r>
            <w:r>
              <w:rPr>
                <w:noProof/>
                <w:webHidden/>
              </w:rPr>
              <w:instrText xml:space="preserve"> PAGEREF _Toc241413250 \h </w:instrText>
            </w:r>
            <w:r>
              <w:rPr>
                <w:noProof/>
                <w:webHidden/>
              </w:rPr>
            </w:r>
            <w:r>
              <w:rPr>
                <w:noProof/>
                <w:webHidden/>
              </w:rPr>
              <w:fldChar w:fldCharType="separate"/>
            </w:r>
            <w:r>
              <w:rPr>
                <w:noProof/>
                <w:webHidden/>
              </w:rPr>
              <w:t>26</w:t>
            </w:r>
            <w:r>
              <w:rPr>
                <w:noProof/>
                <w:webHidden/>
              </w:rPr>
              <w:fldChar w:fldCharType="end"/>
            </w:r>
          </w:hyperlink>
        </w:p>
        <w:p w14:paraId="093F2E80" w14:textId="7275072F"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51" w:history="1">
            <w:r w:rsidRPr="00F636B6">
              <w:rPr>
                <w:rStyle w:val="Hyperlink"/>
                <w:noProof/>
              </w:rPr>
              <w:t>2.3 Distinciones conceptuales fundamentales</w:t>
            </w:r>
            <w:r>
              <w:rPr>
                <w:noProof/>
                <w:webHidden/>
              </w:rPr>
              <w:tab/>
            </w:r>
            <w:r>
              <w:rPr>
                <w:noProof/>
                <w:webHidden/>
              </w:rPr>
              <w:fldChar w:fldCharType="begin"/>
            </w:r>
            <w:r>
              <w:rPr>
                <w:noProof/>
                <w:webHidden/>
              </w:rPr>
              <w:instrText xml:space="preserve"> PAGEREF _Toc241413251 \h </w:instrText>
            </w:r>
            <w:r>
              <w:rPr>
                <w:noProof/>
                <w:webHidden/>
              </w:rPr>
            </w:r>
            <w:r>
              <w:rPr>
                <w:noProof/>
                <w:webHidden/>
              </w:rPr>
              <w:fldChar w:fldCharType="separate"/>
            </w:r>
            <w:r>
              <w:rPr>
                <w:noProof/>
                <w:webHidden/>
              </w:rPr>
              <w:t>31</w:t>
            </w:r>
            <w:r>
              <w:rPr>
                <w:noProof/>
                <w:webHidden/>
              </w:rPr>
              <w:fldChar w:fldCharType="end"/>
            </w:r>
          </w:hyperlink>
        </w:p>
        <w:p w14:paraId="57E78A56" w14:textId="649C7B2A"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52" w:history="1">
            <w:r w:rsidRPr="00F636B6">
              <w:rPr>
                <w:rStyle w:val="Hyperlink"/>
                <w:noProof/>
              </w:rPr>
              <w:t>2.4 Métodos de explicación evaluados en esta tesis</w:t>
            </w:r>
            <w:r>
              <w:rPr>
                <w:noProof/>
                <w:webHidden/>
              </w:rPr>
              <w:tab/>
            </w:r>
            <w:r>
              <w:rPr>
                <w:noProof/>
                <w:webHidden/>
              </w:rPr>
              <w:fldChar w:fldCharType="begin"/>
            </w:r>
            <w:r>
              <w:rPr>
                <w:noProof/>
                <w:webHidden/>
              </w:rPr>
              <w:instrText xml:space="preserve"> PAGEREF _Toc241413252 \h </w:instrText>
            </w:r>
            <w:r>
              <w:rPr>
                <w:noProof/>
                <w:webHidden/>
              </w:rPr>
            </w:r>
            <w:r>
              <w:rPr>
                <w:noProof/>
                <w:webHidden/>
              </w:rPr>
              <w:fldChar w:fldCharType="separate"/>
            </w:r>
            <w:r>
              <w:rPr>
                <w:noProof/>
                <w:webHidden/>
              </w:rPr>
              <w:t>36</w:t>
            </w:r>
            <w:r>
              <w:rPr>
                <w:noProof/>
                <w:webHidden/>
              </w:rPr>
              <w:fldChar w:fldCharType="end"/>
            </w:r>
          </w:hyperlink>
        </w:p>
        <w:p w14:paraId="68B2FB07" w14:textId="18BD74B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3" w:history="1">
            <w:r w:rsidRPr="00F636B6">
              <w:rPr>
                <w:rStyle w:val="Hyperlink"/>
                <w:noProof/>
              </w:rPr>
              <w:t>2.4.1 LIME: sustitutos locales, muestreo e inestabilidad</w:t>
            </w:r>
            <w:r>
              <w:rPr>
                <w:noProof/>
                <w:webHidden/>
              </w:rPr>
              <w:tab/>
            </w:r>
            <w:r>
              <w:rPr>
                <w:noProof/>
                <w:webHidden/>
              </w:rPr>
              <w:fldChar w:fldCharType="begin"/>
            </w:r>
            <w:r>
              <w:rPr>
                <w:noProof/>
                <w:webHidden/>
              </w:rPr>
              <w:instrText xml:space="preserve"> PAGEREF _Toc241413253 \h </w:instrText>
            </w:r>
            <w:r>
              <w:rPr>
                <w:noProof/>
                <w:webHidden/>
              </w:rPr>
            </w:r>
            <w:r>
              <w:rPr>
                <w:noProof/>
                <w:webHidden/>
              </w:rPr>
              <w:fldChar w:fldCharType="separate"/>
            </w:r>
            <w:r>
              <w:rPr>
                <w:noProof/>
                <w:webHidden/>
              </w:rPr>
              <w:t>36</w:t>
            </w:r>
            <w:r>
              <w:rPr>
                <w:noProof/>
                <w:webHidden/>
              </w:rPr>
              <w:fldChar w:fldCharType="end"/>
            </w:r>
          </w:hyperlink>
        </w:p>
        <w:p w14:paraId="35552A10" w14:textId="6BEFFC75"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4" w:history="1">
            <w:r w:rsidRPr="00F636B6">
              <w:rPr>
                <w:rStyle w:val="Hyperlink"/>
                <w:noProof/>
              </w:rPr>
              <w:t>2.4.2 SHAP: valores de Shapley y atribución aditiva</w:t>
            </w:r>
            <w:r>
              <w:rPr>
                <w:noProof/>
                <w:webHidden/>
              </w:rPr>
              <w:tab/>
            </w:r>
            <w:r>
              <w:rPr>
                <w:noProof/>
                <w:webHidden/>
              </w:rPr>
              <w:fldChar w:fldCharType="begin"/>
            </w:r>
            <w:r>
              <w:rPr>
                <w:noProof/>
                <w:webHidden/>
              </w:rPr>
              <w:instrText xml:space="preserve"> PAGEREF _Toc241413254 \h </w:instrText>
            </w:r>
            <w:r>
              <w:rPr>
                <w:noProof/>
                <w:webHidden/>
              </w:rPr>
            </w:r>
            <w:r>
              <w:rPr>
                <w:noProof/>
                <w:webHidden/>
              </w:rPr>
              <w:fldChar w:fldCharType="separate"/>
            </w:r>
            <w:r>
              <w:rPr>
                <w:noProof/>
                <w:webHidden/>
              </w:rPr>
              <w:t>37</w:t>
            </w:r>
            <w:r>
              <w:rPr>
                <w:noProof/>
                <w:webHidden/>
              </w:rPr>
              <w:fldChar w:fldCharType="end"/>
            </w:r>
          </w:hyperlink>
        </w:p>
        <w:p w14:paraId="1F3B7E95" w14:textId="69450AFC"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5" w:history="1">
            <w:r w:rsidRPr="00F636B6">
              <w:rPr>
                <w:rStyle w:val="Hyperlink"/>
                <w:noProof/>
              </w:rPr>
              <w:t>2.4.3 Anchors: reglas de alta precisión y límites de cobertura</w:t>
            </w:r>
            <w:r>
              <w:rPr>
                <w:noProof/>
                <w:webHidden/>
              </w:rPr>
              <w:tab/>
            </w:r>
            <w:r>
              <w:rPr>
                <w:noProof/>
                <w:webHidden/>
              </w:rPr>
              <w:fldChar w:fldCharType="begin"/>
            </w:r>
            <w:r>
              <w:rPr>
                <w:noProof/>
                <w:webHidden/>
              </w:rPr>
              <w:instrText xml:space="preserve"> PAGEREF _Toc241413255 \h </w:instrText>
            </w:r>
            <w:r>
              <w:rPr>
                <w:noProof/>
                <w:webHidden/>
              </w:rPr>
            </w:r>
            <w:r>
              <w:rPr>
                <w:noProof/>
                <w:webHidden/>
              </w:rPr>
              <w:fldChar w:fldCharType="separate"/>
            </w:r>
            <w:r>
              <w:rPr>
                <w:noProof/>
                <w:webHidden/>
              </w:rPr>
              <w:t>39</w:t>
            </w:r>
            <w:r>
              <w:rPr>
                <w:noProof/>
                <w:webHidden/>
              </w:rPr>
              <w:fldChar w:fldCharType="end"/>
            </w:r>
          </w:hyperlink>
        </w:p>
        <w:p w14:paraId="4873DAA4" w14:textId="19855B0C"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6" w:history="1">
            <w:r w:rsidRPr="00F636B6">
              <w:rPr>
                <w:rStyle w:val="Hyperlink"/>
                <w:noProof/>
              </w:rPr>
              <w:t>2.4.4 DiCE: contrafactuales, accionabilidad y validez</w:t>
            </w:r>
            <w:r>
              <w:rPr>
                <w:noProof/>
                <w:webHidden/>
              </w:rPr>
              <w:tab/>
            </w:r>
            <w:r>
              <w:rPr>
                <w:noProof/>
                <w:webHidden/>
              </w:rPr>
              <w:fldChar w:fldCharType="begin"/>
            </w:r>
            <w:r>
              <w:rPr>
                <w:noProof/>
                <w:webHidden/>
              </w:rPr>
              <w:instrText xml:space="preserve"> PAGEREF _Toc241413256 \h </w:instrText>
            </w:r>
            <w:r>
              <w:rPr>
                <w:noProof/>
                <w:webHidden/>
              </w:rPr>
            </w:r>
            <w:r>
              <w:rPr>
                <w:noProof/>
                <w:webHidden/>
              </w:rPr>
              <w:fldChar w:fldCharType="separate"/>
            </w:r>
            <w:r>
              <w:rPr>
                <w:noProof/>
                <w:webHidden/>
              </w:rPr>
              <w:t>40</w:t>
            </w:r>
            <w:r>
              <w:rPr>
                <w:noProof/>
                <w:webHidden/>
              </w:rPr>
              <w:fldChar w:fldCharType="end"/>
            </w:r>
          </w:hyperlink>
        </w:p>
        <w:p w14:paraId="1F97AE7B" w14:textId="7BCF1B26"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57" w:history="1">
            <w:r w:rsidRPr="00F636B6">
              <w:rPr>
                <w:rStyle w:val="Hyperlink"/>
                <w:noProof/>
              </w:rPr>
              <w:t>2.5 Marcos y protocolos de evaluación XAI</w:t>
            </w:r>
            <w:r>
              <w:rPr>
                <w:noProof/>
                <w:webHidden/>
              </w:rPr>
              <w:tab/>
            </w:r>
            <w:r>
              <w:rPr>
                <w:noProof/>
                <w:webHidden/>
              </w:rPr>
              <w:fldChar w:fldCharType="begin"/>
            </w:r>
            <w:r>
              <w:rPr>
                <w:noProof/>
                <w:webHidden/>
              </w:rPr>
              <w:instrText xml:space="preserve"> PAGEREF _Toc241413257 \h </w:instrText>
            </w:r>
            <w:r>
              <w:rPr>
                <w:noProof/>
                <w:webHidden/>
              </w:rPr>
            </w:r>
            <w:r>
              <w:rPr>
                <w:noProof/>
                <w:webHidden/>
              </w:rPr>
              <w:fldChar w:fldCharType="separate"/>
            </w:r>
            <w:r>
              <w:rPr>
                <w:noProof/>
                <w:webHidden/>
              </w:rPr>
              <w:t>42</w:t>
            </w:r>
            <w:r>
              <w:rPr>
                <w:noProof/>
                <w:webHidden/>
              </w:rPr>
              <w:fldChar w:fldCharType="end"/>
            </w:r>
          </w:hyperlink>
        </w:p>
        <w:p w14:paraId="190D638D" w14:textId="77F4854D"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8" w:history="1">
            <w:r w:rsidRPr="00F636B6">
              <w:rPr>
                <w:rStyle w:val="Hyperlink"/>
                <w:noProof/>
              </w:rPr>
              <w:t>2.5.1 Evaluación human-centered: usuarios, tareas y calidad explicativa</w:t>
            </w:r>
            <w:r>
              <w:rPr>
                <w:noProof/>
                <w:webHidden/>
              </w:rPr>
              <w:tab/>
            </w:r>
            <w:r>
              <w:rPr>
                <w:noProof/>
                <w:webHidden/>
              </w:rPr>
              <w:fldChar w:fldCharType="begin"/>
            </w:r>
            <w:r>
              <w:rPr>
                <w:noProof/>
                <w:webHidden/>
              </w:rPr>
              <w:instrText xml:space="preserve"> PAGEREF _Toc241413258 \h </w:instrText>
            </w:r>
            <w:r>
              <w:rPr>
                <w:noProof/>
                <w:webHidden/>
              </w:rPr>
            </w:r>
            <w:r>
              <w:rPr>
                <w:noProof/>
                <w:webHidden/>
              </w:rPr>
              <w:fldChar w:fldCharType="separate"/>
            </w:r>
            <w:r>
              <w:rPr>
                <w:noProof/>
                <w:webHidden/>
              </w:rPr>
              <w:t>47</w:t>
            </w:r>
            <w:r>
              <w:rPr>
                <w:noProof/>
                <w:webHidden/>
              </w:rPr>
              <w:fldChar w:fldCharType="end"/>
            </w:r>
          </w:hyperlink>
        </w:p>
        <w:p w14:paraId="31B0DAE9" w14:textId="03D2EB46"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59" w:history="1">
            <w:r w:rsidRPr="00F636B6">
              <w:rPr>
                <w:rStyle w:val="Hyperlink"/>
                <w:noProof/>
              </w:rPr>
              <w:t>2.5.2 Reproducibilidad en XAI: crisis, causas y respuestas</w:t>
            </w:r>
            <w:r>
              <w:rPr>
                <w:noProof/>
                <w:webHidden/>
              </w:rPr>
              <w:tab/>
            </w:r>
            <w:r>
              <w:rPr>
                <w:noProof/>
                <w:webHidden/>
              </w:rPr>
              <w:fldChar w:fldCharType="begin"/>
            </w:r>
            <w:r>
              <w:rPr>
                <w:noProof/>
                <w:webHidden/>
              </w:rPr>
              <w:instrText xml:space="preserve"> PAGEREF _Toc241413259 \h </w:instrText>
            </w:r>
            <w:r>
              <w:rPr>
                <w:noProof/>
                <w:webHidden/>
              </w:rPr>
            </w:r>
            <w:r>
              <w:rPr>
                <w:noProof/>
                <w:webHidden/>
              </w:rPr>
              <w:fldChar w:fldCharType="separate"/>
            </w:r>
            <w:r>
              <w:rPr>
                <w:noProof/>
                <w:webHidden/>
              </w:rPr>
              <w:t>49</w:t>
            </w:r>
            <w:r>
              <w:rPr>
                <w:noProof/>
                <w:webHidden/>
              </w:rPr>
              <w:fldChar w:fldCharType="end"/>
            </w:r>
          </w:hyperlink>
        </w:p>
        <w:p w14:paraId="68CAE972" w14:textId="70BE89F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60" w:history="1">
            <w:r w:rsidRPr="00F636B6">
              <w:rPr>
                <w:rStyle w:val="Hyperlink"/>
                <w:noProof/>
              </w:rPr>
              <w:t>2.6 Taxonomias de métricas y brechas de constructo</w:t>
            </w:r>
            <w:r>
              <w:rPr>
                <w:noProof/>
                <w:webHidden/>
              </w:rPr>
              <w:tab/>
            </w:r>
            <w:r>
              <w:rPr>
                <w:noProof/>
                <w:webHidden/>
              </w:rPr>
              <w:fldChar w:fldCharType="begin"/>
            </w:r>
            <w:r>
              <w:rPr>
                <w:noProof/>
                <w:webHidden/>
              </w:rPr>
              <w:instrText xml:space="preserve"> PAGEREF _Toc241413260 \h </w:instrText>
            </w:r>
            <w:r>
              <w:rPr>
                <w:noProof/>
                <w:webHidden/>
              </w:rPr>
            </w:r>
            <w:r>
              <w:rPr>
                <w:noProof/>
                <w:webHidden/>
              </w:rPr>
              <w:fldChar w:fldCharType="separate"/>
            </w:r>
            <w:r>
              <w:rPr>
                <w:noProof/>
                <w:webHidden/>
              </w:rPr>
              <w:t>51</w:t>
            </w:r>
            <w:r>
              <w:rPr>
                <w:noProof/>
                <w:webHidden/>
              </w:rPr>
              <w:fldChar w:fldCharType="end"/>
            </w:r>
          </w:hyperlink>
        </w:p>
        <w:p w14:paraId="4B6A9B39" w14:textId="6C6AC995"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61" w:history="1">
            <w:r w:rsidRPr="00F636B6">
              <w:rPr>
                <w:rStyle w:val="Hyperlink"/>
                <w:noProof/>
              </w:rPr>
              <w:t>2.7 Reproducibilidad y trazabilidad en benchmarking XAI</w:t>
            </w:r>
            <w:r>
              <w:rPr>
                <w:noProof/>
                <w:webHidden/>
              </w:rPr>
              <w:tab/>
            </w:r>
            <w:r>
              <w:rPr>
                <w:noProof/>
                <w:webHidden/>
              </w:rPr>
              <w:fldChar w:fldCharType="begin"/>
            </w:r>
            <w:r>
              <w:rPr>
                <w:noProof/>
                <w:webHidden/>
              </w:rPr>
              <w:instrText xml:space="preserve"> PAGEREF _Toc241413261 \h </w:instrText>
            </w:r>
            <w:r>
              <w:rPr>
                <w:noProof/>
                <w:webHidden/>
              </w:rPr>
            </w:r>
            <w:r>
              <w:rPr>
                <w:noProof/>
                <w:webHidden/>
              </w:rPr>
              <w:fldChar w:fldCharType="separate"/>
            </w:r>
            <w:r>
              <w:rPr>
                <w:noProof/>
                <w:webHidden/>
              </w:rPr>
              <w:t>55</w:t>
            </w:r>
            <w:r>
              <w:rPr>
                <w:noProof/>
                <w:webHidden/>
              </w:rPr>
              <w:fldChar w:fldCharType="end"/>
            </w:r>
          </w:hyperlink>
        </w:p>
        <w:p w14:paraId="53D1A742" w14:textId="200BE16D"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62" w:history="1">
            <w:r w:rsidRPr="00F636B6">
              <w:rPr>
                <w:rStyle w:val="Hyperlink"/>
                <w:noProof/>
              </w:rPr>
              <w:t>2.8 Síntesis crítica: justificación de FOM-7</w:t>
            </w:r>
            <w:r>
              <w:rPr>
                <w:noProof/>
                <w:webHidden/>
              </w:rPr>
              <w:tab/>
            </w:r>
            <w:r>
              <w:rPr>
                <w:noProof/>
                <w:webHidden/>
              </w:rPr>
              <w:fldChar w:fldCharType="begin"/>
            </w:r>
            <w:r>
              <w:rPr>
                <w:noProof/>
                <w:webHidden/>
              </w:rPr>
              <w:instrText xml:space="preserve"> PAGEREF _Toc241413262 \h </w:instrText>
            </w:r>
            <w:r>
              <w:rPr>
                <w:noProof/>
                <w:webHidden/>
              </w:rPr>
            </w:r>
            <w:r>
              <w:rPr>
                <w:noProof/>
                <w:webHidden/>
              </w:rPr>
              <w:fldChar w:fldCharType="separate"/>
            </w:r>
            <w:r>
              <w:rPr>
                <w:noProof/>
                <w:webHidden/>
              </w:rPr>
              <w:t>57</w:t>
            </w:r>
            <w:r>
              <w:rPr>
                <w:noProof/>
                <w:webHidden/>
              </w:rPr>
              <w:fldChar w:fldCharType="end"/>
            </w:r>
          </w:hyperlink>
        </w:p>
        <w:p w14:paraId="2D0A68BE" w14:textId="1600036D"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63" w:history="1">
            <w:r w:rsidRPr="00F636B6">
              <w:rPr>
                <w:rStyle w:val="Hyperlink"/>
                <w:noProof/>
              </w:rPr>
              <w:t>Capítulo 3. Marco empírico y diseño experimental</w:t>
            </w:r>
            <w:r>
              <w:rPr>
                <w:noProof/>
                <w:webHidden/>
              </w:rPr>
              <w:tab/>
            </w:r>
            <w:r>
              <w:rPr>
                <w:noProof/>
                <w:webHidden/>
              </w:rPr>
              <w:fldChar w:fldCharType="begin"/>
            </w:r>
            <w:r>
              <w:rPr>
                <w:noProof/>
                <w:webHidden/>
              </w:rPr>
              <w:instrText xml:space="preserve"> PAGEREF _Toc241413263 \h </w:instrText>
            </w:r>
            <w:r>
              <w:rPr>
                <w:noProof/>
                <w:webHidden/>
              </w:rPr>
            </w:r>
            <w:r>
              <w:rPr>
                <w:noProof/>
                <w:webHidden/>
              </w:rPr>
              <w:fldChar w:fldCharType="separate"/>
            </w:r>
            <w:r>
              <w:rPr>
                <w:noProof/>
                <w:webHidden/>
              </w:rPr>
              <w:t>60</w:t>
            </w:r>
            <w:r>
              <w:rPr>
                <w:noProof/>
                <w:webHidden/>
              </w:rPr>
              <w:fldChar w:fldCharType="end"/>
            </w:r>
          </w:hyperlink>
        </w:p>
        <w:p w14:paraId="03610BBB" w14:textId="483CCC50"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64" w:history="1">
            <w:r w:rsidRPr="00F636B6">
              <w:rPr>
                <w:rStyle w:val="Hyperlink"/>
                <w:noProof/>
              </w:rPr>
              <w:t>3.1 Fases experimentales: EXP1 y EXP2</w:t>
            </w:r>
            <w:r>
              <w:rPr>
                <w:noProof/>
                <w:webHidden/>
              </w:rPr>
              <w:tab/>
            </w:r>
            <w:r>
              <w:rPr>
                <w:noProof/>
                <w:webHidden/>
              </w:rPr>
              <w:fldChar w:fldCharType="begin"/>
            </w:r>
            <w:r>
              <w:rPr>
                <w:noProof/>
                <w:webHidden/>
              </w:rPr>
              <w:instrText xml:space="preserve"> PAGEREF _Toc241413264 \h </w:instrText>
            </w:r>
            <w:r>
              <w:rPr>
                <w:noProof/>
                <w:webHidden/>
              </w:rPr>
            </w:r>
            <w:r>
              <w:rPr>
                <w:noProof/>
                <w:webHidden/>
              </w:rPr>
              <w:fldChar w:fldCharType="separate"/>
            </w:r>
            <w:r>
              <w:rPr>
                <w:noProof/>
                <w:webHidden/>
              </w:rPr>
              <w:t>61</w:t>
            </w:r>
            <w:r>
              <w:rPr>
                <w:noProof/>
                <w:webHidden/>
              </w:rPr>
              <w:fldChar w:fldCharType="end"/>
            </w:r>
          </w:hyperlink>
        </w:p>
        <w:p w14:paraId="3D0BBC15" w14:textId="6F68AF93"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65" w:history="1">
            <w:r w:rsidRPr="00F636B6">
              <w:rPr>
                <w:rStyle w:val="Hyperlink"/>
                <w:noProof/>
              </w:rPr>
              <w:t>3.1.1 Fase de calibración y reproducibilidad (EXP1)</w:t>
            </w:r>
            <w:r>
              <w:rPr>
                <w:noProof/>
                <w:webHidden/>
              </w:rPr>
              <w:tab/>
            </w:r>
            <w:r>
              <w:rPr>
                <w:noProof/>
                <w:webHidden/>
              </w:rPr>
              <w:fldChar w:fldCharType="begin"/>
            </w:r>
            <w:r>
              <w:rPr>
                <w:noProof/>
                <w:webHidden/>
              </w:rPr>
              <w:instrText xml:space="preserve"> PAGEREF _Toc241413265 \h </w:instrText>
            </w:r>
            <w:r>
              <w:rPr>
                <w:noProof/>
                <w:webHidden/>
              </w:rPr>
            </w:r>
            <w:r>
              <w:rPr>
                <w:noProof/>
                <w:webHidden/>
              </w:rPr>
              <w:fldChar w:fldCharType="separate"/>
            </w:r>
            <w:r>
              <w:rPr>
                <w:noProof/>
                <w:webHidden/>
              </w:rPr>
              <w:t>61</w:t>
            </w:r>
            <w:r>
              <w:rPr>
                <w:noProof/>
                <w:webHidden/>
              </w:rPr>
              <w:fldChar w:fldCharType="end"/>
            </w:r>
          </w:hyperlink>
        </w:p>
        <w:p w14:paraId="063B3F7C" w14:textId="78FC2FB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66" w:history="1">
            <w:r w:rsidRPr="00F636B6">
              <w:rPr>
                <w:rStyle w:val="Hyperlink"/>
                <w:noProof/>
              </w:rPr>
              <w:t>3.1.2 Fase de benchmark primario de robustez (EXP2)</w:t>
            </w:r>
            <w:r>
              <w:rPr>
                <w:noProof/>
                <w:webHidden/>
              </w:rPr>
              <w:tab/>
            </w:r>
            <w:r>
              <w:rPr>
                <w:noProof/>
                <w:webHidden/>
              </w:rPr>
              <w:fldChar w:fldCharType="begin"/>
            </w:r>
            <w:r>
              <w:rPr>
                <w:noProof/>
                <w:webHidden/>
              </w:rPr>
              <w:instrText xml:space="preserve"> PAGEREF _Toc241413266 \h </w:instrText>
            </w:r>
            <w:r>
              <w:rPr>
                <w:noProof/>
                <w:webHidden/>
              </w:rPr>
            </w:r>
            <w:r>
              <w:rPr>
                <w:noProof/>
                <w:webHidden/>
              </w:rPr>
              <w:fldChar w:fldCharType="separate"/>
            </w:r>
            <w:r>
              <w:rPr>
                <w:noProof/>
                <w:webHidden/>
              </w:rPr>
              <w:t>63</w:t>
            </w:r>
            <w:r>
              <w:rPr>
                <w:noProof/>
                <w:webHidden/>
              </w:rPr>
              <w:fldChar w:fldCharType="end"/>
            </w:r>
          </w:hyperlink>
        </w:p>
        <w:p w14:paraId="29FF20F6" w14:textId="333C74CF"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67" w:history="1">
            <w:r w:rsidRPr="00F636B6">
              <w:rPr>
                <w:rStyle w:val="Hyperlink"/>
                <w:noProof/>
              </w:rPr>
              <w:t>3.2 Conjunto de datos y protocolo de preprocesamiento</w:t>
            </w:r>
            <w:r>
              <w:rPr>
                <w:noProof/>
                <w:webHidden/>
              </w:rPr>
              <w:tab/>
            </w:r>
            <w:r>
              <w:rPr>
                <w:noProof/>
                <w:webHidden/>
              </w:rPr>
              <w:fldChar w:fldCharType="begin"/>
            </w:r>
            <w:r>
              <w:rPr>
                <w:noProof/>
                <w:webHidden/>
              </w:rPr>
              <w:instrText xml:space="preserve"> PAGEREF _Toc241413267 \h </w:instrText>
            </w:r>
            <w:r>
              <w:rPr>
                <w:noProof/>
                <w:webHidden/>
              </w:rPr>
            </w:r>
            <w:r>
              <w:rPr>
                <w:noProof/>
                <w:webHidden/>
              </w:rPr>
              <w:fldChar w:fldCharType="separate"/>
            </w:r>
            <w:r>
              <w:rPr>
                <w:noProof/>
                <w:webHidden/>
              </w:rPr>
              <w:t>63</w:t>
            </w:r>
            <w:r>
              <w:rPr>
                <w:noProof/>
                <w:webHidden/>
              </w:rPr>
              <w:fldChar w:fldCharType="end"/>
            </w:r>
          </w:hyperlink>
        </w:p>
        <w:p w14:paraId="3BA03796" w14:textId="60EF1972"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68" w:history="1">
            <w:r w:rsidRPr="00F636B6">
              <w:rPr>
                <w:rStyle w:val="Hyperlink"/>
                <w:noProof/>
              </w:rPr>
              <w:t>3.2.1 Descripción del conjunto de datos</w:t>
            </w:r>
            <w:r>
              <w:rPr>
                <w:noProof/>
                <w:webHidden/>
              </w:rPr>
              <w:tab/>
            </w:r>
            <w:r>
              <w:rPr>
                <w:noProof/>
                <w:webHidden/>
              </w:rPr>
              <w:fldChar w:fldCharType="begin"/>
            </w:r>
            <w:r>
              <w:rPr>
                <w:noProof/>
                <w:webHidden/>
              </w:rPr>
              <w:instrText xml:space="preserve"> PAGEREF _Toc241413268 \h </w:instrText>
            </w:r>
            <w:r>
              <w:rPr>
                <w:noProof/>
                <w:webHidden/>
              </w:rPr>
            </w:r>
            <w:r>
              <w:rPr>
                <w:noProof/>
                <w:webHidden/>
              </w:rPr>
              <w:fldChar w:fldCharType="separate"/>
            </w:r>
            <w:r>
              <w:rPr>
                <w:noProof/>
                <w:webHidden/>
              </w:rPr>
              <w:t>63</w:t>
            </w:r>
            <w:r>
              <w:rPr>
                <w:noProof/>
                <w:webHidden/>
              </w:rPr>
              <w:fldChar w:fldCharType="end"/>
            </w:r>
          </w:hyperlink>
        </w:p>
        <w:p w14:paraId="0C815481" w14:textId="33460DBF"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69" w:history="1">
            <w:r w:rsidRPr="00F636B6">
              <w:rPr>
                <w:rStyle w:val="Hyperlink"/>
                <w:noProof/>
              </w:rPr>
              <w:t>3.2.2 Carga, limpieza y partición</w:t>
            </w:r>
            <w:r>
              <w:rPr>
                <w:noProof/>
                <w:webHidden/>
              </w:rPr>
              <w:tab/>
            </w:r>
            <w:r>
              <w:rPr>
                <w:noProof/>
                <w:webHidden/>
              </w:rPr>
              <w:fldChar w:fldCharType="begin"/>
            </w:r>
            <w:r>
              <w:rPr>
                <w:noProof/>
                <w:webHidden/>
              </w:rPr>
              <w:instrText xml:space="preserve"> PAGEREF _Toc241413269 \h </w:instrText>
            </w:r>
            <w:r>
              <w:rPr>
                <w:noProof/>
                <w:webHidden/>
              </w:rPr>
            </w:r>
            <w:r>
              <w:rPr>
                <w:noProof/>
                <w:webHidden/>
              </w:rPr>
              <w:fldChar w:fldCharType="separate"/>
            </w:r>
            <w:r>
              <w:rPr>
                <w:noProof/>
                <w:webHidden/>
              </w:rPr>
              <w:t>63</w:t>
            </w:r>
            <w:r>
              <w:rPr>
                <w:noProof/>
                <w:webHidden/>
              </w:rPr>
              <w:fldChar w:fldCharType="end"/>
            </w:r>
          </w:hyperlink>
        </w:p>
        <w:p w14:paraId="589398A0" w14:textId="4AECCCD1"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0" w:history="1">
            <w:r w:rsidRPr="00F636B6">
              <w:rPr>
                <w:rStyle w:val="Hyperlink"/>
                <w:noProof/>
              </w:rPr>
              <w:t>3.2.3 Controles de fuga de datos</w:t>
            </w:r>
            <w:r>
              <w:rPr>
                <w:noProof/>
                <w:webHidden/>
              </w:rPr>
              <w:tab/>
            </w:r>
            <w:r>
              <w:rPr>
                <w:noProof/>
                <w:webHidden/>
              </w:rPr>
              <w:fldChar w:fldCharType="begin"/>
            </w:r>
            <w:r>
              <w:rPr>
                <w:noProof/>
                <w:webHidden/>
              </w:rPr>
              <w:instrText xml:space="preserve"> PAGEREF _Toc241413270 \h </w:instrText>
            </w:r>
            <w:r>
              <w:rPr>
                <w:noProof/>
                <w:webHidden/>
              </w:rPr>
            </w:r>
            <w:r>
              <w:rPr>
                <w:noProof/>
                <w:webHidden/>
              </w:rPr>
              <w:fldChar w:fldCharType="separate"/>
            </w:r>
            <w:r>
              <w:rPr>
                <w:noProof/>
                <w:webHidden/>
              </w:rPr>
              <w:t>64</w:t>
            </w:r>
            <w:r>
              <w:rPr>
                <w:noProof/>
                <w:webHidden/>
              </w:rPr>
              <w:fldChar w:fldCharType="end"/>
            </w:r>
          </w:hyperlink>
        </w:p>
        <w:p w14:paraId="31532212" w14:textId="60FDD472"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71" w:history="1">
            <w:r w:rsidRPr="00F636B6">
              <w:rPr>
                <w:rStyle w:val="Hyperlink"/>
                <w:noProof/>
              </w:rPr>
              <w:t>3.3 Diseño factorial del benchmark primario (EXP2)</w:t>
            </w:r>
            <w:r>
              <w:rPr>
                <w:noProof/>
                <w:webHidden/>
              </w:rPr>
              <w:tab/>
            </w:r>
            <w:r>
              <w:rPr>
                <w:noProof/>
                <w:webHidden/>
              </w:rPr>
              <w:fldChar w:fldCharType="begin"/>
            </w:r>
            <w:r>
              <w:rPr>
                <w:noProof/>
                <w:webHidden/>
              </w:rPr>
              <w:instrText xml:space="preserve"> PAGEREF _Toc241413271 \h </w:instrText>
            </w:r>
            <w:r>
              <w:rPr>
                <w:noProof/>
                <w:webHidden/>
              </w:rPr>
            </w:r>
            <w:r>
              <w:rPr>
                <w:noProof/>
                <w:webHidden/>
              </w:rPr>
              <w:fldChar w:fldCharType="separate"/>
            </w:r>
            <w:r>
              <w:rPr>
                <w:noProof/>
                <w:webHidden/>
              </w:rPr>
              <w:t>64</w:t>
            </w:r>
            <w:r>
              <w:rPr>
                <w:noProof/>
                <w:webHidden/>
              </w:rPr>
              <w:fldChar w:fldCharType="end"/>
            </w:r>
          </w:hyperlink>
        </w:p>
        <w:p w14:paraId="5D4ECE40" w14:textId="218A3BE8"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2" w:history="1">
            <w:r w:rsidRPr="00F636B6">
              <w:rPr>
                <w:rStyle w:val="Hyperlink"/>
                <w:noProof/>
              </w:rPr>
              <w:t>3.3.1 Jerarquía de análisis y unidad inferencial</w:t>
            </w:r>
            <w:r>
              <w:rPr>
                <w:noProof/>
                <w:webHidden/>
              </w:rPr>
              <w:tab/>
            </w:r>
            <w:r>
              <w:rPr>
                <w:noProof/>
                <w:webHidden/>
              </w:rPr>
              <w:fldChar w:fldCharType="begin"/>
            </w:r>
            <w:r>
              <w:rPr>
                <w:noProof/>
                <w:webHidden/>
              </w:rPr>
              <w:instrText xml:space="preserve"> PAGEREF _Toc241413272 \h </w:instrText>
            </w:r>
            <w:r>
              <w:rPr>
                <w:noProof/>
                <w:webHidden/>
              </w:rPr>
            </w:r>
            <w:r>
              <w:rPr>
                <w:noProof/>
                <w:webHidden/>
              </w:rPr>
              <w:fldChar w:fldCharType="separate"/>
            </w:r>
            <w:r>
              <w:rPr>
                <w:noProof/>
                <w:webHidden/>
              </w:rPr>
              <w:t>65</w:t>
            </w:r>
            <w:r>
              <w:rPr>
                <w:noProof/>
                <w:webHidden/>
              </w:rPr>
              <w:fldChar w:fldCharType="end"/>
            </w:r>
          </w:hyperlink>
        </w:p>
        <w:p w14:paraId="334B528E" w14:textId="6F96AD3B"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73" w:history="1">
            <w:r w:rsidRPr="00F636B6">
              <w:rPr>
                <w:rStyle w:val="Hyperlink"/>
                <w:noProof/>
              </w:rPr>
              <w:t>3.4 Protocolo de muestreo de instancias y configuración de explicadores</w:t>
            </w:r>
            <w:r>
              <w:rPr>
                <w:noProof/>
                <w:webHidden/>
              </w:rPr>
              <w:tab/>
            </w:r>
            <w:r>
              <w:rPr>
                <w:noProof/>
                <w:webHidden/>
              </w:rPr>
              <w:fldChar w:fldCharType="begin"/>
            </w:r>
            <w:r>
              <w:rPr>
                <w:noProof/>
                <w:webHidden/>
              </w:rPr>
              <w:instrText xml:space="preserve"> PAGEREF _Toc241413273 \h </w:instrText>
            </w:r>
            <w:r>
              <w:rPr>
                <w:noProof/>
                <w:webHidden/>
              </w:rPr>
            </w:r>
            <w:r>
              <w:rPr>
                <w:noProof/>
                <w:webHidden/>
              </w:rPr>
              <w:fldChar w:fldCharType="separate"/>
            </w:r>
            <w:r>
              <w:rPr>
                <w:noProof/>
                <w:webHidden/>
              </w:rPr>
              <w:t>65</w:t>
            </w:r>
            <w:r>
              <w:rPr>
                <w:noProof/>
                <w:webHidden/>
              </w:rPr>
              <w:fldChar w:fldCharType="end"/>
            </w:r>
          </w:hyperlink>
        </w:p>
        <w:p w14:paraId="6BAADB3D" w14:textId="1D7B352C"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4" w:history="1">
            <w:r w:rsidRPr="00F636B6">
              <w:rPr>
                <w:rStyle w:val="Hyperlink"/>
                <w:noProof/>
              </w:rPr>
              <w:t>3.4.1 Muestreo estratificado por cuadrante de error</w:t>
            </w:r>
            <w:r>
              <w:rPr>
                <w:noProof/>
                <w:webHidden/>
              </w:rPr>
              <w:tab/>
            </w:r>
            <w:r>
              <w:rPr>
                <w:noProof/>
                <w:webHidden/>
              </w:rPr>
              <w:fldChar w:fldCharType="begin"/>
            </w:r>
            <w:r>
              <w:rPr>
                <w:noProof/>
                <w:webHidden/>
              </w:rPr>
              <w:instrText xml:space="preserve"> PAGEREF _Toc241413274 \h </w:instrText>
            </w:r>
            <w:r>
              <w:rPr>
                <w:noProof/>
                <w:webHidden/>
              </w:rPr>
            </w:r>
            <w:r>
              <w:rPr>
                <w:noProof/>
                <w:webHidden/>
              </w:rPr>
              <w:fldChar w:fldCharType="separate"/>
            </w:r>
            <w:r>
              <w:rPr>
                <w:noProof/>
                <w:webHidden/>
              </w:rPr>
              <w:t>65</w:t>
            </w:r>
            <w:r>
              <w:rPr>
                <w:noProof/>
                <w:webHidden/>
              </w:rPr>
              <w:fldChar w:fldCharType="end"/>
            </w:r>
          </w:hyperlink>
        </w:p>
        <w:p w14:paraId="14A9A235" w14:textId="77007DF1"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5" w:history="1">
            <w:r w:rsidRPr="00F636B6">
              <w:rPr>
                <w:rStyle w:val="Hyperlink"/>
                <w:noProof/>
              </w:rPr>
              <w:t>3.4.2 Configuración de los explicadores</w:t>
            </w:r>
            <w:r>
              <w:rPr>
                <w:noProof/>
                <w:webHidden/>
              </w:rPr>
              <w:tab/>
            </w:r>
            <w:r>
              <w:rPr>
                <w:noProof/>
                <w:webHidden/>
              </w:rPr>
              <w:fldChar w:fldCharType="begin"/>
            </w:r>
            <w:r>
              <w:rPr>
                <w:noProof/>
                <w:webHidden/>
              </w:rPr>
              <w:instrText xml:space="preserve"> PAGEREF _Toc241413275 \h </w:instrText>
            </w:r>
            <w:r>
              <w:rPr>
                <w:noProof/>
                <w:webHidden/>
              </w:rPr>
            </w:r>
            <w:r>
              <w:rPr>
                <w:noProof/>
                <w:webHidden/>
              </w:rPr>
              <w:fldChar w:fldCharType="separate"/>
            </w:r>
            <w:r>
              <w:rPr>
                <w:noProof/>
                <w:webHidden/>
              </w:rPr>
              <w:t>66</w:t>
            </w:r>
            <w:r>
              <w:rPr>
                <w:noProof/>
                <w:webHidden/>
              </w:rPr>
              <w:fldChar w:fldCharType="end"/>
            </w:r>
          </w:hyperlink>
        </w:p>
        <w:p w14:paraId="4AC08639" w14:textId="53E67846"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76" w:history="1">
            <w:r w:rsidRPr="00F636B6">
              <w:rPr>
                <w:rStyle w:val="Hyperlink"/>
                <w:noProof/>
              </w:rPr>
              <w:t>3.5 Operacionalización de las métricas</w:t>
            </w:r>
            <w:r>
              <w:rPr>
                <w:noProof/>
                <w:webHidden/>
              </w:rPr>
              <w:tab/>
            </w:r>
            <w:r>
              <w:rPr>
                <w:noProof/>
                <w:webHidden/>
              </w:rPr>
              <w:fldChar w:fldCharType="begin"/>
            </w:r>
            <w:r>
              <w:rPr>
                <w:noProof/>
                <w:webHidden/>
              </w:rPr>
              <w:instrText xml:space="preserve"> PAGEREF _Toc241413276 \h </w:instrText>
            </w:r>
            <w:r>
              <w:rPr>
                <w:noProof/>
                <w:webHidden/>
              </w:rPr>
            </w:r>
            <w:r>
              <w:rPr>
                <w:noProof/>
                <w:webHidden/>
              </w:rPr>
              <w:fldChar w:fldCharType="separate"/>
            </w:r>
            <w:r>
              <w:rPr>
                <w:noProof/>
                <w:webHidden/>
              </w:rPr>
              <w:t>66</w:t>
            </w:r>
            <w:r>
              <w:rPr>
                <w:noProof/>
                <w:webHidden/>
              </w:rPr>
              <w:fldChar w:fldCharType="end"/>
            </w:r>
          </w:hyperlink>
        </w:p>
        <w:p w14:paraId="56EA10AC" w14:textId="7ACDFBCB"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7" w:history="1">
            <w:r w:rsidRPr="00F636B6">
              <w:rPr>
                <w:rStyle w:val="Hyperlink"/>
                <w:noProof/>
              </w:rPr>
              <w:t>3.5.1 Fidelidad</w:t>
            </w:r>
            <w:r>
              <w:rPr>
                <w:noProof/>
                <w:webHidden/>
              </w:rPr>
              <w:tab/>
            </w:r>
            <w:r>
              <w:rPr>
                <w:noProof/>
                <w:webHidden/>
              </w:rPr>
              <w:fldChar w:fldCharType="begin"/>
            </w:r>
            <w:r>
              <w:rPr>
                <w:noProof/>
                <w:webHidden/>
              </w:rPr>
              <w:instrText xml:space="preserve"> PAGEREF _Toc241413277 \h </w:instrText>
            </w:r>
            <w:r>
              <w:rPr>
                <w:noProof/>
                <w:webHidden/>
              </w:rPr>
            </w:r>
            <w:r>
              <w:rPr>
                <w:noProof/>
                <w:webHidden/>
              </w:rPr>
              <w:fldChar w:fldCharType="separate"/>
            </w:r>
            <w:r>
              <w:rPr>
                <w:noProof/>
                <w:webHidden/>
              </w:rPr>
              <w:t>66</w:t>
            </w:r>
            <w:r>
              <w:rPr>
                <w:noProof/>
                <w:webHidden/>
              </w:rPr>
              <w:fldChar w:fldCharType="end"/>
            </w:r>
          </w:hyperlink>
        </w:p>
        <w:p w14:paraId="6C8E79C3" w14:textId="2BC03208"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8" w:history="1">
            <w:r w:rsidRPr="00F636B6">
              <w:rPr>
                <w:rStyle w:val="Hyperlink"/>
                <w:noProof/>
              </w:rPr>
              <w:t>3.5.2 Estabilidad</w:t>
            </w:r>
            <w:r>
              <w:rPr>
                <w:noProof/>
                <w:webHidden/>
              </w:rPr>
              <w:tab/>
            </w:r>
            <w:r>
              <w:rPr>
                <w:noProof/>
                <w:webHidden/>
              </w:rPr>
              <w:fldChar w:fldCharType="begin"/>
            </w:r>
            <w:r>
              <w:rPr>
                <w:noProof/>
                <w:webHidden/>
              </w:rPr>
              <w:instrText xml:space="preserve"> PAGEREF _Toc241413278 \h </w:instrText>
            </w:r>
            <w:r>
              <w:rPr>
                <w:noProof/>
                <w:webHidden/>
              </w:rPr>
            </w:r>
            <w:r>
              <w:rPr>
                <w:noProof/>
                <w:webHidden/>
              </w:rPr>
              <w:fldChar w:fldCharType="separate"/>
            </w:r>
            <w:r>
              <w:rPr>
                <w:noProof/>
                <w:webHidden/>
              </w:rPr>
              <w:t>67</w:t>
            </w:r>
            <w:r>
              <w:rPr>
                <w:noProof/>
                <w:webHidden/>
              </w:rPr>
              <w:fldChar w:fldCharType="end"/>
            </w:r>
          </w:hyperlink>
        </w:p>
        <w:p w14:paraId="30E22188" w14:textId="11A0B1C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79" w:history="1">
            <w:r w:rsidRPr="00F636B6">
              <w:rPr>
                <w:rStyle w:val="Hyperlink"/>
                <w:noProof/>
              </w:rPr>
              <w:t>3.5.3 Parsimonia</w:t>
            </w:r>
            <w:r>
              <w:rPr>
                <w:noProof/>
                <w:webHidden/>
              </w:rPr>
              <w:tab/>
            </w:r>
            <w:r>
              <w:rPr>
                <w:noProof/>
                <w:webHidden/>
              </w:rPr>
              <w:fldChar w:fldCharType="begin"/>
            </w:r>
            <w:r>
              <w:rPr>
                <w:noProof/>
                <w:webHidden/>
              </w:rPr>
              <w:instrText xml:space="preserve"> PAGEREF _Toc241413279 \h </w:instrText>
            </w:r>
            <w:r>
              <w:rPr>
                <w:noProof/>
                <w:webHidden/>
              </w:rPr>
            </w:r>
            <w:r>
              <w:rPr>
                <w:noProof/>
                <w:webHidden/>
              </w:rPr>
              <w:fldChar w:fldCharType="separate"/>
            </w:r>
            <w:r>
              <w:rPr>
                <w:noProof/>
                <w:webHidden/>
              </w:rPr>
              <w:t>67</w:t>
            </w:r>
            <w:r>
              <w:rPr>
                <w:noProof/>
                <w:webHidden/>
              </w:rPr>
              <w:fldChar w:fldCharType="end"/>
            </w:r>
          </w:hyperlink>
        </w:p>
        <w:p w14:paraId="6E2D2343" w14:textId="5399F112"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0" w:history="1">
            <w:r w:rsidRPr="00F636B6">
              <w:rPr>
                <w:rStyle w:val="Hyperlink"/>
                <w:noProof/>
              </w:rPr>
              <w:t>3.5.4 Brecha de fidelidad</w:t>
            </w:r>
            <w:r>
              <w:rPr>
                <w:noProof/>
                <w:webHidden/>
              </w:rPr>
              <w:tab/>
            </w:r>
            <w:r>
              <w:rPr>
                <w:noProof/>
                <w:webHidden/>
              </w:rPr>
              <w:fldChar w:fldCharType="begin"/>
            </w:r>
            <w:r>
              <w:rPr>
                <w:noProof/>
                <w:webHidden/>
              </w:rPr>
              <w:instrText xml:space="preserve"> PAGEREF _Toc241413280 \h </w:instrText>
            </w:r>
            <w:r>
              <w:rPr>
                <w:noProof/>
                <w:webHidden/>
              </w:rPr>
            </w:r>
            <w:r>
              <w:rPr>
                <w:noProof/>
                <w:webHidden/>
              </w:rPr>
              <w:fldChar w:fldCharType="separate"/>
            </w:r>
            <w:r>
              <w:rPr>
                <w:noProof/>
                <w:webHidden/>
              </w:rPr>
              <w:t>67</w:t>
            </w:r>
            <w:r>
              <w:rPr>
                <w:noProof/>
                <w:webHidden/>
              </w:rPr>
              <w:fldChar w:fldCharType="end"/>
            </w:r>
          </w:hyperlink>
        </w:p>
        <w:p w14:paraId="54AEBEC5" w14:textId="5B8D6ACB"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1" w:history="1">
            <w:r w:rsidRPr="00F636B6">
              <w:rPr>
                <w:rStyle w:val="Hyperlink"/>
                <w:noProof/>
              </w:rPr>
              <w:t>3.5.5 Coste computacional</w:t>
            </w:r>
            <w:r>
              <w:rPr>
                <w:noProof/>
                <w:webHidden/>
              </w:rPr>
              <w:tab/>
            </w:r>
            <w:r>
              <w:rPr>
                <w:noProof/>
                <w:webHidden/>
              </w:rPr>
              <w:fldChar w:fldCharType="begin"/>
            </w:r>
            <w:r>
              <w:rPr>
                <w:noProof/>
                <w:webHidden/>
              </w:rPr>
              <w:instrText xml:space="preserve"> PAGEREF _Toc241413281 \h </w:instrText>
            </w:r>
            <w:r>
              <w:rPr>
                <w:noProof/>
                <w:webHidden/>
              </w:rPr>
            </w:r>
            <w:r>
              <w:rPr>
                <w:noProof/>
                <w:webHidden/>
              </w:rPr>
              <w:fldChar w:fldCharType="separate"/>
            </w:r>
            <w:r>
              <w:rPr>
                <w:noProof/>
                <w:webHidden/>
              </w:rPr>
              <w:t>68</w:t>
            </w:r>
            <w:r>
              <w:rPr>
                <w:noProof/>
                <w:webHidden/>
              </w:rPr>
              <w:fldChar w:fldCharType="end"/>
            </w:r>
          </w:hyperlink>
        </w:p>
        <w:p w14:paraId="4ED9681A" w14:textId="464C6CB0"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2" w:history="1">
            <w:r w:rsidRPr="00F636B6">
              <w:rPr>
                <w:rStyle w:val="Hyperlink"/>
                <w:noProof/>
              </w:rPr>
              <w:t>3.5.6 Resumen de métricas primarias</w:t>
            </w:r>
            <w:r>
              <w:rPr>
                <w:noProof/>
                <w:webHidden/>
              </w:rPr>
              <w:tab/>
            </w:r>
            <w:r>
              <w:rPr>
                <w:noProof/>
                <w:webHidden/>
              </w:rPr>
              <w:fldChar w:fldCharType="begin"/>
            </w:r>
            <w:r>
              <w:rPr>
                <w:noProof/>
                <w:webHidden/>
              </w:rPr>
              <w:instrText xml:space="preserve"> PAGEREF _Toc241413282 \h </w:instrText>
            </w:r>
            <w:r>
              <w:rPr>
                <w:noProof/>
                <w:webHidden/>
              </w:rPr>
            </w:r>
            <w:r>
              <w:rPr>
                <w:noProof/>
                <w:webHidden/>
              </w:rPr>
              <w:fldChar w:fldCharType="separate"/>
            </w:r>
            <w:r>
              <w:rPr>
                <w:noProof/>
                <w:webHidden/>
              </w:rPr>
              <w:t>68</w:t>
            </w:r>
            <w:r>
              <w:rPr>
                <w:noProof/>
                <w:webHidden/>
              </w:rPr>
              <w:fldChar w:fldCharType="end"/>
            </w:r>
          </w:hyperlink>
        </w:p>
        <w:p w14:paraId="057B93CD" w14:textId="7E43B1F3"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83" w:history="1">
            <w:r w:rsidRPr="00F636B6">
              <w:rPr>
                <w:rStyle w:val="Hyperlink"/>
                <w:noProof/>
              </w:rPr>
              <w:t>3.6 Protocolo de operación FOM-7</w:t>
            </w:r>
            <w:r>
              <w:rPr>
                <w:noProof/>
                <w:webHidden/>
              </w:rPr>
              <w:tab/>
            </w:r>
            <w:r>
              <w:rPr>
                <w:noProof/>
                <w:webHidden/>
              </w:rPr>
              <w:fldChar w:fldCharType="begin"/>
            </w:r>
            <w:r>
              <w:rPr>
                <w:noProof/>
                <w:webHidden/>
              </w:rPr>
              <w:instrText xml:space="preserve"> PAGEREF _Toc241413283 \h </w:instrText>
            </w:r>
            <w:r>
              <w:rPr>
                <w:noProof/>
                <w:webHidden/>
              </w:rPr>
            </w:r>
            <w:r>
              <w:rPr>
                <w:noProof/>
                <w:webHidden/>
              </w:rPr>
              <w:fldChar w:fldCharType="separate"/>
            </w:r>
            <w:r>
              <w:rPr>
                <w:noProof/>
                <w:webHidden/>
              </w:rPr>
              <w:t>68</w:t>
            </w:r>
            <w:r>
              <w:rPr>
                <w:noProof/>
                <w:webHidden/>
              </w:rPr>
              <w:fldChar w:fldCharType="end"/>
            </w:r>
          </w:hyperlink>
        </w:p>
        <w:p w14:paraId="70E1D797" w14:textId="7EC6EE3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84" w:history="1">
            <w:r w:rsidRPr="00F636B6">
              <w:rPr>
                <w:rStyle w:val="Hyperlink"/>
                <w:noProof/>
              </w:rPr>
              <w:t>3.7 Cobertura de artefactos y análisis del impacto de datos faltantes</w:t>
            </w:r>
            <w:r>
              <w:rPr>
                <w:noProof/>
                <w:webHidden/>
              </w:rPr>
              <w:tab/>
            </w:r>
            <w:r>
              <w:rPr>
                <w:noProof/>
                <w:webHidden/>
              </w:rPr>
              <w:fldChar w:fldCharType="begin"/>
            </w:r>
            <w:r>
              <w:rPr>
                <w:noProof/>
                <w:webHidden/>
              </w:rPr>
              <w:instrText xml:space="preserve"> PAGEREF _Toc241413284 \h </w:instrText>
            </w:r>
            <w:r>
              <w:rPr>
                <w:noProof/>
                <w:webHidden/>
              </w:rPr>
            </w:r>
            <w:r>
              <w:rPr>
                <w:noProof/>
                <w:webHidden/>
              </w:rPr>
              <w:fldChar w:fldCharType="separate"/>
            </w:r>
            <w:r>
              <w:rPr>
                <w:noProof/>
                <w:webHidden/>
              </w:rPr>
              <w:t>71</w:t>
            </w:r>
            <w:r>
              <w:rPr>
                <w:noProof/>
                <w:webHidden/>
              </w:rPr>
              <w:fldChar w:fldCharType="end"/>
            </w:r>
          </w:hyperlink>
        </w:p>
        <w:p w14:paraId="2318BDEF" w14:textId="30DE4794"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5" w:history="1">
            <w:r w:rsidRPr="00F636B6">
              <w:rPr>
                <w:rStyle w:val="Hyperlink"/>
                <w:noProof/>
              </w:rPr>
              <w:t>3.7.1 Inventario de cobertura</w:t>
            </w:r>
            <w:r>
              <w:rPr>
                <w:noProof/>
                <w:webHidden/>
              </w:rPr>
              <w:tab/>
            </w:r>
            <w:r>
              <w:rPr>
                <w:noProof/>
                <w:webHidden/>
              </w:rPr>
              <w:fldChar w:fldCharType="begin"/>
            </w:r>
            <w:r>
              <w:rPr>
                <w:noProof/>
                <w:webHidden/>
              </w:rPr>
              <w:instrText xml:space="preserve"> PAGEREF _Toc241413285 \h </w:instrText>
            </w:r>
            <w:r>
              <w:rPr>
                <w:noProof/>
                <w:webHidden/>
              </w:rPr>
            </w:r>
            <w:r>
              <w:rPr>
                <w:noProof/>
                <w:webHidden/>
              </w:rPr>
              <w:fldChar w:fldCharType="separate"/>
            </w:r>
            <w:r>
              <w:rPr>
                <w:noProof/>
                <w:webHidden/>
              </w:rPr>
              <w:t>71</w:t>
            </w:r>
            <w:r>
              <w:rPr>
                <w:noProof/>
                <w:webHidden/>
              </w:rPr>
              <w:fldChar w:fldCharType="end"/>
            </w:r>
          </w:hyperlink>
        </w:p>
        <w:p w14:paraId="073B39E4" w14:textId="17B3A5B4"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6" w:history="1">
            <w:r w:rsidRPr="00F636B6">
              <w:rPr>
                <w:rStyle w:val="Hyperlink"/>
                <w:noProof/>
              </w:rPr>
              <w:t>3.7.2 Evaluación cuantitativa del impacto estadístico</w:t>
            </w:r>
            <w:r>
              <w:rPr>
                <w:noProof/>
                <w:webHidden/>
              </w:rPr>
              <w:tab/>
            </w:r>
            <w:r>
              <w:rPr>
                <w:noProof/>
                <w:webHidden/>
              </w:rPr>
              <w:fldChar w:fldCharType="begin"/>
            </w:r>
            <w:r>
              <w:rPr>
                <w:noProof/>
                <w:webHidden/>
              </w:rPr>
              <w:instrText xml:space="preserve"> PAGEREF _Toc241413286 \h </w:instrText>
            </w:r>
            <w:r>
              <w:rPr>
                <w:noProof/>
                <w:webHidden/>
              </w:rPr>
            </w:r>
            <w:r>
              <w:rPr>
                <w:noProof/>
                <w:webHidden/>
              </w:rPr>
              <w:fldChar w:fldCharType="separate"/>
            </w:r>
            <w:r>
              <w:rPr>
                <w:noProof/>
                <w:webHidden/>
              </w:rPr>
              <w:t>72</w:t>
            </w:r>
            <w:r>
              <w:rPr>
                <w:noProof/>
                <w:webHidden/>
              </w:rPr>
              <w:fldChar w:fldCharType="end"/>
            </w:r>
          </w:hyperlink>
        </w:p>
        <w:p w14:paraId="06289EEC" w14:textId="3797D5CF"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87" w:history="1">
            <w:r w:rsidRPr="00F636B6">
              <w:rPr>
                <w:rStyle w:val="Hyperlink"/>
                <w:noProof/>
              </w:rPr>
              <w:t>3.8 Plan de inferencia estadística</w:t>
            </w:r>
            <w:r>
              <w:rPr>
                <w:noProof/>
                <w:webHidden/>
              </w:rPr>
              <w:tab/>
            </w:r>
            <w:r>
              <w:rPr>
                <w:noProof/>
                <w:webHidden/>
              </w:rPr>
              <w:fldChar w:fldCharType="begin"/>
            </w:r>
            <w:r>
              <w:rPr>
                <w:noProof/>
                <w:webHidden/>
              </w:rPr>
              <w:instrText xml:space="preserve"> PAGEREF _Toc241413287 \h </w:instrText>
            </w:r>
            <w:r>
              <w:rPr>
                <w:noProof/>
                <w:webHidden/>
              </w:rPr>
            </w:r>
            <w:r>
              <w:rPr>
                <w:noProof/>
                <w:webHidden/>
              </w:rPr>
              <w:fldChar w:fldCharType="separate"/>
            </w:r>
            <w:r>
              <w:rPr>
                <w:noProof/>
                <w:webHidden/>
              </w:rPr>
              <w:t>75</w:t>
            </w:r>
            <w:r>
              <w:rPr>
                <w:noProof/>
                <w:webHidden/>
              </w:rPr>
              <w:fldChar w:fldCharType="end"/>
            </w:r>
          </w:hyperlink>
        </w:p>
        <w:p w14:paraId="5F6574F6" w14:textId="23B8520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8" w:history="1">
            <w:r w:rsidRPr="00F636B6">
              <w:rPr>
                <w:rStyle w:val="Hyperlink"/>
                <w:noProof/>
              </w:rPr>
              <w:t>3.8.1 Estudio Omnibus Multimétrico: test omnibus de Friedman</w:t>
            </w:r>
            <w:r>
              <w:rPr>
                <w:noProof/>
                <w:webHidden/>
              </w:rPr>
              <w:tab/>
            </w:r>
            <w:r>
              <w:rPr>
                <w:noProof/>
                <w:webHidden/>
              </w:rPr>
              <w:fldChar w:fldCharType="begin"/>
            </w:r>
            <w:r>
              <w:rPr>
                <w:noProof/>
                <w:webHidden/>
              </w:rPr>
              <w:instrText xml:space="preserve"> PAGEREF _Toc241413288 \h </w:instrText>
            </w:r>
            <w:r>
              <w:rPr>
                <w:noProof/>
                <w:webHidden/>
              </w:rPr>
            </w:r>
            <w:r>
              <w:rPr>
                <w:noProof/>
                <w:webHidden/>
              </w:rPr>
              <w:fldChar w:fldCharType="separate"/>
            </w:r>
            <w:r>
              <w:rPr>
                <w:noProof/>
                <w:webHidden/>
              </w:rPr>
              <w:t>75</w:t>
            </w:r>
            <w:r>
              <w:rPr>
                <w:noProof/>
                <w:webHidden/>
              </w:rPr>
              <w:fldChar w:fldCharType="end"/>
            </w:r>
          </w:hyperlink>
        </w:p>
        <w:p w14:paraId="5244E82B" w14:textId="48C3087F"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89" w:history="1">
            <w:r w:rsidRPr="00F636B6">
              <w:rPr>
                <w:rStyle w:val="Hyperlink"/>
                <w:noProof/>
              </w:rPr>
              <w:t>3.8.2 Localización post-hoc: Nemenyi</w:t>
            </w:r>
            <w:r>
              <w:rPr>
                <w:noProof/>
                <w:webHidden/>
              </w:rPr>
              <w:tab/>
            </w:r>
            <w:r>
              <w:rPr>
                <w:noProof/>
                <w:webHidden/>
              </w:rPr>
              <w:fldChar w:fldCharType="begin"/>
            </w:r>
            <w:r>
              <w:rPr>
                <w:noProof/>
                <w:webHidden/>
              </w:rPr>
              <w:instrText xml:space="preserve"> PAGEREF _Toc241413289 \h </w:instrText>
            </w:r>
            <w:r>
              <w:rPr>
                <w:noProof/>
                <w:webHidden/>
              </w:rPr>
            </w:r>
            <w:r>
              <w:rPr>
                <w:noProof/>
                <w:webHidden/>
              </w:rPr>
              <w:fldChar w:fldCharType="separate"/>
            </w:r>
            <w:r>
              <w:rPr>
                <w:noProof/>
                <w:webHidden/>
              </w:rPr>
              <w:t>75</w:t>
            </w:r>
            <w:r>
              <w:rPr>
                <w:noProof/>
                <w:webHidden/>
              </w:rPr>
              <w:fldChar w:fldCharType="end"/>
            </w:r>
          </w:hyperlink>
        </w:p>
        <w:p w14:paraId="388B9B8E" w14:textId="466756C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0" w:history="1">
            <w:r w:rsidRPr="00F636B6">
              <w:rPr>
                <w:rStyle w:val="Hyperlink"/>
                <w:noProof/>
              </w:rPr>
              <w:t>3.8.3 Seguimiento dirigido SHAP–LIME sobre bloques agregados</w:t>
            </w:r>
            <w:r>
              <w:rPr>
                <w:noProof/>
                <w:webHidden/>
              </w:rPr>
              <w:tab/>
            </w:r>
            <w:r>
              <w:rPr>
                <w:noProof/>
                <w:webHidden/>
              </w:rPr>
              <w:fldChar w:fldCharType="begin"/>
            </w:r>
            <w:r>
              <w:rPr>
                <w:noProof/>
                <w:webHidden/>
              </w:rPr>
              <w:instrText xml:space="preserve"> PAGEREF _Toc241413290 \h </w:instrText>
            </w:r>
            <w:r>
              <w:rPr>
                <w:noProof/>
                <w:webHidden/>
              </w:rPr>
            </w:r>
            <w:r>
              <w:rPr>
                <w:noProof/>
                <w:webHidden/>
              </w:rPr>
              <w:fldChar w:fldCharType="separate"/>
            </w:r>
            <w:r>
              <w:rPr>
                <w:noProof/>
                <w:webHidden/>
              </w:rPr>
              <w:t>76</w:t>
            </w:r>
            <w:r>
              <w:rPr>
                <w:noProof/>
                <w:webHidden/>
              </w:rPr>
              <w:fldChar w:fldCharType="end"/>
            </w:r>
          </w:hyperlink>
        </w:p>
        <w:p w14:paraId="5EDB5992" w14:textId="3166AEA0"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1" w:history="1">
            <w:r w:rsidRPr="00F636B6">
              <w:rPr>
                <w:rStyle w:val="Hyperlink"/>
                <w:noProof/>
              </w:rPr>
              <w:t>3.8.4 Wilcoxon pareado: conjuntos de 45 y 75 celdas</w:t>
            </w:r>
            <w:r>
              <w:rPr>
                <w:noProof/>
                <w:webHidden/>
              </w:rPr>
              <w:tab/>
            </w:r>
            <w:r>
              <w:rPr>
                <w:noProof/>
                <w:webHidden/>
              </w:rPr>
              <w:fldChar w:fldCharType="begin"/>
            </w:r>
            <w:r>
              <w:rPr>
                <w:noProof/>
                <w:webHidden/>
              </w:rPr>
              <w:instrText xml:space="preserve"> PAGEREF _Toc241413291 \h </w:instrText>
            </w:r>
            <w:r>
              <w:rPr>
                <w:noProof/>
                <w:webHidden/>
              </w:rPr>
            </w:r>
            <w:r>
              <w:rPr>
                <w:noProof/>
                <w:webHidden/>
              </w:rPr>
              <w:fldChar w:fldCharType="separate"/>
            </w:r>
            <w:r>
              <w:rPr>
                <w:noProof/>
                <w:webHidden/>
              </w:rPr>
              <w:t>76</w:t>
            </w:r>
            <w:r>
              <w:rPr>
                <w:noProof/>
                <w:webHidden/>
              </w:rPr>
              <w:fldChar w:fldCharType="end"/>
            </w:r>
          </w:hyperlink>
        </w:p>
        <w:p w14:paraId="20081EB7" w14:textId="5921589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2" w:history="1">
            <w:r w:rsidRPr="00F636B6">
              <w:rPr>
                <w:rStyle w:val="Hyperlink"/>
                <w:noProof/>
              </w:rPr>
              <w:t>3.8.5 Control de multiplicidad</w:t>
            </w:r>
            <w:r>
              <w:rPr>
                <w:noProof/>
                <w:webHidden/>
              </w:rPr>
              <w:tab/>
            </w:r>
            <w:r>
              <w:rPr>
                <w:noProof/>
                <w:webHidden/>
              </w:rPr>
              <w:fldChar w:fldCharType="begin"/>
            </w:r>
            <w:r>
              <w:rPr>
                <w:noProof/>
                <w:webHidden/>
              </w:rPr>
              <w:instrText xml:space="preserve"> PAGEREF _Toc241413292 \h </w:instrText>
            </w:r>
            <w:r>
              <w:rPr>
                <w:noProof/>
                <w:webHidden/>
              </w:rPr>
            </w:r>
            <w:r>
              <w:rPr>
                <w:noProof/>
                <w:webHidden/>
              </w:rPr>
              <w:fldChar w:fldCharType="separate"/>
            </w:r>
            <w:r>
              <w:rPr>
                <w:noProof/>
                <w:webHidden/>
              </w:rPr>
              <w:t>77</w:t>
            </w:r>
            <w:r>
              <w:rPr>
                <w:noProof/>
                <w:webHidden/>
              </w:rPr>
              <w:fldChar w:fldCharType="end"/>
            </w:r>
          </w:hyperlink>
        </w:p>
        <w:p w14:paraId="728F22CD" w14:textId="7F15C842"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3" w:history="1">
            <w:r w:rsidRPr="00F636B6">
              <w:rPr>
                <w:rStyle w:val="Hyperlink"/>
                <w:noProof/>
              </w:rPr>
              <w:t>3.8.6 Resumen del plan estadístico por hipótesis</w:t>
            </w:r>
            <w:r>
              <w:rPr>
                <w:noProof/>
                <w:webHidden/>
              </w:rPr>
              <w:tab/>
            </w:r>
            <w:r>
              <w:rPr>
                <w:noProof/>
                <w:webHidden/>
              </w:rPr>
              <w:fldChar w:fldCharType="begin"/>
            </w:r>
            <w:r>
              <w:rPr>
                <w:noProof/>
                <w:webHidden/>
              </w:rPr>
              <w:instrText xml:space="preserve"> PAGEREF _Toc241413293 \h </w:instrText>
            </w:r>
            <w:r>
              <w:rPr>
                <w:noProof/>
                <w:webHidden/>
              </w:rPr>
            </w:r>
            <w:r>
              <w:rPr>
                <w:noProof/>
                <w:webHidden/>
              </w:rPr>
              <w:fldChar w:fldCharType="separate"/>
            </w:r>
            <w:r>
              <w:rPr>
                <w:noProof/>
                <w:webHidden/>
              </w:rPr>
              <w:t>77</w:t>
            </w:r>
            <w:r>
              <w:rPr>
                <w:noProof/>
                <w:webHidden/>
              </w:rPr>
              <w:fldChar w:fldCharType="end"/>
            </w:r>
          </w:hyperlink>
        </w:p>
        <w:p w14:paraId="783707E2" w14:textId="6F03FB2D"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94" w:history="1">
            <w:r w:rsidRPr="00F636B6">
              <w:rPr>
                <w:rStyle w:val="Hyperlink"/>
                <w:noProof/>
              </w:rPr>
              <w:t>3.9 Amenazas a la validez</w:t>
            </w:r>
            <w:r>
              <w:rPr>
                <w:noProof/>
                <w:webHidden/>
              </w:rPr>
              <w:tab/>
            </w:r>
            <w:r>
              <w:rPr>
                <w:noProof/>
                <w:webHidden/>
              </w:rPr>
              <w:fldChar w:fldCharType="begin"/>
            </w:r>
            <w:r>
              <w:rPr>
                <w:noProof/>
                <w:webHidden/>
              </w:rPr>
              <w:instrText xml:space="preserve"> PAGEREF _Toc241413294 \h </w:instrText>
            </w:r>
            <w:r>
              <w:rPr>
                <w:noProof/>
                <w:webHidden/>
              </w:rPr>
            </w:r>
            <w:r>
              <w:rPr>
                <w:noProof/>
                <w:webHidden/>
              </w:rPr>
              <w:fldChar w:fldCharType="separate"/>
            </w:r>
            <w:r>
              <w:rPr>
                <w:noProof/>
                <w:webHidden/>
              </w:rPr>
              <w:t>78</w:t>
            </w:r>
            <w:r>
              <w:rPr>
                <w:noProof/>
                <w:webHidden/>
              </w:rPr>
              <w:fldChar w:fldCharType="end"/>
            </w:r>
          </w:hyperlink>
        </w:p>
        <w:p w14:paraId="72365B37" w14:textId="3DFCCDF7"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95" w:history="1">
            <w:r w:rsidRPr="00F636B6">
              <w:rPr>
                <w:rStyle w:val="Hyperlink"/>
                <w:noProof/>
              </w:rPr>
              <w:t>3.10 Trazabilidad y reproducibilidad</w:t>
            </w:r>
            <w:r>
              <w:rPr>
                <w:noProof/>
                <w:webHidden/>
              </w:rPr>
              <w:tab/>
            </w:r>
            <w:r>
              <w:rPr>
                <w:noProof/>
                <w:webHidden/>
              </w:rPr>
              <w:fldChar w:fldCharType="begin"/>
            </w:r>
            <w:r>
              <w:rPr>
                <w:noProof/>
                <w:webHidden/>
              </w:rPr>
              <w:instrText xml:space="preserve"> PAGEREF _Toc241413295 \h </w:instrText>
            </w:r>
            <w:r>
              <w:rPr>
                <w:noProof/>
                <w:webHidden/>
              </w:rPr>
            </w:r>
            <w:r>
              <w:rPr>
                <w:noProof/>
                <w:webHidden/>
              </w:rPr>
              <w:fldChar w:fldCharType="separate"/>
            </w:r>
            <w:r>
              <w:rPr>
                <w:noProof/>
                <w:webHidden/>
              </w:rPr>
              <w:t>79</w:t>
            </w:r>
            <w:r>
              <w:rPr>
                <w:noProof/>
                <w:webHidden/>
              </w:rPr>
              <w:fldChar w:fldCharType="end"/>
            </w:r>
          </w:hyperlink>
        </w:p>
        <w:p w14:paraId="2A563F66" w14:textId="2542CC72"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296" w:history="1">
            <w:r w:rsidRPr="00F636B6">
              <w:rPr>
                <w:rStyle w:val="Hyperlink"/>
                <w:noProof/>
              </w:rPr>
              <w:t>3.11 Estudios complementarios: EXP3 y EXP4</w:t>
            </w:r>
            <w:r>
              <w:rPr>
                <w:noProof/>
                <w:webHidden/>
              </w:rPr>
              <w:tab/>
            </w:r>
            <w:r>
              <w:rPr>
                <w:noProof/>
                <w:webHidden/>
              </w:rPr>
              <w:fldChar w:fldCharType="begin"/>
            </w:r>
            <w:r>
              <w:rPr>
                <w:noProof/>
                <w:webHidden/>
              </w:rPr>
              <w:instrText xml:space="preserve"> PAGEREF _Toc241413296 \h </w:instrText>
            </w:r>
            <w:r>
              <w:rPr>
                <w:noProof/>
                <w:webHidden/>
              </w:rPr>
            </w:r>
            <w:r>
              <w:rPr>
                <w:noProof/>
                <w:webHidden/>
              </w:rPr>
              <w:fldChar w:fldCharType="separate"/>
            </w:r>
            <w:r>
              <w:rPr>
                <w:noProof/>
                <w:webHidden/>
              </w:rPr>
              <w:t>80</w:t>
            </w:r>
            <w:r>
              <w:rPr>
                <w:noProof/>
                <w:webHidden/>
              </w:rPr>
              <w:fldChar w:fldCharType="end"/>
            </w:r>
          </w:hyperlink>
        </w:p>
        <w:p w14:paraId="49CAED9E" w14:textId="294B5325"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7" w:history="1">
            <w:r w:rsidRPr="00F636B6">
              <w:rPr>
                <w:rStyle w:val="Hyperlink"/>
                <w:noProof/>
              </w:rPr>
              <w:t>3.11.1 EXP3: Validación cruzada de fidelidad en datasets adicionales</w:t>
            </w:r>
            <w:r>
              <w:rPr>
                <w:noProof/>
                <w:webHidden/>
              </w:rPr>
              <w:tab/>
            </w:r>
            <w:r>
              <w:rPr>
                <w:noProof/>
                <w:webHidden/>
              </w:rPr>
              <w:fldChar w:fldCharType="begin"/>
            </w:r>
            <w:r>
              <w:rPr>
                <w:noProof/>
                <w:webHidden/>
              </w:rPr>
              <w:instrText xml:space="preserve"> PAGEREF _Toc241413297 \h </w:instrText>
            </w:r>
            <w:r>
              <w:rPr>
                <w:noProof/>
                <w:webHidden/>
              </w:rPr>
            </w:r>
            <w:r>
              <w:rPr>
                <w:noProof/>
                <w:webHidden/>
              </w:rPr>
              <w:fldChar w:fldCharType="separate"/>
            </w:r>
            <w:r>
              <w:rPr>
                <w:noProof/>
                <w:webHidden/>
              </w:rPr>
              <w:t>80</w:t>
            </w:r>
            <w:r>
              <w:rPr>
                <w:noProof/>
                <w:webHidden/>
              </w:rPr>
              <w:fldChar w:fldCharType="end"/>
            </w:r>
          </w:hyperlink>
        </w:p>
        <w:p w14:paraId="090A9DC5" w14:textId="1EE7F215"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298" w:history="1">
            <w:r w:rsidRPr="00F636B6">
              <w:rPr>
                <w:rStyle w:val="Hyperlink"/>
                <w:noProof/>
              </w:rPr>
              <w:t>3.11.2 EXP4: Estudio de fiabilidad de jueces LLM para evaluación semántica</w:t>
            </w:r>
            <w:r>
              <w:rPr>
                <w:noProof/>
                <w:webHidden/>
              </w:rPr>
              <w:tab/>
            </w:r>
            <w:r>
              <w:rPr>
                <w:noProof/>
                <w:webHidden/>
              </w:rPr>
              <w:fldChar w:fldCharType="begin"/>
            </w:r>
            <w:r>
              <w:rPr>
                <w:noProof/>
                <w:webHidden/>
              </w:rPr>
              <w:instrText xml:space="preserve"> PAGEREF _Toc241413298 \h </w:instrText>
            </w:r>
            <w:r>
              <w:rPr>
                <w:noProof/>
                <w:webHidden/>
              </w:rPr>
            </w:r>
            <w:r>
              <w:rPr>
                <w:noProof/>
                <w:webHidden/>
              </w:rPr>
              <w:fldChar w:fldCharType="separate"/>
            </w:r>
            <w:r>
              <w:rPr>
                <w:noProof/>
                <w:webHidden/>
              </w:rPr>
              <w:t>81</w:t>
            </w:r>
            <w:r>
              <w:rPr>
                <w:noProof/>
                <w:webHidden/>
              </w:rPr>
              <w:fldChar w:fldCharType="end"/>
            </w:r>
          </w:hyperlink>
        </w:p>
        <w:p w14:paraId="77533A19" w14:textId="5E619FD8"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299" w:history="1">
            <w:r w:rsidRPr="00F636B6">
              <w:rPr>
                <w:rStyle w:val="Hyperlink"/>
                <w:noProof/>
              </w:rPr>
              <w:t>Capítulo 4. Resultados y discusión</w:t>
            </w:r>
            <w:r>
              <w:rPr>
                <w:noProof/>
                <w:webHidden/>
              </w:rPr>
              <w:tab/>
            </w:r>
            <w:r>
              <w:rPr>
                <w:noProof/>
                <w:webHidden/>
              </w:rPr>
              <w:fldChar w:fldCharType="begin"/>
            </w:r>
            <w:r>
              <w:rPr>
                <w:noProof/>
                <w:webHidden/>
              </w:rPr>
              <w:instrText xml:space="preserve"> PAGEREF _Toc241413299 \h </w:instrText>
            </w:r>
            <w:r>
              <w:rPr>
                <w:noProof/>
                <w:webHidden/>
              </w:rPr>
            </w:r>
            <w:r>
              <w:rPr>
                <w:noProof/>
                <w:webHidden/>
              </w:rPr>
              <w:fldChar w:fldCharType="separate"/>
            </w:r>
            <w:r>
              <w:rPr>
                <w:noProof/>
                <w:webHidden/>
              </w:rPr>
              <w:t>82</w:t>
            </w:r>
            <w:r>
              <w:rPr>
                <w:noProof/>
                <w:webHidden/>
              </w:rPr>
              <w:fldChar w:fldCharType="end"/>
            </w:r>
          </w:hyperlink>
        </w:p>
        <w:p w14:paraId="4EE8BF60" w14:textId="0068A5A8"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00" w:history="1">
            <w:r w:rsidRPr="00F636B6">
              <w:rPr>
                <w:rStyle w:val="Hyperlink"/>
                <w:noProof/>
              </w:rPr>
              <w:t>4.1 Descripción general de la cobertura analítica</w:t>
            </w:r>
            <w:r>
              <w:rPr>
                <w:noProof/>
                <w:webHidden/>
              </w:rPr>
              <w:tab/>
            </w:r>
            <w:r>
              <w:rPr>
                <w:noProof/>
                <w:webHidden/>
              </w:rPr>
              <w:fldChar w:fldCharType="begin"/>
            </w:r>
            <w:r>
              <w:rPr>
                <w:noProof/>
                <w:webHidden/>
              </w:rPr>
              <w:instrText xml:space="preserve"> PAGEREF _Toc241413300 \h </w:instrText>
            </w:r>
            <w:r>
              <w:rPr>
                <w:noProof/>
                <w:webHidden/>
              </w:rPr>
            </w:r>
            <w:r>
              <w:rPr>
                <w:noProof/>
                <w:webHidden/>
              </w:rPr>
              <w:fldChar w:fldCharType="separate"/>
            </w:r>
            <w:r>
              <w:rPr>
                <w:noProof/>
                <w:webHidden/>
              </w:rPr>
              <w:t>83</w:t>
            </w:r>
            <w:r>
              <w:rPr>
                <w:noProof/>
                <w:webHidden/>
              </w:rPr>
              <w:fldChar w:fldCharType="end"/>
            </w:r>
          </w:hyperlink>
        </w:p>
        <w:p w14:paraId="5202AE19" w14:textId="47ACC7E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01" w:history="1">
            <w:r w:rsidRPr="00F636B6">
              <w:rPr>
                <w:rStyle w:val="Hyperlink"/>
                <w:noProof/>
              </w:rPr>
              <w:t>4.2 Estudio Omnibus Multimétrico: H1 y H2</w:t>
            </w:r>
            <w:r>
              <w:rPr>
                <w:noProof/>
                <w:webHidden/>
              </w:rPr>
              <w:tab/>
            </w:r>
            <w:r>
              <w:rPr>
                <w:noProof/>
                <w:webHidden/>
              </w:rPr>
              <w:fldChar w:fldCharType="begin"/>
            </w:r>
            <w:r>
              <w:rPr>
                <w:noProof/>
                <w:webHidden/>
              </w:rPr>
              <w:instrText xml:space="preserve"> PAGEREF _Toc241413301 \h </w:instrText>
            </w:r>
            <w:r>
              <w:rPr>
                <w:noProof/>
                <w:webHidden/>
              </w:rPr>
            </w:r>
            <w:r>
              <w:rPr>
                <w:noProof/>
                <w:webHidden/>
              </w:rPr>
              <w:fldChar w:fldCharType="separate"/>
            </w:r>
            <w:r>
              <w:rPr>
                <w:noProof/>
                <w:webHidden/>
              </w:rPr>
              <w:t>85</w:t>
            </w:r>
            <w:r>
              <w:rPr>
                <w:noProof/>
                <w:webHidden/>
              </w:rPr>
              <w:fldChar w:fldCharType="end"/>
            </w:r>
          </w:hyperlink>
        </w:p>
        <w:p w14:paraId="4BDDE852" w14:textId="74DF567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02" w:history="1">
            <w:r w:rsidRPr="00F636B6">
              <w:rPr>
                <w:rStyle w:val="Hyperlink"/>
                <w:noProof/>
              </w:rPr>
              <w:t>4.2.1 H1: Diferencias entre métodos en fidelidad</w:t>
            </w:r>
            <w:r>
              <w:rPr>
                <w:noProof/>
                <w:webHidden/>
              </w:rPr>
              <w:tab/>
            </w:r>
            <w:r>
              <w:rPr>
                <w:noProof/>
                <w:webHidden/>
              </w:rPr>
              <w:fldChar w:fldCharType="begin"/>
            </w:r>
            <w:r>
              <w:rPr>
                <w:noProof/>
                <w:webHidden/>
              </w:rPr>
              <w:instrText xml:space="preserve"> PAGEREF _Toc241413302 \h </w:instrText>
            </w:r>
            <w:r>
              <w:rPr>
                <w:noProof/>
                <w:webHidden/>
              </w:rPr>
            </w:r>
            <w:r>
              <w:rPr>
                <w:noProof/>
                <w:webHidden/>
              </w:rPr>
              <w:fldChar w:fldCharType="separate"/>
            </w:r>
            <w:r>
              <w:rPr>
                <w:noProof/>
                <w:webHidden/>
              </w:rPr>
              <w:t>85</w:t>
            </w:r>
            <w:r>
              <w:rPr>
                <w:noProof/>
                <w:webHidden/>
              </w:rPr>
              <w:fldChar w:fldCharType="end"/>
            </w:r>
          </w:hyperlink>
        </w:p>
        <w:p w14:paraId="1B267991" w14:textId="7CB2DD6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03" w:history="1">
            <w:r w:rsidRPr="00F636B6">
              <w:rPr>
                <w:rStyle w:val="Hyperlink"/>
                <w:noProof/>
              </w:rPr>
              <w:t>4.2.2 H2: Diferencias entre métodos en estabilidad</w:t>
            </w:r>
            <w:r>
              <w:rPr>
                <w:noProof/>
                <w:webHidden/>
              </w:rPr>
              <w:tab/>
            </w:r>
            <w:r>
              <w:rPr>
                <w:noProof/>
                <w:webHidden/>
              </w:rPr>
              <w:fldChar w:fldCharType="begin"/>
            </w:r>
            <w:r>
              <w:rPr>
                <w:noProof/>
                <w:webHidden/>
              </w:rPr>
              <w:instrText xml:space="preserve"> PAGEREF _Toc241413303 \h </w:instrText>
            </w:r>
            <w:r>
              <w:rPr>
                <w:noProof/>
                <w:webHidden/>
              </w:rPr>
            </w:r>
            <w:r>
              <w:rPr>
                <w:noProof/>
                <w:webHidden/>
              </w:rPr>
              <w:fldChar w:fldCharType="separate"/>
            </w:r>
            <w:r>
              <w:rPr>
                <w:noProof/>
                <w:webHidden/>
              </w:rPr>
              <w:t>88</w:t>
            </w:r>
            <w:r>
              <w:rPr>
                <w:noProof/>
                <w:webHidden/>
              </w:rPr>
              <w:fldChar w:fldCharType="end"/>
            </w:r>
          </w:hyperlink>
        </w:p>
        <w:p w14:paraId="2E12791B" w14:textId="2C1D615A"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04" w:history="1">
            <w:r w:rsidRPr="00F636B6">
              <w:rPr>
                <w:rStyle w:val="Hyperlink"/>
                <w:noProof/>
              </w:rPr>
              <w:t>4.3 Estudio Pareado LIME–SHAP: relación calidad-coste (H3)</w:t>
            </w:r>
            <w:r>
              <w:rPr>
                <w:noProof/>
                <w:webHidden/>
              </w:rPr>
              <w:tab/>
            </w:r>
            <w:r>
              <w:rPr>
                <w:noProof/>
                <w:webHidden/>
              </w:rPr>
              <w:fldChar w:fldCharType="begin"/>
            </w:r>
            <w:r>
              <w:rPr>
                <w:noProof/>
                <w:webHidden/>
              </w:rPr>
              <w:instrText xml:space="preserve"> PAGEREF _Toc241413304 \h </w:instrText>
            </w:r>
            <w:r>
              <w:rPr>
                <w:noProof/>
                <w:webHidden/>
              </w:rPr>
            </w:r>
            <w:r>
              <w:rPr>
                <w:noProof/>
                <w:webHidden/>
              </w:rPr>
              <w:fldChar w:fldCharType="separate"/>
            </w:r>
            <w:r>
              <w:rPr>
                <w:noProof/>
                <w:webHidden/>
              </w:rPr>
              <w:t>90</w:t>
            </w:r>
            <w:r>
              <w:rPr>
                <w:noProof/>
                <w:webHidden/>
              </w:rPr>
              <w:fldChar w:fldCharType="end"/>
            </w:r>
          </w:hyperlink>
        </w:p>
        <w:p w14:paraId="15BCDAF3" w14:textId="0B75EADD"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05" w:history="1">
            <w:r w:rsidRPr="00F636B6">
              <w:rPr>
                <w:rStyle w:val="Hyperlink"/>
                <w:noProof/>
              </w:rPr>
              <w:t>4.3.1 Diferencias en métricas de calidad</w:t>
            </w:r>
            <w:r>
              <w:rPr>
                <w:noProof/>
                <w:webHidden/>
              </w:rPr>
              <w:tab/>
            </w:r>
            <w:r>
              <w:rPr>
                <w:noProof/>
                <w:webHidden/>
              </w:rPr>
              <w:fldChar w:fldCharType="begin"/>
            </w:r>
            <w:r>
              <w:rPr>
                <w:noProof/>
                <w:webHidden/>
              </w:rPr>
              <w:instrText xml:space="preserve"> PAGEREF _Toc241413305 \h </w:instrText>
            </w:r>
            <w:r>
              <w:rPr>
                <w:noProof/>
                <w:webHidden/>
              </w:rPr>
            </w:r>
            <w:r>
              <w:rPr>
                <w:noProof/>
                <w:webHidden/>
              </w:rPr>
              <w:fldChar w:fldCharType="separate"/>
            </w:r>
            <w:r>
              <w:rPr>
                <w:noProof/>
                <w:webHidden/>
              </w:rPr>
              <w:t>90</w:t>
            </w:r>
            <w:r>
              <w:rPr>
                <w:noProof/>
                <w:webHidden/>
              </w:rPr>
              <w:fldChar w:fldCharType="end"/>
            </w:r>
          </w:hyperlink>
        </w:p>
        <w:p w14:paraId="09286377" w14:textId="6C792282"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06" w:history="1">
            <w:r w:rsidRPr="00F636B6">
              <w:rPr>
                <w:rStyle w:val="Hyperlink"/>
                <w:noProof/>
              </w:rPr>
              <w:t>4.3.2 Verificación del requisito de multiplicidad</w:t>
            </w:r>
            <w:r>
              <w:rPr>
                <w:noProof/>
                <w:webHidden/>
              </w:rPr>
              <w:tab/>
            </w:r>
            <w:r>
              <w:rPr>
                <w:noProof/>
                <w:webHidden/>
              </w:rPr>
              <w:fldChar w:fldCharType="begin"/>
            </w:r>
            <w:r>
              <w:rPr>
                <w:noProof/>
                <w:webHidden/>
              </w:rPr>
              <w:instrText xml:space="preserve"> PAGEREF _Toc241413306 \h </w:instrText>
            </w:r>
            <w:r>
              <w:rPr>
                <w:noProof/>
                <w:webHidden/>
              </w:rPr>
            </w:r>
            <w:r>
              <w:rPr>
                <w:noProof/>
                <w:webHidden/>
              </w:rPr>
              <w:fldChar w:fldCharType="separate"/>
            </w:r>
            <w:r>
              <w:rPr>
                <w:noProof/>
                <w:webHidden/>
              </w:rPr>
              <w:t>91</w:t>
            </w:r>
            <w:r>
              <w:rPr>
                <w:noProof/>
                <w:webHidden/>
              </w:rPr>
              <w:fldChar w:fldCharType="end"/>
            </w:r>
          </w:hyperlink>
        </w:p>
        <w:p w14:paraId="6D7C6EC5" w14:textId="3CAA0E01"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07" w:history="1">
            <w:r w:rsidRPr="00F636B6">
              <w:rPr>
                <w:rStyle w:val="Hyperlink"/>
                <w:noProof/>
              </w:rPr>
              <w:t>4.4 Proposición P1: Reproducibilidad del protocolo FOM-7</w:t>
            </w:r>
            <w:r>
              <w:rPr>
                <w:noProof/>
                <w:webHidden/>
              </w:rPr>
              <w:tab/>
            </w:r>
            <w:r>
              <w:rPr>
                <w:noProof/>
                <w:webHidden/>
              </w:rPr>
              <w:fldChar w:fldCharType="begin"/>
            </w:r>
            <w:r>
              <w:rPr>
                <w:noProof/>
                <w:webHidden/>
              </w:rPr>
              <w:instrText xml:space="preserve"> PAGEREF _Toc241413307 \h </w:instrText>
            </w:r>
            <w:r>
              <w:rPr>
                <w:noProof/>
                <w:webHidden/>
              </w:rPr>
            </w:r>
            <w:r>
              <w:rPr>
                <w:noProof/>
                <w:webHidden/>
              </w:rPr>
              <w:fldChar w:fldCharType="separate"/>
            </w:r>
            <w:r>
              <w:rPr>
                <w:noProof/>
                <w:webHidden/>
              </w:rPr>
              <w:t>92</w:t>
            </w:r>
            <w:r>
              <w:rPr>
                <w:noProof/>
                <w:webHidden/>
              </w:rPr>
              <w:fldChar w:fldCharType="end"/>
            </w:r>
          </w:hyperlink>
        </w:p>
        <w:p w14:paraId="59B271A7" w14:textId="7D9FCF70"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08" w:history="1">
            <w:r w:rsidRPr="00F636B6">
              <w:rPr>
                <w:rStyle w:val="Hyperlink"/>
                <w:noProof/>
              </w:rPr>
              <w:t>4.5 Perfil multidimensional por método</w:t>
            </w:r>
            <w:r>
              <w:rPr>
                <w:noProof/>
                <w:webHidden/>
              </w:rPr>
              <w:tab/>
            </w:r>
            <w:r>
              <w:rPr>
                <w:noProof/>
                <w:webHidden/>
              </w:rPr>
              <w:fldChar w:fldCharType="begin"/>
            </w:r>
            <w:r>
              <w:rPr>
                <w:noProof/>
                <w:webHidden/>
              </w:rPr>
              <w:instrText xml:space="preserve"> PAGEREF _Toc241413308 \h </w:instrText>
            </w:r>
            <w:r>
              <w:rPr>
                <w:noProof/>
                <w:webHidden/>
              </w:rPr>
            </w:r>
            <w:r>
              <w:rPr>
                <w:noProof/>
                <w:webHidden/>
              </w:rPr>
              <w:fldChar w:fldCharType="separate"/>
            </w:r>
            <w:r>
              <w:rPr>
                <w:noProof/>
                <w:webHidden/>
              </w:rPr>
              <w:t>93</w:t>
            </w:r>
            <w:r>
              <w:rPr>
                <w:noProof/>
                <w:webHidden/>
              </w:rPr>
              <w:fldChar w:fldCharType="end"/>
            </w:r>
          </w:hyperlink>
        </w:p>
        <w:p w14:paraId="2DBEF7B3" w14:textId="6E8D3C20"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09" w:history="1">
            <w:r w:rsidRPr="00F636B6">
              <w:rPr>
                <w:rStyle w:val="Hyperlink"/>
                <w:noProof/>
              </w:rPr>
              <w:t>4.5.1 SHAP</w:t>
            </w:r>
            <w:r>
              <w:rPr>
                <w:noProof/>
                <w:webHidden/>
              </w:rPr>
              <w:tab/>
            </w:r>
            <w:r>
              <w:rPr>
                <w:noProof/>
                <w:webHidden/>
              </w:rPr>
              <w:fldChar w:fldCharType="begin"/>
            </w:r>
            <w:r>
              <w:rPr>
                <w:noProof/>
                <w:webHidden/>
              </w:rPr>
              <w:instrText xml:space="preserve"> PAGEREF _Toc241413309 \h </w:instrText>
            </w:r>
            <w:r>
              <w:rPr>
                <w:noProof/>
                <w:webHidden/>
              </w:rPr>
            </w:r>
            <w:r>
              <w:rPr>
                <w:noProof/>
                <w:webHidden/>
              </w:rPr>
              <w:fldChar w:fldCharType="separate"/>
            </w:r>
            <w:r>
              <w:rPr>
                <w:noProof/>
                <w:webHidden/>
              </w:rPr>
              <w:t>93</w:t>
            </w:r>
            <w:r>
              <w:rPr>
                <w:noProof/>
                <w:webHidden/>
              </w:rPr>
              <w:fldChar w:fldCharType="end"/>
            </w:r>
          </w:hyperlink>
        </w:p>
        <w:p w14:paraId="12315450" w14:textId="6A8276EF"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0" w:history="1">
            <w:r w:rsidRPr="00F636B6">
              <w:rPr>
                <w:rStyle w:val="Hyperlink"/>
                <w:noProof/>
              </w:rPr>
              <w:t>4.5.2 LIME</w:t>
            </w:r>
            <w:r>
              <w:rPr>
                <w:noProof/>
                <w:webHidden/>
              </w:rPr>
              <w:tab/>
            </w:r>
            <w:r>
              <w:rPr>
                <w:noProof/>
                <w:webHidden/>
              </w:rPr>
              <w:fldChar w:fldCharType="begin"/>
            </w:r>
            <w:r>
              <w:rPr>
                <w:noProof/>
                <w:webHidden/>
              </w:rPr>
              <w:instrText xml:space="preserve"> PAGEREF _Toc241413310 \h </w:instrText>
            </w:r>
            <w:r>
              <w:rPr>
                <w:noProof/>
                <w:webHidden/>
              </w:rPr>
            </w:r>
            <w:r>
              <w:rPr>
                <w:noProof/>
                <w:webHidden/>
              </w:rPr>
              <w:fldChar w:fldCharType="separate"/>
            </w:r>
            <w:r>
              <w:rPr>
                <w:noProof/>
                <w:webHidden/>
              </w:rPr>
              <w:t>94</w:t>
            </w:r>
            <w:r>
              <w:rPr>
                <w:noProof/>
                <w:webHidden/>
              </w:rPr>
              <w:fldChar w:fldCharType="end"/>
            </w:r>
          </w:hyperlink>
        </w:p>
        <w:p w14:paraId="097C4314" w14:textId="334BB486"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1" w:history="1">
            <w:r w:rsidRPr="00F636B6">
              <w:rPr>
                <w:rStyle w:val="Hyperlink"/>
                <w:noProof/>
              </w:rPr>
              <w:t>4.5.3 Anchors</w:t>
            </w:r>
            <w:r>
              <w:rPr>
                <w:noProof/>
                <w:webHidden/>
              </w:rPr>
              <w:tab/>
            </w:r>
            <w:r>
              <w:rPr>
                <w:noProof/>
                <w:webHidden/>
              </w:rPr>
              <w:fldChar w:fldCharType="begin"/>
            </w:r>
            <w:r>
              <w:rPr>
                <w:noProof/>
                <w:webHidden/>
              </w:rPr>
              <w:instrText xml:space="preserve"> PAGEREF _Toc241413311 \h </w:instrText>
            </w:r>
            <w:r>
              <w:rPr>
                <w:noProof/>
                <w:webHidden/>
              </w:rPr>
            </w:r>
            <w:r>
              <w:rPr>
                <w:noProof/>
                <w:webHidden/>
              </w:rPr>
              <w:fldChar w:fldCharType="separate"/>
            </w:r>
            <w:r>
              <w:rPr>
                <w:noProof/>
                <w:webHidden/>
              </w:rPr>
              <w:t>95</w:t>
            </w:r>
            <w:r>
              <w:rPr>
                <w:noProof/>
                <w:webHidden/>
              </w:rPr>
              <w:fldChar w:fldCharType="end"/>
            </w:r>
          </w:hyperlink>
        </w:p>
        <w:p w14:paraId="7F260AB6" w14:textId="4BCE9762"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2" w:history="1">
            <w:r w:rsidRPr="00F636B6">
              <w:rPr>
                <w:rStyle w:val="Hyperlink"/>
                <w:noProof/>
              </w:rPr>
              <w:t>4.5.4 DiCE</w:t>
            </w:r>
            <w:r>
              <w:rPr>
                <w:noProof/>
                <w:webHidden/>
              </w:rPr>
              <w:tab/>
            </w:r>
            <w:r>
              <w:rPr>
                <w:noProof/>
                <w:webHidden/>
              </w:rPr>
              <w:fldChar w:fldCharType="begin"/>
            </w:r>
            <w:r>
              <w:rPr>
                <w:noProof/>
                <w:webHidden/>
              </w:rPr>
              <w:instrText xml:space="preserve"> PAGEREF _Toc241413312 \h </w:instrText>
            </w:r>
            <w:r>
              <w:rPr>
                <w:noProof/>
                <w:webHidden/>
              </w:rPr>
            </w:r>
            <w:r>
              <w:rPr>
                <w:noProof/>
                <w:webHidden/>
              </w:rPr>
              <w:fldChar w:fldCharType="separate"/>
            </w:r>
            <w:r>
              <w:rPr>
                <w:noProof/>
                <w:webHidden/>
              </w:rPr>
              <w:t>96</w:t>
            </w:r>
            <w:r>
              <w:rPr>
                <w:noProof/>
                <w:webHidden/>
              </w:rPr>
              <w:fldChar w:fldCharType="end"/>
            </w:r>
          </w:hyperlink>
        </w:p>
        <w:p w14:paraId="7175EE03" w14:textId="3C63A8E6"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13" w:history="1">
            <w:r w:rsidRPr="00F636B6">
              <w:rPr>
                <w:rStyle w:val="Hyperlink"/>
                <w:noProof/>
              </w:rPr>
              <w:t>4.6 Análisis transversal: efecto del modelo base y del tamaño de muestra</w:t>
            </w:r>
            <w:r>
              <w:rPr>
                <w:noProof/>
                <w:webHidden/>
              </w:rPr>
              <w:tab/>
            </w:r>
            <w:r>
              <w:rPr>
                <w:noProof/>
                <w:webHidden/>
              </w:rPr>
              <w:fldChar w:fldCharType="begin"/>
            </w:r>
            <w:r>
              <w:rPr>
                <w:noProof/>
                <w:webHidden/>
              </w:rPr>
              <w:instrText xml:space="preserve"> PAGEREF _Toc241413313 \h </w:instrText>
            </w:r>
            <w:r>
              <w:rPr>
                <w:noProof/>
                <w:webHidden/>
              </w:rPr>
            </w:r>
            <w:r>
              <w:rPr>
                <w:noProof/>
                <w:webHidden/>
              </w:rPr>
              <w:fldChar w:fldCharType="separate"/>
            </w:r>
            <w:r>
              <w:rPr>
                <w:noProof/>
                <w:webHidden/>
              </w:rPr>
              <w:t>96</w:t>
            </w:r>
            <w:r>
              <w:rPr>
                <w:noProof/>
                <w:webHidden/>
              </w:rPr>
              <w:fldChar w:fldCharType="end"/>
            </w:r>
          </w:hyperlink>
        </w:p>
        <w:p w14:paraId="5438D9B5" w14:textId="55239A2D"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4" w:history="1">
            <w:r w:rsidRPr="00F636B6">
              <w:rPr>
                <w:rStyle w:val="Hyperlink"/>
                <w:noProof/>
              </w:rPr>
              <w:t>4.6.1 Efecto del modelo base sobre las métricas</w:t>
            </w:r>
            <w:r>
              <w:rPr>
                <w:noProof/>
                <w:webHidden/>
              </w:rPr>
              <w:tab/>
            </w:r>
            <w:r>
              <w:rPr>
                <w:noProof/>
                <w:webHidden/>
              </w:rPr>
              <w:fldChar w:fldCharType="begin"/>
            </w:r>
            <w:r>
              <w:rPr>
                <w:noProof/>
                <w:webHidden/>
              </w:rPr>
              <w:instrText xml:space="preserve"> PAGEREF _Toc241413314 \h </w:instrText>
            </w:r>
            <w:r>
              <w:rPr>
                <w:noProof/>
                <w:webHidden/>
              </w:rPr>
            </w:r>
            <w:r>
              <w:rPr>
                <w:noProof/>
                <w:webHidden/>
              </w:rPr>
              <w:fldChar w:fldCharType="separate"/>
            </w:r>
            <w:r>
              <w:rPr>
                <w:noProof/>
                <w:webHidden/>
              </w:rPr>
              <w:t>96</w:t>
            </w:r>
            <w:r>
              <w:rPr>
                <w:noProof/>
                <w:webHidden/>
              </w:rPr>
              <w:fldChar w:fldCharType="end"/>
            </w:r>
          </w:hyperlink>
        </w:p>
        <w:p w14:paraId="2404CEE5" w14:textId="61232836"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5" w:history="1">
            <w:r w:rsidRPr="00F636B6">
              <w:rPr>
                <w:rStyle w:val="Hyperlink"/>
                <w:noProof/>
              </w:rPr>
              <w:t>4.6.2 Efecto del tamaño de muestra estratificado</w:t>
            </w:r>
            <w:r>
              <w:rPr>
                <w:noProof/>
                <w:webHidden/>
              </w:rPr>
              <w:tab/>
            </w:r>
            <w:r>
              <w:rPr>
                <w:noProof/>
                <w:webHidden/>
              </w:rPr>
              <w:fldChar w:fldCharType="begin"/>
            </w:r>
            <w:r>
              <w:rPr>
                <w:noProof/>
                <w:webHidden/>
              </w:rPr>
              <w:instrText xml:space="preserve"> PAGEREF _Toc241413315 \h </w:instrText>
            </w:r>
            <w:r>
              <w:rPr>
                <w:noProof/>
                <w:webHidden/>
              </w:rPr>
            </w:r>
            <w:r>
              <w:rPr>
                <w:noProof/>
                <w:webHidden/>
              </w:rPr>
              <w:fldChar w:fldCharType="separate"/>
            </w:r>
            <w:r>
              <w:rPr>
                <w:noProof/>
                <w:webHidden/>
              </w:rPr>
              <w:t>97</w:t>
            </w:r>
            <w:r>
              <w:rPr>
                <w:noProof/>
                <w:webHidden/>
              </w:rPr>
              <w:fldChar w:fldCharType="end"/>
            </w:r>
          </w:hyperlink>
        </w:p>
        <w:p w14:paraId="6781EE5F" w14:textId="21E3E9A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16" w:history="1">
            <w:r w:rsidRPr="00F636B6">
              <w:rPr>
                <w:rStyle w:val="Hyperlink"/>
                <w:noProof/>
              </w:rPr>
              <w:t>4.7 Trazabilidad de claims principales</w:t>
            </w:r>
            <w:r>
              <w:rPr>
                <w:noProof/>
                <w:webHidden/>
              </w:rPr>
              <w:tab/>
            </w:r>
            <w:r>
              <w:rPr>
                <w:noProof/>
                <w:webHidden/>
              </w:rPr>
              <w:fldChar w:fldCharType="begin"/>
            </w:r>
            <w:r>
              <w:rPr>
                <w:noProof/>
                <w:webHidden/>
              </w:rPr>
              <w:instrText xml:space="preserve"> PAGEREF _Toc241413316 \h </w:instrText>
            </w:r>
            <w:r>
              <w:rPr>
                <w:noProof/>
                <w:webHidden/>
              </w:rPr>
            </w:r>
            <w:r>
              <w:rPr>
                <w:noProof/>
                <w:webHidden/>
              </w:rPr>
              <w:fldChar w:fldCharType="separate"/>
            </w:r>
            <w:r>
              <w:rPr>
                <w:noProof/>
                <w:webHidden/>
              </w:rPr>
              <w:t>98</w:t>
            </w:r>
            <w:r>
              <w:rPr>
                <w:noProof/>
                <w:webHidden/>
              </w:rPr>
              <w:fldChar w:fldCharType="end"/>
            </w:r>
          </w:hyperlink>
        </w:p>
        <w:p w14:paraId="7EA2A1C7" w14:textId="68E6DDAF"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17" w:history="1">
            <w:r w:rsidRPr="00F636B6">
              <w:rPr>
                <w:rStyle w:val="Hyperlink"/>
                <w:noProof/>
              </w:rPr>
              <w:t>4.8 Visualizaciones complementarias</w:t>
            </w:r>
            <w:r>
              <w:rPr>
                <w:noProof/>
                <w:webHidden/>
              </w:rPr>
              <w:tab/>
            </w:r>
            <w:r>
              <w:rPr>
                <w:noProof/>
                <w:webHidden/>
              </w:rPr>
              <w:fldChar w:fldCharType="begin"/>
            </w:r>
            <w:r>
              <w:rPr>
                <w:noProof/>
                <w:webHidden/>
              </w:rPr>
              <w:instrText xml:space="preserve"> PAGEREF _Toc241413317 \h </w:instrText>
            </w:r>
            <w:r>
              <w:rPr>
                <w:noProof/>
                <w:webHidden/>
              </w:rPr>
            </w:r>
            <w:r>
              <w:rPr>
                <w:noProof/>
                <w:webHidden/>
              </w:rPr>
              <w:fldChar w:fldCharType="separate"/>
            </w:r>
            <w:r>
              <w:rPr>
                <w:noProof/>
                <w:webHidden/>
              </w:rPr>
              <w:t>99</w:t>
            </w:r>
            <w:r>
              <w:rPr>
                <w:noProof/>
                <w:webHidden/>
              </w:rPr>
              <w:fldChar w:fldCharType="end"/>
            </w:r>
          </w:hyperlink>
        </w:p>
        <w:p w14:paraId="40254561" w14:textId="7C5E1D2F"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18" w:history="1">
            <w:r w:rsidRPr="00F636B6">
              <w:rPr>
                <w:rStyle w:val="Hyperlink"/>
                <w:noProof/>
              </w:rPr>
              <w:t>4.9 Discusión</w:t>
            </w:r>
            <w:r>
              <w:rPr>
                <w:noProof/>
                <w:webHidden/>
              </w:rPr>
              <w:tab/>
            </w:r>
            <w:r>
              <w:rPr>
                <w:noProof/>
                <w:webHidden/>
              </w:rPr>
              <w:fldChar w:fldCharType="begin"/>
            </w:r>
            <w:r>
              <w:rPr>
                <w:noProof/>
                <w:webHidden/>
              </w:rPr>
              <w:instrText xml:space="preserve"> PAGEREF _Toc241413318 \h </w:instrText>
            </w:r>
            <w:r>
              <w:rPr>
                <w:noProof/>
                <w:webHidden/>
              </w:rPr>
            </w:r>
            <w:r>
              <w:rPr>
                <w:noProof/>
                <w:webHidden/>
              </w:rPr>
              <w:fldChar w:fldCharType="separate"/>
            </w:r>
            <w:r>
              <w:rPr>
                <w:noProof/>
                <w:webHidden/>
              </w:rPr>
              <w:t>105</w:t>
            </w:r>
            <w:r>
              <w:rPr>
                <w:noProof/>
                <w:webHidden/>
              </w:rPr>
              <w:fldChar w:fldCharType="end"/>
            </w:r>
          </w:hyperlink>
        </w:p>
        <w:p w14:paraId="70E37E44" w14:textId="314922C8"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19" w:history="1">
            <w:r w:rsidRPr="00F636B6">
              <w:rPr>
                <w:rStyle w:val="Hyperlink"/>
                <w:noProof/>
              </w:rPr>
              <w:t>4.9.1 Interpretación conjunta de H1, H2 y H3</w:t>
            </w:r>
            <w:r>
              <w:rPr>
                <w:noProof/>
                <w:webHidden/>
              </w:rPr>
              <w:tab/>
            </w:r>
            <w:r>
              <w:rPr>
                <w:noProof/>
                <w:webHidden/>
              </w:rPr>
              <w:fldChar w:fldCharType="begin"/>
            </w:r>
            <w:r>
              <w:rPr>
                <w:noProof/>
                <w:webHidden/>
              </w:rPr>
              <w:instrText xml:space="preserve"> PAGEREF _Toc241413319 \h </w:instrText>
            </w:r>
            <w:r>
              <w:rPr>
                <w:noProof/>
                <w:webHidden/>
              </w:rPr>
            </w:r>
            <w:r>
              <w:rPr>
                <w:noProof/>
                <w:webHidden/>
              </w:rPr>
              <w:fldChar w:fldCharType="separate"/>
            </w:r>
            <w:r>
              <w:rPr>
                <w:noProof/>
                <w:webHidden/>
              </w:rPr>
              <w:t>105</w:t>
            </w:r>
            <w:r>
              <w:rPr>
                <w:noProof/>
                <w:webHidden/>
              </w:rPr>
              <w:fldChar w:fldCharType="end"/>
            </w:r>
          </w:hyperlink>
        </w:p>
        <w:p w14:paraId="626FE359" w14:textId="5F242690"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20" w:history="1">
            <w:r w:rsidRPr="00F636B6">
              <w:rPr>
                <w:rStyle w:val="Hyperlink"/>
                <w:noProof/>
              </w:rPr>
              <w:t>4.9.2 Relación calidad-coste y criterios de selección operativa</w:t>
            </w:r>
            <w:r>
              <w:rPr>
                <w:noProof/>
                <w:webHidden/>
              </w:rPr>
              <w:tab/>
            </w:r>
            <w:r>
              <w:rPr>
                <w:noProof/>
                <w:webHidden/>
              </w:rPr>
              <w:fldChar w:fldCharType="begin"/>
            </w:r>
            <w:r>
              <w:rPr>
                <w:noProof/>
                <w:webHidden/>
              </w:rPr>
              <w:instrText xml:space="preserve"> PAGEREF _Toc241413320 \h </w:instrText>
            </w:r>
            <w:r>
              <w:rPr>
                <w:noProof/>
                <w:webHidden/>
              </w:rPr>
            </w:r>
            <w:r>
              <w:rPr>
                <w:noProof/>
                <w:webHidden/>
              </w:rPr>
              <w:fldChar w:fldCharType="separate"/>
            </w:r>
            <w:r>
              <w:rPr>
                <w:noProof/>
                <w:webHidden/>
              </w:rPr>
              <w:t>106</w:t>
            </w:r>
            <w:r>
              <w:rPr>
                <w:noProof/>
                <w:webHidden/>
              </w:rPr>
              <w:fldChar w:fldCharType="end"/>
            </w:r>
          </w:hyperlink>
        </w:p>
        <w:p w14:paraId="7971B5DB" w14:textId="532435A3"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21" w:history="1">
            <w:r w:rsidRPr="00F636B6">
              <w:rPr>
                <w:rStyle w:val="Hyperlink"/>
                <w:noProof/>
              </w:rPr>
              <w:t>4.9.3 Contribuciones, limitaciones y extensiones</w:t>
            </w:r>
            <w:r>
              <w:rPr>
                <w:noProof/>
                <w:webHidden/>
              </w:rPr>
              <w:tab/>
            </w:r>
            <w:r>
              <w:rPr>
                <w:noProof/>
                <w:webHidden/>
              </w:rPr>
              <w:fldChar w:fldCharType="begin"/>
            </w:r>
            <w:r>
              <w:rPr>
                <w:noProof/>
                <w:webHidden/>
              </w:rPr>
              <w:instrText xml:space="preserve"> PAGEREF _Toc241413321 \h </w:instrText>
            </w:r>
            <w:r>
              <w:rPr>
                <w:noProof/>
                <w:webHidden/>
              </w:rPr>
            </w:r>
            <w:r>
              <w:rPr>
                <w:noProof/>
                <w:webHidden/>
              </w:rPr>
              <w:fldChar w:fldCharType="separate"/>
            </w:r>
            <w:r>
              <w:rPr>
                <w:noProof/>
                <w:webHidden/>
              </w:rPr>
              <w:t>107</w:t>
            </w:r>
            <w:r>
              <w:rPr>
                <w:noProof/>
                <w:webHidden/>
              </w:rPr>
              <w:fldChar w:fldCharType="end"/>
            </w:r>
          </w:hyperlink>
        </w:p>
        <w:p w14:paraId="1A5A7B50" w14:textId="0F13E2DB"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322" w:history="1">
            <w:r w:rsidRPr="00F636B6">
              <w:rPr>
                <w:rStyle w:val="Hyperlink"/>
                <w:noProof/>
              </w:rPr>
              <w:t>Capítulo 5. Taxonomía de métricas y síntesis conceptual</w:t>
            </w:r>
            <w:r>
              <w:rPr>
                <w:noProof/>
                <w:webHidden/>
              </w:rPr>
              <w:tab/>
            </w:r>
            <w:r>
              <w:rPr>
                <w:noProof/>
                <w:webHidden/>
              </w:rPr>
              <w:fldChar w:fldCharType="begin"/>
            </w:r>
            <w:r>
              <w:rPr>
                <w:noProof/>
                <w:webHidden/>
              </w:rPr>
              <w:instrText xml:space="preserve"> PAGEREF _Toc241413322 \h </w:instrText>
            </w:r>
            <w:r>
              <w:rPr>
                <w:noProof/>
                <w:webHidden/>
              </w:rPr>
            </w:r>
            <w:r>
              <w:rPr>
                <w:noProof/>
                <w:webHidden/>
              </w:rPr>
              <w:fldChar w:fldCharType="separate"/>
            </w:r>
            <w:r>
              <w:rPr>
                <w:noProof/>
                <w:webHidden/>
              </w:rPr>
              <w:t>108</w:t>
            </w:r>
            <w:r>
              <w:rPr>
                <w:noProof/>
                <w:webHidden/>
              </w:rPr>
              <w:fldChar w:fldCharType="end"/>
            </w:r>
          </w:hyperlink>
        </w:p>
        <w:p w14:paraId="1C395D25" w14:textId="5D815CD0"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3" w:history="1">
            <w:r w:rsidRPr="00F636B6">
              <w:rPr>
                <w:rStyle w:val="Hyperlink"/>
                <w:noProof/>
              </w:rPr>
              <w:t>5.1 Método de construcción de la taxonomía</w:t>
            </w:r>
            <w:r>
              <w:rPr>
                <w:noProof/>
                <w:webHidden/>
              </w:rPr>
              <w:tab/>
            </w:r>
            <w:r>
              <w:rPr>
                <w:noProof/>
                <w:webHidden/>
              </w:rPr>
              <w:fldChar w:fldCharType="begin"/>
            </w:r>
            <w:r>
              <w:rPr>
                <w:noProof/>
                <w:webHidden/>
              </w:rPr>
              <w:instrText xml:space="preserve"> PAGEREF _Toc241413323 \h </w:instrText>
            </w:r>
            <w:r>
              <w:rPr>
                <w:noProof/>
                <w:webHidden/>
              </w:rPr>
            </w:r>
            <w:r>
              <w:rPr>
                <w:noProof/>
                <w:webHidden/>
              </w:rPr>
              <w:fldChar w:fldCharType="separate"/>
            </w:r>
            <w:r>
              <w:rPr>
                <w:noProof/>
                <w:webHidden/>
              </w:rPr>
              <w:t>110</w:t>
            </w:r>
            <w:r>
              <w:rPr>
                <w:noProof/>
                <w:webHidden/>
              </w:rPr>
              <w:fldChar w:fldCharType="end"/>
            </w:r>
          </w:hyperlink>
        </w:p>
        <w:p w14:paraId="5FB706F1" w14:textId="144C5776"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4" w:history="1">
            <w:r w:rsidRPr="00F636B6">
              <w:rPr>
                <w:rStyle w:val="Hyperlink"/>
                <w:noProof/>
              </w:rPr>
              <w:t>5.2 Motivación y posicionamiento</w:t>
            </w:r>
            <w:r>
              <w:rPr>
                <w:noProof/>
                <w:webHidden/>
              </w:rPr>
              <w:tab/>
            </w:r>
            <w:r>
              <w:rPr>
                <w:noProof/>
                <w:webHidden/>
              </w:rPr>
              <w:fldChar w:fldCharType="begin"/>
            </w:r>
            <w:r>
              <w:rPr>
                <w:noProof/>
                <w:webHidden/>
              </w:rPr>
              <w:instrText xml:space="preserve"> PAGEREF _Toc241413324 \h </w:instrText>
            </w:r>
            <w:r>
              <w:rPr>
                <w:noProof/>
                <w:webHidden/>
              </w:rPr>
            </w:r>
            <w:r>
              <w:rPr>
                <w:noProof/>
                <w:webHidden/>
              </w:rPr>
              <w:fldChar w:fldCharType="separate"/>
            </w:r>
            <w:r>
              <w:rPr>
                <w:noProof/>
                <w:webHidden/>
              </w:rPr>
              <w:t>112</w:t>
            </w:r>
            <w:r>
              <w:rPr>
                <w:noProof/>
                <w:webHidden/>
              </w:rPr>
              <w:fldChar w:fldCharType="end"/>
            </w:r>
          </w:hyperlink>
        </w:p>
        <w:p w14:paraId="0B9235BA" w14:textId="2DF1BE19"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5" w:history="1">
            <w:r w:rsidRPr="00F636B6">
              <w:rPr>
                <w:rStyle w:val="Hyperlink"/>
                <w:noProof/>
              </w:rPr>
              <w:t>5.3 Los cuatro ejes de la taxonomía</w:t>
            </w:r>
            <w:r>
              <w:rPr>
                <w:noProof/>
                <w:webHidden/>
              </w:rPr>
              <w:tab/>
            </w:r>
            <w:r>
              <w:rPr>
                <w:noProof/>
                <w:webHidden/>
              </w:rPr>
              <w:fldChar w:fldCharType="begin"/>
            </w:r>
            <w:r>
              <w:rPr>
                <w:noProof/>
                <w:webHidden/>
              </w:rPr>
              <w:instrText xml:space="preserve"> PAGEREF _Toc241413325 \h </w:instrText>
            </w:r>
            <w:r>
              <w:rPr>
                <w:noProof/>
                <w:webHidden/>
              </w:rPr>
            </w:r>
            <w:r>
              <w:rPr>
                <w:noProof/>
                <w:webHidden/>
              </w:rPr>
              <w:fldChar w:fldCharType="separate"/>
            </w:r>
            <w:r>
              <w:rPr>
                <w:noProof/>
                <w:webHidden/>
              </w:rPr>
              <w:t>113</w:t>
            </w:r>
            <w:r>
              <w:rPr>
                <w:noProof/>
                <w:webHidden/>
              </w:rPr>
              <w:fldChar w:fldCharType="end"/>
            </w:r>
          </w:hyperlink>
        </w:p>
        <w:p w14:paraId="0323E2D0" w14:textId="326051FD"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6" w:history="1">
            <w:r w:rsidRPr="00F636B6">
              <w:rPr>
                <w:rStyle w:val="Hyperlink"/>
                <w:noProof/>
              </w:rPr>
              <w:t>5.4 Matriz taxonómica de métricas XAI</w:t>
            </w:r>
            <w:r>
              <w:rPr>
                <w:noProof/>
                <w:webHidden/>
              </w:rPr>
              <w:tab/>
            </w:r>
            <w:r>
              <w:rPr>
                <w:noProof/>
                <w:webHidden/>
              </w:rPr>
              <w:fldChar w:fldCharType="begin"/>
            </w:r>
            <w:r>
              <w:rPr>
                <w:noProof/>
                <w:webHidden/>
              </w:rPr>
              <w:instrText xml:space="preserve"> PAGEREF _Toc241413326 \h </w:instrText>
            </w:r>
            <w:r>
              <w:rPr>
                <w:noProof/>
                <w:webHidden/>
              </w:rPr>
            </w:r>
            <w:r>
              <w:rPr>
                <w:noProof/>
                <w:webHidden/>
              </w:rPr>
              <w:fldChar w:fldCharType="separate"/>
            </w:r>
            <w:r>
              <w:rPr>
                <w:noProof/>
                <w:webHidden/>
              </w:rPr>
              <w:t>115</w:t>
            </w:r>
            <w:r>
              <w:rPr>
                <w:noProof/>
                <w:webHidden/>
              </w:rPr>
              <w:fldChar w:fldCharType="end"/>
            </w:r>
          </w:hyperlink>
        </w:p>
        <w:p w14:paraId="12C0E88F" w14:textId="1C697967"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7" w:history="1">
            <w:r w:rsidRPr="00F636B6">
              <w:rPr>
                <w:rStyle w:val="Hyperlink"/>
                <w:noProof/>
              </w:rPr>
              <w:t>5.5 Mapeo del benchmark a la taxonomía</w:t>
            </w:r>
            <w:r>
              <w:rPr>
                <w:noProof/>
                <w:webHidden/>
              </w:rPr>
              <w:tab/>
            </w:r>
            <w:r>
              <w:rPr>
                <w:noProof/>
                <w:webHidden/>
              </w:rPr>
              <w:fldChar w:fldCharType="begin"/>
            </w:r>
            <w:r>
              <w:rPr>
                <w:noProof/>
                <w:webHidden/>
              </w:rPr>
              <w:instrText xml:space="preserve"> PAGEREF _Toc241413327 \h </w:instrText>
            </w:r>
            <w:r>
              <w:rPr>
                <w:noProof/>
                <w:webHidden/>
              </w:rPr>
            </w:r>
            <w:r>
              <w:rPr>
                <w:noProof/>
                <w:webHidden/>
              </w:rPr>
              <w:fldChar w:fldCharType="separate"/>
            </w:r>
            <w:r>
              <w:rPr>
                <w:noProof/>
                <w:webHidden/>
              </w:rPr>
              <w:t>117</w:t>
            </w:r>
            <w:r>
              <w:rPr>
                <w:noProof/>
                <w:webHidden/>
              </w:rPr>
              <w:fldChar w:fldCharType="end"/>
            </w:r>
          </w:hyperlink>
        </w:p>
        <w:p w14:paraId="0DA662C3" w14:textId="1522A32B"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8" w:history="1">
            <w:r w:rsidRPr="00F636B6">
              <w:rPr>
                <w:rStyle w:val="Hyperlink"/>
                <w:noProof/>
              </w:rPr>
              <w:t>5.6 Brechas de constructo que la taxonomía hace explícitas</w:t>
            </w:r>
            <w:r>
              <w:rPr>
                <w:noProof/>
                <w:webHidden/>
              </w:rPr>
              <w:tab/>
            </w:r>
            <w:r>
              <w:rPr>
                <w:noProof/>
                <w:webHidden/>
              </w:rPr>
              <w:fldChar w:fldCharType="begin"/>
            </w:r>
            <w:r>
              <w:rPr>
                <w:noProof/>
                <w:webHidden/>
              </w:rPr>
              <w:instrText xml:space="preserve"> PAGEREF _Toc241413328 \h </w:instrText>
            </w:r>
            <w:r>
              <w:rPr>
                <w:noProof/>
                <w:webHidden/>
              </w:rPr>
            </w:r>
            <w:r>
              <w:rPr>
                <w:noProof/>
                <w:webHidden/>
              </w:rPr>
              <w:fldChar w:fldCharType="separate"/>
            </w:r>
            <w:r>
              <w:rPr>
                <w:noProof/>
                <w:webHidden/>
              </w:rPr>
              <w:t>118</w:t>
            </w:r>
            <w:r>
              <w:rPr>
                <w:noProof/>
                <w:webHidden/>
              </w:rPr>
              <w:fldChar w:fldCharType="end"/>
            </w:r>
          </w:hyperlink>
        </w:p>
        <w:p w14:paraId="43278EC8" w14:textId="124DC2C3"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29" w:history="1">
            <w:r w:rsidRPr="00F636B6">
              <w:rPr>
                <w:rStyle w:val="Hyperlink"/>
                <w:noProof/>
              </w:rPr>
              <w:t>5.7 Contribución teórica de la taxonomía</w:t>
            </w:r>
            <w:r>
              <w:rPr>
                <w:noProof/>
                <w:webHidden/>
              </w:rPr>
              <w:tab/>
            </w:r>
            <w:r>
              <w:rPr>
                <w:noProof/>
                <w:webHidden/>
              </w:rPr>
              <w:fldChar w:fldCharType="begin"/>
            </w:r>
            <w:r>
              <w:rPr>
                <w:noProof/>
                <w:webHidden/>
              </w:rPr>
              <w:instrText xml:space="preserve"> PAGEREF _Toc241413329 \h </w:instrText>
            </w:r>
            <w:r>
              <w:rPr>
                <w:noProof/>
                <w:webHidden/>
              </w:rPr>
            </w:r>
            <w:r>
              <w:rPr>
                <w:noProof/>
                <w:webHidden/>
              </w:rPr>
              <w:fldChar w:fldCharType="separate"/>
            </w:r>
            <w:r>
              <w:rPr>
                <w:noProof/>
                <w:webHidden/>
              </w:rPr>
              <w:t>119</w:t>
            </w:r>
            <w:r>
              <w:rPr>
                <w:noProof/>
                <w:webHidden/>
              </w:rPr>
              <w:fldChar w:fldCharType="end"/>
            </w:r>
          </w:hyperlink>
        </w:p>
        <w:p w14:paraId="5F9D747B" w14:textId="39ED68B7"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0" w:history="1">
            <w:r w:rsidRPr="00F636B6">
              <w:rPr>
                <w:rStyle w:val="Hyperlink"/>
                <w:noProof/>
              </w:rPr>
              <w:t>5.8 Estudio de Fiabilidad Inter-juez (EXP4)</w:t>
            </w:r>
            <w:r>
              <w:rPr>
                <w:noProof/>
                <w:webHidden/>
              </w:rPr>
              <w:tab/>
            </w:r>
            <w:r>
              <w:rPr>
                <w:noProof/>
                <w:webHidden/>
              </w:rPr>
              <w:fldChar w:fldCharType="begin"/>
            </w:r>
            <w:r>
              <w:rPr>
                <w:noProof/>
                <w:webHidden/>
              </w:rPr>
              <w:instrText xml:space="preserve"> PAGEREF _Toc241413330 \h </w:instrText>
            </w:r>
            <w:r>
              <w:rPr>
                <w:noProof/>
                <w:webHidden/>
              </w:rPr>
            </w:r>
            <w:r>
              <w:rPr>
                <w:noProof/>
                <w:webHidden/>
              </w:rPr>
              <w:fldChar w:fldCharType="separate"/>
            </w:r>
            <w:r>
              <w:rPr>
                <w:noProof/>
                <w:webHidden/>
              </w:rPr>
              <w:t>120</w:t>
            </w:r>
            <w:r>
              <w:rPr>
                <w:noProof/>
                <w:webHidden/>
              </w:rPr>
              <w:fldChar w:fldCharType="end"/>
            </w:r>
          </w:hyperlink>
        </w:p>
        <w:p w14:paraId="368A8D1E" w14:textId="4CBA6C8C"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331" w:history="1">
            <w:r w:rsidRPr="00F636B6">
              <w:rPr>
                <w:rStyle w:val="Hyperlink"/>
                <w:noProof/>
              </w:rPr>
              <w:t>Capítulo 6. Conclusiones</w:t>
            </w:r>
            <w:r>
              <w:rPr>
                <w:noProof/>
                <w:webHidden/>
              </w:rPr>
              <w:tab/>
            </w:r>
            <w:r>
              <w:rPr>
                <w:noProof/>
                <w:webHidden/>
              </w:rPr>
              <w:fldChar w:fldCharType="begin"/>
            </w:r>
            <w:r>
              <w:rPr>
                <w:noProof/>
                <w:webHidden/>
              </w:rPr>
              <w:instrText xml:space="preserve"> PAGEREF _Toc241413331 \h </w:instrText>
            </w:r>
            <w:r>
              <w:rPr>
                <w:noProof/>
                <w:webHidden/>
              </w:rPr>
            </w:r>
            <w:r>
              <w:rPr>
                <w:noProof/>
                <w:webHidden/>
              </w:rPr>
              <w:fldChar w:fldCharType="separate"/>
            </w:r>
            <w:r>
              <w:rPr>
                <w:noProof/>
                <w:webHidden/>
              </w:rPr>
              <w:t>122</w:t>
            </w:r>
            <w:r>
              <w:rPr>
                <w:noProof/>
                <w:webHidden/>
              </w:rPr>
              <w:fldChar w:fldCharType="end"/>
            </w:r>
          </w:hyperlink>
        </w:p>
        <w:p w14:paraId="7C548A17" w14:textId="6F7A7AE7"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2" w:history="1">
            <w:r w:rsidRPr="00F636B6">
              <w:rPr>
                <w:rStyle w:val="Hyperlink"/>
                <w:noProof/>
              </w:rPr>
              <w:t>6.1 Respuesta al problema de investigación e hipótesis</w:t>
            </w:r>
            <w:r>
              <w:rPr>
                <w:noProof/>
                <w:webHidden/>
              </w:rPr>
              <w:tab/>
            </w:r>
            <w:r>
              <w:rPr>
                <w:noProof/>
                <w:webHidden/>
              </w:rPr>
              <w:fldChar w:fldCharType="begin"/>
            </w:r>
            <w:r>
              <w:rPr>
                <w:noProof/>
                <w:webHidden/>
              </w:rPr>
              <w:instrText xml:space="preserve"> PAGEREF _Toc241413332 \h </w:instrText>
            </w:r>
            <w:r>
              <w:rPr>
                <w:noProof/>
                <w:webHidden/>
              </w:rPr>
            </w:r>
            <w:r>
              <w:rPr>
                <w:noProof/>
                <w:webHidden/>
              </w:rPr>
              <w:fldChar w:fldCharType="separate"/>
            </w:r>
            <w:r>
              <w:rPr>
                <w:noProof/>
                <w:webHidden/>
              </w:rPr>
              <w:t>123</w:t>
            </w:r>
            <w:r>
              <w:rPr>
                <w:noProof/>
                <w:webHidden/>
              </w:rPr>
              <w:fldChar w:fldCharType="end"/>
            </w:r>
          </w:hyperlink>
        </w:p>
        <w:p w14:paraId="52429E86" w14:textId="06E25D71"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3" w:history="1">
            <w:r w:rsidRPr="00F636B6">
              <w:rPr>
                <w:rStyle w:val="Hyperlink"/>
                <w:noProof/>
              </w:rPr>
              <w:t>6.2 Contribuciones científicas</w:t>
            </w:r>
            <w:r>
              <w:rPr>
                <w:noProof/>
                <w:webHidden/>
              </w:rPr>
              <w:tab/>
            </w:r>
            <w:r>
              <w:rPr>
                <w:noProof/>
                <w:webHidden/>
              </w:rPr>
              <w:fldChar w:fldCharType="begin"/>
            </w:r>
            <w:r>
              <w:rPr>
                <w:noProof/>
                <w:webHidden/>
              </w:rPr>
              <w:instrText xml:space="preserve"> PAGEREF _Toc241413333 \h </w:instrText>
            </w:r>
            <w:r>
              <w:rPr>
                <w:noProof/>
                <w:webHidden/>
              </w:rPr>
            </w:r>
            <w:r>
              <w:rPr>
                <w:noProof/>
                <w:webHidden/>
              </w:rPr>
              <w:fldChar w:fldCharType="separate"/>
            </w:r>
            <w:r>
              <w:rPr>
                <w:noProof/>
                <w:webHidden/>
              </w:rPr>
              <w:t>126</w:t>
            </w:r>
            <w:r>
              <w:rPr>
                <w:noProof/>
                <w:webHidden/>
              </w:rPr>
              <w:fldChar w:fldCharType="end"/>
            </w:r>
          </w:hyperlink>
        </w:p>
        <w:p w14:paraId="60C8526B" w14:textId="4599BD1A"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34" w:history="1">
            <w:r w:rsidRPr="00F636B6">
              <w:rPr>
                <w:rStyle w:val="Hyperlink"/>
                <w:noProof/>
              </w:rPr>
              <w:t>6.2.1 Contribución metodológica: protocolo FOM-7</w:t>
            </w:r>
            <w:r>
              <w:rPr>
                <w:noProof/>
                <w:webHidden/>
              </w:rPr>
              <w:tab/>
            </w:r>
            <w:r>
              <w:rPr>
                <w:noProof/>
                <w:webHidden/>
              </w:rPr>
              <w:fldChar w:fldCharType="begin"/>
            </w:r>
            <w:r>
              <w:rPr>
                <w:noProof/>
                <w:webHidden/>
              </w:rPr>
              <w:instrText xml:space="preserve"> PAGEREF _Toc241413334 \h </w:instrText>
            </w:r>
            <w:r>
              <w:rPr>
                <w:noProof/>
                <w:webHidden/>
              </w:rPr>
            </w:r>
            <w:r>
              <w:rPr>
                <w:noProof/>
                <w:webHidden/>
              </w:rPr>
              <w:fldChar w:fldCharType="separate"/>
            </w:r>
            <w:r>
              <w:rPr>
                <w:noProof/>
                <w:webHidden/>
              </w:rPr>
              <w:t>126</w:t>
            </w:r>
            <w:r>
              <w:rPr>
                <w:noProof/>
                <w:webHidden/>
              </w:rPr>
              <w:fldChar w:fldCharType="end"/>
            </w:r>
          </w:hyperlink>
        </w:p>
        <w:p w14:paraId="000EC79D" w14:textId="14E83427"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35" w:history="1">
            <w:r w:rsidRPr="00F636B6">
              <w:rPr>
                <w:rStyle w:val="Hyperlink"/>
                <w:noProof/>
              </w:rPr>
              <w:t>6.2.2 Contribución teórica: disociación fidelidad-estabilidad y taxonomía de métricas</w:t>
            </w:r>
            <w:r>
              <w:rPr>
                <w:noProof/>
                <w:webHidden/>
              </w:rPr>
              <w:tab/>
            </w:r>
            <w:r>
              <w:rPr>
                <w:noProof/>
                <w:webHidden/>
              </w:rPr>
              <w:fldChar w:fldCharType="begin"/>
            </w:r>
            <w:r>
              <w:rPr>
                <w:noProof/>
                <w:webHidden/>
              </w:rPr>
              <w:instrText xml:space="preserve"> PAGEREF _Toc241413335 \h </w:instrText>
            </w:r>
            <w:r>
              <w:rPr>
                <w:noProof/>
                <w:webHidden/>
              </w:rPr>
            </w:r>
            <w:r>
              <w:rPr>
                <w:noProof/>
                <w:webHidden/>
              </w:rPr>
              <w:fldChar w:fldCharType="separate"/>
            </w:r>
            <w:r>
              <w:rPr>
                <w:noProof/>
                <w:webHidden/>
              </w:rPr>
              <w:t>126</w:t>
            </w:r>
            <w:r>
              <w:rPr>
                <w:noProof/>
                <w:webHidden/>
              </w:rPr>
              <w:fldChar w:fldCharType="end"/>
            </w:r>
          </w:hyperlink>
        </w:p>
        <w:p w14:paraId="520C855C" w14:textId="57B72D69"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36" w:history="1">
            <w:r w:rsidRPr="00F636B6">
              <w:rPr>
                <w:rStyle w:val="Hyperlink"/>
                <w:noProof/>
              </w:rPr>
              <w:t>6.2.3 Contribución aplicada: criterios prescriptivos de selección de métodos XAI</w:t>
            </w:r>
            <w:r>
              <w:rPr>
                <w:noProof/>
                <w:webHidden/>
              </w:rPr>
              <w:tab/>
            </w:r>
            <w:r>
              <w:rPr>
                <w:noProof/>
                <w:webHidden/>
              </w:rPr>
              <w:fldChar w:fldCharType="begin"/>
            </w:r>
            <w:r>
              <w:rPr>
                <w:noProof/>
                <w:webHidden/>
              </w:rPr>
              <w:instrText xml:space="preserve"> PAGEREF _Toc241413336 \h </w:instrText>
            </w:r>
            <w:r>
              <w:rPr>
                <w:noProof/>
                <w:webHidden/>
              </w:rPr>
            </w:r>
            <w:r>
              <w:rPr>
                <w:noProof/>
                <w:webHidden/>
              </w:rPr>
              <w:fldChar w:fldCharType="separate"/>
            </w:r>
            <w:r>
              <w:rPr>
                <w:noProof/>
                <w:webHidden/>
              </w:rPr>
              <w:t>127</w:t>
            </w:r>
            <w:r>
              <w:rPr>
                <w:noProof/>
                <w:webHidden/>
              </w:rPr>
              <w:fldChar w:fldCharType="end"/>
            </w:r>
          </w:hyperlink>
        </w:p>
        <w:p w14:paraId="45650486" w14:textId="64C5FCCA"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7" w:history="1">
            <w:r w:rsidRPr="00F636B6">
              <w:rPr>
                <w:rStyle w:val="Hyperlink"/>
                <w:noProof/>
              </w:rPr>
              <w:t>6.3 Posicionamiento respecto a la literatura y separación de contribuciones</w:t>
            </w:r>
            <w:r>
              <w:rPr>
                <w:noProof/>
                <w:webHidden/>
              </w:rPr>
              <w:tab/>
            </w:r>
            <w:r>
              <w:rPr>
                <w:noProof/>
                <w:webHidden/>
              </w:rPr>
              <w:fldChar w:fldCharType="begin"/>
            </w:r>
            <w:r>
              <w:rPr>
                <w:noProof/>
                <w:webHidden/>
              </w:rPr>
              <w:instrText xml:space="preserve"> PAGEREF _Toc241413337 \h </w:instrText>
            </w:r>
            <w:r>
              <w:rPr>
                <w:noProof/>
                <w:webHidden/>
              </w:rPr>
            </w:r>
            <w:r>
              <w:rPr>
                <w:noProof/>
                <w:webHidden/>
              </w:rPr>
              <w:fldChar w:fldCharType="separate"/>
            </w:r>
            <w:r>
              <w:rPr>
                <w:noProof/>
                <w:webHidden/>
              </w:rPr>
              <w:t>129</w:t>
            </w:r>
            <w:r>
              <w:rPr>
                <w:noProof/>
                <w:webHidden/>
              </w:rPr>
              <w:fldChar w:fldCharType="end"/>
            </w:r>
          </w:hyperlink>
        </w:p>
        <w:p w14:paraId="4F6B5196" w14:textId="31483F51"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8" w:history="1">
            <w:r w:rsidRPr="00F636B6">
              <w:rPr>
                <w:rStyle w:val="Hyperlink"/>
                <w:noProof/>
              </w:rPr>
              <w:t>6.4 Limitaciones del estudio</w:t>
            </w:r>
            <w:r>
              <w:rPr>
                <w:noProof/>
                <w:webHidden/>
              </w:rPr>
              <w:tab/>
            </w:r>
            <w:r>
              <w:rPr>
                <w:noProof/>
                <w:webHidden/>
              </w:rPr>
              <w:fldChar w:fldCharType="begin"/>
            </w:r>
            <w:r>
              <w:rPr>
                <w:noProof/>
                <w:webHidden/>
              </w:rPr>
              <w:instrText xml:space="preserve"> PAGEREF _Toc241413338 \h </w:instrText>
            </w:r>
            <w:r>
              <w:rPr>
                <w:noProof/>
                <w:webHidden/>
              </w:rPr>
            </w:r>
            <w:r>
              <w:rPr>
                <w:noProof/>
                <w:webHidden/>
              </w:rPr>
              <w:fldChar w:fldCharType="separate"/>
            </w:r>
            <w:r>
              <w:rPr>
                <w:noProof/>
                <w:webHidden/>
              </w:rPr>
              <w:t>131</w:t>
            </w:r>
            <w:r>
              <w:rPr>
                <w:noProof/>
                <w:webHidden/>
              </w:rPr>
              <w:fldChar w:fldCharType="end"/>
            </w:r>
          </w:hyperlink>
        </w:p>
        <w:p w14:paraId="6325B737" w14:textId="301B17B7"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39" w:history="1">
            <w:r w:rsidRPr="00F636B6">
              <w:rPr>
                <w:rStyle w:val="Hyperlink"/>
                <w:noProof/>
              </w:rPr>
              <w:t>6.5 Fronteras de generalización</w:t>
            </w:r>
            <w:r>
              <w:rPr>
                <w:noProof/>
                <w:webHidden/>
              </w:rPr>
              <w:tab/>
            </w:r>
            <w:r>
              <w:rPr>
                <w:noProof/>
                <w:webHidden/>
              </w:rPr>
              <w:fldChar w:fldCharType="begin"/>
            </w:r>
            <w:r>
              <w:rPr>
                <w:noProof/>
                <w:webHidden/>
              </w:rPr>
              <w:instrText xml:space="preserve"> PAGEREF _Toc241413339 \h </w:instrText>
            </w:r>
            <w:r>
              <w:rPr>
                <w:noProof/>
                <w:webHidden/>
              </w:rPr>
            </w:r>
            <w:r>
              <w:rPr>
                <w:noProof/>
                <w:webHidden/>
              </w:rPr>
              <w:fldChar w:fldCharType="separate"/>
            </w:r>
            <w:r>
              <w:rPr>
                <w:noProof/>
                <w:webHidden/>
              </w:rPr>
              <w:t>133</w:t>
            </w:r>
            <w:r>
              <w:rPr>
                <w:noProof/>
                <w:webHidden/>
              </w:rPr>
              <w:fldChar w:fldCharType="end"/>
            </w:r>
          </w:hyperlink>
        </w:p>
        <w:p w14:paraId="38F29D03" w14:textId="5FB80B78"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40" w:history="1">
            <w:r w:rsidRPr="00F636B6">
              <w:rPr>
                <w:rStyle w:val="Hyperlink"/>
                <w:noProof/>
              </w:rPr>
              <w:t>6.5.1 Nota sobre la validación externa parcial: EXP3</w:t>
            </w:r>
            <w:r>
              <w:rPr>
                <w:noProof/>
                <w:webHidden/>
              </w:rPr>
              <w:tab/>
            </w:r>
            <w:r>
              <w:rPr>
                <w:noProof/>
                <w:webHidden/>
              </w:rPr>
              <w:fldChar w:fldCharType="begin"/>
            </w:r>
            <w:r>
              <w:rPr>
                <w:noProof/>
                <w:webHidden/>
              </w:rPr>
              <w:instrText xml:space="preserve"> PAGEREF _Toc241413340 \h </w:instrText>
            </w:r>
            <w:r>
              <w:rPr>
                <w:noProof/>
                <w:webHidden/>
              </w:rPr>
            </w:r>
            <w:r>
              <w:rPr>
                <w:noProof/>
                <w:webHidden/>
              </w:rPr>
              <w:fldChar w:fldCharType="separate"/>
            </w:r>
            <w:r>
              <w:rPr>
                <w:noProof/>
                <w:webHidden/>
              </w:rPr>
              <w:t>136</w:t>
            </w:r>
            <w:r>
              <w:rPr>
                <w:noProof/>
                <w:webHidden/>
              </w:rPr>
              <w:fldChar w:fldCharType="end"/>
            </w:r>
          </w:hyperlink>
        </w:p>
        <w:p w14:paraId="4E7E425F" w14:textId="4A096465"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1" w:history="1">
            <w:r w:rsidRPr="00F636B6">
              <w:rPr>
                <w:rStyle w:val="Hyperlink"/>
                <w:noProof/>
              </w:rPr>
              <w:t>6.6 Líneas de investigación futura</w:t>
            </w:r>
            <w:r>
              <w:rPr>
                <w:noProof/>
                <w:webHidden/>
              </w:rPr>
              <w:tab/>
            </w:r>
            <w:r>
              <w:rPr>
                <w:noProof/>
                <w:webHidden/>
              </w:rPr>
              <w:fldChar w:fldCharType="begin"/>
            </w:r>
            <w:r>
              <w:rPr>
                <w:noProof/>
                <w:webHidden/>
              </w:rPr>
              <w:instrText xml:space="preserve"> PAGEREF _Toc241413341 \h </w:instrText>
            </w:r>
            <w:r>
              <w:rPr>
                <w:noProof/>
                <w:webHidden/>
              </w:rPr>
            </w:r>
            <w:r>
              <w:rPr>
                <w:noProof/>
                <w:webHidden/>
              </w:rPr>
              <w:fldChar w:fldCharType="separate"/>
            </w:r>
            <w:r>
              <w:rPr>
                <w:noProof/>
                <w:webHidden/>
              </w:rPr>
              <w:t>137</w:t>
            </w:r>
            <w:r>
              <w:rPr>
                <w:noProof/>
                <w:webHidden/>
              </w:rPr>
              <w:fldChar w:fldCharType="end"/>
            </w:r>
          </w:hyperlink>
        </w:p>
        <w:p w14:paraId="5CC51EE3" w14:textId="48A21AA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2" w:history="1">
            <w:r w:rsidRPr="00F636B6">
              <w:rPr>
                <w:rStyle w:val="Hyperlink"/>
                <w:noProof/>
              </w:rPr>
              <w:t>6.7 Síntesis final</w:t>
            </w:r>
            <w:r>
              <w:rPr>
                <w:noProof/>
                <w:webHidden/>
              </w:rPr>
              <w:tab/>
            </w:r>
            <w:r>
              <w:rPr>
                <w:noProof/>
                <w:webHidden/>
              </w:rPr>
              <w:fldChar w:fldCharType="begin"/>
            </w:r>
            <w:r>
              <w:rPr>
                <w:noProof/>
                <w:webHidden/>
              </w:rPr>
              <w:instrText xml:space="preserve"> PAGEREF _Toc241413342 \h </w:instrText>
            </w:r>
            <w:r>
              <w:rPr>
                <w:noProof/>
                <w:webHidden/>
              </w:rPr>
            </w:r>
            <w:r>
              <w:rPr>
                <w:noProof/>
                <w:webHidden/>
              </w:rPr>
              <w:fldChar w:fldCharType="separate"/>
            </w:r>
            <w:r>
              <w:rPr>
                <w:noProof/>
                <w:webHidden/>
              </w:rPr>
              <w:t>139</w:t>
            </w:r>
            <w:r>
              <w:rPr>
                <w:noProof/>
                <w:webHidden/>
              </w:rPr>
              <w:fldChar w:fldCharType="end"/>
            </w:r>
          </w:hyperlink>
        </w:p>
        <w:p w14:paraId="113EC548" w14:textId="4E626B70"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343" w:history="1">
            <w:r w:rsidRPr="00F636B6">
              <w:rPr>
                <w:rStyle w:val="Hyperlink"/>
                <w:noProof/>
              </w:rPr>
              <w:t>Referencias</w:t>
            </w:r>
            <w:r>
              <w:rPr>
                <w:noProof/>
                <w:webHidden/>
              </w:rPr>
              <w:tab/>
            </w:r>
            <w:r>
              <w:rPr>
                <w:noProof/>
                <w:webHidden/>
              </w:rPr>
              <w:fldChar w:fldCharType="begin"/>
            </w:r>
            <w:r>
              <w:rPr>
                <w:noProof/>
                <w:webHidden/>
              </w:rPr>
              <w:instrText xml:space="preserve"> PAGEREF _Toc241413343 \h </w:instrText>
            </w:r>
            <w:r>
              <w:rPr>
                <w:noProof/>
                <w:webHidden/>
              </w:rPr>
            </w:r>
            <w:r>
              <w:rPr>
                <w:noProof/>
                <w:webHidden/>
              </w:rPr>
              <w:fldChar w:fldCharType="separate"/>
            </w:r>
            <w:r>
              <w:rPr>
                <w:noProof/>
                <w:webHidden/>
              </w:rPr>
              <w:t>141</w:t>
            </w:r>
            <w:r>
              <w:rPr>
                <w:noProof/>
                <w:webHidden/>
              </w:rPr>
              <w:fldChar w:fldCharType="end"/>
            </w:r>
          </w:hyperlink>
        </w:p>
        <w:p w14:paraId="30231454" w14:textId="624A5FD4" w:rsidR="008E091D" w:rsidRDefault="008E091D">
          <w:pPr>
            <w:pStyle w:val="TOC1"/>
            <w:tabs>
              <w:tab w:val="right" w:leader="dot" w:pos="9350"/>
            </w:tabs>
            <w:rPr>
              <w:rFonts w:asciiTheme="minorHAnsi" w:eastAsiaTheme="minorEastAsia" w:hAnsiTheme="minorHAnsi"/>
              <w:noProof/>
              <w:kern w:val="2"/>
              <w:szCs w:val="24"/>
              <w:lang w:val="en-US"/>
              <w14:ligatures w14:val="standardContextual"/>
            </w:rPr>
          </w:pPr>
          <w:hyperlink w:anchor="_Toc241413344" w:history="1">
            <w:r w:rsidRPr="00F636B6">
              <w:rPr>
                <w:rStyle w:val="Hyperlink"/>
                <w:noProof/>
              </w:rPr>
              <w:t>Apéndices</w:t>
            </w:r>
            <w:r>
              <w:rPr>
                <w:noProof/>
                <w:webHidden/>
              </w:rPr>
              <w:tab/>
            </w:r>
            <w:r>
              <w:rPr>
                <w:noProof/>
                <w:webHidden/>
              </w:rPr>
              <w:fldChar w:fldCharType="begin"/>
            </w:r>
            <w:r>
              <w:rPr>
                <w:noProof/>
                <w:webHidden/>
              </w:rPr>
              <w:instrText xml:space="preserve"> PAGEREF _Toc241413344 \h </w:instrText>
            </w:r>
            <w:r>
              <w:rPr>
                <w:noProof/>
                <w:webHidden/>
              </w:rPr>
            </w:r>
            <w:r>
              <w:rPr>
                <w:noProof/>
                <w:webHidden/>
              </w:rPr>
              <w:fldChar w:fldCharType="separate"/>
            </w:r>
            <w:r>
              <w:rPr>
                <w:noProof/>
                <w:webHidden/>
              </w:rPr>
              <w:t>157</w:t>
            </w:r>
            <w:r>
              <w:rPr>
                <w:noProof/>
                <w:webHidden/>
              </w:rPr>
              <w:fldChar w:fldCharType="end"/>
            </w:r>
          </w:hyperlink>
        </w:p>
        <w:p w14:paraId="4CCFA4B2" w14:textId="116CA891"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5" w:history="1">
            <w:r w:rsidRPr="00F636B6">
              <w:rPr>
                <w:rStyle w:val="Hyperlink"/>
                <w:noProof/>
              </w:rPr>
              <w:t>Apéndice A: Corpus de datos, partición y preprocesamiento</w:t>
            </w:r>
            <w:r>
              <w:rPr>
                <w:noProof/>
                <w:webHidden/>
              </w:rPr>
              <w:tab/>
            </w:r>
            <w:r>
              <w:rPr>
                <w:noProof/>
                <w:webHidden/>
              </w:rPr>
              <w:fldChar w:fldCharType="begin"/>
            </w:r>
            <w:r>
              <w:rPr>
                <w:noProof/>
                <w:webHidden/>
              </w:rPr>
              <w:instrText xml:space="preserve"> PAGEREF _Toc241413345 \h </w:instrText>
            </w:r>
            <w:r>
              <w:rPr>
                <w:noProof/>
                <w:webHidden/>
              </w:rPr>
            </w:r>
            <w:r>
              <w:rPr>
                <w:noProof/>
                <w:webHidden/>
              </w:rPr>
              <w:fldChar w:fldCharType="separate"/>
            </w:r>
            <w:r>
              <w:rPr>
                <w:noProof/>
                <w:webHidden/>
              </w:rPr>
              <w:t>157</w:t>
            </w:r>
            <w:r>
              <w:rPr>
                <w:noProof/>
                <w:webHidden/>
              </w:rPr>
              <w:fldChar w:fldCharType="end"/>
            </w:r>
          </w:hyperlink>
        </w:p>
        <w:p w14:paraId="54EE13C2" w14:textId="532651FC"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6" w:history="1">
            <w:r w:rsidRPr="00F636B6">
              <w:rPr>
                <w:rStyle w:val="Hyperlink"/>
                <w:noProof/>
              </w:rPr>
              <w:t>Apéndice B: Modelos predictivos y artefactos</w:t>
            </w:r>
            <w:r>
              <w:rPr>
                <w:noProof/>
                <w:webHidden/>
              </w:rPr>
              <w:tab/>
            </w:r>
            <w:r>
              <w:rPr>
                <w:noProof/>
                <w:webHidden/>
              </w:rPr>
              <w:fldChar w:fldCharType="begin"/>
            </w:r>
            <w:r>
              <w:rPr>
                <w:noProof/>
                <w:webHidden/>
              </w:rPr>
              <w:instrText xml:space="preserve"> PAGEREF _Toc241413346 \h </w:instrText>
            </w:r>
            <w:r>
              <w:rPr>
                <w:noProof/>
                <w:webHidden/>
              </w:rPr>
            </w:r>
            <w:r>
              <w:rPr>
                <w:noProof/>
                <w:webHidden/>
              </w:rPr>
              <w:fldChar w:fldCharType="separate"/>
            </w:r>
            <w:r>
              <w:rPr>
                <w:noProof/>
                <w:webHidden/>
              </w:rPr>
              <w:t>158</w:t>
            </w:r>
            <w:r>
              <w:rPr>
                <w:noProof/>
                <w:webHidden/>
              </w:rPr>
              <w:fldChar w:fldCharType="end"/>
            </w:r>
          </w:hyperlink>
        </w:p>
        <w:p w14:paraId="4C78E42D" w14:textId="00BAF4A2"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7" w:history="1">
            <w:r w:rsidRPr="00F636B6">
              <w:rPr>
                <w:rStyle w:val="Hyperlink"/>
                <w:noProof/>
              </w:rPr>
              <w:t>Apéndice C: Configuración de explicadores</w:t>
            </w:r>
            <w:r>
              <w:rPr>
                <w:noProof/>
                <w:webHidden/>
              </w:rPr>
              <w:tab/>
            </w:r>
            <w:r>
              <w:rPr>
                <w:noProof/>
                <w:webHidden/>
              </w:rPr>
              <w:fldChar w:fldCharType="begin"/>
            </w:r>
            <w:r>
              <w:rPr>
                <w:noProof/>
                <w:webHidden/>
              </w:rPr>
              <w:instrText xml:space="preserve"> PAGEREF _Toc241413347 \h </w:instrText>
            </w:r>
            <w:r>
              <w:rPr>
                <w:noProof/>
                <w:webHidden/>
              </w:rPr>
            </w:r>
            <w:r>
              <w:rPr>
                <w:noProof/>
                <w:webHidden/>
              </w:rPr>
              <w:fldChar w:fldCharType="separate"/>
            </w:r>
            <w:r>
              <w:rPr>
                <w:noProof/>
                <w:webHidden/>
              </w:rPr>
              <w:t>159</w:t>
            </w:r>
            <w:r>
              <w:rPr>
                <w:noProof/>
                <w:webHidden/>
              </w:rPr>
              <w:fldChar w:fldCharType="end"/>
            </w:r>
          </w:hyperlink>
        </w:p>
        <w:p w14:paraId="54D65F00" w14:textId="1A4134AD"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48" w:history="1">
            <w:r w:rsidRPr="00F636B6">
              <w:rPr>
                <w:rStyle w:val="Hyperlink"/>
                <w:noProof/>
              </w:rPr>
              <w:t>C.1 Análisis exploratorio de sensibilidad a hiperparámetros</w:t>
            </w:r>
            <w:r>
              <w:rPr>
                <w:noProof/>
                <w:webHidden/>
              </w:rPr>
              <w:tab/>
            </w:r>
            <w:r>
              <w:rPr>
                <w:noProof/>
                <w:webHidden/>
              </w:rPr>
              <w:fldChar w:fldCharType="begin"/>
            </w:r>
            <w:r>
              <w:rPr>
                <w:noProof/>
                <w:webHidden/>
              </w:rPr>
              <w:instrText xml:space="preserve"> PAGEREF _Toc241413348 \h </w:instrText>
            </w:r>
            <w:r>
              <w:rPr>
                <w:noProof/>
                <w:webHidden/>
              </w:rPr>
            </w:r>
            <w:r>
              <w:rPr>
                <w:noProof/>
                <w:webHidden/>
              </w:rPr>
              <w:fldChar w:fldCharType="separate"/>
            </w:r>
            <w:r>
              <w:rPr>
                <w:noProof/>
                <w:webHidden/>
              </w:rPr>
              <w:t>160</w:t>
            </w:r>
            <w:r>
              <w:rPr>
                <w:noProof/>
                <w:webHidden/>
              </w:rPr>
              <w:fldChar w:fldCharType="end"/>
            </w:r>
          </w:hyperlink>
        </w:p>
        <w:p w14:paraId="3F0755DF" w14:textId="408B54EB"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49" w:history="1">
            <w:r w:rsidRPr="00F636B6">
              <w:rPr>
                <w:rStyle w:val="Hyperlink"/>
                <w:noProof/>
              </w:rPr>
              <w:t>Apéndice D: Salidas estadísticas y trazabilidad</w:t>
            </w:r>
            <w:r>
              <w:rPr>
                <w:noProof/>
                <w:webHidden/>
              </w:rPr>
              <w:tab/>
            </w:r>
            <w:r>
              <w:rPr>
                <w:noProof/>
                <w:webHidden/>
              </w:rPr>
              <w:fldChar w:fldCharType="begin"/>
            </w:r>
            <w:r>
              <w:rPr>
                <w:noProof/>
                <w:webHidden/>
              </w:rPr>
              <w:instrText xml:space="preserve"> PAGEREF _Toc241413349 \h </w:instrText>
            </w:r>
            <w:r>
              <w:rPr>
                <w:noProof/>
                <w:webHidden/>
              </w:rPr>
            </w:r>
            <w:r>
              <w:rPr>
                <w:noProof/>
                <w:webHidden/>
              </w:rPr>
              <w:fldChar w:fldCharType="separate"/>
            </w:r>
            <w:r>
              <w:rPr>
                <w:noProof/>
                <w:webHidden/>
              </w:rPr>
              <w:t>164</w:t>
            </w:r>
            <w:r>
              <w:rPr>
                <w:noProof/>
                <w:webHidden/>
              </w:rPr>
              <w:fldChar w:fldCharType="end"/>
            </w:r>
          </w:hyperlink>
        </w:p>
        <w:p w14:paraId="177621CF" w14:textId="55D5DAA4"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50" w:history="1">
            <w:r w:rsidRPr="00F636B6">
              <w:rPr>
                <w:rStyle w:val="Hyperlink"/>
                <w:noProof/>
              </w:rPr>
              <w:t>D.1 Resultados completos de la prueba de Friedman</w:t>
            </w:r>
            <w:r>
              <w:rPr>
                <w:noProof/>
                <w:webHidden/>
              </w:rPr>
              <w:tab/>
            </w:r>
            <w:r>
              <w:rPr>
                <w:noProof/>
                <w:webHidden/>
              </w:rPr>
              <w:fldChar w:fldCharType="begin"/>
            </w:r>
            <w:r>
              <w:rPr>
                <w:noProof/>
                <w:webHidden/>
              </w:rPr>
              <w:instrText xml:space="preserve"> PAGEREF _Toc241413350 \h </w:instrText>
            </w:r>
            <w:r>
              <w:rPr>
                <w:noProof/>
                <w:webHidden/>
              </w:rPr>
            </w:r>
            <w:r>
              <w:rPr>
                <w:noProof/>
                <w:webHidden/>
              </w:rPr>
              <w:fldChar w:fldCharType="separate"/>
            </w:r>
            <w:r>
              <w:rPr>
                <w:noProof/>
                <w:webHidden/>
              </w:rPr>
              <w:t>165</w:t>
            </w:r>
            <w:r>
              <w:rPr>
                <w:noProof/>
                <w:webHidden/>
              </w:rPr>
              <w:fldChar w:fldCharType="end"/>
            </w:r>
          </w:hyperlink>
        </w:p>
        <w:p w14:paraId="29FBB4DA" w14:textId="72AF3E30"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51" w:history="1">
            <w:r w:rsidRPr="00F636B6">
              <w:rPr>
                <w:rStyle w:val="Hyperlink"/>
                <w:noProof/>
              </w:rPr>
              <w:t>D.2 Comparaciones post-hoc de Nemenyi (fidelidad y estabilidad)</w:t>
            </w:r>
            <w:r>
              <w:rPr>
                <w:noProof/>
                <w:webHidden/>
              </w:rPr>
              <w:tab/>
            </w:r>
            <w:r>
              <w:rPr>
                <w:noProof/>
                <w:webHidden/>
              </w:rPr>
              <w:fldChar w:fldCharType="begin"/>
            </w:r>
            <w:r>
              <w:rPr>
                <w:noProof/>
                <w:webHidden/>
              </w:rPr>
              <w:instrText xml:space="preserve"> PAGEREF _Toc241413351 \h </w:instrText>
            </w:r>
            <w:r>
              <w:rPr>
                <w:noProof/>
                <w:webHidden/>
              </w:rPr>
            </w:r>
            <w:r>
              <w:rPr>
                <w:noProof/>
                <w:webHidden/>
              </w:rPr>
              <w:fldChar w:fldCharType="separate"/>
            </w:r>
            <w:r>
              <w:rPr>
                <w:noProof/>
                <w:webHidden/>
              </w:rPr>
              <w:t>166</w:t>
            </w:r>
            <w:r>
              <w:rPr>
                <w:noProof/>
                <w:webHidden/>
              </w:rPr>
              <w:fldChar w:fldCharType="end"/>
            </w:r>
          </w:hyperlink>
        </w:p>
        <w:p w14:paraId="3855E0F1" w14:textId="1C645FAE" w:rsidR="008E091D" w:rsidRDefault="008E091D">
          <w:pPr>
            <w:pStyle w:val="TOC3"/>
            <w:tabs>
              <w:tab w:val="right" w:leader="dot" w:pos="9350"/>
            </w:tabs>
            <w:rPr>
              <w:rFonts w:asciiTheme="minorHAnsi" w:eastAsiaTheme="minorEastAsia" w:hAnsiTheme="minorHAnsi"/>
              <w:noProof/>
              <w:kern w:val="2"/>
              <w:szCs w:val="24"/>
              <w:lang w:val="en-US"/>
              <w14:ligatures w14:val="standardContextual"/>
            </w:rPr>
          </w:pPr>
          <w:hyperlink w:anchor="_Toc241413352" w:history="1">
            <w:r w:rsidRPr="00F636B6">
              <w:rPr>
                <w:rStyle w:val="Hyperlink"/>
                <w:noProof/>
              </w:rPr>
              <w:t>D.3 Resultados completos del análisis pareado Wilcoxon (H3)</w:t>
            </w:r>
            <w:r>
              <w:rPr>
                <w:noProof/>
                <w:webHidden/>
              </w:rPr>
              <w:tab/>
            </w:r>
            <w:r>
              <w:rPr>
                <w:noProof/>
                <w:webHidden/>
              </w:rPr>
              <w:fldChar w:fldCharType="begin"/>
            </w:r>
            <w:r>
              <w:rPr>
                <w:noProof/>
                <w:webHidden/>
              </w:rPr>
              <w:instrText xml:space="preserve"> PAGEREF _Toc241413352 \h </w:instrText>
            </w:r>
            <w:r>
              <w:rPr>
                <w:noProof/>
                <w:webHidden/>
              </w:rPr>
            </w:r>
            <w:r>
              <w:rPr>
                <w:noProof/>
                <w:webHidden/>
              </w:rPr>
              <w:fldChar w:fldCharType="separate"/>
            </w:r>
            <w:r>
              <w:rPr>
                <w:noProof/>
                <w:webHidden/>
              </w:rPr>
              <w:t>167</w:t>
            </w:r>
            <w:r>
              <w:rPr>
                <w:noProof/>
                <w:webHidden/>
              </w:rPr>
              <w:fldChar w:fldCharType="end"/>
            </w:r>
          </w:hyperlink>
        </w:p>
        <w:p w14:paraId="51A35DE8" w14:textId="0019D089"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53" w:history="1">
            <w:r w:rsidRPr="00F636B6">
              <w:rPr>
                <w:rStyle w:val="Hyperlink"/>
                <w:noProof/>
              </w:rPr>
              <w:t>Apéndice E: Entorno computacional y reproducción</w:t>
            </w:r>
            <w:r>
              <w:rPr>
                <w:noProof/>
                <w:webHidden/>
              </w:rPr>
              <w:tab/>
            </w:r>
            <w:r>
              <w:rPr>
                <w:noProof/>
                <w:webHidden/>
              </w:rPr>
              <w:fldChar w:fldCharType="begin"/>
            </w:r>
            <w:r>
              <w:rPr>
                <w:noProof/>
                <w:webHidden/>
              </w:rPr>
              <w:instrText xml:space="preserve"> PAGEREF _Toc241413353 \h </w:instrText>
            </w:r>
            <w:r>
              <w:rPr>
                <w:noProof/>
                <w:webHidden/>
              </w:rPr>
            </w:r>
            <w:r>
              <w:rPr>
                <w:noProof/>
                <w:webHidden/>
              </w:rPr>
              <w:fldChar w:fldCharType="separate"/>
            </w:r>
            <w:r>
              <w:rPr>
                <w:noProof/>
                <w:webHidden/>
              </w:rPr>
              <w:t>169</w:t>
            </w:r>
            <w:r>
              <w:rPr>
                <w:noProof/>
                <w:webHidden/>
              </w:rPr>
              <w:fldChar w:fldCharType="end"/>
            </w:r>
          </w:hyperlink>
        </w:p>
        <w:p w14:paraId="03567DC1" w14:textId="3765E592" w:rsidR="008E091D" w:rsidRDefault="008E091D">
          <w:pPr>
            <w:pStyle w:val="TOC2"/>
            <w:tabs>
              <w:tab w:val="right" w:leader="dot" w:pos="9350"/>
            </w:tabs>
            <w:rPr>
              <w:rFonts w:asciiTheme="minorHAnsi" w:eastAsiaTheme="minorEastAsia" w:hAnsiTheme="minorHAnsi"/>
              <w:noProof/>
              <w:kern w:val="2"/>
              <w:szCs w:val="24"/>
              <w:lang w:val="en-US"/>
              <w14:ligatures w14:val="standardContextual"/>
            </w:rPr>
          </w:pPr>
          <w:hyperlink w:anchor="_Toc241413354" w:history="1">
            <w:r w:rsidRPr="00F636B6">
              <w:rPr>
                <w:rStyle w:val="Hyperlink"/>
                <w:noProof/>
              </w:rPr>
              <w:t>Apéndice F: Artefactos del Estudio EXP4 (fiabilidad de jueces LLM)</w:t>
            </w:r>
            <w:r>
              <w:rPr>
                <w:noProof/>
                <w:webHidden/>
              </w:rPr>
              <w:tab/>
            </w:r>
            <w:r>
              <w:rPr>
                <w:noProof/>
                <w:webHidden/>
              </w:rPr>
              <w:fldChar w:fldCharType="begin"/>
            </w:r>
            <w:r>
              <w:rPr>
                <w:noProof/>
                <w:webHidden/>
              </w:rPr>
              <w:instrText xml:space="preserve"> PAGEREF _Toc241413354 \h </w:instrText>
            </w:r>
            <w:r>
              <w:rPr>
                <w:noProof/>
                <w:webHidden/>
              </w:rPr>
            </w:r>
            <w:r>
              <w:rPr>
                <w:noProof/>
                <w:webHidden/>
              </w:rPr>
              <w:fldChar w:fldCharType="separate"/>
            </w:r>
            <w:r>
              <w:rPr>
                <w:noProof/>
                <w:webHidden/>
              </w:rPr>
              <w:t>170</w:t>
            </w:r>
            <w:r>
              <w:rPr>
                <w:noProof/>
                <w:webHidden/>
              </w:rPr>
              <w:fldChar w:fldCharType="end"/>
            </w:r>
          </w:hyperlink>
        </w:p>
        <w:p w14:paraId="60BB85C9" w14:textId="2822FAE1" w:rsidR="00D075F6" w:rsidRDefault="00734411">
          <w:r>
            <w:fldChar w:fldCharType="end"/>
          </w:r>
        </w:p>
      </w:sdtContent>
    </w:sdt>
    <w:p w14:paraId="15086536" w14:textId="77777777" w:rsidR="00D075F6" w:rsidRDefault="00734411">
      <w:r>
        <w:br w:type="page"/>
      </w:r>
    </w:p>
    <w:p w14:paraId="7E1F7F63" w14:textId="77777777" w:rsidR="00D075F6" w:rsidRDefault="00734411">
      <w:pPr>
        <w:pStyle w:val="Heading1"/>
        <w:jc w:val="center"/>
      </w:pPr>
      <w:bookmarkStart w:id="0" w:name="dedicatoria"/>
      <w:bookmarkStart w:id="1" w:name="_Toc241413227"/>
      <w:r>
        <w:t>Dedicatoria</w:t>
      </w:r>
      <w:bookmarkEnd w:id="1"/>
    </w:p>
    <w:p w14:paraId="1966F0B4" w14:textId="77777777" w:rsidR="00D075F6" w:rsidRDefault="00734411">
      <w:pPr>
        <w:jc w:val="right"/>
      </w:pPr>
      <w:r>
        <w:rPr>
          <w:i/>
          <w:iCs/>
        </w:rPr>
        <w:t>A mi hijo, Alejandro, su curiosidad es mi inspiración para seguir buscando respuesta a todas las preguntas.</w:t>
      </w:r>
    </w:p>
    <w:p w14:paraId="1D2CE70F" w14:textId="77777777" w:rsidR="00D075F6" w:rsidRDefault="00734411">
      <w:pPr>
        <w:pStyle w:val="BodyText"/>
        <w:jc w:val="right"/>
      </w:pPr>
      <w:r>
        <w:rPr>
          <w:i/>
          <w:iCs/>
        </w:rPr>
        <w:t>A mi esposa, Liena, tu presencia en mi vida me ha hecho una mejor persona.</w:t>
      </w:r>
    </w:p>
    <w:p w14:paraId="5EA8F0BB" w14:textId="77777777" w:rsidR="00D075F6" w:rsidRDefault="00734411">
      <w:pPr>
        <w:pStyle w:val="BodyText"/>
        <w:jc w:val="right"/>
      </w:pPr>
      <w:r>
        <w:rPr>
          <w:i/>
          <w:iCs/>
        </w:rPr>
        <w:t>A mi madre, Alis, sin tu guía no hubiese podido llegar aquí.</w:t>
      </w:r>
    </w:p>
    <w:p w14:paraId="12281E50" w14:textId="77777777" w:rsidR="00D075F6" w:rsidRDefault="00734411">
      <w:pPr>
        <w:pStyle w:val="BodyText"/>
        <w:jc w:val="right"/>
      </w:pPr>
      <w:r>
        <w:rPr>
          <w:i/>
          <w:iCs/>
        </w:rPr>
        <w:t>Jonathan Herrera Vásquez</w:t>
      </w:r>
    </w:p>
    <w:p w14:paraId="281F9784" w14:textId="77777777" w:rsidR="00D075F6" w:rsidRDefault="00734411">
      <w:pPr>
        <w:jc w:val="right"/>
      </w:pPr>
      <w:r>
        <w:rPr>
          <w:i/>
          <w:iCs/>
        </w:rPr>
        <w:br w:type="page"/>
      </w:r>
    </w:p>
    <w:p w14:paraId="5F045C1F" w14:textId="77777777" w:rsidR="00D075F6" w:rsidRDefault="00734411">
      <w:pPr>
        <w:pStyle w:val="Heading1"/>
        <w:jc w:val="center"/>
      </w:pPr>
      <w:bookmarkStart w:id="2" w:name="agradecimientos"/>
      <w:bookmarkStart w:id="3" w:name="_Toc241413228"/>
      <w:bookmarkEnd w:id="0"/>
      <w:r>
        <w:t>Agradecimientos</w:t>
      </w:r>
      <w:bookmarkEnd w:id="3"/>
    </w:p>
    <w:p w14:paraId="454F01CE" w14:textId="77777777" w:rsidR="00D075F6" w:rsidRDefault="00734411">
      <w:pPr>
        <w:jc w:val="right"/>
      </w:pPr>
      <w:r>
        <w:rPr>
          <w:i/>
          <w:iCs/>
        </w:rPr>
        <w:t>Agradezco a mi familia por todo su apoyo en el camino a través de los años.</w:t>
      </w:r>
    </w:p>
    <w:p w14:paraId="03050EEF" w14:textId="77777777" w:rsidR="00D075F6" w:rsidRDefault="00734411">
      <w:pPr>
        <w:pStyle w:val="BodyText"/>
        <w:jc w:val="right"/>
      </w:pPr>
      <w:r>
        <w:rPr>
          <w:i/>
          <w:iCs/>
        </w:rPr>
        <w:t>Agradezco al Dr. Miguel Herrero Uceda por su apoyo en el proceso de elaboración de esta tesis.</w:t>
      </w:r>
    </w:p>
    <w:p w14:paraId="741AAB28" w14:textId="77777777" w:rsidR="00D075F6" w:rsidRDefault="00734411">
      <w:pPr>
        <w:jc w:val="right"/>
      </w:pPr>
      <w:r>
        <w:rPr>
          <w:i/>
          <w:iCs/>
        </w:rPr>
        <w:br w:type="page"/>
      </w:r>
    </w:p>
    <w:p w14:paraId="3E25108D" w14:textId="77777777" w:rsidR="00D075F6" w:rsidRDefault="00734411">
      <w:pPr>
        <w:pStyle w:val="Heading1"/>
      </w:pPr>
      <w:bookmarkStart w:id="4" w:name="resumen"/>
      <w:bookmarkStart w:id="5" w:name="_Toc241413229"/>
      <w:bookmarkEnd w:id="2"/>
      <w:r>
        <w:t>Resumen</w:t>
      </w:r>
      <w:bookmarkEnd w:id="5"/>
    </w:p>
    <w:p w14:paraId="2EF8B4BC" w14:textId="77777777" w:rsidR="00D075F6" w:rsidRDefault="00734411">
      <w:r>
        <w:t>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w:t>
      </w:r>
      <w:r>
        <w:t>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14:paraId="163A5D07" w14:textId="77777777" w:rsidR="00D075F6" w:rsidRDefault="00734411">
      <w:pPr>
        <w:pStyle w:val="BodyText"/>
      </w:pPr>
      <w:r>
        <w:t>El estudio empírico se realiza sobre el conjunto Adult (UCI Adult Income) y operacionaliza cinco métricas primarias: fidelidad, estabilidad, parsimonia, brecha de fidelidad (</w:t>
      </w:r>
      <w:r>
        <w:rPr>
          <w:i/>
          <w:iCs/>
        </w:rPr>
        <w:t>faithfulness gap</w:t>
      </w:r>
      <w:r>
        <w:t>)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w:t>
      </w:r>
      <w:r>
        <w:t>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w:t>
      </w:r>
      <w:r>
        <w:t xml:space="preserve"> delimitando el alcance externo de los hallazgos.</w:t>
      </w:r>
    </w:p>
    <w:p w14:paraId="580F8904" w14:textId="77777777" w:rsidR="00D075F6" w:rsidRDefault="00734411">
      <w:pPr>
        <w:pStyle w:val="BodyText"/>
      </w:pPr>
      <w:r>
        <w:t>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w:t>
      </w:r>
      <w:r>
        <w:t>da con sus condiciones de validez explícitas y un marco conceptual que permiten seleccionar métodos XAI en función de objetivos operativos y acumular evidencia de forma reproducible.</w:t>
      </w:r>
    </w:p>
    <w:p w14:paraId="6708567C" w14:textId="77777777" w:rsidR="00D075F6" w:rsidRDefault="00734411">
      <w:pPr>
        <w:pStyle w:val="BodyText"/>
      </w:pPr>
      <w:r>
        <w:rPr>
          <w:b/>
          <w:bCs/>
        </w:rPr>
        <w:t>Palabras clave:</w:t>
      </w:r>
      <w:r>
        <w:t xml:space="preserve"> inteligencia artificial explicable (XAI); evaluación multimétrica; benchmarking reproducible; protocolo FOM-7; atribución de características; explicaciones contrafactuales; datos tabulares.</w:t>
      </w:r>
    </w:p>
    <w:p w14:paraId="45EAD2CD" w14:textId="77777777" w:rsidR="00D075F6" w:rsidRDefault="00734411">
      <w:pPr>
        <w:pStyle w:val="Heading1"/>
      </w:pPr>
      <w:bookmarkStart w:id="6" w:name="abstract"/>
      <w:bookmarkStart w:id="7" w:name="_Toc241413230"/>
      <w:bookmarkEnd w:id="4"/>
      <w:r>
        <w:t>Abstract</w:t>
      </w:r>
      <w:bookmarkEnd w:id="7"/>
    </w:p>
    <w:p w14:paraId="5CA5D0B2" w14:textId="77777777" w:rsidR="00D075F6" w:rsidRDefault="00734411">
      <w:r>
        <w:t>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w:t>
      </w:r>
      <w:r>
        <w:t>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14:paraId="60442EC7" w14:textId="77777777" w:rsidR="00D075F6" w:rsidRDefault="00734411">
      <w:pPr>
        <w:pStyle w:val="BodyText"/>
      </w:pPr>
      <w:r>
        <w:t>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w:t>
      </w:r>
      <w:r>
        <w:t xml:space="preserv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w:t>
      </w:r>
      <w:r>
        <w:t xml:space="preserve"> datasets replicates the SHAP-over-Anchors faithfulness ordering, delimiting the external scope of the findings.</w:t>
      </w:r>
    </w:p>
    <w:p w14:paraId="32C37AA2" w14:textId="77777777" w:rsidR="00D075F6" w:rsidRDefault="00734411">
      <w:pPr>
        <w:pStyle w:val="BodyText"/>
      </w:pPr>
      <w:r>
        <w:t>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w:t>
      </w:r>
      <w:r>
        <w:t>t, and a conceptual framework to support operationally grounded XAI method selection and reproducible evidence accumulation.</w:t>
      </w:r>
    </w:p>
    <w:p w14:paraId="104479BD" w14:textId="77777777" w:rsidR="00D075F6" w:rsidRDefault="00734411">
      <w:pPr>
        <w:pStyle w:val="BodyText"/>
      </w:pPr>
      <w:r>
        <w:rPr>
          <w:b/>
          <w:bCs/>
        </w:rPr>
        <w:t>Keywords:</w:t>
      </w:r>
      <w:r>
        <w:t xml:space="preserve"> explainable AI (XAI); multi-metric evaluation; reproducible benchmarking; FOM-7 protocol; feature attribution; counterfactual explanations; tabular data.</w:t>
      </w:r>
    </w:p>
    <w:p w14:paraId="2DFEF5D1" w14:textId="77777777" w:rsidR="00D075F6" w:rsidRDefault="00734411">
      <w:pPr>
        <w:pStyle w:val="Heading1"/>
      </w:pPr>
      <w:bookmarkStart w:id="8" w:name="introducción"/>
      <w:bookmarkStart w:id="9" w:name="_Toc241413231"/>
      <w:bookmarkEnd w:id="6"/>
      <w:r>
        <w:t>Introducción</w:t>
      </w:r>
      <w:bookmarkEnd w:id="9"/>
    </w:p>
    <w:p w14:paraId="29292892" w14:textId="77777777" w:rsidR="00D075F6" w:rsidRDefault="00734411">
      <w:r>
        <w:t xml:space="preserve">El rápido avance de la inteligencia artificial (IA), particularmente en el ámbito del aprendizaje profundo y los modelos complejos de aprendizaje automático, ha transformado radicalmente la capacidad predictiva en dominios tan diversos como la atención médica, las finanzas y los sistemas autónomos. Sin </w:t>
      </w:r>
      <w:r>
        <w:t xml:space="preserve">embargo, esta evolución tecnológica ha traído consigo una problemática fundamental: la naturaleza de “caja negra” de estos modelos, la cual plantea serias preocupaciones respecto a la confianza, la transparencia y la responsabilidad algorítmica. En este escenario, la interpretabilidad emerge no solo como un desafío técnico de primer orden, sino como un requisito ético y legal indispensable para el despliegue de soluciones en el mundo real. Para </w:t>
      </w:r>
      <w:r>
        <w:t xml:space="preserve">abordar esta opacidad, los métodos de explicación agnósticos al modelo —tales como LIME (Ribeiro 2016), SHAP (Lundberg 2017), Anchors (Ribeiro 2018) y DiCE (Mothilal 2020)— han ganado protagonismo al intentar proporcionar explicaciones </w:t>
      </w:r>
      <w:r>
        <w:rPr>
          <w:i/>
          <w:iCs/>
        </w:rPr>
        <w:t>post-hoc</w:t>
      </w:r>
      <w:r>
        <w:t xml:space="preserve"> sin necesidad de alterar los componentes internos del modelo, facilitando así la detección de sesgos y la validación de resultados en aplicaciones críticas.</w:t>
      </w:r>
    </w:p>
    <w:p w14:paraId="2B06341E" w14:textId="77777777" w:rsidR="00D075F6" w:rsidRDefault="00734411">
      <w:pPr>
        <w:pStyle w:val="BodyText"/>
      </w:pPr>
      <w:r>
        <w:t xml:space="preserve">La urgencia de esta investigación se amplifica por un contexto regulatorio en </w:t>
      </w:r>
      <w:r>
        <w:t xml:space="preserve">rápida evolución. El Reglamento General de Protección de Datos de la Unión Europea (GDPR) establece en su Artículo 22 el derecho de las personas a obtener explicaciones significativas sobre decisiones automatizadas que les afecten (Voigt y Bussche 2017). La Ley de Inteligencia Artificial de la Unión Europea (EU AI Act, 2024) va más lejos: clasifica ciertos sistemas de IA como de alto riesgo y exige requisitos de transparencia, trazabilidad y supervisión humana que dependen </w:t>
      </w:r>
      <w:r>
        <w:t>directamente de la disponibilidad de métodos de explicación verificables. En el ámbito financiero, la Directiva de Crédito Hipotecario y la regulación bancaria (Basilea IV) demandan modelos auditables. En el sector sanitario, la FDA norteamericana y la EMA europea han publicado marcos de gobernanza que vinculan aprobación de sistemas de IA con explicabilidad comprobable. Esta confluencia normativa convierte la evaluación rigurosa de métodos de explicación en una necesidad operativa, no solo académica.</w:t>
      </w:r>
    </w:p>
    <w:p w14:paraId="280A3CE4" w14:textId="77777777" w:rsidR="00D075F6" w:rsidRDefault="00734411">
      <w:pPr>
        <w:pStyle w:val="BodyText"/>
      </w:pPr>
      <w:r>
        <w:t xml:space="preserve">A pesar de su potencial, los enfoques actuales de explicabilidad adolecen de limitaciones significativas que restringen su aplicabilidad práctica. En primer lugar, la comunidad científica enfrenta lo que se ha denominado una “crisis de evaluación”, caracterizada por una proliferación de métricas inconexas que a menudo generan resultados duplicados o contradictorios (Pawlicki et al. 2024). Revisiones sistemáticas recientes (Abdul Kadir et al. 2023) revelan que, </w:t>
      </w:r>
      <w:r>
        <w:t xml:space="preserve">a pesar del auge de la disciplina, solo una pequeña fracción del corpus de investigación —aproximadamente el 14%— incorpora evaluaciones cuantitativas rigurosas. Esta carencia de estándares se ve agravada por la falta de consenso formal sobre las propiedades fundamentales de una “buena” explicación, lo que dificulta la comparación objetiva entre métodos (Canha et al. 2025; Nizam y Zafar 2023). La ausencia de criterios consensuados provoca que, a menudo, se ignore la “validez semántica” </w:t>
      </w:r>
      <w:r>
        <w:t>de la explicación, priorizando métricas matemáticas proxy que no siempre logran capturar el juicio comprensible para un experto humano.</w:t>
      </w:r>
    </w:p>
    <w:p w14:paraId="2BCEB013" w14:textId="77777777" w:rsidR="00D075F6" w:rsidRDefault="00734411">
      <w:pPr>
        <w:pStyle w:val="BodyText"/>
      </w:pPr>
      <w:r>
        <w:t xml:space="preserve">A los desafíos de estandarización se suman debilidades técnicas críticas en los marcos de evaluación vigentes. Estudios recientes han identificado que muchas de las métricas de fidelidad tradicionales sufren del problema de datos “fuera de la distribución” (Out-of-Distribution o OOD), donde la eliminación o </w:t>
      </w:r>
      <w:r>
        <w:t xml:space="preserve">perturbación de características genera instancias que el modelo original nunca encontró durante su entrenamiento, invalidando así sus respuestas y las puntuaciones de fiabilidad resultantes (Zheng et al. 2025). Si bien han surgido ecosistemas de benchmarking integrales como Quantus (Hedström et al. 2023) y OpenXAI (Agarwal et al. 2022) para intentar unificar el campo, todavía persiste una brecha significativa: ninguno de estos marcos ofrece un protocolo operativo completo </w:t>
      </w:r>
      <w:r>
        <w:t>que conecte diseño experimental, calificación de artefactos, admisibilidad estadística, reproducibilidad y trazabilidad de afirmaciones en una secuencia auditable (Pawlicki et al. 2024; Canha et al. 2025). Esa brecha es el problema central de esta tesis.</w:t>
      </w:r>
    </w:p>
    <w:p w14:paraId="33459A0D" w14:textId="77777777" w:rsidR="00D075F6" w:rsidRDefault="00734411">
      <w:pPr>
        <w:pStyle w:val="BodyText"/>
      </w:pPr>
      <w:r>
        <w:t xml:space="preserve">Esta investigación responde a la brecha con tres contribuciones articuladas. La </w:t>
      </w:r>
      <w:r>
        <w:rPr>
          <w:b/>
          <w:bCs/>
        </w:rPr>
        <w:t>contribución metodológica</w:t>
      </w:r>
      <w:r>
        <w:t xml:space="preserve"> es el protocolo FOM-7 (</w:t>
      </w:r>
      <w:r>
        <w:rPr>
          <w:i/>
          <w:iCs/>
        </w:rPr>
        <w:t>Framework Operation Method</w:t>
      </w:r>
      <w:r>
        <w:t xml:space="preserve">, siete puertas), una secuencia operativa reproducible que gobierna el </w:t>
      </w:r>
      <w:r>
        <w:t xml:space="preserve">ciclo completo de evidencia en evaluación XAI comparativa: desde la congelación del protocolo experimental hasta la trazabilidad de afirmaciones inferenciales. La </w:t>
      </w:r>
      <w:r>
        <w:rPr>
          <w:b/>
          <w:bCs/>
        </w:rPr>
        <w:t>contribución empírica</w:t>
      </w:r>
      <w:r>
        <w:t xml:space="preserve"> es un benchmark multi-métrico sobre datos tabulares reales que compara SHAP, LIME, Anchors y DiCE bajo cinco modelos, cinco semillas y tres tamaños de muestra, produciendo 275 artefactos calificados con análisis estadístico mediante pruebas no paramétricas con control de multiplicidad. La </w:t>
      </w:r>
      <w:r>
        <w:rPr>
          <w:b/>
          <w:bCs/>
        </w:rPr>
        <w:t>contribución teórica</w:t>
      </w:r>
      <w:r>
        <w:t xml:space="preserve"> </w:t>
      </w:r>
      <w:r>
        <w:t>es una taxonomía estructurada de cuatro ejes que organiza el espacio de métricas de evaluación XAI, localiza explícitamente las dimensiones cubiertas y no cubiertas por el benchmark, y vincula cada métrica a su alcance inferencial admisible. Juntas, estas tres contribuciones avanzan el campo desde la proliferación de métricas hacia la acumulación sistemática de evidencia defendible.</w:t>
      </w:r>
    </w:p>
    <w:p w14:paraId="1033B3B3" w14:textId="77777777" w:rsidR="00D075F6" w:rsidRDefault="00734411">
      <w:pPr>
        <w:pStyle w:val="BodyText"/>
      </w:pPr>
      <w:r>
        <w:t xml:space="preserve">Para alcanzar estos objetivos, el documento se estructura en seis capítulos y </w:t>
      </w:r>
      <w:r>
        <w:t xml:space="preserve">dos elementos complementarios. Tras esta introducción, el </w:t>
      </w:r>
      <w:r>
        <w:rPr>
          <w:b/>
          <w:bCs/>
        </w:rPr>
        <w:t>Capítulo 1</w:t>
      </w:r>
      <w:r>
        <w:t xml:space="preserve"> formaliza el problema de investigación, los objetivos específicos y las hipótesis estadísticas. El </w:t>
      </w:r>
      <w:r>
        <w:rPr>
          <w:b/>
          <w:bCs/>
        </w:rPr>
        <w:t>Capítulo 2</w:t>
      </w:r>
      <w:r>
        <w:t xml:space="preserve"> establece el marco teórico: desarrolla el desarrollo histórico de la XAI, las distinciones conceptuales fundamentales, los cuatro métodos evaluados y los marcos de evaluación existentes, cerrando con la síntesis crítica que justifica FOM-7. El </w:t>
      </w:r>
      <w:r>
        <w:rPr>
          <w:b/>
          <w:bCs/>
        </w:rPr>
        <w:t>Capítulo 3</w:t>
      </w:r>
      <w:r>
        <w:t xml:space="preserve"> describe el diseño experimental: el protocolo FOM-7, el </w:t>
      </w:r>
      <w:r>
        <w:t xml:space="preserve">conjunto de datos, el diseño factorial, la operacionalización de métricas, el análisis de cobertura y el plan de inferencia estadística. El </w:t>
      </w:r>
      <w:r>
        <w:rPr>
          <w:b/>
          <w:bCs/>
        </w:rPr>
        <w:t>Capítulo 4</w:t>
      </w:r>
      <w:r>
        <w:t xml:space="preserve"> expone y discute los resultados empíricos del Estudio Omnibus Multimétrico y del Estudio Pareado LIME–SHAP, con plena trazabilidad de afirmaciones. El </w:t>
      </w:r>
      <w:r>
        <w:rPr>
          <w:b/>
          <w:bCs/>
        </w:rPr>
        <w:t>Capítulo 5</w:t>
      </w:r>
      <w:r>
        <w:t xml:space="preserve"> desarrolla la taxonomía de métricas XAI como contribución teórica autónoma. El </w:t>
      </w:r>
      <w:r>
        <w:rPr>
          <w:b/>
          <w:bCs/>
        </w:rPr>
        <w:t>Capítulo 6</w:t>
      </w:r>
      <w:r>
        <w:t xml:space="preserve"> sintetiza las conclusiones, separa las </w:t>
      </w:r>
      <w:r>
        <w:t>contribuciones de la literatura previa, reconoce las limitaciones y propone líneas de investigación futura. Los apéndices documentan los datos, modelos, configuraciones, salidas estadísticas y entorno de reproducción.</w:t>
      </w:r>
    </w:p>
    <w:p w14:paraId="2A819EBD" w14:textId="77777777" w:rsidR="00D075F6" w:rsidRDefault="00734411">
      <w:pPr>
        <w:pStyle w:val="Heading1"/>
      </w:pPr>
      <w:bookmarkStart w:id="10" w:name="X13574bcfb14bbd4e095f2c559ff6b33999e5b97"/>
      <w:bookmarkStart w:id="11" w:name="_Toc241413232"/>
      <w:bookmarkEnd w:id="8"/>
      <w:r>
        <w:t>Capítulo 1. Problema, objetivos y diseño general de la investigación</w:t>
      </w:r>
      <w:bookmarkEnd w:id="11"/>
    </w:p>
    <w:p w14:paraId="49B381CA" w14:textId="77777777" w:rsidR="00D075F6" w:rsidRDefault="00734411">
      <w:r>
        <w:t xml:space="preserve">Este capítulo establece el posicionamiento investigativo de la tesis. Se articula en cuatro ejes: el problema de investigación que motiva el trabajo, la </w:t>
      </w:r>
      <w:r>
        <w:t>justificación de su relevancia científica y práctica, los objetivos e hipótesis formales que orientan la indagación empírica, y la metodología general que estructura el diseño de los estudios. La exposición detallada de los fundamentos conceptuales —incluyendo las bases técnicas de los métodos de explicabilidad y los criterios de evaluación— se desarrolla en el Capítulo 2.</w:t>
      </w:r>
    </w:p>
    <w:p w14:paraId="06870704" w14:textId="77777777" w:rsidR="00D075F6" w:rsidRDefault="00734411">
      <w:pPr>
        <w:pStyle w:val="Heading2"/>
      </w:pPr>
      <w:bookmarkStart w:id="12" w:name="problema-de-investigación"/>
      <w:bookmarkStart w:id="13" w:name="_Toc241413233"/>
      <w:r>
        <w:t>1.1 Problema de investigación</w:t>
      </w:r>
      <w:bookmarkEnd w:id="13"/>
    </w:p>
    <w:p w14:paraId="0524D5C3" w14:textId="77777777" w:rsidR="00D075F6" w:rsidRDefault="00734411">
      <w:r>
        <w:t xml:space="preserve">La Inteligencia Artificial Explicable (XAI) ha consolidado un ecosistema de métodos </w:t>
      </w:r>
      <w:r>
        <w:rPr>
          <w:i/>
          <w:iCs/>
        </w:rPr>
        <w:t>post-hoc</w:t>
      </w:r>
      <w:r>
        <w:t xml:space="preserve"> </w:t>
      </w:r>
      <w:r>
        <w:t xml:space="preserve">agnósticos al modelo cuya adopción en dominios de alto riesgo crece de forma sostenida (Adadi 2018; Arrieta 2019; Angelov 2021; Schwalbe 2023; Ali 2023; Belle 2021; Linardatos 2020; Saarela 2024; Malwade 2023). Sin embargo, la capacidad del campo para </w:t>
      </w:r>
      <w:r>
        <w:rPr>
          <w:i/>
          <w:iCs/>
        </w:rPr>
        <w:t>evaluar</w:t>
      </w:r>
      <w:r>
        <w:t xml:space="preserve"> esos métodos de manera comparativa, rigurosa y reproducible no ha avanzado al mismo ritmo (Doshi-Velez 2017; Samek 2019; Canha et al. 2025). En la práctica, esta tensión se observa incluso en explicadores locales ampliamente utilizados —como LIME y </w:t>
      </w:r>
      <w:r>
        <w:t xml:space="preserve">SHAP— cuyo uso extensivo contrasta con la variabilidad de criterios de evaluación reportados entre estudios (Ribeiro 2016; Lundberg 2017; Pawlicki et al. 2024). Revisiones sistemáticas recientes identifican una marcada proliferación de métricas inconexas, inconsistencia en los criterios de inclusión de instancias y ausencia de protocolos que conecten la ejecución experimental con la inferencia estadística admisible </w:t>
      </w:r>
      <w:r>
        <w:t>(Pawlicki et al. 2024; Abdul Kadir et al. 2023; Altukhi 2025; Bhattacharya y Verbert 2024; Lipton 2018). Las revisiones panorámicas del campo coinciden en el diagnóstico: el catálogo de técnicas ha crecido con rapidez (Dwivedi 2022), mientras que los retos abiertos de evaluación permanecen en buena medida sin resolver a lo largo de sucesivas meta-revisiones (Saeed 2023). Como resultado, los estudios publicados son frecuentemente inconmensurables entre sí y no permiten la acumulación sistemática de evidencia</w:t>
      </w:r>
      <w:r>
        <w:t xml:space="preserve"> (Doshi-Velez 2017; Canha et al. 2025).</w:t>
      </w:r>
    </w:p>
    <w:p w14:paraId="71293AE1" w14:textId="77777777" w:rsidR="00D075F6" w:rsidRDefault="00734411">
      <w:pPr>
        <w:pStyle w:val="BodyText"/>
      </w:pPr>
      <w:r>
        <w:t xml:space="preserve">La raíz técnica de este problema es doble. Por un lado, las métricas de fidelidad —las más ampliamente utilizadas— no capturan dimensiones igualmente relevantes para el despliegue práctico: la estabilidad ante perturbaciones de entrada, la parsimonia de las explicaciones producidas y el coste computacional por instancia (Bhattacharya y Verbert 2024; Abdul Kadir et al. 2023; Canha et al. 2025; Hedström et al. 2023). Por otro lado, muchas de estas </w:t>
      </w:r>
      <w:r>
        <w:t>métricas sufren del problema de datos fuera de la distribución (</w:t>
      </w:r>
      <w:r>
        <w:rPr>
          <w:i/>
          <w:iCs/>
        </w:rPr>
        <w:t>Out-of- Distribution</w:t>
      </w:r>
      <w:r>
        <w:t xml:space="preserve">, OOD): la perturbación de características puede generar instancias que el modelo nunca encontró durante el entrenamiento y sesgar las puntuaciones de fidelidad resultantes (Alvarez-Melis y Jaakkola 2018; Hooker et al. 2019; Rong et al. 2022; Zheng et al. 2025). Por ello, un ordenamiento obtenido mediante enmascaramiento debe interpretarse como evidencia comparativa bajo el operador </w:t>
      </w:r>
      <w:r>
        <w:t>de perturbación declarado, no como validación irrestricta de la corrección de las explicaciones. La disponibilidad de herramientas de benchmarking como Quantus (Hedström et al. 2023) y OpenXAI (Agarwal et al. 2022) ha mejorado la estandarización de la medición, pero no resuelve la ausencia de un protocolo de operación que discipline la trazabilidad de artefactos y la corrección de multiplicidad en la inferencia (Doshi-Velez 2017; Canha et al. 2025).</w:t>
      </w:r>
    </w:p>
    <w:p w14:paraId="55C4CDE9" w14:textId="77777777" w:rsidR="00D075F6" w:rsidRDefault="00734411">
      <w:pPr>
        <w:pStyle w:val="BodyText"/>
      </w:pPr>
      <w:r>
        <w:t xml:space="preserve">El problema de investigación de esta tesis se formula en los siguientes términos: </w:t>
      </w:r>
      <w:r>
        <w:rPr>
          <w:b/>
          <w:bCs/>
        </w:rPr>
        <w:t>¿En qué medida difieren los métodos de explicabilidad agnósticos al modelo en un conjunto multidimensional de métricas de calidad bajo condiciones de benchmarking controladas y reproducibles, y qué criterios técnicos permiten orientar su selección en función de los objetivos operativos?</w:t>
      </w:r>
    </w:p>
    <w:p w14:paraId="7A1C4D5D" w14:textId="77777777" w:rsidR="00D075F6" w:rsidRDefault="00734411">
      <w:pPr>
        <w:pStyle w:val="Heading2"/>
      </w:pPr>
      <w:bookmarkStart w:id="14" w:name="justificación-científica-y-práctica"/>
      <w:bookmarkStart w:id="15" w:name="_Toc241413234"/>
      <w:bookmarkEnd w:id="12"/>
      <w:r>
        <w:t>1.2 Justificación científica y práctica</w:t>
      </w:r>
      <w:bookmarkEnd w:id="15"/>
    </w:p>
    <w:p w14:paraId="2AD0F44E" w14:textId="77777777" w:rsidR="00D075F6" w:rsidRDefault="00734411">
      <w:r>
        <w:t xml:space="preserve">Desde el punto de vista científico, esta investigación responde a una necesidad </w:t>
      </w:r>
      <w:r>
        <w:t xml:space="preserve">metodológica identificada de forma recurrente en la literatura: la falta de un protocolo unificado que conecte el diseño experimental, la calificación de artefactos y la inferencia estadística controlada (Hedström et al. 2023; Agarwal et al. 2022; Zheng et al. 2025; Doshi-Velez 2017; Allen 2024). La formalización de ese protocolo como un método de operación de siete puertas (FOM-7) constituye en sí misma una contribución al campo de la metodología de evaluación en XAI (Canha et al. 2025). </w:t>
      </w:r>
      <w:r>
        <w:t>Complementariamente, la construcción de una taxonomía estructurada del espacio de métricas de evaluación proporciona un marco conceptual que organiza las brechas de constructo actualmente dispersas en la literatura (Pawlicki et al. 2024; Abdul Kadir et al. 2023; Nizam y Zafar 2023; Marcinkevičs 2023; Schwalbe 2023).</w:t>
      </w:r>
    </w:p>
    <w:p w14:paraId="2D391035" w14:textId="77777777" w:rsidR="00D075F6" w:rsidRDefault="00734411">
      <w:pPr>
        <w:pStyle w:val="BodyText"/>
      </w:pPr>
      <w:r>
        <w:t xml:space="preserve">Desde el punto de vista práctico, los sistemas de IA se despliegan de forma creciente en dominios donde la explicabilidad no es opcional, sino un requisito normativo y ético </w:t>
      </w:r>
      <w:r>
        <w:t xml:space="preserve">(Mittelstadt 2019; Floridi 2018; Hassija 2023; Ali 2023). En este contexto, los profesionales y organizaciones necesitan criterios técnicos fundamentados que orienten la selección de métodos XAI en función de objetivos operativos concretos —p. ej., alta fiabilidad auditora frente a baja latencia de respuesta— y de las preferencias y expectativas de los usuarios (Murdoch 2019; Rudin 2022; Belle 2021; Tripathy 2024; Hoffman et al. 2023; Nussberger 2022). Esta </w:t>
      </w:r>
      <w:r>
        <w:t>tesis provee esa orientación a través de un análisis empírico pareado, reproducible y estadísticamente riguroso sobre datos tabulares reales.</w:t>
      </w:r>
    </w:p>
    <w:p w14:paraId="012F79C1" w14:textId="77777777" w:rsidR="00D075F6" w:rsidRDefault="00734411">
      <w:pPr>
        <w:pStyle w:val="BodyText"/>
      </w:pPr>
      <w:r>
        <w:t>La amplitud de dominios en que la explicabilidad se despliega refuerza la necesidad de criterios de selección fundamentados. La literatura reciente documenta aplicaciones en seguridad informática —análisis de programas maliciosos (Saqib et al. 2024), detección de URL fraudulentas (Mittal 2023) y robustez frente a ejemplos adversarios (Gafur et al. 2024)—, en educación</w:t>
      </w:r>
      <w:r>
        <w:t xml:space="preserve"> (Iatrellis et al. 2023; Gomez et al. 2024), en agricultura digital (Porfírio 2024), en biología estructural (Tan y Zhang 2023), en la auditoría de sesgos en sistemas de clasificación de texto (Muntasir y Noor 2024) y en la anticipación de necesidades formativas (Bobitan et al. 2024). El mismo desplazamiento alcanza a la simulación (Feldkamp y Strassburger 2023), a la computación evolutiva (Bacardit et al. 2024) y al diseño de agentes autónomos, donde la exigencia de </w:t>
      </w:r>
      <w:r>
        <w:t>explicabilidad se plantea ya como requisito arquitectónico (Rodriguez y Thangarajah 2024; Hosseini y Seilani 2025). En todos estos contextos la pregunta operativa es la misma —qué método explicador elegir y con qué garantías— y en ninguno se responde con un criterio único: cada dominio prioriza dimensiones de calidad distintas, lo que justifica un marco de evaluación multidimensional en lugar de un ranking absoluto.</w:t>
      </w:r>
    </w:p>
    <w:p w14:paraId="155E92F2" w14:textId="77777777" w:rsidR="00D075F6" w:rsidRDefault="00734411">
      <w:pPr>
        <w:pStyle w:val="Heading2"/>
      </w:pPr>
      <w:bookmarkStart w:id="16" w:name="objetivos-e-hipótesis"/>
      <w:bookmarkStart w:id="17" w:name="_Toc241413235"/>
      <w:bookmarkEnd w:id="14"/>
      <w:r>
        <w:t>1.3 Objetivos e hipótesis</w:t>
      </w:r>
      <w:bookmarkEnd w:id="17"/>
    </w:p>
    <w:p w14:paraId="6837F95F" w14:textId="77777777" w:rsidR="00D075F6" w:rsidRDefault="00734411">
      <w:pPr>
        <w:pStyle w:val="Heading3"/>
      </w:pPr>
      <w:bookmarkStart w:id="18" w:name="objetivo-general"/>
      <w:bookmarkStart w:id="19" w:name="_Toc241413236"/>
      <w:r>
        <w:t>1.3.1 Objetivo general</w:t>
      </w:r>
      <w:bookmarkEnd w:id="19"/>
    </w:p>
    <w:p w14:paraId="4666A457" w14:textId="77777777" w:rsidR="00D075F6" w:rsidRDefault="00734411">
      <w:r>
        <w:t>Desarrollar y evaluar empíricamente un marco de evaluación multinivel y reproducible para métodos de explicabilidad agnósticos al modelo —articulado en un protocolo de operación (FOM-7), un benchmark cuantitativo multi-métrico y una taxonomía estructurada del espacio de métricas—, con el fin de establecer criterios técnicamente fundamentados para la selección y comparación de métodos XAI en contextos de datos tabulares, delimitando explícitamente el alcance de validez de la evidencia obtenida.</w:t>
      </w:r>
    </w:p>
    <w:p w14:paraId="6ABB7246" w14:textId="77777777" w:rsidR="00D075F6" w:rsidRDefault="00734411">
      <w:pPr>
        <w:pStyle w:val="Heading3"/>
      </w:pPr>
      <w:bookmarkStart w:id="20" w:name="objetivos-específicos"/>
      <w:bookmarkStart w:id="21" w:name="_Toc241413237"/>
      <w:bookmarkEnd w:id="18"/>
      <w:r>
        <w:t xml:space="preserve">1.3.2 </w:t>
      </w:r>
      <w:r>
        <w:t>Objetivos específicos</w:t>
      </w:r>
      <w:bookmarkEnd w:id="21"/>
    </w:p>
    <w:p w14:paraId="341BCB03" w14:textId="77777777" w:rsidR="00D075F6" w:rsidRDefault="00734411" w:rsidP="00734411">
      <w:pPr>
        <w:numPr>
          <w:ilvl w:val="0"/>
          <w:numId w:val="1"/>
        </w:numPr>
      </w:pPr>
      <w:r>
        <w:t>Diseñar y formalizar un protocolo de benchmarking reproducible (FOM-7) que garantice trazabilidad entre artefactos de ejecución, calificación de evidencia e inferencia estadística admisible.</w:t>
      </w:r>
    </w:p>
    <w:p w14:paraId="2947F4ED" w14:textId="77777777" w:rsidR="00D075F6" w:rsidRDefault="00734411" w:rsidP="00734411">
      <w:pPr>
        <w:numPr>
          <w:ilvl w:val="0"/>
          <w:numId w:val="1"/>
        </w:numPr>
      </w:pPr>
      <w:r>
        <w:t>Evaluar comparativamente cuatro métodos agnósticos —SHAP, LIME, Anchors y DiCE— sobre cinco familias de modelos en el conjunto de datos UCI Adult Income, utilizando un conjunto multidimensional de métricas: fidelidad, estabilidad, parsimonia, brecha de fidelidad y coste computacional.</w:t>
      </w:r>
    </w:p>
    <w:p w14:paraId="488C02D6" w14:textId="77777777" w:rsidR="00D075F6" w:rsidRDefault="00734411" w:rsidP="00734411">
      <w:pPr>
        <w:numPr>
          <w:ilvl w:val="0"/>
          <w:numId w:val="1"/>
        </w:numPr>
      </w:pPr>
      <w:r>
        <w:t>Cuantificar las diferencias en la relación calidad-coste entre LIME y SHAP mediante pruebas estadísticas pareadas sobre celdas coincidentes de modelo, semilla y tamaño de muestra.</w:t>
      </w:r>
    </w:p>
    <w:p w14:paraId="3E55A44F" w14:textId="77777777" w:rsidR="00D075F6" w:rsidRDefault="00734411" w:rsidP="00734411">
      <w:pPr>
        <w:numPr>
          <w:ilvl w:val="0"/>
          <w:numId w:val="1"/>
        </w:numPr>
      </w:pPr>
      <w:r>
        <w:t>Caracterizar el perfil de reproducibilidad del protocolo de benchmarking mediante el análisis de la dispersión métrica bajo ejecuciones repetidas con semillas distintas.</w:t>
      </w:r>
    </w:p>
    <w:p w14:paraId="768D38FF" w14:textId="77777777" w:rsidR="00D075F6" w:rsidRDefault="00734411" w:rsidP="00734411">
      <w:pPr>
        <w:numPr>
          <w:ilvl w:val="0"/>
          <w:numId w:val="1"/>
        </w:numPr>
      </w:pPr>
      <w:r>
        <w:t xml:space="preserve">Construir una taxonomía estructurada del espacio de métricas de evaluación XAI organizada en cuatro ejes —objetivo de evaluación, fuente de evidencia, </w:t>
      </w:r>
      <w:r>
        <w:t>propiedad de calidad y contexto de tarea— que sirva de marco conceptual integrador para el Estudio Omnibus Multimétrico —la comparación de los cuatro métodos agnósticos— y el Estudio Pareado LIME–SHAP, y que haga explícitas las brechas de constructo del campo.</w:t>
      </w:r>
    </w:p>
    <w:p w14:paraId="22D087B9" w14:textId="77777777" w:rsidR="00D075F6" w:rsidRDefault="00734411" w:rsidP="00734411">
      <w:pPr>
        <w:numPr>
          <w:ilvl w:val="0"/>
          <w:numId w:val="1"/>
        </w:numPr>
      </w:pPr>
      <w:r>
        <w:t xml:space="preserve">Cuantificar la fiabilidad inter-juez de evaluadores semánticos basados en modelos de lenguaje sobre explicaciones del corpus experimental, con el fin de determinar si dicho instrumento alcanza la convergencia necesaria para </w:t>
      </w:r>
      <w:r>
        <w:t>sostener afirmaciones confirmativas. Derivado de la Brecha 3 del Capítulo 5, su alcance es exploratorio y de calibración instrumental, no confirmativo; el estatuto epistémico de la proposición asociada se argumenta junto a P2.</w:t>
      </w:r>
    </w:p>
    <w:p w14:paraId="34F38C10" w14:textId="77777777" w:rsidR="00D075F6" w:rsidRDefault="00734411">
      <w:pPr>
        <w:pStyle w:val="Heading3"/>
      </w:pPr>
      <w:bookmarkStart w:id="22" w:name="nomenclatura-de-los-estudios"/>
      <w:bookmarkStart w:id="23" w:name="_Toc241413238"/>
      <w:bookmarkEnd w:id="20"/>
      <w:r>
        <w:t>1.3.3 Nomenclatura de los estudios</w:t>
      </w:r>
      <w:bookmarkEnd w:id="23"/>
    </w:p>
    <w:p w14:paraId="7E512311" w14:textId="77777777" w:rsidR="00D075F6" w:rsidRDefault="00734411">
      <w:r>
        <w:t xml:space="preserve">La investigación se articula en cuatro estudios, cuya denominación se emplea de forma uniforme en el resto del documento. Los objetivos 1 y 4 —formalización del protocolo FOM-7 y caracterización de su reproducibilidad— son transversales a los </w:t>
      </w:r>
      <w:r>
        <w:t>dos estudios empíricos y no se adscriben a uno solo de ellos.</w:t>
      </w:r>
    </w:p>
    <w:tbl>
      <w:tblPr>
        <w:tblW w:w="5000" w:type="pct"/>
        <w:jc w:val="center"/>
        <w:tblLayout w:type="fixed"/>
        <w:tblLook w:val="0000" w:firstRow="0" w:lastRow="0" w:firstColumn="0" w:lastColumn="0" w:noHBand="0" w:noVBand="0"/>
      </w:tblPr>
      <w:tblGrid>
        <w:gridCol w:w="9576"/>
      </w:tblGrid>
      <w:tr w:rsidR="00D075F6" w14:paraId="6B0B9C17" w14:textId="77777777">
        <w:trPr>
          <w:jc w:val="center"/>
        </w:trPr>
        <w:tc>
          <w:tcPr>
            <w:tcW w:w="7920" w:type="dxa"/>
          </w:tcPr>
          <w:p w14:paraId="09BB3A8A" w14:textId="77777777" w:rsidR="00D075F6" w:rsidRDefault="00734411">
            <w:pPr>
              <w:spacing w:before="200"/>
              <w:jc w:val="center"/>
            </w:pPr>
            <w:bookmarkStart w:id="24" w:name="tbl-estudios"/>
            <w:r>
              <w:t>Tabla 1.1: Nomenclatura, alcance y trazabilidad de los cuatro estudios.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88"/>
              <w:gridCol w:w="4058"/>
              <w:gridCol w:w="1764"/>
              <w:gridCol w:w="1940"/>
            </w:tblGrid>
            <w:tr w:rsidR="00D075F6" w14:paraId="79A09236" w14:textId="77777777">
              <w:trPr>
                <w:tblHeader/>
                <w:jc w:val="center"/>
              </w:trPr>
              <w:tc>
                <w:tcPr>
                  <w:tcW w:w="1344" w:type="dxa"/>
                </w:tcPr>
                <w:p w14:paraId="6EC1813E" w14:textId="77777777" w:rsidR="00D075F6" w:rsidRDefault="00734411">
                  <w:pPr>
                    <w:jc w:val="center"/>
                  </w:pPr>
                  <w:r>
                    <w:rPr>
                      <w:b/>
                      <w:bCs/>
                    </w:rPr>
                    <w:t>Estudio</w:t>
                  </w:r>
                </w:p>
              </w:tc>
              <w:tc>
                <w:tcPr>
                  <w:tcW w:w="3436" w:type="dxa"/>
                </w:tcPr>
                <w:p w14:paraId="108821CF" w14:textId="77777777" w:rsidR="00D075F6" w:rsidRDefault="00734411">
                  <w:pPr>
                    <w:jc w:val="center"/>
                  </w:pPr>
                  <w:r>
                    <w:rPr>
                      <w:b/>
                      <w:bCs/>
                    </w:rPr>
                    <w:t>Pregunta que responde</w:t>
                  </w:r>
                </w:p>
              </w:tc>
              <w:tc>
                <w:tcPr>
                  <w:tcW w:w="1494" w:type="dxa"/>
                </w:tcPr>
                <w:p w14:paraId="5185C675" w14:textId="77777777" w:rsidR="00D075F6" w:rsidRDefault="00734411">
                  <w:pPr>
                    <w:jc w:val="center"/>
                  </w:pPr>
                  <w:r>
                    <w:rPr>
                      <w:b/>
                      <w:bCs/>
                    </w:rPr>
                    <w:t>Objetivo</w:t>
                  </w:r>
                </w:p>
              </w:tc>
              <w:tc>
                <w:tcPr>
                  <w:tcW w:w="1643" w:type="dxa"/>
                </w:tcPr>
                <w:p w14:paraId="141B628E" w14:textId="77777777" w:rsidR="00D075F6" w:rsidRDefault="00734411">
                  <w:pPr>
                    <w:jc w:val="center"/>
                  </w:pPr>
                  <w:r>
                    <w:rPr>
                      <w:b/>
                      <w:bCs/>
                    </w:rPr>
                    <w:t>Capítulos</w:t>
                  </w:r>
                </w:p>
              </w:tc>
            </w:tr>
            <w:tr w:rsidR="00D075F6" w14:paraId="062FC660" w14:textId="77777777">
              <w:trPr>
                <w:jc w:val="center"/>
              </w:trPr>
              <w:tc>
                <w:tcPr>
                  <w:tcW w:w="1344" w:type="dxa"/>
                </w:tcPr>
                <w:p w14:paraId="20161D67" w14:textId="77777777" w:rsidR="00D075F6" w:rsidRDefault="00734411">
                  <w:pPr>
                    <w:jc w:val="center"/>
                  </w:pPr>
                  <w:r>
                    <w:rPr>
                      <w:b/>
                      <w:bCs/>
                    </w:rPr>
                    <w:t>Estudio Omnibus Multimétrico</w:t>
                  </w:r>
                </w:p>
              </w:tc>
              <w:tc>
                <w:tcPr>
                  <w:tcW w:w="3436" w:type="dxa"/>
                </w:tcPr>
                <w:p w14:paraId="0B72AE98" w14:textId="77777777" w:rsidR="00D075F6" w:rsidRDefault="00734411">
                  <w:pPr>
                    <w:jc w:val="center"/>
                  </w:pPr>
                  <w:r>
                    <w:t>¿Difieren SHAP, LIME, Anchors y DiCE en las cinco métricas de calidad sobre el diseño factorial completo?</w:t>
                  </w:r>
                </w:p>
              </w:tc>
              <w:tc>
                <w:tcPr>
                  <w:tcW w:w="1494" w:type="dxa"/>
                </w:tcPr>
                <w:p w14:paraId="49A0BD35" w14:textId="77777777" w:rsidR="00D075F6" w:rsidRDefault="00734411">
                  <w:pPr>
                    <w:jc w:val="center"/>
                  </w:pPr>
                  <w:r>
                    <w:t>OE2</w:t>
                  </w:r>
                </w:p>
              </w:tc>
              <w:tc>
                <w:tcPr>
                  <w:tcW w:w="1643" w:type="dxa"/>
                </w:tcPr>
                <w:p w14:paraId="368778BD" w14:textId="77777777" w:rsidR="00D075F6" w:rsidRDefault="00734411">
                  <w:pPr>
                    <w:jc w:val="center"/>
                  </w:pPr>
                  <w:r>
                    <w:t>3 y 4</w:t>
                  </w:r>
                </w:p>
              </w:tc>
            </w:tr>
            <w:tr w:rsidR="00D075F6" w14:paraId="296C3BF3" w14:textId="77777777">
              <w:trPr>
                <w:jc w:val="center"/>
              </w:trPr>
              <w:tc>
                <w:tcPr>
                  <w:tcW w:w="1344" w:type="dxa"/>
                </w:tcPr>
                <w:p w14:paraId="71DA10F0" w14:textId="77777777" w:rsidR="00D075F6" w:rsidRDefault="00734411">
                  <w:pPr>
                    <w:jc w:val="center"/>
                  </w:pPr>
                  <w:r>
                    <w:rPr>
                      <w:b/>
                      <w:bCs/>
                    </w:rPr>
                    <w:t>Estudio Pareado LIME–SHAP</w:t>
                  </w:r>
                </w:p>
              </w:tc>
              <w:tc>
                <w:tcPr>
                  <w:tcW w:w="3436" w:type="dxa"/>
                </w:tcPr>
                <w:p w14:paraId="55C8ACA4" w14:textId="77777777" w:rsidR="00D075F6" w:rsidRDefault="00734411">
                  <w:pPr>
                    <w:jc w:val="center"/>
                  </w:pPr>
                  <w:r>
                    <w:t>¿Cómo se comporta la relación calidad-coste entre LIME y SHAP sobre celdas coincidentes de modelo, semilla y tamaño de muestra?</w:t>
                  </w:r>
                </w:p>
              </w:tc>
              <w:tc>
                <w:tcPr>
                  <w:tcW w:w="1494" w:type="dxa"/>
                </w:tcPr>
                <w:p w14:paraId="0E93E753" w14:textId="77777777" w:rsidR="00D075F6" w:rsidRDefault="00734411">
                  <w:pPr>
                    <w:jc w:val="center"/>
                  </w:pPr>
                  <w:r>
                    <w:t>OE3</w:t>
                  </w:r>
                </w:p>
              </w:tc>
              <w:tc>
                <w:tcPr>
                  <w:tcW w:w="1643" w:type="dxa"/>
                </w:tcPr>
                <w:p w14:paraId="5B1E032A" w14:textId="77777777" w:rsidR="00D075F6" w:rsidRDefault="00734411">
                  <w:pPr>
                    <w:jc w:val="center"/>
                  </w:pPr>
                  <w:r>
                    <w:t>3 y 4</w:t>
                  </w:r>
                </w:p>
              </w:tc>
            </w:tr>
            <w:tr w:rsidR="00D075F6" w14:paraId="53E36E56" w14:textId="77777777">
              <w:trPr>
                <w:jc w:val="center"/>
              </w:trPr>
              <w:tc>
                <w:tcPr>
                  <w:tcW w:w="1344" w:type="dxa"/>
                </w:tcPr>
                <w:p w14:paraId="38449D03" w14:textId="77777777" w:rsidR="00D075F6" w:rsidRDefault="00734411">
                  <w:pPr>
                    <w:jc w:val="center"/>
                  </w:pPr>
                  <w:r>
                    <w:rPr>
                      <w:b/>
                      <w:bCs/>
                    </w:rPr>
                    <w:t>Estudio Taxonómico</w:t>
                  </w:r>
                </w:p>
              </w:tc>
              <w:tc>
                <w:tcPr>
                  <w:tcW w:w="3436" w:type="dxa"/>
                </w:tcPr>
                <w:p w14:paraId="3B485DB9" w14:textId="77777777" w:rsidR="00D075F6" w:rsidRDefault="00734411">
                  <w:pPr>
                    <w:jc w:val="center"/>
                  </w:pPr>
                  <w:r>
                    <w:t>¿Qué estructura conceptual organiza el espacio de métricas de evaluación XAI y qué brechas de constructo revela?</w:t>
                  </w:r>
                </w:p>
              </w:tc>
              <w:tc>
                <w:tcPr>
                  <w:tcW w:w="1494" w:type="dxa"/>
                </w:tcPr>
                <w:p w14:paraId="62404FAE" w14:textId="77777777" w:rsidR="00D075F6" w:rsidRDefault="00734411">
                  <w:pPr>
                    <w:jc w:val="center"/>
                  </w:pPr>
                  <w:r>
                    <w:t>OE5</w:t>
                  </w:r>
                </w:p>
              </w:tc>
              <w:tc>
                <w:tcPr>
                  <w:tcW w:w="1643" w:type="dxa"/>
                </w:tcPr>
                <w:p w14:paraId="583DBF5E" w14:textId="77777777" w:rsidR="00D075F6" w:rsidRDefault="00734411">
                  <w:pPr>
                    <w:jc w:val="center"/>
                  </w:pPr>
                  <w:r>
                    <w:t>5</w:t>
                  </w:r>
                </w:p>
              </w:tc>
            </w:tr>
            <w:tr w:rsidR="00D075F6" w14:paraId="5684FA14" w14:textId="77777777">
              <w:trPr>
                <w:jc w:val="center"/>
              </w:trPr>
              <w:tc>
                <w:tcPr>
                  <w:tcW w:w="1344" w:type="dxa"/>
                </w:tcPr>
                <w:p w14:paraId="570CB661" w14:textId="77777777" w:rsidR="00D075F6" w:rsidRDefault="00734411">
                  <w:pPr>
                    <w:jc w:val="center"/>
                  </w:pPr>
                  <w:r>
                    <w:rPr>
                      <w:b/>
                      <w:bCs/>
                    </w:rPr>
                    <w:t>Estudio de Fiabilidad Inter-juez</w:t>
                  </w:r>
                </w:p>
              </w:tc>
              <w:tc>
                <w:tcPr>
                  <w:tcW w:w="3436" w:type="dxa"/>
                </w:tcPr>
                <w:p w14:paraId="1DBD789D" w14:textId="77777777" w:rsidR="00D075F6" w:rsidRDefault="00734411">
                  <w:pPr>
                    <w:jc w:val="center"/>
                  </w:pPr>
                  <w:r>
                    <w:t>¿Alcanzan los evaluadores semánticos basados en LLM la convergencia inter-juez necesaria para sostener afirmaciones confirmativas?</w:t>
                  </w:r>
                </w:p>
              </w:tc>
              <w:tc>
                <w:tcPr>
                  <w:tcW w:w="1494" w:type="dxa"/>
                </w:tcPr>
                <w:p w14:paraId="08C8DC8E" w14:textId="77777777" w:rsidR="00D075F6" w:rsidRDefault="00734411">
                  <w:pPr>
                    <w:jc w:val="center"/>
                  </w:pPr>
                  <w:r>
                    <w:t>OE6</w:t>
                  </w:r>
                </w:p>
              </w:tc>
              <w:tc>
                <w:tcPr>
                  <w:tcW w:w="1643" w:type="dxa"/>
                </w:tcPr>
                <w:p w14:paraId="1CC1EBEF" w14:textId="77777777" w:rsidR="00D075F6" w:rsidRDefault="00734411">
                  <w:pPr>
                    <w:jc w:val="center"/>
                  </w:pPr>
                  <w:r>
                    <w:t>3 y 5</w:t>
                  </w:r>
                </w:p>
              </w:tc>
            </w:tr>
            <w:bookmarkEnd w:id="24"/>
          </w:tbl>
          <w:p w14:paraId="467AAB54" w14:textId="77777777" w:rsidR="00D075F6" w:rsidRDefault="00D075F6"/>
        </w:tc>
      </w:tr>
    </w:tbl>
    <w:p w14:paraId="377011BF" w14:textId="77777777" w:rsidR="00D075F6" w:rsidRDefault="00734411">
      <w:pPr>
        <w:pStyle w:val="BodyText"/>
      </w:pPr>
      <w:r>
        <w:t>Estos nombres sustituyen a las letras identificadoras (Estudios A, B y C) empleadas en versiones previas del documento.</w:t>
      </w:r>
    </w:p>
    <w:p w14:paraId="61659BBC" w14:textId="77777777" w:rsidR="00D075F6" w:rsidRDefault="00734411">
      <w:pPr>
        <w:pStyle w:val="Heading3"/>
      </w:pPr>
      <w:bookmarkStart w:id="25" w:name="hipótesis-o-proposiciones-de-trabajo"/>
      <w:bookmarkStart w:id="26" w:name="_Toc241413239"/>
      <w:bookmarkEnd w:id="22"/>
      <w:r>
        <w:t>1.3.4 Hipótesis o proposiciones de trabajo</w:t>
      </w:r>
      <w:bookmarkEnd w:id="26"/>
    </w:p>
    <w:p w14:paraId="121462DA" w14:textId="77777777" w:rsidR="00D075F6" w:rsidRDefault="00734411">
      <w:r>
        <w:t>Las hipótesis estadísticas formales se estructuran en torno a los tres ejes confirmatorios de la investigación empírica (H1–H3), acompañados de una proposición de reproducibilidad del protocolo (P1). A estas se añade una proposición de carácter exploratorio (P2), cuyo estatuto diferenciado se declara explícitamente al final de esta sección.</w:t>
      </w:r>
    </w:p>
    <w:p w14:paraId="3320F9B9" w14:textId="77777777" w:rsidR="00D075F6" w:rsidRDefault="00734411">
      <w:pPr>
        <w:pStyle w:val="BodyText"/>
      </w:pPr>
      <w:r>
        <w:rPr>
          <w:b/>
          <w:bCs/>
        </w:rPr>
        <w:t>H1 — Diferencias globales entre métodos (fidelidad)</w:t>
      </w:r>
    </w:p>
    <w:p w14:paraId="1318EE59"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xml:space="preserve">: No existen diferencias significativas entre los métodos XAI en la </w:t>
      </w:r>
      <w:r>
        <w:t>métrica de fidelidad bajo el diseño de bloques emparejados.</w:t>
      </w:r>
    </w:p>
    <w:p w14:paraId="3E7C9264"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1</m:t>
            </m:r>
          </m:sub>
        </m:sSub>
      </m:oMath>
      <w:r>
        <w:t>: Al menos un par de métodos difiere significativamente en fidelidad.</w:t>
      </w:r>
    </w:p>
    <w:p w14:paraId="4C08D9CC" w14:textId="77777777" w:rsidR="00D075F6" w:rsidRDefault="00734411">
      <w:pPr>
        <w:pStyle w:val="BodyText"/>
      </w:pPr>
      <w:r>
        <w:rPr>
          <w:b/>
          <w:bCs/>
        </w:rPr>
        <w:t>H2 — Diferencias globales entre métodos (estabilidad)</w:t>
      </w:r>
    </w:p>
    <w:p w14:paraId="0A984E4A"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No existen diferencias significativas entre los métodos XAI en la métrica de estabilidad bajo el diseño de bloques emparejados.</w:t>
      </w:r>
    </w:p>
    <w:p w14:paraId="100024EF"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2</m:t>
            </m:r>
          </m:sub>
        </m:sSub>
      </m:oMath>
      <w:r>
        <w:t>: Al menos un par de métodos difiere significativamente en estabilidad.</w:t>
      </w:r>
    </w:p>
    <w:p w14:paraId="70959334" w14:textId="77777777" w:rsidR="00D075F6" w:rsidRDefault="00734411">
      <w:pPr>
        <w:pStyle w:val="BodyText"/>
      </w:pPr>
      <w:r>
        <w:rPr>
          <w:b/>
          <w:bCs/>
        </w:rPr>
        <w:t>H3 — Relación calidad-coste SHAP vs. LIME</w:t>
      </w:r>
    </w:p>
    <w:p w14:paraId="353D1C71"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y LIME no difieren en las métricas de calidad ni en el coste computacional sobre celdas pareadas.</w:t>
      </w:r>
    </w:p>
    <w:p w14:paraId="0478D9EB" w14:textId="77777777" w:rsidR="00D075F6" w:rsidRDefault="00734411">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SHAP y LIME difieren significativamente en al menos una métrica de calidad o en el coste computacional sobre celdas pareadas.</w:t>
      </w:r>
    </w:p>
    <w:p w14:paraId="2B4CCF0F" w14:textId="77777777" w:rsidR="00D075F6" w:rsidRDefault="00734411">
      <w:pPr>
        <w:pStyle w:val="BodyText"/>
      </w:pPr>
      <w:r>
        <w:rPr>
          <w:b/>
          <w:bCs/>
        </w:rPr>
        <w:t>P1 — Reproducibilidad del protocolo (proposición)</w:t>
      </w:r>
    </w:p>
    <w:p w14:paraId="3CB03F40" w14:textId="77777777" w:rsidR="00D075F6" w:rsidRDefault="00734411">
      <w:pPr>
        <w:pStyle w:val="BodyText"/>
      </w:pPr>
      <w:r>
        <w:t>El protocolo FOM-7 produce un coeficiente de variación (CV) inferior al 15% en las métricas primarias bajo ejecuciones repetidas con semillas distintas en condiciones de configuración idéntica, lo que constituye evidencia de</w:t>
      </w:r>
      <w:r>
        <w:t xml:space="preserve"> estabilidad operativa del benchmarking.</w:t>
      </w:r>
    </w:p>
    <w:p w14:paraId="50775B0F" w14:textId="77777777" w:rsidR="00D075F6" w:rsidRDefault="00734411">
      <w:pPr>
        <w:pStyle w:val="BodyText"/>
      </w:pPr>
      <w:r>
        <w:t xml:space="preserve">Las hipótesis H1 y H2 se contrastan mediante la prueba de Friedman con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localización </w:t>
      </w:r>
      <w:r>
        <w:rPr>
          <w:i/>
          <w:iCs/>
        </w:rPr>
        <w:t>post-hoc</w:t>
      </w:r>
      <w:r>
        <w:t xml:space="preserve"> de Nemenyi. La hipótesis H3 se contrasta mediante pruebas de Wilcoxon bilaterales pareadas sobre 75 celdas coincidentes SHAP-LIME, con corrección de Holm-Bonferroni para multiplicidad (Friedman 1937; Demšar 2006; Nemenyi 1963; Wilcoxon 1945).</w:t>
      </w:r>
    </w:p>
    <w:p w14:paraId="0DED1C01" w14:textId="77777777" w:rsidR="00D075F6" w:rsidRDefault="00734411">
      <w:pPr>
        <w:pStyle w:val="BodyText"/>
      </w:pPr>
      <w:r>
        <w:rPr>
          <w:b/>
          <w:bCs/>
        </w:rPr>
        <w:t>P2 — Fiabilidad de los evaluadores semánticos (proposición exploratoria)</w:t>
      </w:r>
    </w:p>
    <w:p w14:paraId="5C5805C3" w14:textId="77777777" w:rsidR="00D075F6" w:rsidRDefault="00734411">
      <w:pPr>
        <w:pStyle w:val="BodyText"/>
      </w:pPr>
      <w:r>
        <w:t xml:space="preserve">Un conjunto de jueces basados en modelos de lenguaje, operando sobre una rúbrica multidimensional sin especificación de destinatario ni criterio de corrección verificable, alcanza una fiabilidad inter-juez igual o superior al umbral convencionalmente aceptable de </w:t>
      </w:r>
      <m:oMath>
        <m:r>
          <w:rPr>
            <w:rFonts w:ascii="Cambria Math" w:hAnsi="Cambria Math"/>
          </w:rPr>
          <m:t>0.75</m:t>
        </m:r>
      </m:oMath>
      <w:r>
        <w:t xml:space="preserve"> (Koo y Li 2016), medida mediante la correlación intraclase y el </w:t>
      </w:r>
      <m:oMath>
        <m:r>
          <w:rPr>
            <w:rFonts w:ascii="Cambria Math" w:hAnsi="Cambria Math"/>
          </w:rPr>
          <m:t>α</m:t>
        </m:r>
      </m:oMath>
      <w:r>
        <w:t xml:space="preserve"> de Krippendorff (Krippendorff 2018). La proposición se considera refutada si alguna dimensión de la rúbrica queda por debajo de ese umbral.</w:t>
      </w:r>
    </w:p>
    <w:p w14:paraId="37E1FAE8" w14:textId="77777777" w:rsidR="00D075F6" w:rsidRDefault="00734411">
      <w:pPr>
        <w:pStyle w:val="BodyText"/>
      </w:pPr>
      <w:r>
        <w:rPr>
          <w:b/>
          <w:bCs/>
        </w:rPr>
        <w:t>Estatuto epistémico diferenciado de P2.</w:t>
      </w:r>
      <w:r>
        <w:t xml:space="preserve"> P2 no forma parte del plan inferencial congelado en la puerta 1 del protocolo FOM-7 y no comparte el estatuto confirmativo de H1–H3 y P1. Se formuló con posterioridad, una vez que la taxonomía del Capítulo 5 identificó la Brecha 3 —la evaluación semántica crece más rápido que su base de validación empírica— y su función es calibrar un </w:t>
      </w:r>
      <w:r>
        <w:rPr>
          <w:i/>
          <w:iCs/>
        </w:rPr>
        <w:t>instrumento de medida</w:t>
      </w:r>
      <w:r>
        <w:t xml:space="preserve">, no evaluar los métodos explicadores. Esta distinción se declara aquí de forma explícita, y no </w:t>
      </w:r>
      <w:r>
        <w:rPr>
          <w:i/>
          <w:iCs/>
        </w:rPr>
        <w:t>a posteriori</w:t>
      </w:r>
      <w:r>
        <w:t xml:space="preserve">, porque el propio protocolo que esta tesis propone exige que el alcance inferencial admisible de cada afirmación sea declarado junto con la afirmación misma: presentar P2 como si hubiera sido preespecificada junto a H1–H3 sería precisamente el modo de fallo que la puerta 7 está diseñada para impedir. En consecuencia, el resultado de P2 —cualquiera que sea— no modifica las conclusiones confirmativas del Estudio Omnibus Multimétrico ni del Estudio </w:t>
      </w:r>
      <w:r>
        <w:t>Pareado LIME–SHAP, y se reporta como evidencia de calibración del instrumento semántico (Capítulos 3, 5 y 6).</w:t>
      </w:r>
    </w:p>
    <w:p w14:paraId="736373CA" w14:textId="77777777" w:rsidR="00D075F6" w:rsidRDefault="00734411">
      <w:pPr>
        <w:pStyle w:val="Heading2"/>
      </w:pPr>
      <w:bookmarkStart w:id="27" w:name="metodología-general-de-la-investigación"/>
      <w:bookmarkStart w:id="28" w:name="_Toc241413240"/>
      <w:bookmarkEnd w:id="16"/>
      <w:bookmarkEnd w:id="25"/>
      <w:r>
        <w:t>1.4 Metodología general de la investigación</w:t>
      </w:r>
      <w:bookmarkEnd w:id="28"/>
    </w:p>
    <w:p w14:paraId="495E0099" w14:textId="77777777" w:rsidR="00D075F6" w:rsidRDefault="00734411">
      <w:pPr>
        <w:pStyle w:val="Heading3"/>
      </w:pPr>
      <w:bookmarkStart w:id="29" w:name="enfoque"/>
      <w:bookmarkStart w:id="30" w:name="_Toc241413241"/>
      <w:r>
        <w:t>1.4.1 Enfoque</w:t>
      </w:r>
      <w:bookmarkEnd w:id="30"/>
    </w:p>
    <w:p w14:paraId="3649BCEF" w14:textId="77777777" w:rsidR="00D075F6" w:rsidRDefault="00734411">
      <w:r>
        <w:t xml:space="preserve">Esta investigación adopta un enfoque cuantitativo-empírico con componente teórico-taxonómico. El núcleo empírico del Estudio Omnibus Multimétrico y del Estudio Pareado LIME–SHAP descansa en el análisis estadístico de métricas computadas sobre experimentos controlados y reproducibles, siguiendo una </w:t>
      </w:r>
      <w:r>
        <w:t>lógica hipotético-deductiva. El Estudio Taxonómico —que actúa como puente conceptual integrador— adopta una metodología de revisión estructurada con codificación explícita de dimensiones, siguiendo protocolos de síntesis narrativa rigurosa (Linardatos 2020; Gilpin 2018; Schwalbe 2023; Abdul Kadir et al. 2023).</w:t>
      </w:r>
    </w:p>
    <w:p w14:paraId="45E1DE03" w14:textId="77777777" w:rsidR="00D075F6" w:rsidRDefault="00734411">
      <w:pPr>
        <w:pStyle w:val="Heading3"/>
      </w:pPr>
      <w:bookmarkStart w:id="31" w:name="tipo-de-investigación"/>
      <w:bookmarkStart w:id="32" w:name="_Toc241413242"/>
      <w:bookmarkEnd w:id="29"/>
      <w:r>
        <w:t>1.4.2 Tipo de investigación</w:t>
      </w:r>
      <w:bookmarkEnd w:id="32"/>
    </w:p>
    <w:p w14:paraId="050EF3FB" w14:textId="77777777" w:rsidR="00D075F6" w:rsidRDefault="00734411">
      <w:r>
        <w:t xml:space="preserve">El Estudio Omnibus Multimétrico y el Estudio Pareado LIME–SHAP corresponden a investigación comparativa-experimental no intervencional: los métodos XAI son </w:t>
      </w:r>
      <w:r>
        <w:t>los factores de tratamiento, los modelos predictivos son el contexto experimental y las métricas de calidad son las variables de resultado. El Estudio Taxonómico corresponde a una revisión sistemática estructurada con propósito taxonómico y de síntesis de brechas de constructo en el campo de la evaluación XAI.</w:t>
      </w:r>
    </w:p>
    <w:p w14:paraId="29B2A453" w14:textId="77777777" w:rsidR="00D075F6" w:rsidRDefault="00734411">
      <w:pPr>
        <w:pStyle w:val="Heading3"/>
      </w:pPr>
      <w:bookmarkStart w:id="33" w:name="universo-y-contexto-experimental"/>
      <w:bookmarkStart w:id="34" w:name="_Toc241413243"/>
      <w:bookmarkEnd w:id="31"/>
      <w:r>
        <w:t>1.4.3 Universo y contexto experimental</w:t>
      </w:r>
      <w:bookmarkEnd w:id="34"/>
    </w:p>
    <w:p w14:paraId="4556CA36" w14:textId="77777777" w:rsidR="00D075F6" w:rsidRDefault="00734411">
      <w:r>
        <w:t xml:space="preserve">El universo experimental está constituido por el conjunto de problemas de clasificación tabular supervisada en los que es necesario generar explicaciones </w:t>
      </w:r>
      <w:r>
        <w:rPr>
          <w:i/>
          <w:iCs/>
        </w:rPr>
        <w:t>post-hoc</w:t>
      </w:r>
      <w:r>
        <w:t xml:space="preserve"> locales mediante métodos agnósticos al modelo. El contexto operativo se acota al conjunto de datos Adult (UCI Adult Income) (Kohavi y Becker 1996), que contiene 48,842 instancias, 14 características (numéricas y categóricas) y una variable binaria de predicción (ingreso anual superior o inferior a 50,000 USD). Este conjunto es ampliamente utilizado en estudios de benchmarking XAI, lo que facilita la comparación externa de resultados y la verificación de reproducibilidad </w:t>
      </w:r>
      <w:r>
        <w:t>(Agarwal et al. 2022; Hedström et al. 2023; Canha et al. 2025).</w:t>
      </w:r>
    </w:p>
    <w:p w14:paraId="2D984D17" w14:textId="77777777" w:rsidR="00D075F6" w:rsidRDefault="00734411">
      <w:pPr>
        <w:pStyle w:val="Heading3"/>
      </w:pPr>
      <w:bookmarkStart w:id="35" w:name="Xdcd1be9d99c262f87a75615ad9164d40f630ac9"/>
      <w:bookmarkStart w:id="36" w:name="_Toc241413244"/>
      <w:bookmarkEnd w:id="33"/>
      <w:r>
        <w:t>1.4.4 Muestra de datasets, modelos y métodos XAI</w:t>
      </w:r>
      <w:bookmarkEnd w:id="36"/>
    </w:p>
    <w:p w14:paraId="46D22C2B" w14:textId="77777777" w:rsidR="00D075F6" w:rsidRDefault="00734411">
      <w:r>
        <w:t xml:space="preserve">El diseño experimental adopta una estructura factorial cruzada. Las familias de modelos predictivos son: regresión logística (logreg), bosque aleatorio (rf) (Breiman 2001), </w:t>
      </w:r>
      <w:r>
        <w:rPr>
          <w:i/>
          <w:iCs/>
        </w:rPr>
        <w:t>gradient boosting</w:t>
      </w:r>
      <w:r>
        <w:t xml:space="preserve"> XGBoost (xgb) (Friedman 2001), máquina de vectores soporte (svm) y perceptrón multicapa (mlp). Los métodos de explicabilidad evaluados son SHAP (Lundberg 2017), LIME (Ribeiro 2016), Anchors (Ribeiro 2018) </w:t>
      </w:r>
      <w:r>
        <w:t xml:space="preserve">y DiCE (Mothilal 2020; Wachter 2017). El tamaño de muestra por estrato se varía en tres niveles: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oMath>
      <w:r>
        <w:t xml:space="preserve">. Cada celda del diseño se replica con cinco semillas de aleatoriedad: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El tamaño planificado del benchmark primario (Estudio Omnibus Multimétrico) es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oMath>
      <w:r>
        <w:t xml:space="preserve"> ejecuciones; el Estudio Pareado LIME–SHAP opera sobre 75 celdas coincidentes.</w:t>
      </w:r>
    </w:p>
    <w:p w14:paraId="07F54C09" w14:textId="77777777" w:rsidR="00D075F6" w:rsidRDefault="00734411">
      <w:pPr>
        <w:pStyle w:val="Heading3"/>
      </w:pPr>
      <w:bookmarkStart w:id="37" w:name="criterios-de-inclusión-y-exclusión"/>
      <w:bookmarkStart w:id="38" w:name="_Toc241413245"/>
      <w:bookmarkEnd w:id="35"/>
      <w:r>
        <w:t>1.4.5 Criterios de inclusión y exclusión</w:t>
      </w:r>
      <w:bookmarkEnd w:id="38"/>
    </w:p>
    <w:p w14:paraId="6872A3A6" w14:textId="77777777" w:rsidR="00D075F6" w:rsidRDefault="00734411">
      <w:r>
        <w:rPr>
          <w:b/>
          <w:bCs/>
        </w:rPr>
        <w:t>Criterios de inclusión:</w:t>
      </w:r>
    </w:p>
    <w:p w14:paraId="10FD01DB" w14:textId="77777777" w:rsidR="00D075F6" w:rsidRDefault="00734411" w:rsidP="00734411">
      <w:pPr>
        <w:numPr>
          <w:ilvl w:val="0"/>
          <w:numId w:val="2"/>
        </w:numPr>
      </w:pPr>
      <w:r>
        <w:t xml:space="preserve">Artefactos de resultado (results.json) con esquema completo y valores </w:t>
      </w:r>
      <w:r>
        <w:t>numéricos válidos en todas las métricas primarias.</w:t>
      </w:r>
    </w:p>
    <w:p w14:paraId="553CED46" w14:textId="77777777" w:rsidR="00D075F6" w:rsidRDefault="00734411" w:rsidP="00734411">
      <w:pPr>
        <w:numPr>
          <w:ilvl w:val="0"/>
          <w:numId w:val="2"/>
        </w:numPr>
      </w:pPr>
      <w:r>
        <w:t>Ejecuciones pertenecientes al benchmark primario de robustez (EXP2), cuya configuración ha sido congelada antes del inicio de la inferencia confirmativa.</w:t>
      </w:r>
    </w:p>
    <w:p w14:paraId="1D67718C" w14:textId="77777777" w:rsidR="00D075F6" w:rsidRDefault="00734411" w:rsidP="00734411">
      <w:pPr>
        <w:numPr>
          <w:ilvl w:val="0"/>
          <w:numId w:val="2"/>
        </w:numPr>
      </w:pPr>
      <w:r>
        <w:t>Celdas para las que existen artefactos en ambos métodos comparados (SHAP y LIME) para el Estudio Pareado LIME–SHAP.</w:t>
      </w:r>
    </w:p>
    <w:p w14:paraId="247BB68B" w14:textId="77777777" w:rsidR="00D075F6" w:rsidRDefault="00734411">
      <w:r>
        <w:rPr>
          <w:b/>
          <w:bCs/>
        </w:rPr>
        <w:t>Criterios de exclusión:</w:t>
      </w:r>
    </w:p>
    <w:p w14:paraId="3916AC31" w14:textId="77777777" w:rsidR="00D075F6" w:rsidRDefault="00734411" w:rsidP="00734411">
      <w:pPr>
        <w:numPr>
          <w:ilvl w:val="0"/>
          <w:numId w:val="3"/>
        </w:numPr>
      </w:pPr>
      <w:r>
        <w:t>Artefactos vacíos o con esquema incompatible detectados en la auditoría de integridad (puerta 3 del protocolo FOM-7).</w:t>
      </w:r>
    </w:p>
    <w:p w14:paraId="35D8A865" w14:textId="77777777" w:rsidR="00D075F6" w:rsidRDefault="00734411" w:rsidP="00734411">
      <w:pPr>
        <w:numPr>
          <w:ilvl w:val="0"/>
          <w:numId w:val="3"/>
        </w:numPr>
      </w:pPr>
      <w:r>
        <w:t>Ejecuciones pertenecientes a la fase de calibración (EXP1), que tienen rol de reproducibilidad y no se emplean para inferencia confirmativa.</w:t>
      </w:r>
    </w:p>
    <w:p w14:paraId="53C1074D" w14:textId="77777777" w:rsidR="00D075F6" w:rsidRDefault="00734411" w:rsidP="00734411">
      <w:pPr>
        <w:numPr>
          <w:ilvl w:val="0"/>
          <w:numId w:val="3"/>
        </w:numPr>
      </w:pPr>
      <w:r>
        <w:t>Reconstrucciones sintéticas de artefactos faltantes; únicamente se acepta como excepción la superposición de recuperación documentada sobre las celdas mlp_shap/svm_shap.</w:t>
      </w:r>
    </w:p>
    <w:p w14:paraId="2F42024B" w14:textId="77777777" w:rsidR="00D075F6" w:rsidRDefault="00734411">
      <w:pPr>
        <w:pStyle w:val="Heading3"/>
      </w:pPr>
      <w:bookmarkStart w:id="39" w:name="variables-dimensiones-y-métricas"/>
      <w:bookmarkStart w:id="40" w:name="_Toc241413246"/>
      <w:bookmarkEnd w:id="37"/>
      <w:r>
        <w:t>1.4.6 Variables, dimensiones y métricas</w:t>
      </w:r>
      <w:bookmarkEnd w:id="40"/>
    </w:p>
    <w:p w14:paraId="125ED19D" w14:textId="77777777" w:rsidR="00D075F6" w:rsidRDefault="00734411">
      <w:r>
        <w:t xml:space="preserve">Las </w:t>
      </w:r>
      <w:r>
        <w:rPr>
          <w:b/>
          <w:bCs/>
        </w:rPr>
        <w:t>variables independientes</w:t>
      </w:r>
      <w:r>
        <w:t xml:space="preserve"> del diseño son: familia de modelo (</w:t>
      </w:r>
      <m:oMath>
        <m:r>
          <w:rPr>
            <w:rFonts w:ascii="Cambria Math" w:hAnsi="Cambria Math"/>
          </w:rPr>
          <m:t>g</m:t>
        </m:r>
      </m:oMath>
      <w:r>
        <w:t>), método XAI (</w:t>
      </w:r>
      <m:oMath>
        <m:r>
          <w:rPr>
            <w:rFonts w:ascii="Cambria Math" w:hAnsi="Cambria Math"/>
          </w:rPr>
          <m:t>k</m:t>
        </m:r>
      </m:oMath>
      <w:r>
        <w:t>), semilla de aleatoriedad (</w:t>
      </w:r>
      <m:oMath>
        <m:r>
          <w:rPr>
            <w:rFonts w:ascii="Cambria Math" w:hAnsi="Cambria Math"/>
          </w:rPr>
          <m:t>s</m:t>
        </m:r>
      </m:oMath>
      <w:r>
        <w:t>) y tamaño de muestra por estrato (</w:t>
      </w:r>
      <m:oMath>
        <m:r>
          <w:rPr>
            <w:rFonts w:ascii="Cambria Math" w:hAnsi="Cambria Math"/>
          </w:rPr>
          <m:t>n</m:t>
        </m:r>
      </m:oMath>
      <w:r>
        <w:t xml:space="preserve">). Las </w:t>
      </w:r>
      <w:r>
        <w:rPr>
          <w:b/>
          <w:bCs/>
        </w:rPr>
        <w:t>variables dependientes</w:t>
      </w:r>
      <w:r>
        <w:t xml:space="preserve"> son cinco métricas primarias:</w:t>
      </w:r>
    </w:p>
    <w:p w14:paraId="5A9C29C2" w14:textId="77777777" w:rsidR="00D075F6" w:rsidRDefault="00734411" w:rsidP="00734411">
      <w:pPr>
        <w:numPr>
          <w:ilvl w:val="0"/>
          <w:numId w:val="4"/>
        </w:numPr>
      </w:pPr>
      <w:r>
        <w:rPr>
          <w:b/>
          <w:bCs/>
        </w:rPr>
        <w:t>Fidelidad</w:t>
      </w:r>
      <w:r>
        <w:t>: correlación entre los pesos de importancia asignados por el explicador y el efecto observado al enmascarar las características de mayor peso (dirección: mayor es mejor).</w:t>
      </w:r>
    </w:p>
    <w:p w14:paraId="33FADA62" w14:textId="77777777" w:rsidR="00D075F6" w:rsidRDefault="00734411" w:rsidP="00734411">
      <w:pPr>
        <w:numPr>
          <w:ilvl w:val="0"/>
          <w:numId w:val="4"/>
        </w:numPr>
      </w:pPr>
      <w:r>
        <w:rPr>
          <w:b/>
          <w:bCs/>
        </w:rPr>
        <w:t>Estabilidad</w:t>
      </w:r>
      <w:r>
        <w:t>: similitud coseno media entre explicaciones generadas sobre instancias perturbadas con ruido gaussiano (dirección: mayor es mejor).</w:t>
      </w:r>
    </w:p>
    <w:p w14:paraId="3998B273" w14:textId="77777777" w:rsidR="00D075F6" w:rsidRDefault="00734411" w:rsidP="00734411">
      <w:pPr>
        <w:numPr>
          <w:ilvl w:val="0"/>
          <w:numId w:val="4"/>
        </w:numPr>
      </w:pPr>
      <w:r>
        <w:rPr>
          <w:b/>
          <w:bCs/>
        </w:rPr>
        <w:t>Parsimonia</w:t>
      </w:r>
      <w:r>
        <w:t xml:space="preserve"> (</w:t>
      </w:r>
      <w:r>
        <w:rPr>
          <w:i/>
          <w:iCs/>
        </w:rPr>
        <w:t>sparsity</w:t>
      </w:r>
      <w:r>
        <w:t>): proporción de características activas en la explicación (dirección: menor es mejor).</w:t>
      </w:r>
    </w:p>
    <w:p w14:paraId="3202BF3E" w14:textId="77777777" w:rsidR="00D075F6" w:rsidRDefault="00734411" w:rsidP="00734411">
      <w:pPr>
        <w:numPr>
          <w:ilvl w:val="0"/>
          <w:numId w:val="4"/>
        </w:numPr>
      </w:pPr>
      <w:r>
        <w:rPr>
          <w:b/>
          <w:bCs/>
        </w:rPr>
        <w:t>Brecha de fidelidad</w:t>
      </w:r>
      <w:r>
        <w:t xml:space="preserve"> (</w:t>
      </w:r>
      <w:r>
        <w:rPr>
          <w:i/>
          <w:iCs/>
        </w:rPr>
        <w:t>faithfulness gap</w:t>
      </w:r>
      <w:r>
        <w:t>): diferencia en la salida del modelo entre la instancia original y la instancia con las características principales enmascaradas (dirección: mayor es mejor).</w:t>
      </w:r>
    </w:p>
    <w:p w14:paraId="2E6F82B8" w14:textId="77777777" w:rsidR="00D075F6" w:rsidRDefault="00734411" w:rsidP="00734411">
      <w:pPr>
        <w:numPr>
          <w:ilvl w:val="0"/>
          <w:numId w:val="4"/>
        </w:numPr>
      </w:pPr>
      <w:r>
        <w:rPr>
          <w:b/>
          <w:bCs/>
        </w:rPr>
        <w:t>Coste computacional</w:t>
      </w:r>
      <w:r>
        <w:t>: tiempo de ejecución en milisegundos por instancia (dirección: menor es mejor).</w:t>
      </w:r>
    </w:p>
    <w:p w14:paraId="06F6947B" w14:textId="77777777" w:rsidR="00D075F6" w:rsidRDefault="00734411">
      <w:r>
        <w:t xml:space="preserve">La unidad de análisis inferencial es la ejecución agregada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evitando la pseudorreplicación a nivel de instancia.</w:t>
      </w:r>
    </w:p>
    <w:p w14:paraId="3CAAD8AC" w14:textId="77777777" w:rsidR="00D075F6" w:rsidRDefault="00734411">
      <w:pPr>
        <w:pStyle w:val="BodyText"/>
      </w:pPr>
      <w:r>
        <w:t xml:space="preserve">La definición operativa de estas dimensiones y sus modos de medición sigue las </w:t>
      </w:r>
      <w:r>
        <w:t>taxonomías y recomendaciones recientes de evaluación multi-métrica para XAI (Abdul Kadir et al. 2023; Bhattacharya y Verbert 2024; Canha et al. 2025; Zheng et al. 2025).</w:t>
      </w:r>
    </w:p>
    <w:p w14:paraId="01471BD9" w14:textId="77777777" w:rsidR="00D075F6" w:rsidRDefault="00734411">
      <w:pPr>
        <w:pStyle w:val="Heading3"/>
      </w:pPr>
      <w:bookmarkStart w:id="41" w:name="estrategia-procedimental"/>
      <w:bookmarkStart w:id="42" w:name="_Toc241413247"/>
      <w:bookmarkEnd w:id="39"/>
      <w:r>
        <w:t>1.4.7 Estrategia procedimental</w:t>
      </w:r>
      <w:bookmarkEnd w:id="42"/>
    </w:p>
    <w:p w14:paraId="200413C0" w14:textId="77777777" w:rsidR="00D075F6" w:rsidRDefault="00734411">
      <w:r>
        <w:t>La estrategia procedimental se organiza en torno al protocolo FOM-7 (</w:t>
      </w:r>
      <w:r>
        <w:rPr>
          <w:i/>
          <w:iCs/>
        </w:rPr>
        <w:t>Framework Operation Method</w:t>
      </w:r>
      <w:r>
        <w:t xml:space="preserve">, siete puertas), derivado de los requisitos de benchmarking reproducible identificados en la literatura (Canha et al. 2025; Agarwal et al. 2022; Hedström et al. 2023) </w:t>
      </w:r>
      <w:r>
        <w:t>y de los modos de fallo observados durante la fase de calibración piloto.</w:t>
      </w:r>
    </w:p>
    <w:p w14:paraId="57765DE7" w14:textId="77777777" w:rsidR="00D075F6" w:rsidRDefault="00734411">
      <w:pPr>
        <w:pStyle w:val="BodyText"/>
      </w:pPr>
      <w:r>
        <w:t>Las siete puertas secuenciales son:</w:t>
      </w:r>
    </w:p>
    <w:p w14:paraId="72FD5240" w14:textId="77777777" w:rsidR="00D075F6" w:rsidRDefault="00734411" w:rsidP="00734411">
      <w:pPr>
        <w:numPr>
          <w:ilvl w:val="0"/>
          <w:numId w:val="5"/>
        </w:numPr>
      </w:pPr>
      <w:r>
        <w:rPr>
          <w:b/>
          <w:bCs/>
        </w:rPr>
        <w:t>Congelación del protocolo</w:t>
      </w:r>
      <w:r>
        <w:t>: bloqueo de versiones de código, configuraciones, factores y plan de inferencia antes de las ejecuciones confirmativas.</w:t>
      </w:r>
    </w:p>
    <w:p w14:paraId="7B4955FC" w14:textId="77777777" w:rsidR="00D075F6" w:rsidRDefault="00734411" w:rsidP="00734411">
      <w:pPr>
        <w:numPr>
          <w:ilvl w:val="0"/>
          <w:numId w:val="5"/>
        </w:numPr>
      </w:pPr>
      <w:r>
        <w:rPr>
          <w:b/>
          <w:bCs/>
        </w:rPr>
        <w:t>Ejecución por lotes controlada</w:t>
      </w:r>
      <w:r>
        <w:t>: ejecución desde manifiestos declarativos con semillas fijas y registro del contexto de tiempo de ejecución.</w:t>
      </w:r>
    </w:p>
    <w:p w14:paraId="4774A4C0" w14:textId="77777777" w:rsidR="00D075F6" w:rsidRDefault="00734411" w:rsidP="00734411">
      <w:pPr>
        <w:numPr>
          <w:ilvl w:val="0"/>
          <w:numId w:val="5"/>
        </w:numPr>
      </w:pPr>
      <w:r>
        <w:rPr>
          <w:b/>
          <w:bCs/>
        </w:rPr>
        <w:t>Auditoría de integridad de artefactos</w:t>
      </w:r>
      <w:r>
        <w:t xml:space="preserve">: detección y exclusión de salidas </w:t>
      </w:r>
      <w:r>
        <w:t>malformadas, vacías o con esquema incompatible.</w:t>
      </w:r>
    </w:p>
    <w:p w14:paraId="60E12B7F" w14:textId="77777777" w:rsidR="00D075F6" w:rsidRDefault="00734411" w:rsidP="00734411">
      <w:pPr>
        <w:numPr>
          <w:ilvl w:val="0"/>
          <w:numId w:val="5"/>
        </w:numPr>
      </w:pPr>
      <w:r>
        <w:rPr>
          <w:b/>
          <w:bCs/>
        </w:rPr>
        <w:t>Armonización a tablas listas para el análisis</w:t>
      </w:r>
      <w:r>
        <w:t>: estandarización de claves y campos de métricas en tablas de inferencia deterministas.</w:t>
      </w:r>
    </w:p>
    <w:p w14:paraId="394E877F" w14:textId="77777777" w:rsidR="00D075F6" w:rsidRDefault="00734411" w:rsidP="00734411">
      <w:pPr>
        <w:numPr>
          <w:ilvl w:val="0"/>
          <w:numId w:val="5"/>
        </w:numPr>
      </w:pPr>
      <w:r>
        <w:rPr>
          <w:b/>
          <w:bCs/>
        </w:rPr>
        <w:t>Exportación inferencial</w:t>
      </w:r>
      <w:r>
        <w:t>: generación determinista de tablas omnibus y de pruebas pareadas a partir exclusivamente de entradas calificadas.</w:t>
      </w:r>
    </w:p>
    <w:p w14:paraId="14B0DD3E" w14:textId="77777777" w:rsidR="00D075F6" w:rsidRDefault="00734411" w:rsidP="00734411">
      <w:pPr>
        <w:numPr>
          <w:ilvl w:val="0"/>
          <w:numId w:val="5"/>
        </w:numPr>
      </w:pPr>
      <w:r>
        <w:rPr>
          <w:b/>
          <w:bCs/>
        </w:rPr>
        <w:t>Perfilado de reproducibilidad</w:t>
      </w:r>
      <w:r>
        <w:t>: cuantificación de la dispersión entre ejecuciones y del comportamiento del coeficiente de variación en configuraciones replicadas.</w:t>
      </w:r>
    </w:p>
    <w:p w14:paraId="60245FA6" w14:textId="77777777" w:rsidR="00D075F6" w:rsidRDefault="00734411" w:rsidP="00734411">
      <w:pPr>
        <w:numPr>
          <w:ilvl w:val="0"/>
          <w:numId w:val="5"/>
        </w:numPr>
      </w:pPr>
      <w:r>
        <w:rPr>
          <w:b/>
          <w:bCs/>
        </w:rPr>
        <w:t>Reporte con trazabilidad de afirmaciones</w:t>
      </w:r>
      <w:r>
        <w:t>: las afirmaciones inferenciales solo se permiten cuando todas las puertas previas están satisfechas y son trazables a artefactos fuente.</w:t>
      </w:r>
    </w:p>
    <w:p w14:paraId="6E76521F" w14:textId="77777777" w:rsidR="00D075F6" w:rsidRDefault="00734411">
      <w:r>
        <w:t xml:space="preserve">Este capítulo ha establecido el problema doctoral, la pregunta de investigación, los objetivos, las hipótesis y el diseño general que articula los tres estudios. La consecuencia metodológica es que la tesis no puede limitarse a comparar promedios de métodos XAI: debe justificar qué constructos se miden, bajo qué </w:t>
      </w:r>
      <w:r>
        <w:t>condiciones y con qué alcance inferencial. El siguiente capítulo desarrolla ese marco conceptual y convierte la necesidad empírica identificada aquí en una brecha teórica que justifica FOM-7.</w:t>
      </w:r>
    </w:p>
    <w:p w14:paraId="4C3961E7" w14:textId="77777777" w:rsidR="00D075F6" w:rsidRDefault="00734411">
      <w:pPr>
        <w:pStyle w:val="BodyText"/>
      </w:pPr>
      <w:r>
        <w:t xml:space="preserve">La secuencia experimental distingue dos cohortes de evidencia con roles diferenciados: la etapa de calibración y reproducibilidad (EXP1), destinada a la verificación de implementación y al perfilado de dispersión; y el benchmark primario de robustez (EXP2), destinado a la inferencia confirmativa. Esta </w:t>
      </w:r>
      <w:r>
        <w:t>separación reduce la contaminación entre actividades exploratorias y afirmaciones confirmativas, en línea con las recomendaciones de disciplina de partición de evidencia discutidas en trabajos recientes sobre fidelidad de evaluación (Zheng et al. 2025).</w:t>
      </w:r>
    </w:p>
    <w:p w14:paraId="506DB176" w14:textId="77777777" w:rsidR="00D075F6" w:rsidRDefault="00734411">
      <w:pPr>
        <w:pStyle w:val="Heading1"/>
      </w:pPr>
      <w:bookmarkStart w:id="43" w:name="X5df853d312351836bad75f10c25fdcfe7ebc358"/>
      <w:bookmarkStart w:id="44" w:name="_Toc241413248"/>
      <w:bookmarkEnd w:id="10"/>
      <w:bookmarkEnd w:id="27"/>
      <w:bookmarkEnd w:id="41"/>
      <w:r>
        <w:t>Capítulo 2. Marco teórico específico / fundamentos conceptuales</w:t>
      </w:r>
      <w:bookmarkEnd w:id="44"/>
    </w:p>
    <w:p w14:paraId="1B3DCDD7" w14:textId="77777777" w:rsidR="00D075F6" w:rsidRDefault="00734411">
      <w:pPr>
        <w:pStyle w:val="Heading2"/>
      </w:pPr>
      <w:bookmarkStart w:id="45" w:name="propósito-del-capítulo"/>
      <w:bookmarkStart w:id="46" w:name="_Toc241413249"/>
      <w:r>
        <w:t>2.1 Propósito del capítulo</w:t>
      </w:r>
      <w:bookmarkEnd w:id="46"/>
    </w:p>
    <w:p w14:paraId="2D0E8002" w14:textId="77777777" w:rsidR="00D075F6" w:rsidRDefault="00734411">
      <w:r>
        <w:t xml:space="preserve">Este capítulo establece el marco conceptual específico que sostiene la propuesta FOM-7. Su función no es solamente definir la Inteligencia Artificial </w:t>
      </w:r>
      <w:r>
        <w:t xml:space="preserve">Explicable (XAI), sino mostrar por qué la evaluación de explicaciones requiere un protocolo operativo que conecte diseño experimental, calificación de artefactos, selección de métricas, admisibilidad estadística, reproducibilidad y trazabilidad de afirmaciones. La tesis parte de una observación central: la literatura dispone de métodos de explicación maduros y de toolkits de evaluación cada vez más sofisticados, pero aún persiste una brecha entre la </w:t>
      </w:r>
      <w:r>
        <w:t>existencia de métricas y la construcción de evidencia doctoralmente defendible.</w:t>
      </w:r>
    </w:p>
    <w:p w14:paraId="20518A78" w14:textId="77777777" w:rsidR="00D075F6" w:rsidRDefault="00734411">
      <w:pPr>
        <w:pStyle w:val="BodyText"/>
      </w:pPr>
      <w:r>
        <w:t xml:space="preserve">En este sentido, el capítulo organiza la revisión en siete ejes. Primero, reconstruye el desarrollo histórico desde modelos transparentes hacia explicaciones post-hoc y enfoques human-centered. Segundo, fija distinciones conceptuales indispensables para evitar sobreinterpretaciones. Tercero, examina los cuatro métodos evaluados en esta tesis: LIME, SHAP, Anchors y DiCE. Cuarto, </w:t>
      </w:r>
      <w:r>
        <w:t>analiza marcos de evaluación como Quantus, OpenXAI y la taxonomía de evaluación propuesta por Doshi-Velez (2017). Quinto, sintetiza familias de métricas y brechas de constructo. Sexto, vincula reproducibilidad y trazabilidad con benchmarking XAI. Finalmente, formula la brecha crítica que justifica FOM-7.</w:t>
      </w:r>
    </w:p>
    <w:p w14:paraId="7339EAD8" w14:textId="77777777" w:rsidR="00D075F6" w:rsidRDefault="00734411">
      <w:pPr>
        <w:pStyle w:val="Heading2"/>
      </w:pPr>
      <w:bookmarkStart w:id="47" w:name="Xe6760546a452d6306b93a783545f3c51ee07c22"/>
      <w:bookmarkStart w:id="48" w:name="_Toc241413250"/>
      <w:bookmarkEnd w:id="45"/>
      <w:r>
        <w:t>2.2 Desarrollo histórico de la interpretabilidad y la XAI</w:t>
      </w:r>
      <w:bookmarkEnd w:id="48"/>
    </w:p>
    <w:p w14:paraId="0FF344BA" w14:textId="77777777" w:rsidR="00D075F6" w:rsidRDefault="00734411">
      <w:r>
        <w:t xml:space="preserve">La interpretabilidad en aprendizaje automático no surge como una preocupación </w:t>
      </w:r>
      <w:r>
        <w:t xml:space="preserve">posterior a los modelos modernos, sino como una condición histórica de muchos modelos estadísticos y simbólicos. La regresión lineal, los árboles de decisión pequeños, los sistemas basados en reglas y algunos modelos aditivos permiten inspeccionar directamente los parámetros, reglas o relaciones que conducen a una predicción. En estos casos, la transparencia forma parte de la arquitectura del modelo: el analista puede seguir el mecanismo inferencial sin construir un </w:t>
      </w:r>
      <w:r>
        <w:t>artefacto explicativo externo. Esta tradición se asocia con modelos intrínsecamente interpretables (Lipton 2018; Arrieta 2019).</w:t>
      </w:r>
    </w:p>
    <w:p w14:paraId="02A0488C" w14:textId="77777777" w:rsidR="00D075F6" w:rsidRDefault="00734411">
      <w:pPr>
        <w:pStyle w:val="BodyText"/>
      </w:pPr>
      <w:r>
        <w:t xml:space="preserve">El punto doctoralmente relevante es que la interpretabilidad inicial estaba ligada a una relación directa entre representación, inferencia y comunicación. Cuando un modelo lineal asigna coeficientes a variables observables, la explicación puede apoyarse en el mismo lenguaje que el modelo utiliza para predecir. Cuando un árbol de decisión pequeño separa casos mediante reglas, el </w:t>
      </w:r>
      <w:r>
        <w:t>camino desde la raíz hasta una hoja puede funcionar como una narración de la decisión. Esta cercanía entre mecanismo y explicación reduce la necesidad de un segundo artefacto interpretativo. Sin embargo, también limita la clase de patrones que el modelo puede capturar. La historia de la XAI se entiende mejor como una tensión continua entre expresividad predictiva, transparencia estructural y utilidad humana (Arrieta 2019; Lipton 2018).</w:t>
      </w:r>
    </w:p>
    <w:p w14:paraId="5A0BE672" w14:textId="77777777" w:rsidR="00D075F6" w:rsidRDefault="00734411">
      <w:pPr>
        <w:pStyle w:val="BodyText"/>
      </w:pPr>
      <w:r>
        <w:t xml:space="preserve">El desplazamiento hacia modelos de mayor capacidad predictiva modificó este equilibrio. Los ensambles, los métodos kernel, las redes neuronales profundas y otros modelos de alta dimensionalidad aumentaron la precisión en tareas complejas, pero hicieron menos accesible la lógica interna de decisión. La opacidad no implica necesariamente ausencia de estructura; implica que la estructura aprendida no se presenta en una forma cognitivamente manejable para </w:t>
      </w:r>
      <w:r>
        <w:t>un humano. Esta tensión entre rendimiento y comprensibilidad aparece de forma recurrente en revisiones de XAI e interpretabilidad (Arrieta 2019; Linardatos 2020; Canha et al. 2025).</w:t>
      </w:r>
    </w:p>
    <w:p w14:paraId="1594771D" w14:textId="77777777" w:rsidR="00D075F6" w:rsidRDefault="00734411">
      <w:pPr>
        <w:pStyle w:val="BodyText"/>
      </w:pPr>
      <w:r>
        <w:t xml:space="preserve">Este desplazamiento no debe interpretarse como una oposición simple entre modelos “buenos pero opacos” y modelos “malos pero transparentes”. La literatura crítica ha mostrado que la interpretabilidad es una noción plural: puede referirse a simulabilidad, descomponibilidad, transparencia algorítmica, </w:t>
      </w:r>
      <w:r>
        <w:t>explicaciones locales, explicaciones globales, visualizaciones, reglas, atribuciones o ejemplos contrafactuales (Lipton 2018; Arrieta 2019). Por tanto, un modelo no es interpretable o no interpretable en abstracto; lo es respecto a un destinatario, una tarea, una escala de análisis y un criterio de éxito. Esta observación será importante para FOM-7, porque impide convertir la evaluación XAI en una competencia única donde todos los métodos se ordenan bajo una misma noción de calidad.</w:t>
      </w:r>
    </w:p>
    <w:p w14:paraId="7BAA59E4" w14:textId="77777777" w:rsidR="00D075F6" w:rsidRDefault="00734411">
      <w:pPr>
        <w:pStyle w:val="BodyText"/>
      </w:pPr>
      <w:r>
        <w:t xml:space="preserve">La expansión de modelos de caja negra también modificó la forma en que se construyen responsabilidades epistémicas. En un modelo transparente, el analista puede examinar directamente parte del mecanismo. En un modelo de caja negra, la explicación se vuelve mediada: depende de consultas, perturbaciones, gradientes, aproximaciones locales, reglas inducidas o contrafactuales generados. Esa mediación introduce una pregunta adicional: no basta con saber si el predictor </w:t>
      </w:r>
      <w:r>
        <w:t>funciona; debe evaluarse si el artefacto que lo explica es confiable bajo las condiciones en que se usa. La XAI moderna nace, en buena medida, de esta separación entre modelo predictivo y artefacto explicativo (Linardatos 2020; Doshi-Velez 2017).</w:t>
      </w:r>
    </w:p>
    <w:p w14:paraId="51476F2C" w14:textId="77777777" w:rsidR="00D075F6" w:rsidRDefault="00734411">
      <w:pPr>
        <w:pStyle w:val="BodyText"/>
      </w:pPr>
      <w:r>
        <w:t xml:space="preserve">La respuesta metodológica dominante ha sido el desarrollo de explicaciones post-hoc. En vez de exigir que el modelo predictivo sea transparente, se construye un segundo artefacto que describe aspectos de su comportamiento. LIME </w:t>
      </w:r>
      <w:r>
        <w:t>aproxima localmente la frontera de decisión mediante modelos sustitutos simples (Ribeiro 2016). SHAP interpreta predicciones mediante atribuciones aditivas inspiradas en el valor de Shapley (Lundberg 2017). Anchors produce reglas de alta precisión que buscan condiciones suficientes para una predicción local (Ribeiro 2018). DiCE desplaza el foco hacia explicaciones contrafactuales: cambios alternativos que permitirían obtener una decisión diferente (Mothilal 2020)</w:t>
      </w:r>
      <w:r>
        <w:t>. Estos métodos no explican el modelo en el mismo sentido; producen objetos explicativos distintos, con supuestos y criterios de evaluación diferentes.</w:t>
      </w:r>
    </w:p>
    <w:p w14:paraId="3C80C1D4" w14:textId="77777777" w:rsidR="00D075F6" w:rsidRDefault="00734411">
      <w:pPr>
        <w:pStyle w:val="BodyText"/>
      </w:pPr>
      <w:r>
        <w:t xml:space="preserve">La alternativa a explicar </w:t>
      </w:r>
      <w:r>
        <w:rPr>
          <w:i/>
          <w:iCs/>
        </w:rPr>
        <w:t>a posteriori</w:t>
      </w:r>
      <w:r>
        <w:t xml:space="preserve"> es diseñar modelos intrínsecamente interpretables. Esta posición ha sido defendida con fuerza para decisiones de alto riesgo, argumentando que la explicación post-hoc de una caja negra no sustituye a un modelo comprensible por construcción (Rudin 2019), y se ha </w:t>
      </w:r>
      <w:r>
        <w:t xml:space="preserve">materializado en arquitecturas que incorporan la interpretabilidad como restricción de diseño: modelos con cuello de botella conceptual (Koh et al. 2020), redes con características monótonas (Nguyen y Martinez 2019), arquitecturas prototípicas (Hess y Ditzler 2023) o representaciones funcionales explícitas (Liu et al. 2024). En paralelo, una línea formal explora la explicabilidad basada en lógica, con garantías de corrección de las que carecen los métodos aproximados (Marques-Silva 2024). Esta </w:t>
      </w:r>
      <w:r>
        <w:t>tesis no adopta esa vía —su objeto son explicadores agnósticos aplicados a modelos ya entrenados— pero la frontera importa para interpretar sus resultados: la crítica de fondo, que las explicaciones aproximadas pueden ser plausibles sin ser fieles, es exactamente la que motiva medir fidelidad en lugar de suponerla. Advertencias equivalentes se han formulado sobre el uso de mecanismos internos del modelo, como la atención, en calidad de explicación (Bastings y Filippova 2020).</w:t>
      </w:r>
    </w:p>
    <w:p w14:paraId="3298A980" w14:textId="77777777" w:rsidR="00D075F6" w:rsidRDefault="00734411">
      <w:pPr>
        <w:pStyle w:val="BodyText"/>
      </w:pPr>
      <w:r>
        <w:t>La categoría post-hoc, sin embargo, cubre familias heterogéneas. Las atribuciones asignan importancia a características; las reglas buscan condiciones suficientes o patrones comprensibles; los sustitutos locales aproximan el comportamiento del modelo en un vecindario; los contrafactuales describen alternativas que cambiarían una decisión; las visualizaciones representan patrones agregados o activaciones —como las curvas de expectativa condicional individual (Goldstein 2014) o los gráficos de efectos locales</w:t>
      </w:r>
      <w:r>
        <w:t xml:space="preserve"> acumulados (Apley 2020), que describen el efecto marginal de una característica sobre el conjunto de datos en lugar de atribuir importancia a una predicción concreta—. Esta pluralidad es una fortaleza del campo, porque permite adaptar la explicación a objetivos distintos. Pero también es una fuente de dificultad evaluativa: una métrica apropiada para atribuciones no necesariamente evalúa bien reglas, y una métrica orientada a validez contrafactual no necesariamente mide fidelidad local de un sustituto </w:t>
      </w:r>
      <w:r>
        <w:t>(Arrieta 2019; Hedström et al. 2023). Esta tesis acota su evaluación a explicaciones locales por instancia, de modo que las familias de visualización global antes citadas quedan fuera de su alcance experimental.</w:t>
      </w:r>
    </w:p>
    <w:p w14:paraId="25AB51EB" w14:textId="77777777" w:rsidR="00D075F6" w:rsidRDefault="00734411">
      <w:pPr>
        <w:pStyle w:val="BodyText"/>
      </w:pPr>
      <w:r>
        <w:t xml:space="preserve">La literatura también distingue métodos agnósticos y específicos del modelo (Arrieta 2019; Linardatos 2020). Los métodos agnósticos tratan al predictor como una caja negra y solo requieren consultar entradas y salidas. Esta </w:t>
      </w:r>
      <w:r>
        <w:t xml:space="preserve">propiedad permite aplicar un mismo explicador a diversos clasificadores, pero introduce riesgos: el explicador puede capturar regularidades de las consultas realizadas, no necesariamente el mecanismo interno del modelo. Los métodos específicos aprovechan propiedades internas de familias concretas de modelos, por ejemplo estructuras de árboles o gradientes en redes neuronales. La tensión entre generalidad y fidelidad es una de las razones por las que la evaluación XAI no puede reducirse a una sola métrica </w:t>
      </w:r>
      <w:r>
        <w:t>(Doshi-Velez 2017; Hedström et al. 2023).</w:t>
      </w:r>
    </w:p>
    <w:p w14:paraId="3872639D" w14:textId="77777777" w:rsidR="00D075F6" w:rsidRDefault="00734411">
      <w:pPr>
        <w:pStyle w:val="BodyText"/>
      </w:pPr>
      <w:r>
        <w:t xml:space="preserve">Esta distinción histórica es especialmente importante para la tesis porque los métodos agnósticos suelen ganar en portabilidad experimental. Un mismo pipeline puede aplicarse a clasificadores distintos, lo que facilita el benchmarking. Pero esa portabilidad no elimina la necesidad de controles: si el explicador solo observa entradas y salidas, su conocimiento del modelo es indirecto y dependiente de la muestra consultada. En cambio, los métodos específicos pueden </w:t>
      </w:r>
      <w:r>
        <w:t>explotar información interna para mejorar eficiencia o precisión, aunque pagan el precio de una menor generalidad. FOM-7 debe mantener visible esta relación: no comparar solamente valores métricos, sino interpretar esos valores según el tipo de acceso que cada explicador tiene al modelo (Arrieta 2019; Linardatos 2020).</w:t>
      </w:r>
    </w:p>
    <w:p w14:paraId="17643D34" w14:textId="77777777" w:rsidR="00D075F6" w:rsidRDefault="00734411">
      <w:pPr>
        <w:pStyle w:val="BodyText"/>
      </w:pPr>
      <w:r>
        <w:t xml:space="preserve">Otra distinción histórica relevante es la diferencia entre explicaciones locales y globales (Arrieta 2019; Linardatos 2020). Una explicación local </w:t>
      </w:r>
      <w:r>
        <w:t xml:space="preserve">describe el comportamiento del modelo alrededor de una instancia o decisión particular. Una explicación global intenta describir patrones generales del modelo en el dominio completo o en regiones amplias del espacio de entrada. LIME, SHAP y Anchors suelen emplearse en configuraciones locales, aunque pueden agregarse para obtener resúmenes globales (Ribeiro 2016, 2018; Lundberg 2017). Esta agregación, sin embargo, no elimina el problema conceptual: </w:t>
      </w:r>
      <w:r>
        <w:t>una colección de explicaciones locales no equivale automáticamente a una teoría global del modelo.</w:t>
      </w:r>
    </w:p>
    <w:p w14:paraId="7B8CAC15" w14:textId="77777777" w:rsidR="00D075F6" w:rsidRDefault="00734411">
      <w:pPr>
        <w:pStyle w:val="BodyText"/>
      </w:pPr>
      <w:r>
        <w:t xml:space="preserve">El nivel local resulta atractivo porque muchas decisiones de alto impacto se formulan caso por caso: por qué se rechazó una solicitud, por qué una instancia fue clasificada como riesgosa, por qué un modelo asignó una etiqueta. Sin embargo, una explicación local tiene un alcance limitado por definición. Puede ser válida alrededor de una instancia y no describir otras regiones del espacio </w:t>
      </w:r>
      <w:r>
        <w:t>de datos. La explicación global, por su parte, promete una visión más amplia, pero puede ocultar heterogeneidad local o subgrupos con comportamientos distintos. Este problema conecta directamente con la trazabilidad de claims: una afirmación local no debe presentarse como global, y una tendencia global no debe usarse para justificar decisiones individuales sin evidencia adicional (Doshi-Velez 2017; Hedström et al. 2023).</w:t>
      </w:r>
    </w:p>
    <w:p w14:paraId="5EB2AAAC" w14:textId="77777777" w:rsidR="00D075F6" w:rsidRDefault="00734411">
      <w:pPr>
        <w:pStyle w:val="BodyText"/>
      </w:pPr>
      <w:r>
        <w:t xml:space="preserve">Finalmente, el campo ha incorporado una orientación human-centered. La pregunta </w:t>
      </w:r>
      <w:r>
        <w:t xml:space="preserve">ya no es solo si una explicación se parece al comportamiento del modelo, sino si apoya una tarea humana concreta sin inducir confianza injustificada. Esta perspectiva enfatiza destinatarios, contexto de uso, carga cognitiva, calibración de confianza y utilidad para la toma de decisiones (Hoffman et al. 2023; Mohseni et al. 2021). Para esta tesis, esta evolución histórica es clave: FOM-7 no se justifica por la ausencia de explicaciones, sino por la necesidad de evaluar </w:t>
      </w:r>
      <w:r>
        <w:t>explicaciones como artefactos técnicos, estadísticos y comunicables.</w:t>
      </w:r>
    </w:p>
    <w:p w14:paraId="074A6ADE" w14:textId="77777777" w:rsidR="00D075F6" w:rsidRDefault="00734411">
      <w:pPr>
        <w:pStyle w:val="BodyText"/>
      </w:pPr>
      <w:r>
        <w:t xml:space="preserve">La orientación human-centered introduce una corrección necesaria al entusiasmo puramente algorítmico. Una explicación no circula en el vacío: aparece en una interfaz, ante un usuario con objetivos concretos, bajo restricciones de tiempo, con ciertos conocimientos previos y con riesgos de confianza excesiva o desconfianza injustificada. Mohseni et al. (2021) proponen pensar el diseño y la </w:t>
      </w:r>
      <w:r>
        <w:t xml:space="preserve">evaluación de XAI como una relación entre objetivos, grupos de usuarios y métodos de evaluación. Hoffman et al. (2023), desde una perspectiva psicológica, insisten en que el valor de una explicación depende de cómo apoya comprensión, calibración y acción. Esto no convierte a la presente tesis en un estudio de usuarios, pero sí obliga a delimitar el tipo de evidencia producida: FOM-7 evalúa propiedades técnicas y reproducibles de explicaciones post-hoc, y deja </w:t>
      </w:r>
      <w:r>
        <w:t>claros los límites de inferir utilidad humana directa a partir de métricas computacionales.</w:t>
      </w:r>
    </w:p>
    <w:p w14:paraId="4CF28D15" w14:textId="77777777" w:rsidR="00D075F6" w:rsidRDefault="00734411">
      <w:pPr>
        <w:pStyle w:val="BodyText"/>
      </w:pPr>
      <w:r>
        <w:t xml:space="preserve">Así, el desarrollo histórico de la XAI puede leerse como una serie de desplazamientos: de transparencia intrínseca a explicación post-hoc; de modelos simples a modelos de alta capacidad; de descripciones globales a explicaciones locales; de evaluaciones cualitativas a toolkits métricos; y de una mirada centrada en el algoritmo a una mirada que incluye usuarios, contexto y </w:t>
      </w:r>
      <w:r>
        <w:t>responsabilidad. La contribución de FOM-7 se ubica después de esos desplazamientos. No regresa nostálgicamente a modelos simples ni promete una explicación universal. Propone gobernar la evaluación de explicaciones en un escenario donde los objetos explicativos son plurales, los criterios son multidimensionales y las conclusiones deben ser rastreables (Doshi-Velez 2017; Hedström et al. 2023; Nauta et al. 2023).</w:t>
      </w:r>
    </w:p>
    <w:p w14:paraId="101B2E95" w14:textId="77777777" w:rsidR="00D075F6" w:rsidRDefault="00734411">
      <w:pPr>
        <w:pStyle w:val="Heading2"/>
      </w:pPr>
      <w:bookmarkStart w:id="49" w:name="distinciones-conceptuales-fundamentales"/>
      <w:bookmarkStart w:id="50" w:name="_Toc241413251"/>
      <w:bookmarkEnd w:id="47"/>
      <w:r>
        <w:t>2.3 Distinciones conceptuales fundamentales</w:t>
      </w:r>
      <w:bookmarkEnd w:id="50"/>
    </w:p>
    <w:p w14:paraId="7DD6B655" w14:textId="77777777" w:rsidR="00D075F6" w:rsidRDefault="00734411">
      <w:r>
        <w:t xml:space="preserve">La literatura XAI utiliza con frecuencia términos cercanos como interpretabilidad, explicabilidad, transparencia, fidelidad, plausibilidad, robustez y utilidad. Sin una delimitación conceptual, estos términos pueden producir inferencias demasiado amplias. Un resultado alto en una métrica de estabilidad, por ejemplo, no prueba que una explicación sea causalmente correcta ni que sea útil para un usuario experto. Por ello, la tesis adopta distinciones operativas que protegen la validez de las afirmaciones </w:t>
      </w:r>
      <w:r>
        <w:t>(Lipton 2018; Doshi-Velez 2017; Nauta et al. 2023).</w:t>
      </w:r>
    </w:p>
    <w:p w14:paraId="311DE187" w14:textId="77777777" w:rsidR="00D075F6" w:rsidRDefault="00734411">
      <w:pPr>
        <w:pStyle w:val="BodyText"/>
      </w:pPr>
      <w:r>
        <w:t>Estas distinciones cumplen una función metodológica, no solamente terminológica. En una tesis doctoral, los conceptos deben controlar el alcance de las conclusiones. Si se afirma que un explicador es “mejor”, debe indicarse mejor respecto a qué propiedad: fidelidad, estabilidad, robustez, complejidad, coste, accionabilidad o utilidad para un usuario. Si se afirma que una explicación es “correcta”</w:t>
      </w:r>
      <w:r>
        <w:t>, debe aclararse si la corrección se refiere al comportamiento observable del modelo, a una estructura causal del dominio, a la aceptabilidad humana de la narrativa o a la consistencia con una métrica. El valor de estas distinciones es evitar que un resultado empírico local se transforme en una afirmación teórica excesiva (Doshi-Velez 2017; Lipton 2018).</w:t>
      </w:r>
    </w:p>
    <w:p w14:paraId="6261BB40" w14:textId="77777777" w:rsidR="00D075F6" w:rsidRDefault="00734411">
      <w:pPr>
        <w:pStyle w:val="BodyText"/>
      </w:pPr>
      <w:r>
        <w:t xml:space="preserve">La primera distinción separa interpretabilidad y explicabilidad. La interpretabilidad se asocia con la posibilidad de comprender la estructura o </w:t>
      </w:r>
      <w:r>
        <w:t xml:space="preserve">mecánica de un modelo. En modelos transparentes, esta comprensión puede derivarse directamente del objeto predictivo. La explicabilidad, en cambio, puede entenderse como la producción de razones, artefactos o representaciones que hacen comprensible una predicción para un destinatario. Linardatos (2020) presentan esta diferencia como parte del vocabulario central de los métodos de interpretabilidad en aprendizaje automático. Para esta tesis, la distinción </w:t>
      </w:r>
      <w:r>
        <w:t>permite evaluar explicadores post-hoc sin tratarlos como si fueran equivalentes a modelos transparentes.</w:t>
      </w:r>
    </w:p>
    <w:p w14:paraId="5A5983D4" w14:textId="77777777" w:rsidR="00D075F6" w:rsidRDefault="00734411">
      <w:pPr>
        <w:pStyle w:val="BodyText"/>
      </w:pPr>
      <w:r>
        <w:t xml:space="preserve">La interpretabilidad puede entenderse como una propiedad relacional: algo es interpretable para alguien, con cierto conocimiento, respecto a una tarea y en un nivel determinado de detalle. Esta lectura coincide con advertencias críticas de la literatura: el término “interpretable” puede volverse ambiguo si no se explicita qué aspecto del sistema se vuelve comprensible (Lipton 2018). La </w:t>
      </w:r>
      <w:r>
        <w:t>explicabilidad, en cambio, suele remitir al proceso de producir una explicación utilizable. Esta tesis adopta una posición operacional: evalúa artefactos explicativos generados por métodos concretos, no la interpretabilidad total del sistema sociotécnico. Esa delimitación es deliberada y evita prometer más de lo que el experimento puede sostener.</w:t>
      </w:r>
    </w:p>
    <w:p w14:paraId="37234657" w14:textId="77777777" w:rsidR="00D075F6" w:rsidRDefault="00734411">
      <w:pPr>
        <w:pStyle w:val="BodyText"/>
      </w:pPr>
      <w:r>
        <w:t xml:space="preserve">La segunda distinción separa transparencia y explicación. Un modelo transparente expone su lógica interna de forma relativamente directa; una explicación puede </w:t>
      </w:r>
      <w:r>
        <w:t>ser una aproximación, simplificación, regla local, atribución o contrafactual generado después de entrenar el modelo. La transparencia pertenece al modelo; la explicación pertenece al ecosistema de interpretación. Esta diferencia es importante porque una explicación puede ser comprensible y aun así no reflejar con precisión el mecanismo decisional (Arrieta 2019; Linardatos 2020).</w:t>
      </w:r>
    </w:p>
    <w:p w14:paraId="5F4E47C7" w14:textId="77777777" w:rsidR="00D075F6" w:rsidRDefault="00734411">
      <w:pPr>
        <w:pStyle w:val="BodyText"/>
      </w:pPr>
      <w:r>
        <w:t xml:space="preserve">La transparencia tampoco es un valor absoluto. Un modelo puede ser transparente </w:t>
      </w:r>
      <w:r>
        <w:t xml:space="preserve">en su forma matemática y aun así difícil de comprender si contiene miles de variables, interacciones o reglas. De forma inversa, una explicación post-hoc puede ser muy legible y, sin embargo, alejarse del mecanismo real. La transparencia se refiere a la accesibilidad del objeto predictivo; la explicación se refiere al artefacto construido para hacerlo inteligible. Esta diferencia tiene consecuencias para el benchmarking: no se debe evaluar una </w:t>
      </w:r>
      <w:r>
        <w:t>explicación post-hoc como si ofreciera acceso directo al interior del modelo, sino como una representación cuya fidelidad y estabilidad deben probarse bajo condiciones específicas (Arrieta 2019; Linardatos 2020).</w:t>
      </w:r>
    </w:p>
    <w:p w14:paraId="592484C5" w14:textId="77777777" w:rsidR="00D075F6" w:rsidRDefault="00734411">
      <w:pPr>
        <w:pStyle w:val="BodyText"/>
      </w:pPr>
      <w:r>
        <w:t xml:space="preserve">La tercera distinción separa fidelidad y faithfulness. En esta tesis, fidelidad se refiere al grado en que el artefacto explicativo reproduce o aproxima el comportamiento observable del modelo bajo condiciones definidas. La faithfulness, o fehaciencia, apunta a una exigencia más fuerte: que la </w:t>
      </w:r>
      <w:r>
        <w:t>explicación represente aspectos relevantes del verdadero proceso decisional. Una explicación puede tener alta fidelidad local en un vecindario muestreado y aún así no capturar la lógica que el modelo utiliza en regiones no observadas o ante perturbaciones fuera de distribución (Zheng et al. 2025).</w:t>
      </w:r>
    </w:p>
    <w:p w14:paraId="69064D7C" w14:textId="77777777" w:rsidR="00D075F6" w:rsidRDefault="00734411">
      <w:pPr>
        <w:pStyle w:val="BodyText"/>
      </w:pPr>
      <w:r>
        <w:t xml:space="preserve">La diferencia es sutil pero central. La fidelidad puede evaluarse mediante comparaciones observables: si el sustituto predice de forma similar al modelo de </w:t>
      </w:r>
      <w:r>
        <w:t xml:space="preserve">caja negra en las instancias evaluadas, se obtiene evidencia de acuerdo local o global. La faithfulness exige una correspondencia más profunda entre la explicación y los factores que realmente gobiernan la decisión. En modelos complejos, esta correspondencia suele ser difícil de demostrar de forma directa. Por ello, FOM-7 trata la fidelidad como un constructo medible y la faithfulness como una aspiración interpretativa que requiere cautela. El protocolo no debe </w:t>
      </w:r>
      <w:r>
        <w:t>convertir una métrica de acuerdo en una afirmación fuerte sobre verdad causal.</w:t>
      </w:r>
    </w:p>
    <w:p w14:paraId="31D778AC" w14:textId="77777777" w:rsidR="00D075F6" w:rsidRDefault="00734411">
      <w:pPr>
        <w:pStyle w:val="BodyText"/>
      </w:pPr>
      <w:r>
        <w:t xml:space="preserve">La cuarta distinción separa plausibilidad y corrección. Una explicación plausible coincide con expectativas humanas, conocimiento de dominio o patrones narrativamente convincentes. Pero la plausibilidad no garantiza corrección. Esta distinción es especialmente delicada en XAI porque explicaciones persuasivas pueden aumentar confianza aún cuando no sean técnicamente adecuadas. La </w:t>
      </w:r>
      <w:r>
        <w:t>literatura crítica sobre interpretabilidad advierte que el campo debe evitar confundir comprensibilidad con verdad del mecanismo (Lipton 2018; Hoffman et al. 2023).</w:t>
      </w:r>
    </w:p>
    <w:p w14:paraId="323D242B" w14:textId="77777777" w:rsidR="00D075F6" w:rsidRDefault="00734411">
      <w:pPr>
        <w:pStyle w:val="BodyText"/>
      </w:pPr>
      <w:r>
        <w:t xml:space="preserve">Esta distinción protege especialmente contra explicaciones persuasivas. En entornos de decisión, una explicación que “suena razonable” puede aumentar la confianza del usuario, incluso si el modelo usó patrones espurios o si el explicador produjo una aproximación inestable. La plausibilidad pertenece al </w:t>
      </w:r>
      <w:r>
        <w:t>encuentro entre explicación y expectativas humanas; la corrección pertenece a la relación entre explicación, modelo y dominio. Ambas propiedades pueden coincidir, pero no deben fusionarse. En la práctica, esta tesis puede medir propiedades computacionales y discutir plausibilidad semántica con cautela, pero no puede afirmar corrección humana o causal sin evidencia específica de ese tipo (Mohseni et al. 2021; Hoffman et al. 2023).</w:t>
      </w:r>
    </w:p>
    <w:p w14:paraId="6EA15C9C" w14:textId="77777777" w:rsidR="00D075F6" w:rsidRDefault="00734411">
      <w:pPr>
        <w:pStyle w:val="BodyText"/>
      </w:pPr>
      <w:r>
        <w:t xml:space="preserve">La quinta distinción separa robustez y estabilidad. La estabilidad evalúa si </w:t>
      </w:r>
      <w:r>
        <w:t>pequeños cambios en la entrada, que no modifican la predicción, producen explicaciones similares. La robustez evalúa la resistencia del explicador ante cambios más agresivos, distribuciones atípicas, ataques o condiciones de despliegue no ideales. Esta tesis usa ambas nociones como constructos relacionados pero no intercambiables. Una explicación puede ser estable ante ruido leve y frágil ante casos fuera de distribución (Zheng et al. 2025; Burger et al. 2023).</w:t>
      </w:r>
    </w:p>
    <w:p w14:paraId="3F6AC874" w14:textId="77777777" w:rsidR="00D075F6" w:rsidRDefault="00734411">
      <w:pPr>
        <w:pStyle w:val="BodyText"/>
      </w:pPr>
      <w:r>
        <w:t xml:space="preserve">La estabilidad es especialmente importante para comparaciones locales. Si dos instancias casi idénticas reciben explicaciones radicalmente distintas, el explicador puede fallar como instrumento de análisis, aunque el modelo predictivo sea estable. La robustez amplía el foco hacia condiciones más exigentes: cambios de distribución, perturbaciones adversarias, datos atípicos o supuestos violados. La evaluación XAI necesita ambas dimensiones porque responden a </w:t>
      </w:r>
      <w:r>
        <w:t>preguntas distintas. La estabilidad pregunta por consistencia en proximidad; la robustez pregunta por resistencia ante condiciones que ponen a prueba el método. FOM-7 debe reportar estas dimensiones como parte de un perfil, no como sinonimos (Hedström et al. 2023; Zheng et al. 2025).</w:t>
      </w:r>
    </w:p>
    <w:p w14:paraId="7E98E6AC" w14:textId="77777777" w:rsidR="00D075F6" w:rsidRDefault="00734411">
      <w:pPr>
        <w:pStyle w:val="BodyText"/>
      </w:pPr>
      <w:r>
        <w:t xml:space="preserve">La sexta distinción separa utilidad de la explicación y verdad de la explicación. Una explicación puede ser útil para depurar, comunicar o seleccionar </w:t>
      </w:r>
      <w:r>
        <w:t>instancias sin demostrar que captura causalmente el funcionamiento del modelo. De forma inversa, una explicación técnicamente rigurosa puede no ser útil para un usuario no experto si excede su contexto cognitivo. Esta separación permite ubicar las métricas de FOM-7: no pretenden agotar la verdad semántica de una explicación, sino establecer evidencia operacional sobre propiedades medibles y trazables.</w:t>
      </w:r>
    </w:p>
    <w:p w14:paraId="4AD66133" w14:textId="77777777" w:rsidR="00D075F6" w:rsidRDefault="00734411">
      <w:pPr>
        <w:pStyle w:val="BodyText"/>
      </w:pPr>
      <w:r>
        <w:t xml:space="preserve">La utilidad depende del uso. Un científico de datos puede necesitar una </w:t>
      </w:r>
      <w:r>
        <w:t xml:space="preserve">explicación para depurar variables, un experto de dominio para contrastar una hipótesis, un regulador para auditar una decisión y un usuario final para comprender opciones. La misma explicación puede ser adecuada para un grupo y deficiente para otro. Esta es una de las razones por las que la literatura human-centered insiste en conectar objetivos, usuarios y métodos de evaluación (Mohseni et al. 2021; Hoffman et al. 2023). En esta tesis, la utilidad se interpreta de forma </w:t>
      </w:r>
      <w:r>
        <w:t>limitada: una explicación es útil para el protocolo si permite construir evidencia comparativa, reproducible y trazable sobre métodos post-hoc. Otras formas de utilidad, como satisfacción de usuario o mejora de decisiones humanas, quedan fuera del alcance empírico principal.</w:t>
      </w:r>
    </w:p>
    <w:p w14:paraId="1D5BC02A" w14:textId="77777777" w:rsidR="00D075F6" w:rsidRDefault="00734411">
      <w:pPr>
        <w:pStyle w:val="BodyText"/>
      </w:pPr>
      <w:r>
        <w:t xml:space="preserve">En conjunto, estas distinciones convierten el marco teórico en una defensa de la prudencia inferencial. La tesis no busca demostrar que un explicador es universalmente superior, ni que una métrica representa la verdad completa de una </w:t>
      </w:r>
      <w:r>
        <w:t>explicación. Busca producir afirmaciones condicionadas: bajo este diseño, con estos artefactos, estas métricas y estos criterios estadísticos, se observan determinadas propiedades comparativas. Esta forma de razonamiento es menos espectacular que un ranking absoluto, pero es mucho más defendible al nivel de un doctorado. Precisamente por eso la arquitectura FOM-7 exige trazabilidad de claims: cada conclusión debe indicar qué constructo evalúa, qué evidencia la sostiene y qué límites conserva.</w:t>
      </w:r>
    </w:p>
    <w:p w14:paraId="63E7CE8B" w14:textId="77777777" w:rsidR="00D075F6" w:rsidRDefault="00734411">
      <w:pPr>
        <w:pStyle w:val="Heading2"/>
      </w:pPr>
      <w:bookmarkStart w:id="51" w:name="Xa854bcdfe02171eee67e88340a3233edf48569f"/>
      <w:bookmarkStart w:id="52" w:name="_Toc241413252"/>
      <w:bookmarkEnd w:id="49"/>
      <w:r>
        <w:t xml:space="preserve">2.4 </w:t>
      </w:r>
      <w:r>
        <w:t>Métodos de explicación evaluados en esta tesis</w:t>
      </w:r>
      <w:bookmarkEnd w:id="52"/>
    </w:p>
    <w:p w14:paraId="4EEB88AE" w14:textId="77777777" w:rsidR="00D075F6" w:rsidRDefault="00734411">
      <w:pPr>
        <w:pStyle w:val="Heading3"/>
      </w:pPr>
      <w:bookmarkStart w:id="53" w:name="Xbbcfa782e2d35f160f8750f56befcd9ee8cf14e"/>
      <w:bookmarkStart w:id="54" w:name="_Toc241413253"/>
      <w:r>
        <w:t>2.4.1 LIME: sustitutos locales, muestreo e inestabilidad</w:t>
      </w:r>
      <w:bookmarkEnd w:id="54"/>
    </w:p>
    <w:p w14:paraId="3CE7616A" w14:textId="77777777" w:rsidR="00D075F6" w:rsidRDefault="00734411">
      <w:r>
        <w:t xml:space="preserve">LIME propone explicar predicciones individuales aproximando localmente el modelo de caja negra con un modelo interpretable, usualmente lineal (Ribeiro 2016). Su intuición es poderosa: aunque el modelo global sea complejo, una región cercana a una instancia puede ser aproximada por una frontera más simple. Para construir esta aproximación, el método genera perturbaciones alrededor de la instancia, </w:t>
      </w:r>
      <w:r>
        <w:t>consulta el modelo original y ajusta un sustituto ponderado por proximidad. La explicación resultante identifica características con mayor influencia local.</w:t>
      </w:r>
    </w:p>
    <w:p w14:paraId="1390F00F" w14:textId="77777777" w:rsidR="00D075F6" w:rsidRDefault="00734411">
      <w:pPr>
        <w:pStyle w:val="BodyText"/>
      </w:pPr>
      <w:r>
        <w:t xml:space="preserve">Esta lógica convierte a LIME en un método flexible y agnóstico. Puede aplicarse a clasificadores diversos y produce salidas comprensibles para usuarios técnicos. Sin embargo, su fuerza también es una fuente de riesgo. La explicación depende del esquema de muestreo, de la definición de vecindario, del kernel de </w:t>
      </w:r>
      <w:r>
        <w:t>proximidad, del número de perturbaciones y del modelo interpretable elegido. Si estos elementos cambian, la explicación puede variar de forma sustancial. Por ello, la estabilidad de LIME debe evaluarse explicitamente, no asumirse como una propiedad garantizada (Burger et al. 2023).</w:t>
      </w:r>
    </w:p>
    <w:p w14:paraId="3A562D0A" w14:textId="77777777" w:rsidR="00D075F6" w:rsidRDefault="00734411">
      <w:pPr>
        <w:pStyle w:val="BodyText"/>
      </w:pPr>
      <w:r>
        <w:t xml:space="preserve">En el marco de esta tesis, LIME representa la familia de explicaciones por sustitución local. Su evaluación debe considerar fidelidad local, estabilidad, </w:t>
      </w:r>
      <w:r>
        <w:t>coste computacional y sensibilidad al muestreo. No es suficiente afirmar que una explicación LIME es interpretable porque sea lineal; debe demostrarse que el sustituto es una aproximación adecuada bajo condiciones experimentales controladas (Ribeiro 2016; Guidotti et al. 2018).</w:t>
      </w:r>
    </w:p>
    <w:p w14:paraId="170ABE50" w14:textId="77777777" w:rsidR="00D075F6" w:rsidRDefault="00734411">
      <w:pPr>
        <w:pStyle w:val="BodyText"/>
      </w:pPr>
      <w:r>
        <w:t xml:space="preserve">La literatura posterior ha mostrado que esta exigencia no es secundaria. LIME puede ser una herramienta poderosa para comunicar patrones locales, pero su salida no es independiente del proceso que genera el vecindario artificial. En </w:t>
      </w:r>
      <w:r>
        <w:t xml:space="preserve">términos de evaluación, esto significa que el experimento no solo compara “LIME” como etiqueta, sino una configuración concreta de LIME: estrategia de perturbación, kernel, número de muestras, selección de variables y modelo sustituto. Si esos elementos no se congelan y documentan, la explicación deja de ser un artefacto reproducible y se convierte en una realizacion contingente del pipeline. Este punto conecta con la crítica más amplia a las explicaciones </w:t>
      </w:r>
      <w:r>
        <w:t>post-hoc: su aparente simplicidad puede ocultar supuestos fuertes sobre la región local que se está aproximando (Guidotti et al. 2018; Carvalho et al. 2019).</w:t>
      </w:r>
    </w:p>
    <w:p w14:paraId="1233C933" w14:textId="77777777" w:rsidR="00D075F6" w:rsidRDefault="00734411">
      <w:pPr>
        <w:pStyle w:val="BodyText"/>
      </w:pPr>
      <w:r>
        <w:t xml:space="preserve">Además, la estabilidad de LIME no debe confundirse con su plausibilidad visual. Una explicación puede seleccionar variables intuitivas y aun así variar ante perturbaciones pequeñas, cambios de semilla o modificaciones en la muestra de consulta. Estudios sobre confiabilidad de LIME y ataques a explicadores </w:t>
      </w:r>
      <w:r>
        <w:t>post-hoc muestran que la frágilidad puede tener consecuencias epistémicas importantes: el usuario puede recibir una narrativa convincente sin saber que otra ejecución razonable produciría una narrativa distinta (Burger et al. 2023; Slack et al. 2020). Por ello, FOM-7 debe tratar LIME como un caso ejemplar de método agnóstico con alta utilidad comunicativa, pero que requiere controles de estabilidad, trazabilidad de parámetros y delimitación estricta del alcance local.</w:t>
      </w:r>
    </w:p>
    <w:p w14:paraId="67BA5D9A" w14:textId="77777777" w:rsidR="00D075F6" w:rsidRDefault="00734411">
      <w:pPr>
        <w:pStyle w:val="Heading3"/>
      </w:pPr>
      <w:bookmarkStart w:id="55" w:name="X187de0a2f0f332efaa60a19888eaffd7cc2e7b5"/>
      <w:bookmarkStart w:id="56" w:name="_Toc241413254"/>
      <w:bookmarkEnd w:id="53"/>
      <w:r>
        <w:t xml:space="preserve">2.4.2 </w:t>
      </w:r>
      <w:r>
        <w:t>SHAP: valores de Shapley y atribución aditiva</w:t>
      </w:r>
      <w:bookmarkEnd w:id="56"/>
    </w:p>
    <w:p w14:paraId="73A5BFFF" w14:textId="77777777" w:rsidR="00D075F6" w:rsidRDefault="00734411">
      <w:r>
        <w:t xml:space="preserve">SHAP conecta métodos de atribución de características con fundamentos de teoría de juegos, especialmente el valor de Shapley (Shapley 1952), formulado originalmente para repartir de forma única la ganancia de un juego cooperativo entre sus participantes y trasladado por Lundberg (2017) al problema de atribuir importancia entre características. La predicción se expresa como una suma de contribuciones atribuibles a cada característica, bajo </w:t>
      </w:r>
      <w:r>
        <w:t>un conjunto de propiedades deseables para explicaciones aditivas.</w:t>
      </w:r>
    </w:p>
    <w:p w14:paraId="38C39EC9" w14:textId="77777777" w:rsidR="00D075F6" w:rsidRDefault="00734411">
      <w:pPr>
        <w:pStyle w:val="BodyText"/>
      </w:pPr>
      <w:r>
        <w:t xml:space="preserve">El coste de calcular exactamente el valor de Shapley crece de forma exponencial con el número de características, de modo que su uso práctico descansa en estimadores muestrales cuyas garantías han sido estudiadas de forma específica (Mitchell et al. 2022), y su complejidad computacional se ha caracterizado también para familias de funciones concretas (Karmakar et al. 2024). La formulación aditiva original </w:t>
      </w:r>
      <w:r>
        <w:t xml:space="preserve">tiene además límites conocidos que han motivado extensiones: no captura interacciones entre características, lo que ha dado lugar a índices de interacción con garantías de fidelidad (Tsai et al. 2023); asume independencia entre características, supuesto que se viola en datos tabulares reales y que ha motivado estimadores sensibles a la dependencia (Olsen et al. 2022); y se ha extendido recientemente a escenarios multimodales (Wang y Wang 2025). Esta familia de trabajos es </w:t>
      </w:r>
      <w:r>
        <w:t>relevante para el Capítulo 3 porque delimita qué significa exactamente «SHAP» en un experimento: la etiqueta cubre estimadores distintos con supuestos distintos. Una preocupación análoga por la dependencia entre características subyace a las medidas de importancia por permutación, cuya interpretación exige razonar sobre clases enteras de modelos y no sobre un único ajuste (Fisher et al. 2019). Esta base formal ha convertido a SHAP en uno de los enfoques más influyentes para interpretar modelos complejos.</w:t>
      </w:r>
    </w:p>
    <w:p w14:paraId="43AF5651" w14:textId="77777777" w:rsidR="00D075F6" w:rsidRDefault="00734411">
      <w:pPr>
        <w:pStyle w:val="BodyText"/>
      </w:pPr>
      <w:r>
        <w:t xml:space="preserve">La fortaleza de SHAP está en su marco unificado: diferentes aproximaciones pueden entenderse como miembros de una familia de modelos explicativos aditivos. TreeSHAP aprovecha la estructura de modelos basados en árboles para calcular atribuciones de forma más eficiente. KernelSHAP, en cambio, opera de manera más general pero puede requerir numerosas evaluaciones del modelo, generando costes computacionales elevados. Esta diferencia ilustra una tensión </w:t>
      </w:r>
      <w:r>
        <w:t>recurrente: mayor generalidad suele implicar mayor coste o dependencia de aproximaciones.</w:t>
      </w:r>
    </w:p>
    <w:p w14:paraId="388F3E56" w14:textId="77777777" w:rsidR="00D075F6" w:rsidRDefault="00734411">
      <w:pPr>
        <w:pStyle w:val="BodyText"/>
      </w:pPr>
      <w:r>
        <w:t xml:space="preserve">SHAP también exige decisiones metodológicas que afectan la interpretación: el conjunto de referencia, el tratamiento de dependencias entre características y la forma de estimar contribuciones marginales. Por ello, la tesis no interpreta valores SHAP como verdades causales automaticas. Los trata como atribuciones operacionales cuya calidad debe contrastarse mediante métricas de fidelidad, </w:t>
      </w:r>
      <w:r>
        <w:t>estabilidad, complejidad y coste.</w:t>
      </w:r>
    </w:p>
    <w:p w14:paraId="6A574C12" w14:textId="77777777" w:rsidR="00D075F6" w:rsidRDefault="00734411">
      <w:pPr>
        <w:pStyle w:val="BodyText"/>
      </w:pPr>
      <w:r>
        <w:t xml:space="preserve">El carácter formal de SHAP puede inducir una lectura excesivamente fuerte si no se separa fundamento matemático de uso empírico. El valor de Shapley aporta una justificación axiomática para repartir una contribución entre jugadores o características, pero la aplicación a modelos predictivos requiere definir una distribución de referencia y una forma de simular presencia o ausencia de características. En datos reales, especialmente cuando existen dependencias </w:t>
      </w:r>
      <w:r>
        <w:t>entre variables, estas decisiones afectan el significado de la atribución. Por eso, una tabla de valores SHAP no debe presentarse como una descomposición causal directa de la predicción; debe presentarse como una atribución bajo supuestos operacionales específicos (Lundberg 2017; Carvalho et al. 2019).</w:t>
      </w:r>
    </w:p>
    <w:p w14:paraId="320E3EC8" w14:textId="77777777" w:rsidR="00D075F6" w:rsidRDefault="00734411">
      <w:pPr>
        <w:pStyle w:val="BodyText"/>
      </w:pPr>
      <w:r>
        <w:t xml:space="preserve">La diferencia entre KernelSHAP y TreeSHAP también es relevante para el diseño experimental. KernelSHAP conserva una orientación agnóstica, pero puede exigir </w:t>
      </w:r>
      <w:r>
        <w:t xml:space="preserve">un número elevado de consultas al modelo. TreeSHAP aprovecha la estructura de árboles para reducir coste y mejorar factibilidad en familias concretas de modelos. Esta diferencia muestra que “usar SHAP” no describe por sí mismo una condición experimental suficiente. Se debe específicar variante, modelo base, conjunto de referencia, estrategia de aproximación y coste de cómputo. La literatura teórica sobre la tractabilidad de SHAP refuerza esta precaución: </w:t>
      </w:r>
      <w:r>
        <w:t>calcular explicaciones exactas puede ser difícil o inviable en clases amplias de modelos, por lo que la evaluación debe registrar cuando se trabaja con aproximaciones y qué compromisos introducen (Van den Broeck et al. 2022).</w:t>
      </w:r>
    </w:p>
    <w:p w14:paraId="678B5C3D" w14:textId="77777777" w:rsidR="00D075F6" w:rsidRDefault="00734411">
      <w:pPr>
        <w:pStyle w:val="BodyText"/>
      </w:pPr>
      <w:r>
        <w:t xml:space="preserve">SHAP ocupa asi una posición doble en la tesis. Por un lado, es un referente indispensable por su formalizacion de la atribución aditiva y su adopcion en investigación aplicada. Por otro lado, es un ejemplo de que una base formal no </w:t>
      </w:r>
      <w:r>
        <w:t>elimina la necesidad de gobernanza experimental. FOM-7 debe evitar comparar SHAP con LIME o Anchors como si todos produjeran explicaciones del mismo tipo. En SHAP, el objeto central es una asignación de contribuciones; en LIME, una aproximación local; en Anchors, una regla; en DiCE, una alternativa contrafactual. Esta heterogeneidad exige métricas diferenciadas y afirmaciones cuidadosamente acotadas (Guidotti et al. 2018; Nauta et al. 2023).</w:t>
      </w:r>
    </w:p>
    <w:p w14:paraId="685E8B57" w14:textId="77777777" w:rsidR="00D075F6" w:rsidRDefault="00734411">
      <w:pPr>
        <w:pStyle w:val="Heading3"/>
      </w:pPr>
      <w:bookmarkStart w:id="57" w:name="X029215b3a63b0848a75a7aa70454b1144c0f31f"/>
      <w:bookmarkStart w:id="58" w:name="_Toc241413255"/>
      <w:bookmarkEnd w:id="55"/>
      <w:r>
        <w:t>2.4.3 Anchors: reglas de alta precisión y límites de cobertura</w:t>
      </w:r>
      <w:bookmarkEnd w:id="58"/>
    </w:p>
    <w:p w14:paraId="0E147A20" w14:textId="77777777" w:rsidR="00D075F6" w:rsidRDefault="00734411">
      <w:r>
        <w:t xml:space="preserve">Anchors propone explicaciones en forma de reglas locales de alta precisión (Ribeiro 2018), continuando una tradición que había explorado ya las reglas como formato explicativo mediante ensembles de reglas ajustados sobre el modelo predictivo (Friedman 2008). En vez de asignar pesos a características, busca condiciones que, cuando se cumplen, hacen que el modelo mantenga una predicción con alta probabilidad. La promesa de Anchors es comunicativa: una regla del tipo “si se </w:t>
      </w:r>
      <w:r>
        <w:t>cumplen estas condiciones, la predicción se mantiene” puede ser más accionable que una lista de pesos.</w:t>
      </w:r>
    </w:p>
    <w:p w14:paraId="429DD838" w14:textId="77777777" w:rsidR="00D075F6" w:rsidRDefault="00734411">
      <w:pPr>
        <w:pStyle w:val="BodyText"/>
      </w:pPr>
      <w:r>
        <w:t xml:space="preserve">La precisión de una regla, sin embargo, debe interpretarse junto con su cobertura. Una regla extremadamente específica puede alcanzar alta precisión porque aplica a muy pocos casos. Una regla más general puede cubrir una región amplia, pero perder precisión. Esta tensión convierte a Anchors en un caso fundamental para la evaluación multinivel: una métrica aislada puede favorecer </w:t>
      </w:r>
      <w:r>
        <w:t>reglas aparentemente excelentes que no son útiles fuera de un subconjunto limitado.</w:t>
      </w:r>
    </w:p>
    <w:p w14:paraId="3C7CB7D5" w14:textId="77777777" w:rsidR="00D075F6" w:rsidRDefault="00734411">
      <w:pPr>
        <w:pStyle w:val="BodyText"/>
      </w:pPr>
      <w:r>
        <w:t>Para FOM-7, Anchors representa explicaciones basadas en condiciones suficientes aproximadas. Su evaluación debe separar precisión local, cobertura, complejidad de regla y reproducibilidad. Esta separación evita comparar Anchors con LIME o SHAP como si todos produjeran el mismo tipo de evidencia.</w:t>
      </w:r>
    </w:p>
    <w:p w14:paraId="17A537E7" w14:textId="77777777" w:rsidR="00D075F6" w:rsidRDefault="00734411">
      <w:pPr>
        <w:pStyle w:val="BodyText"/>
      </w:pPr>
      <w:r>
        <w:t xml:space="preserve">La contribución conceptual de Anchors es introducir una forma de explicación que </w:t>
      </w:r>
      <w:r>
        <w:t xml:space="preserve">se aproxima al razonamiento por condiciones: una predicción se mantiene cuando ciertas premisas se conservan. Esta estructura puede ser más legible que una lista de pesos, especialmente cuando la explicación se comunica a personas que razonan mediante reglas o excepciones. Sin embargo, la legibilidad no resuelve el problema de validez. Una regla de alta precisión puede estar anclada en una región pequena del espacio de datos; una regla de mayor cobertura puede perder </w:t>
      </w:r>
      <w:r>
        <w:t>garantias locales. Por tanto, precisión y cobertura deben reportarse juntas, y ninguna debe convertirse por sí sola en sinonimo de calidad explicativa (Ribeiro 2018; Guidotti et al. 2018).</w:t>
      </w:r>
    </w:p>
    <w:p w14:paraId="385E645F" w14:textId="77777777" w:rsidR="00D075F6" w:rsidRDefault="00734411">
      <w:pPr>
        <w:pStyle w:val="BodyText"/>
      </w:pPr>
      <w:r>
        <w:t xml:space="preserve">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w:t>
      </w:r>
      <w:r>
        <w:t>medir más la conveniencia de la métrica que la calidad del método. Para FOM-7, Anchors cumple entonces una función teórica: obliga a reconocer que las métricas deben estar alineadas con el tipo de explicación. La tesis no debe preguntar solo “qué método gana”, sino “qué propiedad de qué objeto explicativo se está evaluando bajo qué condiciones” (Carvalho et al. 2019; Nauta et al. 2023).</w:t>
      </w:r>
    </w:p>
    <w:p w14:paraId="183D66FB" w14:textId="77777777" w:rsidR="00D075F6" w:rsidRDefault="00734411">
      <w:pPr>
        <w:pStyle w:val="Heading3"/>
      </w:pPr>
      <w:bookmarkStart w:id="59" w:name="Xd196f32f12fd1cc1850af93995e5a1615dfcb83"/>
      <w:bookmarkStart w:id="60" w:name="_Toc241413256"/>
      <w:bookmarkEnd w:id="57"/>
      <w:r>
        <w:t>2.4.4 DiCE: contrafactuales, accionabilidad y validez</w:t>
      </w:r>
      <w:bookmarkEnd w:id="60"/>
    </w:p>
    <w:p w14:paraId="06A47631" w14:textId="77777777" w:rsidR="00D075F6" w:rsidRDefault="00734411">
      <w:r>
        <w:t>DiCE introduce explicaciones contrafactuales diversas, orientadas a mostrar cambios plausibles que podrían alterar la decisión de un modelo (Mothilal 2020). Su pregunta no es “qué características contribuyeron más a esta predicción”, sino “qué tendría que cambiar para obtener otro resultado”. Esta diferencia ubica a DiCE en una familia explicativa distinta, especialmente relevante para escenarios donde el usuario necesita comprender alternativas de acción.</w:t>
      </w:r>
    </w:p>
    <w:p w14:paraId="6E56E275" w14:textId="77777777" w:rsidR="00D075F6" w:rsidRDefault="00734411">
      <w:pPr>
        <w:pStyle w:val="BodyText"/>
      </w:pPr>
      <w:r>
        <w:t xml:space="preserve">La evaluación de contrafactuales exige criterios adicionales. Un contrafactual debe ser válido respecto al modelo, cercano a la instancia original, diverso respecto a otras alternativas y, en muchos dominios, accionable. La accionabilidad impone restricciones semánticas: no todas las características pueden modificarse, y no todos los cambios matemáticamente cercanos son realistas. Por ello, una métrica de fidelidad tradicional puede ser insuficiente </w:t>
      </w:r>
      <w:r>
        <w:t>para evaluar DiCE si no se acompaña de criterios de plausibilidad, factibilidad y coherencia con el dominio (Mothilal 2020; Karimi et al. 2022).</w:t>
      </w:r>
    </w:p>
    <w:p w14:paraId="163A863D" w14:textId="77777777" w:rsidR="00D075F6" w:rsidRDefault="00734411">
      <w:pPr>
        <w:pStyle w:val="BodyText"/>
      </w:pPr>
      <w:r>
        <w:t>En esta tesis, DiCE permite mostrar que FOM-7 no debe forzar una métrica única sobre objetos explicativos heterogéneos. Las explicaciones contrafactuales requieren una lectura propia dentro del protocolo, especialmente cuando se discuten utilidad, sensibilidad y trazabilidad de afirmaciones.</w:t>
      </w:r>
    </w:p>
    <w:p w14:paraId="5E3C7CA5" w14:textId="77777777" w:rsidR="00D075F6" w:rsidRDefault="00734411">
      <w:pPr>
        <w:pStyle w:val="BodyText"/>
      </w:pPr>
      <w:r>
        <w:t xml:space="preserve">La familia contrafactual amplía la XAI hacia preguntas de recourse y acción. Mientras LIME o SHAP suelen describir por qué una decisión fue tomada en términos de contribuciones o aproximaciones, el contrafactual pregunta que alternativas podrían cambiar el resultado. Esta orientación es atractiva en dominios de decisión porque conecta explicación con posibilidad de intervencion. Sin embargo, también introduce exigencias más fuertes: los cambios sugeridos </w:t>
      </w:r>
      <w:r>
        <w:t>deben ser posibles, coherentes con restricciones del dominio y no meramente artefactos matemáticos cercanos en el espacio de variables. La literatura sobre recourse enfatiza precisamente que una recomendación consecuencial debe evaluar factibilidad, accionabilidad y consecuencias, no solo inversión de etiqueta (Karimi et al. 2022).</w:t>
      </w:r>
    </w:p>
    <w:p w14:paraId="51869F68" w14:textId="77777777" w:rsidR="00D075F6" w:rsidRDefault="00734411">
      <w:pPr>
        <w:pStyle w:val="BodyText"/>
      </w:pPr>
      <w:r>
        <w:t xml:space="preserve">DiCE aporta diversidad de alternativas contrafactuales, pero diversidad no equivale automáticamente a accionabilidad. Un conjunto de contrafactuales puede </w:t>
      </w:r>
      <w:r>
        <w:t>ser diverso en distancia matemática y aun así incluir cambios imposibles para una persona o incoherentes con relaciones del dominio. FACE aborda esta preocupación al enfatizar contrafactuales factibles y accionables en regiones conectadas por datos observados (Poyiadzi et al. 2020). A la vez, las críticas sobre contrafactuales post-hoc advierten que una explicación puede ser injustificada si se apoya en regiones poco plausibles o si no respeta la estructura local del problema (Laugel et al. 2019)</w:t>
      </w:r>
      <w:r>
        <w:t>. Para FOM-7, esta tensión exige que DiCE sea evaluado con criterios propios: validez de cambio de salida, proximidad, diversidad, factibilidad, accionabilidad y límites de inferencia.</w:t>
      </w:r>
    </w:p>
    <w:p w14:paraId="349E2DFA" w14:textId="77777777" w:rsidR="00D075F6" w:rsidRDefault="00734411">
      <w:pPr>
        <w:pStyle w:val="BodyText"/>
      </w:pPr>
      <w:r>
        <w:t xml:space="preserve">El papel de los contrafactuales en la tesis no es demostrar que el usuario puede ejecutar realmente la acción sugerida en cualquier dominio. El alcance es más prudente: examinar si el método produce artefactos que cumplen criterios operacionales definidos y si esos criterios son trazables. Esta distinción es </w:t>
      </w:r>
      <w:r>
        <w:t>importante porque la accionabilidad plena suele requerir conocimiento causal, normativo y contextual que excede un benchmark puramente computacional. FOM-7 puede registrar la distancia entre validez para el modelo y accionabilidad para la persona, y esa distancia es justamente una de las brechas que una revisión doctoral debe hacer visible (Langer et al. 2021; Karimi et al. 2022).</w:t>
      </w:r>
    </w:p>
    <w:p w14:paraId="33569774" w14:textId="77777777" w:rsidR="00D075F6" w:rsidRDefault="00734411">
      <w:pPr>
        <w:pStyle w:val="Heading2"/>
      </w:pPr>
      <w:bookmarkStart w:id="61" w:name="marcos-y-protocolos-de-evaluación-xai"/>
      <w:bookmarkStart w:id="62" w:name="_Toc241413257"/>
      <w:bookmarkEnd w:id="51"/>
      <w:bookmarkEnd w:id="59"/>
      <w:r>
        <w:t>2.5 Marcos y protocolos de evaluación XAI</w:t>
      </w:r>
      <w:bookmarkEnd w:id="62"/>
    </w:p>
    <w:p w14:paraId="1BFD097F" w14:textId="77777777" w:rsidR="00D075F6" w:rsidRDefault="00734411">
      <w:r>
        <w:t xml:space="preserve">La última década ha producido, junto a los toolkits ya citados, un conjunto </w:t>
      </w:r>
      <w:r>
        <w:t xml:space="preserve">creciente de marcos y bancos de prueba orientados específicamente a </w:t>
      </w:r>
      <w:r>
        <w:rPr>
          <w:i/>
          <w:iCs/>
        </w:rPr>
        <w:t>evaluar</w:t>
      </w:r>
      <w:r>
        <w:t xml:space="preserve"> explicaciones en lugar de generarlas. Los trabajos recientes incluyen bancos de prueba multi-métrica de propósito general (Sithakoul et al. 2024), revisiones y taxonomías de métricas de evaluación (Kadir et al. 2023), protocolos para dominios concretos como las redes neuronales sobre grafos (Agarwal et al. 2023; Proszewska et al. 2025) o la detección de contenido sintético (Tsigos et al. 2024), evaluaciones centradas en la </w:t>
      </w:r>
      <w:r>
        <w:t xml:space="preserve">representación visual de las atribuciones (Cunha y Barbosa 2024), estudios que miden la interpretabilidad percibida del propio artefacto explicativo (Morrison et al. 2023), y pruebas de robustez de las explicaciones frente a ejemplos adversarios (Kumagai et al. 2023). A ellos se suman las bibliotecas que instrumentan la generación y el análisis de explicaciones de forma reproducible (Li et al. 2022), los tutoriales metodológicos que consolidan buenas prácticas de aplicación (Bennetot et al. 2024) y las </w:t>
      </w:r>
      <w:r>
        <w:t>propuestas que desplazan la evaluación desde la atribución por característica hacia conceptos de alto nivel definidos por el usuario (Kim et al. 2018). El panorama resultante confirma la premisa de esta tesis: existe abundancia de instrumentos de medida y escasez de protocolos que gobiernen su uso.</w:t>
      </w:r>
    </w:p>
    <w:p w14:paraId="55620422" w14:textId="77777777" w:rsidR="00D075F6" w:rsidRDefault="00734411">
      <w:pPr>
        <w:pStyle w:val="BodyText"/>
      </w:pPr>
      <w:r>
        <w:t xml:space="preserve">La evaluación de interpretabilidad requiere distinguir niveles de evidencia. Doshi-Velez (2017) proponen una taxonomía influyente: evaluación </w:t>
      </w:r>
      <w:r>
        <w:t xml:space="preserve">application-grounded, human-grounded y functionally-grounded. La primera evalúa explicaciones en tareas reales con usuarios y dominios específicos. La segunda usa tareas simplificadas con humanos para estudiar propiedades generales de la explicación. La tercera reemplaza la evaluación humana por proxies formales o computacionales cuando existe una razón teórica para hacerlo. Esta distinción es esencial para FOM-7, porque la presente tesis se ubica principalmente en una </w:t>
      </w:r>
      <w:r>
        <w:t>evaluación functionally-grounded con aspiraciones de trazabilidad hacia afirmaciones técnicas.</w:t>
      </w:r>
    </w:p>
    <w:p w14:paraId="2C4572A1" w14:textId="77777777" w:rsidR="00D075F6" w:rsidRDefault="00734411">
      <w:pPr>
        <w:pStyle w:val="BodyText"/>
      </w:pPr>
      <w:r>
        <w:t xml:space="preserve">La distinción entre estos niveles evita una confusión frecuente: evaluar una explicación con una métrica computacional no equivale a demostrar que mejora la decisión humana. Los estudios human-grounded muestran que la relación entre formato explicativo y comportamiento del usuario es empírica, no deducible solo de la elegancia del método. Por ejemplo, evaluar si ciertas explicaciones ayudan </w:t>
      </w:r>
      <w:r>
        <w:t>a usuarios a predecir el comportamiento del modelo pertenece a una pregunta distinta de medir fidelidad o estabilidad en un benchmark (Hase y Bansal 2020). Del mismo modo, los estudios con científicos de datos muestran que las herramientas de interpretabilidad se insertan en practicas de depuración, validación y comunicación que no se reducen a una puntuación única (Kaur et al. 2020). Por ello, FOM-7 debe afirmar con precisión que produce evidencia functionally-grounded y no evidencia application-grounded.</w:t>
      </w:r>
    </w:p>
    <w:p w14:paraId="7F4B6200" w14:textId="77777777" w:rsidR="00D075F6" w:rsidRDefault="00734411">
      <w:pPr>
        <w:pStyle w:val="BodyText"/>
      </w:pPr>
      <w:r>
        <w:t xml:space="preserve">Quantus responde a la necesidad de evaluar explicaciones mediante un toolkit que agrupa métricas y facilita comparaciones sistemáticas (Hedström et al. 2023). Su contribución es importante porque reduce friccion tecnica, ordena familias de métricas y promueve evaluaciones más reproducibles. No obstante, un toolkit no resuelve por sí solo el problema de gobernanza del protocolo. Antes de ejecutar métricas deben definirse artefactos, condiciones experimentales, filtros de </w:t>
      </w:r>
      <w:r>
        <w:t>admisibilidad, estructura de reporte y reglas para convertir resultados en afirmaciones defendibles.</w:t>
      </w:r>
    </w:p>
    <w:p w14:paraId="09FBA033" w14:textId="77777777" w:rsidR="00D075F6" w:rsidRDefault="00734411">
      <w:pPr>
        <w:pStyle w:val="BodyText"/>
      </w:pPr>
      <w:r>
        <w:t xml:space="preserve">OpenXAI avanza en una direccion complementaria al proponer una plataforma de evaluación transparente para explicaciones post-hoc (Agarwal et al. 2022). Su aporte esta en hacer comparables métodos y condiciones de benchmarking. Para esta tesis, OpenXAI funciona como referente directo: confirma que el problema de estandarización es reconocido por la comunidad, pero también permite delimitar </w:t>
      </w:r>
      <w:r>
        <w:t>la contribución de FOM-7. FOM-7 no pretende reemplazar estos marcos; busca operacionalizar el camino desde el diseño experimental hasta la trazabilidad de conclusiones en el contexto empírico de la tesis.</w:t>
      </w:r>
    </w:p>
    <w:p w14:paraId="153D844B" w14:textId="77777777" w:rsidR="00D075F6" w:rsidRDefault="00734411">
      <w:pPr>
        <w:pStyle w:val="BodyText"/>
      </w:pPr>
      <w:r>
        <w:t xml:space="preserve">La revisión sistemática de evaluación XAI refuerza este posiciónamiento. Nauta et al. (2023) describen un desplazamiento necesario desde evidencia anecdótica hacia métodos cuantitativos de evaluación, pero ese desplazamiento no resuelve </w:t>
      </w:r>
      <w:r>
        <w:t xml:space="preserve">por sí solo la relación entre métrica, constructo y claim. La evaluación puede ser cuantitativa y aun así estar mal alineada si la métrica mide una propiedad distinta a la afirmación. Los sanity checks para métricas de saliencia apuntan a un problema similar: no basta con evaluar explicaciones; también deben examinarse las métricas usadas para evaluarlas (Tomsett et al. 2020). Esta idea es central para FOM-7, porque la tesis no puede tratar las métricas como </w:t>
      </w:r>
      <w:r>
        <w:t>instrumentos neutrales. Debe documentar qué mide cada métrica, bajo qué supuestos, y qué afirmaciones permite sostener.</w:t>
      </w:r>
    </w:p>
    <w:p w14:paraId="7408FAD3" w14:textId="77777777" w:rsidR="00D075F6" w:rsidRDefault="00734411">
      <w:pPr>
        <w:pStyle w:val="BodyText"/>
      </w:pPr>
      <w:r>
        <w:t xml:space="preserve">Los marcos existentes ofrecen piezas importantes del problema. Quantus facilita la implementación sistemática de métricas; OpenXAI promueve comparabilidad y transparencia de benchmark; las taxonomías de evaluación distinguen niveles de evidencia; los estudios human-centered muestran que la utilidad depende de usuarios y tareas </w:t>
      </w:r>
      <w:r>
        <w:t>(Doshi-Velez 2017; Hedström et al. 2023; Agarwal et al. 2022; Rong et al. 2024). FOM-7 se ubica entre estas piezas como una capa de integración operativa. Su pregunta no es solamente “qué métrica ejecutar”, sino cómo asegurar que cada resultado métricamente calculado pueda transformarse en una afirmación doctoralmente admisible, con artefactos calificados y límites de alcance explícitos.</w:t>
      </w:r>
    </w:p>
    <w:p w14:paraId="178B58BB" w14:textId="77777777" w:rsidR="00D075F6" w:rsidRDefault="00734411">
      <w:pPr>
        <w:pStyle w:val="BodyText"/>
      </w:pPr>
      <w:r>
        <w:t xml:space="preserve">La Tabla </w:t>
      </w:r>
      <w:hyperlink w:anchor="tbl-framework-comparison">
        <w:r>
          <w:rPr>
            <w:rStyle w:val="Hyperlink"/>
          </w:rPr>
          <w:t>2.1</w:t>
        </w:r>
      </w:hyperlink>
      <w:r>
        <w:t xml:space="preserve"> compara los marcos de evaluación más </w:t>
      </w:r>
      <w:r>
        <w:t>relevantes para la tesis según cuatro dimensiones: la cobertura de métricas ofrecida, el soporte a la reproducibilidad experimental, la presencia de un protocolo de gobernanza secuencial y el tipo de evaluación predominante.</w:t>
      </w:r>
    </w:p>
    <w:tbl>
      <w:tblPr>
        <w:tblW w:w="5000" w:type="pct"/>
        <w:jc w:val="center"/>
        <w:tblLayout w:type="fixed"/>
        <w:tblLook w:val="0000" w:firstRow="0" w:lastRow="0" w:firstColumn="0" w:lastColumn="0" w:noHBand="0" w:noVBand="0"/>
      </w:tblPr>
      <w:tblGrid>
        <w:gridCol w:w="9576"/>
      </w:tblGrid>
      <w:tr w:rsidR="00D075F6" w14:paraId="5AF008B7" w14:textId="77777777">
        <w:trPr>
          <w:jc w:val="center"/>
        </w:trPr>
        <w:tc>
          <w:tcPr>
            <w:tcW w:w="7920" w:type="dxa"/>
          </w:tcPr>
          <w:p w14:paraId="57D7BCF2" w14:textId="77777777" w:rsidR="00D075F6" w:rsidRDefault="00734411">
            <w:pPr>
              <w:spacing w:before="200"/>
              <w:jc w:val="center"/>
            </w:pPr>
            <w:bookmarkStart w:id="63" w:name="tbl-framework-comparison"/>
            <w:r>
              <w:t>Tabla 2.1: Comparación de marcos de evaluación XAI según cobertura, reproducibilidad, gobernanza y tipo de evaluación.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D075F6" w14:paraId="62114349" w14:textId="77777777">
              <w:trPr>
                <w:tblHeader/>
                <w:jc w:val="center"/>
              </w:trPr>
              <w:tc>
                <w:tcPr>
                  <w:tcW w:w="1584" w:type="dxa"/>
                </w:tcPr>
                <w:p w14:paraId="0A7886E7" w14:textId="77777777" w:rsidR="00D075F6" w:rsidRDefault="00734411">
                  <w:pPr>
                    <w:jc w:val="center"/>
                  </w:pPr>
                  <w:r>
                    <w:rPr>
                      <w:b/>
                      <w:bCs/>
                    </w:rPr>
                    <w:t>Marco / protocolo</w:t>
                  </w:r>
                </w:p>
              </w:tc>
              <w:tc>
                <w:tcPr>
                  <w:tcW w:w="1584" w:type="dxa"/>
                </w:tcPr>
                <w:p w14:paraId="4CDC107A" w14:textId="77777777" w:rsidR="00D075F6" w:rsidRDefault="00734411">
                  <w:pPr>
                    <w:jc w:val="center"/>
                  </w:pPr>
                  <w:r>
                    <w:rPr>
                      <w:b/>
                      <w:bCs/>
                    </w:rPr>
                    <w:t>Cobertura de métricas</w:t>
                  </w:r>
                </w:p>
              </w:tc>
              <w:tc>
                <w:tcPr>
                  <w:tcW w:w="1584" w:type="dxa"/>
                </w:tcPr>
                <w:p w14:paraId="3170F9E1" w14:textId="77777777" w:rsidR="00D075F6" w:rsidRDefault="00734411">
                  <w:pPr>
                    <w:jc w:val="center"/>
                  </w:pPr>
                  <w:r>
                    <w:rPr>
                      <w:b/>
                      <w:bCs/>
                    </w:rPr>
                    <w:t>Soporte a reproducibilidad</w:t>
                  </w:r>
                </w:p>
              </w:tc>
              <w:tc>
                <w:tcPr>
                  <w:tcW w:w="1584" w:type="dxa"/>
                </w:tcPr>
                <w:p w14:paraId="562EF33F" w14:textId="77777777" w:rsidR="00D075F6" w:rsidRDefault="00734411">
                  <w:pPr>
                    <w:jc w:val="center"/>
                  </w:pPr>
                  <w:r>
                    <w:rPr>
                      <w:b/>
                      <w:bCs/>
                    </w:rPr>
                    <w:t>Protocolo de gobernanza</w:t>
                  </w:r>
                </w:p>
              </w:tc>
              <w:tc>
                <w:tcPr>
                  <w:tcW w:w="1584" w:type="dxa"/>
                </w:tcPr>
                <w:p w14:paraId="62368ECD" w14:textId="77777777" w:rsidR="00D075F6" w:rsidRDefault="00734411">
                  <w:pPr>
                    <w:jc w:val="center"/>
                  </w:pPr>
                  <w:r>
                    <w:rPr>
                      <w:b/>
                      <w:bCs/>
                    </w:rPr>
                    <w:t>Tipo de evaluación predominante</w:t>
                  </w:r>
                </w:p>
              </w:tc>
            </w:tr>
            <w:tr w:rsidR="00D075F6" w14:paraId="76FF2FA9" w14:textId="77777777">
              <w:trPr>
                <w:jc w:val="center"/>
              </w:trPr>
              <w:tc>
                <w:tcPr>
                  <w:tcW w:w="1584" w:type="dxa"/>
                </w:tcPr>
                <w:p w14:paraId="4B4F282D" w14:textId="77777777" w:rsidR="00D075F6" w:rsidRDefault="00734411">
                  <w:pPr>
                    <w:jc w:val="center"/>
                  </w:pPr>
                  <w:r>
                    <w:rPr>
                      <w:b/>
                      <w:bCs/>
                    </w:rPr>
                    <w:t>Quantus</w:t>
                  </w:r>
                  <w:r>
                    <w:t xml:space="preserve"> (Hedström et al. 2023)</w:t>
                  </w:r>
                </w:p>
              </w:tc>
              <w:tc>
                <w:tcPr>
                  <w:tcW w:w="1584" w:type="dxa"/>
                </w:tcPr>
                <w:p w14:paraId="36C52C53" w14:textId="77777777" w:rsidR="00D075F6" w:rsidRDefault="00734411">
                  <w:pPr>
                    <w:jc w:val="center"/>
                  </w:pPr>
                  <w:r>
                    <w:t>Alta: 20+ métricas implementadas (fidelidad, robustez, complejidad, localidad, aleatoriedad)</w:t>
                  </w:r>
                </w:p>
              </w:tc>
              <w:tc>
                <w:tcPr>
                  <w:tcW w:w="1584" w:type="dxa"/>
                </w:tcPr>
                <w:p w14:paraId="45424E29" w14:textId="77777777" w:rsidR="00D075F6" w:rsidRDefault="00734411">
                  <w:pPr>
                    <w:jc w:val="center"/>
                  </w:pPr>
                  <w:r>
                    <w:t>Moderado: versiones fijadas, pero sin protocolo de calificación de artefactos</w:t>
                  </w:r>
                </w:p>
              </w:tc>
              <w:tc>
                <w:tcPr>
                  <w:tcW w:w="1584" w:type="dxa"/>
                </w:tcPr>
                <w:p w14:paraId="1BBD44DA" w14:textId="77777777" w:rsidR="00D075F6" w:rsidRDefault="00734411">
                  <w:pPr>
                    <w:jc w:val="center"/>
                  </w:pPr>
                  <w:r>
                    <w:t>Ninguno: uso ad-hoc por el investigador</w:t>
                  </w:r>
                </w:p>
              </w:tc>
              <w:tc>
                <w:tcPr>
                  <w:tcW w:w="1584" w:type="dxa"/>
                </w:tcPr>
                <w:p w14:paraId="47071D63" w14:textId="77777777" w:rsidR="00D075F6" w:rsidRDefault="00734411">
                  <w:pPr>
                    <w:jc w:val="center"/>
                  </w:pPr>
                  <w:r>
                    <w:t>Functionally-grounded; sin capa inferencial integrada</w:t>
                  </w:r>
                </w:p>
              </w:tc>
            </w:tr>
            <w:tr w:rsidR="00D075F6" w14:paraId="2C0C4164" w14:textId="77777777">
              <w:trPr>
                <w:jc w:val="center"/>
              </w:trPr>
              <w:tc>
                <w:tcPr>
                  <w:tcW w:w="1584" w:type="dxa"/>
                </w:tcPr>
                <w:p w14:paraId="36D45849" w14:textId="77777777" w:rsidR="00D075F6" w:rsidRDefault="00734411">
                  <w:pPr>
                    <w:jc w:val="center"/>
                  </w:pPr>
                  <w:r>
                    <w:rPr>
                      <w:b/>
                      <w:bCs/>
                    </w:rPr>
                    <w:t>OpenXAI</w:t>
                  </w:r>
                  <w:r>
                    <w:t xml:space="preserve"> (Agarwal et al. 2022)</w:t>
                  </w:r>
                </w:p>
              </w:tc>
              <w:tc>
                <w:tcPr>
                  <w:tcW w:w="1584" w:type="dxa"/>
                </w:tcPr>
                <w:p w14:paraId="0B4BC5F5" w14:textId="77777777" w:rsidR="00D075F6" w:rsidRDefault="00734411">
                  <w:pPr>
                    <w:jc w:val="center"/>
                  </w:pPr>
                  <w:r>
                    <w:t>Alta: cubre fidelidad, estabilidad, fairness; incluye ground-truth sintético</w:t>
                  </w:r>
                </w:p>
              </w:tc>
              <w:tc>
                <w:tcPr>
                  <w:tcW w:w="1584" w:type="dxa"/>
                </w:tcPr>
                <w:p w14:paraId="74F60EE2" w14:textId="77777777" w:rsidR="00D075F6" w:rsidRDefault="00734411">
                  <w:pPr>
                    <w:jc w:val="center"/>
                  </w:pPr>
                  <w:r>
                    <w:t>Moderado: plataforma y conjuntos estandarizados; sin control de semillas declarativo</w:t>
                  </w:r>
                </w:p>
              </w:tc>
              <w:tc>
                <w:tcPr>
                  <w:tcW w:w="1584" w:type="dxa"/>
                </w:tcPr>
                <w:p w14:paraId="1EA5EDDD" w14:textId="77777777" w:rsidR="00D075F6" w:rsidRDefault="00734411">
                  <w:pPr>
                    <w:jc w:val="center"/>
                  </w:pPr>
                  <w:r>
                    <w:t>Ninguno: comparabilidad por convención, no por protocolo</w:t>
                  </w:r>
                </w:p>
              </w:tc>
              <w:tc>
                <w:tcPr>
                  <w:tcW w:w="1584" w:type="dxa"/>
                </w:tcPr>
                <w:p w14:paraId="5EA2F134" w14:textId="77777777" w:rsidR="00D075F6" w:rsidRDefault="00734411">
                  <w:pPr>
                    <w:jc w:val="center"/>
                  </w:pPr>
                  <w:r>
                    <w:t>Functionally-grounded + comparación con ground-truth</w:t>
                  </w:r>
                </w:p>
              </w:tc>
            </w:tr>
            <w:tr w:rsidR="00D075F6" w14:paraId="3E1C5432" w14:textId="77777777">
              <w:trPr>
                <w:jc w:val="center"/>
              </w:trPr>
              <w:tc>
                <w:tcPr>
                  <w:tcW w:w="1584" w:type="dxa"/>
                </w:tcPr>
                <w:p w14:paraId="6D356993" w14:textId="77777777" w:rsidR="00D075F6" w:rsidRDefault="00734411">
                  <w:pPr>
                    <w:jc w:val="center"/>
                  </w:pPr>
                  <w:r>
                    <w:rPr>
                      <w:b/>
                      <w:bCs/>
                    </w:rPr>
                    <w:t>Encuesta Nauta et al.</w:t>
                  </w:r>
                  <w:r>
                    <w:t xml:space="preserve"> (Nauta et al. 2023)</w:t>
                  </w:r>
                </w:p>
              </w:tc>
              <w:tc>
                <w:tcPr>
                  <w:tcW w:w="1584" w:type="dxa"/>
                </w:tcPr>
                <w:p w14:paraId="35201AD9" w14:textId="77777777" w:rsidR="00D075F6" w:rsidRDefault="00734411">
                  <w:pPr>
                    <w:jc w:val="center"/>
                  </w:pPr>
                  <w:r>
                    <w:t>Muy alta: revisión de 30 propiedades de evaluación; incluye nivel de usuario y tarea</w:t>
                  </w:r>
                </w:p>
              </w:tc>
              <w:tc>
                <w:tcPr>
                  <w:tcW w:w="1584" w:type="dxa"/>
                </w:tcPr>
                <w:p w14:paraId="2BB2C6C8" w14:textId="77777777" w:rsidR="00D075F6" w:rsidRDefault="00734411">
                  <w:pPr>
                    <w:jc w:val="center"/>
                  </w:pPr>
                  <w:r>
                    <w:t>Bajo: documento de revisión, sin implementación de pipeline</w:t>
                  </w:r>
                </w:p>
              </w:tc>
              <w:tc>
                <w:tcPr>
                  <w:tcW w:w="1584" w:type="dxa"/>
                </w:tcPr>
                <w:p w14:paraId="0480B93B" w14:textId="77777777" w:rsidR="00D075F6" w:rsidRDefault="00734411">
                  <w:pPr>
                    <w:jc w:val="center"/>
                  </w:pPr>
                  <w:r>
                    <w:t>Ninguno: marco conceptual, no operativo</w:t>
                  </w:r>
                </w:p>
              </w:tc>
              <w:tc>
                <w:tcPr>
                  <w:tcW w:w="1584" w:type="dxa"/>
                </w:tcPr>
                <w:p w14:paraId="594EC65A" w14:textId="77777777" w:rsidR="00D075F6" w:rsidRDefault="00734411">
                  <w:pPr>
                    <w:jc w:val="center"/>
                  </w:pPr>
                  <w:r>
                    <w:t>Múltiple: application, human y functionally-grounded</w:t>
                  </w:r>
                </w:p>
              </w:tc>
            </w:tr>
            <w:tr w:rsidR="00D075F6" w14:paraId="7762E9E7" w14:textId="77777777">
              <w:trPr>
                <w:jc w:val="center"/>
              </w:trPr>
              <w:tc>
                <w:tcPr>
                  <w:tcW w:w="1584" w:type="dxa"/>
                </w:tcPr>
                <w:p w14:paraId="5FD6D269" w14:textId="77777777" w:rsidR="00D075F6" w:rsidRDefault="00734411">
                  <w:pPr>
                    <w:jc w:val="center"/>
                  </w:pPr>
                  <w:r>
                    <w:rPr>
                      <w:b/>
                      <w:bCs/>
                    </w:rPr>
                    <w:t>CARLA</w:t>
                  </w:r>
                  <w:r>
                    <w:t xml:space="preserve"> (Pawlicki et al. 2024)</w:t>
                  </w:r>
                </w:p>
              </w:tc>
              <w:tc>
                <w:tcPr>
                  <w:tcW w:w="1584" w:type="dxa"/>
                </w:tcPr>
                <w:p w14:paraId="4F52F497" w14:textId="77777777" w:rsidR="00D075F6" w:rsidRDefault="00734411">
                  <w:pPr>
                    <w:jc w:val="center"/>
                  </w:pPr>
                  <w:r>
                    <w:t>Moderada: orientada a contrafactuales y recourse; cubre validez, proximidad, diversidad</w:t>
                  </w:r>
                </w:p>
              </w:tc>
              <w:tc>
                <w:tcPr>
                  <w:tcW w:w="1584" w:type="dxa"/>
                </w:tcPr>
                <w:p w14:paraId="3C7E14A8" w14:textId="77777777" w:rsidR="00D075F6" w:rsidRDefault="00734411">
                  <w:pPr>
                    <w:jc w:val="center"/>
                  </w:pPr>
                  <w:r>
                    <w:t>Moderado: librería de benchmarking, configuraciones documentadas</w:t>
                  </w:r>
                </w:p>
              </w:tc>
              <w:tc>
                <w:tcPr>
                  <w:tcW w:w="1584" w:type="dxa"/>
                </w:tcPr>
                <w:p w14:paraId="4BEB35AA" w14:textId="77777777" w:rsidR="00D075F6" w:rsidRDefault="00734411">
                  <w:pPr>
                    <w:jc w:val="center"/>
                  </w:pPr>
                  <w:r>
                    <w:t>Ninguno: librería sin protocolo de admisibilidad</w:t>
                  </w:r>
                </w:p>
              </w:tc>
              <w:tc>
                <w:tcPr>
                  <w:tcW w:w="1584" w:type="dxa"/>
                </w:tcPr>
                <w:p w14:paraId="1976A349" w14:textId="77777777" w:rsidR="00D075F6" w:rsidRDefault="00734411">
                  <w:pPr>
                    <w:jc w:val="center"/>
                  </w:pPr>
                  <w:r>
                    <w:t>Functionally-grounded + counterfactual-specific</w:t>
                  </w:r>
                </w:p>
              </w:tc>
            </w:tr>
            <w:tr w:rsidR="00D075F6" w14:paraId="54A6D141" w14:textId="77777777">
              <w:trPr>
                <w:jc w:val="center"/>
              </w:trPr>
              <w:tc>
                <w:tcPr>
                  <w:tcW w:w="1584" w:type="dxa"/>
                </w:tcPr>
                <w:p w14:paraId="28B44093" w14:textId="77777777" w:rsidR="00D075F6" w:rsidRDefault="00734411">
                  <w:pPr>
                    <w:jc w:val="center"/>
                  </w:pPr>
                  <w:r>
                    <w:rPr>
                      <w:b/>
                      <w:bCs/>
                    </w:rPr>
                    <w:t>FOM-7</w:t>
                  </w:r>
                  <w:r>
                    <w:t xml:space="preserve"> (esta tesis)</w:t>
                  </w:r>
                </w:p>
              </w:tc>
              <w:tc>
                <w:tcPr>
                  <w:tcW w:w="1584" w:type="dxa"/>
                </w:tcPr>
                <w:p w14:paraId="261E1268" w14:textId="77777777" w:rsidR="00D075F6" w:rsidRDefault="00734411">
                  <w:pPr>
                    <w:jc w:val="center"/>
                  </w:pPr>
                  <w:r>
                    <w:t>Moderada: cinco métricas primarias operacionalizadas; extensible por diseño</w:t>
                  </w:r>
                </w:p>
              </w:tc>
              <w:tc>
                <w:tcPr>
                  <w:tcW w:w="1584" w:type="dxa"/>
                </w:tcPr>
                <w:p w14:paraId="6AB4F2CD" w14:textId="77777777" w:rsidR="00D075F6" w:rsidRDefault="00734411">
                  <w:pPr>
                    <w:jc w:val="center"/>
                  </w:pPr>
                  <w:r>
                    <w:t>Alto: manifiestos YAML, semillas declarativas, artefactos calificados, DOI Zenodo</w:t>
                  </w:r>
                </w:p>
              </w:tc>
              <w:tc>
                <w:tcPr>
                  <w:tcW w:w="1584" w:type="dxa"/>
                </w:tcPr>
                <w:p w14:paraId="3AD38634" w14:textId="77777777" w:rsidR="00D075F6" w:rsidRDefault="00734411">
                  <w:pPr>
                    <w:jc w:val="center"/>
                  </w:pPr>
                  <w:r>
                    <w:t>Sí: siete puertas secuenciales con criterios de admisibilidad y falla explícitos</w:t>
                  </w:r>
                </w:p>
              </w:tc>
              <w:tc>
                <w:tcPr>
                  <w:tcW w:w="1584" w:type="dxa"/>
                </w:tcPr>
                <w:p w14:paraId="5FD049A9" w14:textId="77777777" w:rsidR="00D075F6" w:rsidRDefault="00734411">
                  <w:pPr>
                    <w:jc w:val="center"/>
                  </w:pPr>
                  <w:r>
                    <w:t>Functionally-grounded con admisibilidad estadística integrada</w:t>
                  </w:r>
                </w:p>
              </w:tc>
            </w:tr>
            <w:bookmarkEnd w:id="63"/>
          </w:tbl>
          <w:p w14:paraId="1EB683EE" w14:textId="77777777" w:rsidR="00D075F6" w:rsidRDefault="00D075F6"/>
        </w:tc>
      </w:tr>
    </w:tbl>
    <w:p w14:paraId="458B4AB8" w14:textId="77777777" w:rsidR="00D075F6" w:rsidRDefault="00734411">
      <w:pPr>
        <w:pStyle w:val="BodyText"/>
      </w:pPr>
      <w:r>
        <w:t xml:space="preserve">Esta comparación muestra que los marcos existentes cubren bien la dimensión de cobertura de métricas (Quantus, OpenXAI) o la dimensión conceptual (Nauta et al.), pero ninguno integra un protocolo de gobernanza secuencial que garantice que cada paso del ciclo de evidencia —desde la congelación del diseño hasta la </w:t>
      </w:r>
      <w:r>
        <w:t>trazabilidad de afirmaciones— esté regulado por criterios de admisibilidad explícitos. Esa integración es precisamente la contribución diferenciadora de FOM-7 respecto a los marcos enumerados.</w:t>
      </w:r>
    </w:p>
    <w:p w14:paraId="0BBE4073" w14:textId="77777777" w:rsidR="00D075F6" w:rsidRDefault="00734411">
      <w:pPr>
        <w:pStyle w:val="BodyText"/>
      </w:pPr>
      <w:r>
        <w:t xml:space="preserve">En dominios de alta responsabilidad, como salud, esta distinción se vuelve aún más visible: las revisiones de XAI médico muestran que la explicabilidad debe relacionarse con confianza, validación, responsabilidad y restricciones del contexto de uso, no solo con la disponibilidad de una visualización o una lista </w:t>
      </w:r>
      <w:r>
        <w:t>de importancias (Tjoa y Guan 2021). Aunque esta tesis no se limita al dominio médico, ese tipo de literatura refuerza la necesidad de separar utilidad contextual, evidencia computacional y admisibilidad de claims.</w:t>
      </w:r>
    </w:p>
    <w:p w14:paraId="1CBB39D2" w14:textId="77777777" w:rsidR="00D075F6" w:rsidRDefault="00734411">
      <w:pPr>
        <w:pStyle w:val="BodyText"/>
      </w:pPr>
      <w:r>
        <w:t xml:space="preserve">La literatura reciente sobre métricas XAI insiste en que la evaluación unidimensional es insuficiente (Abdul Kadir et al. 2023; Pawlicki et al. 2024). Fidelidad, estabilidad, robustez, complejidad, coste y utilidad capturan constructos </w:t>
      </w:r>
      <w:r>
        <w:t>diferentes. Un método puede ser rápido y estable, pero poco fiel; otro puede ser fiel y costoso; otro puede ser comprensible pero frágil ante perturbaciones. La consecuencia metodológica es clara: la tesis debe reportar perfiles de desempeño, no rankings absolutos simplificados.</w:t>
      </w:r>
    </w:p>
    <w:p w14:paraId="55A5F00D" w14:textId="77777777" w:rsidR="00D075F6" w:rsidRDefault="00734411">
      <w:pPr>
        <w:pStyle w:val="BodyText"/>
      </w:pPr>
      <w:r>
        <w:t xml:space="preserve">La perspectiva human-centered refuerza la misma conclusión desde otro ángulo. No hay una explicación universalmente adecuada para todos los usuarios, tareas y </w:t>
      </w:r>
      <w:r>
        <w:t xml:space="preserve">contextos. Las revisiones y estudios de usuarios muestran que la explicación puede servir para depurar modelos, justificar decisiones, calibrar confianza, enseñar comportamiento del sistema, identificar errores o apoyar acción (Miller 2019; Abdul et al. 2018; Langer et al. 2021; Sokol y Flach 2020; Rong et al. 2024). Cada finalidad demanda criterios distintos. Por ello, FOM-7 no debe usar la palabra “mejor” sin calificador. Debe hablar de mejor fidelidad local, mayor estabilidad bajo una </w:t>
      </w:r>
      <w:r>
        <w:t>perturbación definida, menor coste computacional, mayor cobertura de regla o mayor satisfacción de un criterio contrafactual. Esta disciplina semántica es parte del aporte teórico del protocolo.</w:t>
      </w:r>
    </w:p>
    <w:p w14:paraId="59F6F67E" w14:textId="77777777" w:rsidR="00D075F6" w:rsidRDefault="00734411">
      <w:pPr>
        <w:pStyle w:val="Heading3"/>
      </w:pPr>
      <w:bookmarkStart w:id="64" w:name="X900f39c64f84f209bdf33df61ada6c5cfa8ef2d"/>
      <w:bookmarkStart w:id="65" w:name="_Toc241413258"/>
      <w:r>
        <w:t>2.5.1 Evaluación human-centered: usuarios, tareas y calidad explicativa</w:t>
      </w:r>
      <w:bookmarkEnd w:id="65"/>
    </w:p>
    <w:p w14:paraId="725B1C75" w14:textId="77777777" w:rsidR="00D075F6" w:rsidRDefault="00734411">
      <w:r>
        <w:t>Esta rama ha alcanzado en los últimos años una madurez propia, con agendas explícitas de consolidación (Ehsan et al. 2023) y revisiones críticas que cuestionan los supuestos dominantes del campo (Ehsan y Riedl 2024)</w:t>
      </w:r>
      <w:r>
        <w:t>. La investigación reciente muestra que la calidad percibida de una explicación depende de variables que ninguna métrica computacional recoge: las características y el nivel de experiencia del destinatario (Nimmo et al. 2024), el contexto cultural desde el que se interpreta (Peters y Carman 2024), el diseño de la interfaz que la presenta (Bhat y Long 2024; Alkhateeb y Solaiman 2025), e incluso su materialización física en artefactos tangibles (Colley et al. 2023)</w:t>
      </w:r>
      <w:r>
        <w:t xml:space="preserve">. La transparencia y la explicabilidad se han estudiado también como antecedentes de la confianza calibrada (Kim 2024) y como práctica organizativa más que como propiedad técnica (Ramachandram et al. 2025), mientras que otros trabajos documentan las contrapartidas que impone perseguir explicabilidad (Brown y Hawe 2024) e incluso el coste reputacional que puede acarrear el uso declarado de IA (Reif et al. 2025). A ello se añade una literatura sobre las implicaciones éticas del campo </w:t>
      </w:r>
      <w:r>
        <w:t>(Nannini et al. 2024; Vainio-Pekka et al. 2023) y sobre la distancia entre la inteligencia de la máquina y la comprensión humana (Choudhari et al. 2025).</w:t>
      </w:r>
    </w:p>
    <w:p w14:paraId="2C5FA8CB" w14:textId="77777777" w:rsidR="00D075F6" w:rsidRDefault="00734411">
      <w:pPr>
        <w:pStyle w:val="BodyText"/>
      </w:pPr>
      <w:r>
        <w:t>La evaluación human-centered constituye una rama de la XAI que parte de una premisa metodológica distinta: la calidad de una explicación no puede medirse solo con proxies computacionales, sino que depende de su efecto sobre el entendimiento, la confianza, la calibración y la acción de personas concretas (Doshi-Velez 2017; Miller 2019)</w:t>
      </w:r>
      <w:r>
        <w:t>. Esta premisa enlaza con una línea previa que ya situaba a la persona como participante activo del ciclo de aprendizaje, y no como receptor pasivo de su salida (Amershi 2014). Esta perspectiva no invalida la evaluación functionally-grounded, sino que la complementa al señalar que las métricas automáticas responden a preguntas distintas a las que responden los usuarios.</w:t>
      </w:r>
    </w:p>
    <w:p w14:paraId="6CDB49FC" w14:textId="77777777" w:rsidR="00D075F6" w:rsidRDefault="00734411">
      <w:pPr>
        <w:pStyle w:val="BodyText"/>
      </w:pPr>
      <w:r>
        <w:t xml:space="preserve">Miller (2019) revisa la literatura sobre explicación en ciencias cognitivas y </w:t>
      </w:r>
      <w:r>
        <w:t xml:space="preserve">sociales e identifica un conjunto de propiedades empíricamente validadas sobre qué hace útil una explicación para los humanos. Las explicaciones son contrastivas (respondemos a “¿por qué P y no Q?” mejor que a “¿por qué P?”), selectivas (preferimos explicaciones que citan pocas causas), sociales (el valor de una explicación depende del destinatario y del diálogo) y dependientes del contexto de uso. Estas propiedades no están capturadas por métricas como fidelidad </w:t>
      </w:r>
      <w:r>
        <w:t>o estabilidad, que son agnósticas al destinatario. La consecuencia metodológica es clara: una tesis que produce evidencia functionally-grounded debe reconocer explícitamente que no puede derivar inferencias sobre comprensión humana o utilidad en tarea.</w:t>
      </w:r>
    </w:p>
    <w:p w14:paraId="33B24B5F" w14:textId="77777777" w:rsidR="00D075F6" w:rsidRDefault="00734411">
      <w:pPr>
        <w:pStyle w:val="BodyText"/>
      </w:pPr>
      <w:r>
        <w:t xml:space="preserve">El problema de calibración de confianza ha recibido atención creciente (Hoffman et al. 2023; Kaur et al. 2020). Estudios con científicos de datos muestran que las herramientas de XAI pueden inducir exceso de confianza: los usuarios tienden a </w:t>
      </w:r>
      <w:r>
        <w:t xml:space="preserve">aceptar explicaciones visualmente atractivas sin verificar su validez técnica (Kaur et al. 2020). Este fenómeno es especialmente problemático en explicaciones LIME, donde el sustituto local puede parecer coherente —una lista de importancias lineales— aunque sea inestable o de baja fidelidad. La literatura de evaluación human-centered sugiere que medir confianza calibrada (si la confianza del usuario en el modelo aumenta cuando la explicación es fiable y disminuye cuando no lo </w:t>
      </w:r>
      <w:r>
        <w:t>es) es un criterio de calidad distinto e irreductible a los criterios computacionales (Hoffman et al. 2023).</w:t>
      </w:r>
    </w:p>
    <w:p w14:paraId="5A025B0B" w14:textId="77777777" w:rsidR="00D075F6" w:rsidRDefault="00734411">
      <w:pPr>
        <w:pStyle w:val="BodyText"/>
      </w:pPr>
      <w:r>
        <w:t xml:space="preserve">Hase y Bansal (2020) evalúan directamente la relación entre explicaciones y comprensión del modelo por parte de usuarios. Sus experimentos muestran que explicaciones con mayor fidelidad no siempre producen mejor comprensión: los usuarios pueden modelar mejor el comportamiento del clasificador con explicaciones simples y ligeramente imprecisas que con atribuciones técnicamente más exactas pero </w:t>
      </w:r>
      <w:r>
        <w:t>cognitivamente costosas. Esta disociación —fidelidad técnica y comprensión humana no alineadas— es una de las razones por las que la taxonomía de este trabajo distingue el eje de contexto de tarea y señala que el contexto de “soporte a usuario final” requiere criterios propios.</w:t>
      </w:r>
    </w:p>
    <w:p w14:paraId="276BA58A" w14:textId="77777777" w:rsidR="00D075F6" w:rsidRDefault="00734411">
      <w:pPr>
        <w:pStyle w:val="BodyText"/>
      </w:pPr>
      <w:r>
        <w:t xml:space="preserve">Bhattacharya y Verbert (2024) y Rong et al. (2024) contribuyen revisiones sistemáticas de la literatura sobre XAI human-centered que convergen en recomendar el uso de </w:t>
      </w:r>
      <w:r>
        <w:t xml:space="preserve">escalas normalizadas para medir comprehensibilidad entre sistemas, la separación entre satisfacción de usuario y utilidad en tarea, y la necesidad de reportar características del usuario (experto, no experto, dominio) como covariables de los estudios. Estos estudios refuerzan la pertinencia de que la presente tesis declare explícitamente sus límites: FOM-7 opera en el dominio de la evaluación functionally-grounded y cualquier extensión a evaluación human-centered </w:t>
      </w:r>
      <w:r>
        <w:t>requeriría un protocolo propio con participantes, tareas, escalas y análisis de fiabilidad interrater.</w:t>
      </w:r>
    </w:p>
    <w:p w14:paraId="67BA723A" w14:textId="77777777" w:rsidR="00D075F6" w:rsidRDefault="00734411">
      <w:pPr>
        <w:pStyle w:val="BodyText"/>
      </w:pPr>
      <w:r>
        <w:t>La ausencia de evaluación human-centered no es una omisión inadvertida de esta tesis; es una delimitación metodológica explícita y defendible. La taxonomía del Capítulo 5 localiza con precisión qué cuadrantes del espacio de evaluación XAI cubre el benchmark y cuáles no, lo que convierte la limitación en información científica estructurada y evita sobreinterpretar los resultados empíricos.</w:t>
      </w:r>
    </w:p>
    <w:p w14:paraId="76BD05C4" w14:textId="77777777" w:rsidR="00D075F6" w:rsidRDefault="00734411">
      <w:pPr>
        <w:pStyle w:val="Heading3"/>
      </w:pPr>
      <w:bookmarkStart w:id="66" w:name="Xcb28a5da8e0ee4c37a7111d109b1f7262846e3e"/>
      <w:bookmarkStart w:id="67" w:name="_Toc241413259"/>
      <w:bookmarkEnd w:id="64"/>
      <w:r>
        <w:t xml:space="preserve">2.5.2 </w:t>
      </w:r>
      <w:r>
        <w:t>Reproducibilidad en XAI: crisis, causas y respuestas</w:t>
      </w:r>
      <w:bookmarkEnd w:id="67"/>
    </w:p>
    <w:p w14:paraId="4C932338" w14:textId="77777777" w:rsidR="00D075F6" w:rsidRDefault="00734411">
      <w:r>
        <w:t xml:space="preserve">La reproducibilidad es una condición de validez científica, no un detalle técnico. En aprendizaje automático, la crisis de reproducibilidad ha sido documentada tanto en investigación fundamental (Hutson 2018) como en evaluación XAI (Pawlicki et al. 2024; Canha et al. 2025). En el contexto de XAI, la reproducibilidad tiene una dimensión adicional: no solo deben reproducirse las predicciones del </w:t>
      </w:r>
      <w:r>
        <w:t>modelo, sino también los artefactos explicativos, las métricas calculadas sobre ellos y las conclusiones inferenciales derivadas. Esta cadena de reproducibilidad es más frágil que la del modelo base porque introduce más puntos de variación: semillas del explicador, estrategias de muestreo, conjuntos de referencia, umbrales de reglas, y parámetros de métricas.</w:t>
      </w:r>
    </w:p>
    <w:p w14:paraId="43BAEE4A" w14:textId="77777777" w:rsidR="00D075F6" w:rsidRDefault="00734411">
      <w:pPr>
        <w:pStyle w:val="BodyText"/>
      </w:pPr>
      <w:r>
        <w:t xml:space="preserve">La literatura identifica al menos cinco fuentes de irreproducibilidad específicas de los benchmarks XAI. Primera, la </w:t>
      </w:r>
      <w:r>
        <w:rPr>
          <w:b/>
          <w:bCs/>
        </w:rPr>
        <w:t>sensibilidad a hiperparámetros no declarados</w:t>
      </w:r>
      <w:r>
        <w:t xml:space="preserve">: LIME sin declarar num_samples, kernel_width y discretize_continuous puede producir explicaciones sustancialmente distintas entre estudios que usan “LIME” como etiqueta sin especificar configuración (Burger et al. 2023; Slack et al. 2020). Segunda, la </w:t>
      </w:r>
      <w:r>
        <w:rPr>
          <w:b/>
          <w:bCs/>
        </w:rPr>
        <w:t>dependencia de semillas aleatorias</w:t>
      </w:r>
      <w:r>
        <w:t xml:space="preserve">: los explicadores estocásticos como LIME y DiCE producen resultados distintos con semillas distintas, lo que requiere </w:t>
      </w:r>
      <w:r>
        <w:t xml:space="preserve">múltiples réplicas y análisis de varianza por semilla para distinguir señal de ruido (Canha et al. 2025). Tercera, la </w:t>
      </w:r>
      <w:r>
        <w:rPr>
          <w:b/>
          <w:bCs/>
        </w:rPr>
        <w:t>mezcla de cohortes de evidencia</w:t>
      </w:r>
      <w:r>
        <w:t xml:space="preserve">: estudios que usan los mismos artefactos para calibración y para inferencia confirmativa pueden reportar efectos estadísticos inflados, no por fraude sino por falta de una arquitectura que separe las dos funciones (Hedström et al. 2023). Cuarta, la </w:t>
      </w:r>
      <w:r>
        <w:rPr>
          <w:b/>
          <w:bCs/>
        </w:rPr>
        <w:t>ausencia de criterios de calificación de artefactos</w:t>
      </w:r>
      <w:r>
        <w:t xml:space="preserve">: un artefacto vacío, </w:t>
      </w:r>
      <w:r>
        <w:t xml:space="preserve">malformado o de convergencia fallida que no se detecta en la etapa de auditoría contamina las tablas métricas con valores espurios (Pawlicki et al. 2024). Quinta, la </w:t>
      </w:r>
      <w:r>
        <w:rPr>
          <w:b/>
          <w:bCs/>
        </w:rPr>
        <w:t>dependencia del entorno computacional</w:t>
      </w:r>
      <w:r>
        <w:t>: versiones de librerías, hardware disponible y órdenes de ejecución pueden afectar el timing y, en algunos casos, los valores de métricas.</w:t>
      </w:r>
    </w:p>
    <w:p w14:paraId="755469A4" w14:textId="77777777" w:rsidR="00D075F6" w:rsidRDefault="00734411">
      <w:pPr>
        <w:pStyle w:val="BodyText"/>
      </w:pPr>
      <w:r>
        <w:t xml:space="preserve">Canha et al. (2025) proponen un conjunto de principios de reproducibilidad para XAI que incluye declaración de semillas, versionado de dependencias, </w:t>
      </w:r>
      <w:r>
        <w:t xml:space="preserve">separación entre datos de entrenamiento y de evaluación, y publicación de artefactos en repositorios con DOI. FOM-7 operacionaliza estos principios en siete puertas: la puerta 1 (congelación del protocolo) previene modificaciones post-hoc; la puerta 2 (ejecución con semillas declarativas) previene sensibilidad no documentada; la puerta 3 (auditoría de integridad) previene contaminación por artefactos malformados; y la puerta 6 (perfilado de </w:t>
      </w:r>
      <w:r>
        <w:t>reproducibilidad) cuantifica la varianza residual de semilla. Estas puertas no eliminan todas las fuentes de variación, pero las documentan y controlan dentro del alcance del diseño experimental.</w:t>
      </w:r>
    </w:p>
    <w:p w14:paraId="4265B3D6" w14:textId="77777777" w:rsidR="00D075F6" w:rsidRDefault="00734411">
      <w:pPr>
        <w:pStyle w:val="BodyText"/>
      </w:pPr>
      <w:r>
        <w:t xml:space="preserve">La importancia de la reproducibilidad se amplifica en el contexto regulatorio. El EU AI Act exige que los sistemas de IA de alto riesgo sean auditables, lo que implica que las explicaciones usadas en decisiones consecuentes deben poder regenerarse con los mismos parámetros y producir el mismo resultado. Un método </w:t>
      </w:r>
      <w:r>
        <w:t>de explicación con alta variabilidad de semilla no puede satisfacer este requisito de auditabilidad, independientemente de su fidelidad media. El protocolo FOM-7, al incorporar reproducibilidad como criterio explícito de admisibilidad (proposición P1), conecta la dimensión técnica del benchmark con este requisito normativo emergente.</w:t>
      </w:r>
    </w:p>
    <w:p w14:paraId="52B0EAF0" w14:textId="77777777" w:rsidR="00D075F6" w:rsidRDefault="00734411">
      <w:pPr>
        <w:pStyle w:val="Heading2"/>
      </w:pPr>
      <w:bookmarkStart w:id="68" w:name="X1ac049df9037bab7d9ddedb9eb6dfc246d0f001"/>
      <w:bookmarkStart w:id="69" w:name="_Toc241413260"/>
      <w:bookmarkEnd w:id="61"/>
      <w:bookmarkEnd w:id="66"/>
      <w:r>
        <w:t>2.6 Taxonomias de métricas y brechas de constructo</w:t>
      </w:r>
      <w:bookmarkEnd w:id="69"/>
    </w:p>
    <w:p w14:paraId="6831DCFD" w14:textId="77777777" w:rsidR="00D075F6" w:rsidRDefault="00734411">
      <w:r>
        <w:t xml:space="preserve">El esfuerzo por ordenar este espacio ha generado una literatura de síntesis </w:t>
      </w:r>
      <w:r>
        <w:t xml:space="preserve">abundante y heterogénea. Existen historias breves del campo que sitúan la interpretabilidad en una tradición estadística de más de dos siglos (Molnar et al. 2020), panorámicas compactas de métodos (Holzinger et al. 2022; Long et al. 2019), revisiones sistemáticas de técnicas y retos abiertos (Abusitta et al. 2024; Ullah et al. 2024), inventarios de aplicaciones por dominio (Kalasampath et al. 2025) y revisiones focalizadas en tareas concretas (Ngueajio et al. 2025; Fan et al. 2026). La reflexión más </w:t>
      </w:r>
      <w:r>
        <w:t>articulada sobre el estado del campo es el manifiesto que propone una segunda generación de XAI y enumera los desafíos abiertos que la primera no resolvió (Longo et al. 2024). La proliferación de estas síntesis es, en sí misma, un síntoma del problema que esta tesis aborda: se acumulan mapas del territorio con mayor rapidez que protocolos para transitarlo.</w:t>
      </w:r>
    </w:p>
    <w:p w14:paraId="5BF7D403" w14:textId="77777777" w:rsidR="00D075F6" w:rsidRDefault="00734411">
      <w:pPr>
        <w:pStyle w:val="BodyText"/>
      </w:pPr>
      <w:r>
        <w:t xml:space="preserve">La fidelidad mide hasta qué punto una explicación aproxima el comportamiento </w:t>
      </w:r>
      <w:r>
        <w:t>observable del modelo. En métodos de sustitución local, puede operacionalizarse como acuerdo entre el modelo de caja negra y el sustituto en un vecindario definido. Sin embargo, la fidelidad depende de cómo se construye ese vecindario, de qué instancias se consultan y de qué diferencia se considera relevante. Por ello, FOM-7 trata la fidelidad como un resultado condicionado por decisiones experimentales, no como propiedad absoluta del método.</w:t>
      </w:r>
    </w:p>
    <w:p w14:paraId="4D8D6BD4" w14:textId="77777777" w:rsidR="00D075F6" w:rsidRDefault="00734411">
      <w:pPr>
        <w:pStyle w:val="BodyText"/>
      </w:pPr>
      <w:r>
        <w:t xml:space="preserve">La fidelidad debe leerse como una relación entre tres elementos: el modelo que se explica, el artefacto explicativo y el dominio de comparación. En LIME, por ejemplo, la fidelidad remite al acuerdo entre el modelo de caja negra y el sustituto local en un vecindario definido. En SHAP, la pregunta se desplaza hacia la coherencia de una atribución aditiva bajo supuestos de referencia. En Anchors, la fidelidad no aparece como peso continuo sino como precisión de una </w:t>
      </w:r>
      <w:r>
        <w:t>regla bajo condiciones de cobertura. En DiCE, la validez de un contrafactual depende de si el cambio propuesto modifica efectivamente la salida del modelo. Estos ejemplos muestran que la fidelidad no es una propiedad homogénea entre familias explicativas; debe operacionalizarse según el objeto que cada método produce (Guidotti et al. 2018; Carvalho et al. 2019; Nauta et al. 2023).</w:t>
      </w:r>
    </w:p>
    <w:p w14:paraId="456E7DB4" w14:textId="77777777" w:rsidR="00D075F6" w:rsidRDefault="00734411">
      <w:pPr>
        <w:pStyle w:val="BodyText"/>
      </w:pPr>
      <w:r>
        <w:t xml:space="preserve">La estabilidad evalúa la consistencia de explicaciones ante variaciones </w:t>
      </w:r>
      <w:r>
        <w:t>pequeñas. Esta propiedad es central porque un usuario puede perder confianza si instancias casi idénticas reciben explicaciones incompatibles. Sin embargo, una explicación estable no es necesariamente correcta; puede repetir de forma consistente una aproximación pobre. La estabilidad debe leerse junto con fidelidad, robustez y alcance del experimento.</w:t>
      </w:r>
    </w:p>
    <w:p w14:paraId="3AD94C7D" w14:textId="77777777" w:rsidR="00D075F6" w:rsidRDefault="00734411">
      <w:pPr>
        <w:pStyle w:val="BodyText"/>
      </w:pPr>
      <w:r>
        <w:t xml:space="preserve">En FOM-7, la estabilidad funciona como un control de sensibilidad. Su pregunta no es si la explicación es verdadera, sino si el explicador responde de forma </w:t>
      </w:r>
      <w:r>
        <w:t>coherente ante variaciones que no deberían alterar sustancialmente la interpretación. Esta distinción es relevante porque algunos explicadores post-hoc pueden variar por razones técnicas ajenas al fenómeno que se desea explicar, como el muestreo, la selección de características o la aleatoriedad del procedimiento (Burger et al. 2023; Slack et al. 2020). Por ello, reportar estabilidad ayuda a distinguir entre una diferencia significativa del modelo y una diferencia inducida por el explicador.</w:t>
      </w:r>
    </w:p>
    <w:p w14:paraId="3D58390B" w14:textId="77777777" w:rsidR="00D075F6" w:rsidRDefault="00734411">
      <w:pPr>
        <w:pStyle w:val="BodyText"/>
      </w:pPr>
      <w:r>
        <w:t xml:space="preserve">La robustez amplía el análisis hacia perturbaciones mayores, ataques o condiciones fuera de distribución. En evaluación XAI, esto es especialmente problemático porque muchas métricas operan alterando entradas. Si las entradas alteradas dejan de representar casos plausibles del dominio, la métrica puede estar evaluando un comportamiento artificial del modelo. Esta advertencia respalda la necesidad de documentar generadores de perturbaciones, dominios de validez y criterios de admisibilidad </w:t>
      </w:r>
      <w:r>
        <w:t>(Zheng et al. 2025).</w:t>
      </w:r>
    </w:p>
    <w:p w14:paraId="7C912878" w14:textId="77777777" w:rsidR="00D075F6" w:rsidRDefault="00734411">
      <w:pPr>
        <w:pStyle w:val="BodyText"/>
      </w:pPr>
      <w:r>
        <w:t>La complejidad o sparsity evalúa el tamaño cognitivo del artefacto explicativo. Explicaciones más breves pueden ser más comprensibles, pero la parquedad no garantiza calidad. Una explicación demasiado simple puede omitir factores necesarios; una demasiado extensa puede ser técnicamente rica pero inútil para un usuario. FOM-7 usa complejidad como una dimensión de perfil, no como criterio supremo (Nauta et al. 2023).</w:t>
      </w:r>
    </w:p>
    <w:p w14:paraId="67CA7CC0" w14:textId="77777777" w:rsidR="00D075F6" w:rsidRDefault="00734411">
      <w:pPr>
        <w:pStyle w:val="BodyText"/>
      </w:pPr>
      <w:r>
        <w:t>El coste computacional incorpora una dimensión práctica. Explicaciones que requieren miles de consultas al modelo pueden ser aceptables en investigación offline, pero inadecuadas para sistemas interactivos o despliegues con restricciones de latencia. La comparación entre KernelSHAP y aproximaciones más rápidas muestra que la evaluación debe incluir compromisos de factibilidad (Lundberg 2017; Van den Broeck et al. 2022).</w:t>
      </w:r>
    </w:p>
    <w:p w14:paraId="5E20C703" w14:textId="77777777" w:rsidR="00D075F6" w:rsidRDefault="00734411">
      <w:pPr>
        <w:pStyle w:val="BodyText"/>
      </w:pPr>
      <w:r>
        <w:t xml:space="preserve">El coste no es solamente una medida de eficiencia; también condiciona que </w:t>
      </w:r>
      <w:r>
        <w:t xml:space="preserve">preguntas pueden contestarse dentro de un benchmark. Un método costoso puede limitar el número de instancias evaluadas, reducir la cantidad de semillas, impedir análisis de sensibilidad o forzar aproximaciones. La literatura sobre tractabilidad de SHAP ilustra que la complejidad computacional no es un detalle de implementación, sino una propiedad que afecta la admisibilidad experimental (Van den Broeck et al. 2022). FOM-7 incorpora el coste para evitar que la comparación </w:t>
      </w:r>
      <w:r>
        <w:t>privilegie explicaciones teóricamente atractivas pero impracticables bajo restricciones reales.</w:t>
      </w:r>
    </w:p>
    <w:p w14:paraId="2A7FA232" w14:textId="77777777" w:rsidR="00D075F6" w:rsidRDefault="00734411">
      <w:pPr>
        <w:pStyle w:val="BodyText"/>
      </w:pPr>
      <w:r>
        <w:t xml:space="preserve">La utilidad y la plausibilidad introducen una capa distinta. Una explicación puede ser útil para un científico de datos que busca depurar un pipeline, para un experto de dominio que evalúa coherencia sustantiva o para un usuario que necesita entender una decisión. Sin embargo, esos usos no se derivan automáticamente de las métricas computacionales. Los estudios human-centered </w:t>
      </w:r>
      <w:r>
        <w:t>muestran que la utilidad depende de usuario, tarea, interfaz y contexto (Miller 2019; Kaur et al. 2020; Hase y Bansal 2020; Rong et al. 2024). Por ello, FOM-7 debe mantener separada la utilidad inferida por proxy de la utilidad demostrada en una tarea humana.</w:t>
      </w:r>
    </w:p>
    <w:p w14:paraId="7D7E2569" w14:textId="77777777" w:rsidR="00D075F6" w:rsidRDefault="00734411">
      <w:pPr>
        <w:pStyle w:val="BodyText"/>
      </w:pPr>
      <w:r>
        <w:t xml:space="preserve">La brecha de constructo aparece cuando una métrica mide una propiedad cercana pero no idéntica a la afirmación que se desea hacer. Por ejemplo, una métrica de fidelidad local no autoriza automáticamente afirmar utilidad humana; una métrica </w:t>
      </w:r>
      <w:r>
        <w:t>de estabilidad no prueba causalidad; una regla Anchor precisa no garantiza cobertura amplia; un contrafactual válido para el modelo no siempre es accionable para la persona. Esta brecha es uno de los fundamentos conceptuales de FOM-7.</w:t>
      </w:r>
    </w:p>
    <w:p w14:paraId="6B6E37C2" w14:textId="77777777" w:rsidR="00D075F6" w:rsidRDefault="00734411">
      <w:pPr>
        <w:pStyle w:val="BodyText"/>
      </w:pPr>
      <w:r>
        <w:t xml:space="preserve">El problema se agrava cuando la métrica produce una cifra fácil de comparar. La forma tabular puede sugerir una objetividad mayor que la realmente disponible. Una diferencia numérica entre dos explicadores solo es significativa si la </w:t>
      </w:r>
      <w:r>
        <w:t xml:space="preserve">métrica es válida para el constructo, si la variabilidad fue estimada, si el procedimiento es reproducible y si la afirmación resultante respeta el alcance del experimento. Las revisiones de métodos y métricas insisten en la necesidad de interpretar la evaluación XAI como un conjunto de dimensiones relacionadas, no como un único eje de optimización (Carvalho et al. 2019; Nauta et al. 2023). FOM-7 adopta esta lectura y la convierte en una regla de reporte: cada resultado debe </w:t>
      </w:r>
      <w:r>
        <w:t>mantener unido método, métrica, constructo, condición experimental y claim.</w:t>
      </w:r>
    </w:p>
    <w:p w14:paraId="7E5E0F2D" w14:textId="77777777" w:rsidR="00D075F6" w:rsidRDefault="00734411">
      <w:pPr>
        <w:pStyle w:val="BodyText"/>
      </w:pPr>
      <w:r>
        <w:t>La siguiente matriz resume esta alineación entre métodos, objetos explicativos y constructos de evaluación. Su función no es sustituir el análisis empírico, sino hacer explícita la razón por la cual FOM-7 evalúa perfiles y no rankings absolutos.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16"/>
        <w:gridCol w:w="1915"/>
        <w:gridCol w:w="1915"/>
        <w:gridCol w:w="1915"/>
        <w:gridCol w:w="1915"/>
      </w:tblGrid>
      <w:tr w:rsidR="00D075F6" w14:paraId="21782BE2" w14:textId="77777777">
        <w:trPr>
          <w:tblHeader/>
          <w:jc w:val="center"/>
        </w:trPr>
        <w:tc>
          <w:tcPr>
            <w:tcW w:w="1584" w:type="dxa"/>
          </w:tcPr>
          <w:p w14:paraId="79791B5E" w14:textId="77777777" w:rsidR="00D075F6" w:rsidRDefault="00734411">
            <w:r>
              <w:rPr>
                <w:b/>
                <w:bCs/>
              </w:rPr>
              <w:t>Método</w:t>
            </w:r>
          </w:p>
        </w:tc>
        <w:tc>
          <w:tcPr>
            <w:tcW w:w="1584" w:type="dxa"/>
          </w:tcPr>
          <w:p w14:paraId="361BE640" w14:textId="77777777" w:rsidR="00D075F6" w:rsidRDefault="00734411">
            <w:r>
              <w:rPr>
                <w:b/>
                <w:bCs/>
              </w:rPr>
              <w:t>Objeto explicativo principal</w:t>
            </w:r>
          </w:p>
        </w:tc>
        <w:tc>
          <w:tcPr>
            <w:tcW w:w="1584" w:type="dxa"/>
          </w:tcPr>
          <w:p w14:paraId="675CFDE3" w14:textId="77777777" w:rsidR="00D075F6" w:rsidRDefault="00734411">
            <w:r>
              <w:rPr>
                <w:b/>
                <w:bCs/>
              </w:rPr>
              <w:t>Constructos naturalmente alineados</w:t>
            </w:r>
          </w:p>
        </w:tc>
        <w:tc>
          <w:tcPr>
            <w:tcW w:w="1584" w:type="dxa"/>
          </w:tcPr>
          <w:p w14:paraId="7584E918" w14:textId="77777777" w:rsidR="00D075F6" w:rsidRDefault="00734411">
            <w:r>
              <w:rPr>
                <w:b/>
                <w:bCs/>
              </w:rPr>
              <w:t>Riesgos de evaluación</w:t>
            </w:r>
          </w:p>
        </w:tc>
        <w:tc>
          <w:tcPr>
            <w:tcW w:w="1584" w:type="dxa"/>
          </w:tcPr>
          <w:p w14:paraId="06EF32B0" w14:textId="77777777" w:rsidR="00D075F6" w:rsidRDefault="00734411">
            <w:r>
              <w:rPr>
                <w:b/>
                <w:bCs/>
              </w:rPr>
              <w:t>Lectura dentro de FOM-7</w:t>
            </w:r>
          </w:p>
        </w:tc>
      </w:tr>
      <w:tr w:rsidR="00D075F6" w14:paraId="5E1E659A" w14:textId="77777777">
        <w:trPr>
          <w:jc w:val="center"/>
        </w:trPr>
        <w:tc>
          <w:tcPr>
            <w:tcW w:w="1584" w:type="dxa"/>
          </w:tcPr>
          <w:p w14:paraId="1A383B72" w14:textId="77777777" w:rsidR="00D075F6" w:rsidRDefault="00734411">
            <w:r>
              <w:t>LIME</w:t>
            </w:r>
          </w:p>
        </w:tc>
        <w:tc>
          <w:tcPr>
            <w:tcW w:w="1584" w:type="dxa"/>
          </w:tcPr>
          <w:p w14:paraId="7A4D3CAF" w14:textId="77777777" w:rsidR="00D075F6" w:rsidRDefault="00734411">
            <w:r>
              <w:t>Sustituto local interpretable</w:t>
            </w:r>
          </w:p>
        </w:tc>
        <w:tc>
          <w:tcPr>
            <w:tcW w:w="1584" w:type="dxa"/>
          </w:tcPr>
          <w:p w14:paraId="001DEF3A" w14:textId="77777777" w:rsidR="00D075F6" w:rsidRDefault="00734411">
            <w:r>
              <w:t>Fidelidad local, estabilidad, complejidad, coste</w:t>
            </w:r>
          </w:p>
        </w:tc>
        <w:tc>
          <w:tcPr>
            <w:tcW w:w="1584" w:type="dxa"/>
          </w:tcPr>
          <w:p w14:paraId="176F3C0B" w14:textId="77777777" w:rsidR="00D075F6" w:rsidRDefault="00734411">
            <w:r>
              <w:t>Sensibilidad al muestreo, vecindarios artificiales, manipulabilidad post-hoc</w:t>
            </w:r>
          </w:p>
        </w:tc>
        <w:tc>
          <w:tcPr>
            <w:tcW w:w="1584" w:type="dxa"/>
          </w:tcPr>
          <w:p w14:paraId="215F3FC6" w14:textId="77777777" w:rsidR="00D075F6" w:rsidRDefault="00734411">
            <w:r>
              <w:t>Válido como aproximación local condicionada por parámetros documentados</w:t>
            </w:r>
          </w:p>
        </w:tc>
      </w:tr>
      <w:tr w:rsidR="00D075F6" w14:paraId="6C7A7785" w14:textId="77777777">
        <w:trPr>
          <w:jc w:val="center"/>
        </w:trPr>
        <w:tc>
          <w:tcPr>
            <w:tcW w:w="1584" w:type="dxa"/>
          </w:tcPr>
          <w:p w14:paraId="4F2CACB8" w14:textId="77777777" w:rsidR="00D075F6" w:rsidRDefault="00734411">
            <w:r>
              <w:t>SHAP</w:t>
            </w:r>
          </w:p>
        </w:tc>
        <w:tc>
          <w:tcPr>
            <w:tcW w:w="1584" w:type="dxa"/>
          </w:tcPr>
          <w:p w14:paraId="7FEAFEA2" w14:textId="77777777" w:rsidR="00D075F6" w:rsidRDefault="00734411">
            <w:r>
              <w:t>Atribución aditiva de características</w:t>
            </w:r>
          </w:p>
        </w:tc>
        <w:tc>
          <w:tcPr>
            <w:tcW w:w="1584" w:type="dxa"/>
          </w:tcPr>
          <w:p w14:paraId="75378D5A" w14:textId="77777777" w:rsidR="00D075F6" w:rsidRDefault="00734411">
            <w:r>
              <w:t>Consistencia atributiva, coste, estabilidad, sensibilidad al conjunto de referencia</w:t>
            </w:r>
          </w:p>
        </w:tc>
        <w:tc>
          <w:tcPr>
            <w:tcW w:w="1584" w:type="dxa"/>
          </w:tcPr>
          <w:p w14:paraId="6F36A350" w14:textId="77777777" w:rsidR="00D075F6" w:rsidRDefault="00734411">
            <w:r>
              <w:t>Coste elevado, supuestos sobre ausencia/presencia de variables, lectura causal indebida</w:t>
            </w:r>
          </w:p>
        </w:tc>
        <w:tc>
          <w:tcPr>
            <w:tcW w:w="1584" w:type="dxa"/>
          </w:tcPr>
          <w:p w14:paraId="1E242A60" w14:textId="77777777" w:rsidR="00D075F6" w:rsidRDefault="00734411">
            <w:r>
              <w:t>Válido como perfil de atribución bajo variante y referencia especificadas</w:t>
            </w:r>
          </w:p>
        </w:tc>
      </w:tr>
      <w:tr w:rsidR="00D075F6" w14:paraId="594D97E5" w14:textId="77777777">
        <w:trPr>
          <w:jc w:val="center"/>
        </w:trPr>
        <w:tc>
          <w:tcPr>
            <w:tcW w:w="1584" w:type="dxa"/>
          </w:tcPr>
          <w:p w14:paraId="31481092" w14:textId="77777777" w:rsidR="00D075F6" w:rsidRDefault="00734411">
            <w:r>
              <w:t>Anchors</w:t>
            </w:r>
          </w:p>
        </w:tc>
        <w:tc>
          <w:tcPr>
            <w:tcW w:w="1584" w:type="dxa"/>
          </w:tcPr>
          <w:p w14:paraId="34B07034" w14:textId="77777777" w:rsidR="00D075F6" w:rsidRDefault="00734411">
            <w:r>
              <w:t>Regla local de alta precisión</w:t>
            </w:r>
          </w:p>
        </w:tc>
        <w:tc>
          <w:tcPr>
            <w:tcW w:w="1584" w:type="dxa"/>
          </w:tcPr>
          <w:p w14:paraId="6FCD5973" w14:textId="77777777" w:rsidR="00D075F6" w:rsidRDefault="00734411">
            <w:r>
              <w:t>Precisión, cobertura, complejidad de regla, reproducibilidad</w:t>
            </w:r>
          </w:p>
        </w:tc>
        <w:tc>
          <w:tcPr>
            <w:tcW w:w="1584" w:type="dxa"/>
          </w:tcPr>
          <w:p w14:paraId="33ED7375" w14:textId="77777777" w:rsidR="00D075F6" w:rsidRDefault="00734411">
            <w:r>
              <w:t>Reglas demasiado estrechas, cobertura limitada, comparación difícil con atribuciones</w:t>
            </w:r>
          </w:p>
        </w:tc>
        <w:tc>
          <w:tcPr>
            <w:tcW w:w="1584" w:type="dxa"/>
          </w:tcPr>
          <w:p w14:paraId="377331E3" w14:textId="77777777" w:rsidR="00D075F6" w:rsidRDefault="00734411">
            <w:r>
              <w:t>Válido como evidencia condicional cuando precisión y cobertura se reportan juntas</w:t>
            </w:r>
          </w:p>
        </w:tc>
      </w:tr>
      <w:tr w:rsidR="00D075F6" w14:paraId="211FBAEF" w14:textId="77777777">
        <w:trPr>
          <w:jc w:val="center"/>
        </w:trPr>
        <w:tc>
          <w:tcPr>
            <w:tcW w:w="1584" w:type="dxa"/>
          </w:tcPr>
          <w:p w14:paraId="10C92282" w14:textId="77777777" w:rsidR="00D075F6" w:rsidRDefault="00734411">
            <w:r>
              <w:t>DiCE</w:t>
            </w:r>
          </w:p>
        </w:tc>
        <w:tc>
          <w:tcPr>
            <w:tcW w:w="1584" w:type="dxa"/>
          </w:tcPr>
          <w:p w14:paraId="0F3D8170" w14:textId="77777777" w:rsidR="00D075F6" w:rsidRDefault="00734411">
            <w:r>
              <w:t>Conjunto de contrafactuales diversos</w:t>
            </w:r>
          </w:p>
        </w:tc>
        <w:tc>
          <w:tcPr>
            <w:tcW w:w="1584" w:type="dxa"/>
          </w:tcPr>
          <w:p w14:paraId="459B5F9B" w14:textId="77777777" w:rsidR="00D075F6" w:rsidRDefault="00734411">
            <w:r>
              <w:t>Validez, proximidad, diversidad, factibilidad, accionabilidad</w:t>
            </w:r>
          </w:p>
        </w:tc>
        <w:tc>
          <w:tcPr>
            <w:tcW w:w="1584" w:type="dxa"/>
          </w:tcPr>
          <w:p w14:paraId="74AFA6CE" w14:textId="77777777" w:rsidR="00D075F6" w:rsidRDefault="00734411">
            <w:r>
              <w:t>Cambios imposibles, recourse no garantizado, confundir cambio de etiqueta con acción real</w:t>
            </w:r>
          </w:p>
        </w:tc>
        <w:tc>
          <w:tcPr>
            <w:tcW w:w="1584" w:type="dxa"/>
          </w:tcPr>
          <w:p w14:paraId="119F2373" w14:textId="77777777" w:rsidR="00D075F6" w:rsidRDefault="00734411">
            <w:r>
              <w:t>Válido como evidencia contrafactual bajo restricciones de factibilidad explicitadas</w:t>
            </w:r>
          </w:p>
        </w:tc>
      </w:tr>
    </w:tbl>
    <w:p w14:paraId="59533997" w14:textId="77777777" w:rsidR="00D075F6" w:rsidRDefault="00734411">
      <w:pPr>
        <w:pStyle w:val="BodyText"/>
      </w:pPr>
      <w:r>
        <w:t xml:space="preserve">La matriz también muestra que la comparación entre métodos es necesariamente asimétrica. LIME y SHAP pueden compararse parcialmente en términos de atribución o fidelidad local, pero Anchors introduce cobertura de regla y DiCE introduce accionabilidad contrafactual. Si el protocolo fuerza una escala única, puede castigar a un método por no producir el tipo de artefacto que la métrica </w:t>
      </w:r>
      <w:r>
        <w:t>espera. FOM-7 evita ese error al requerir que cada conclusión especifique el constructo evaluado y el tipo de objeto explicativo al que se aplica (Mothilal 2020; Ribeiro 2018; Lundberg 2017; Karimi et al. 2022).</w:t>
      </w:r>
    </w:p>
    <w:p w14:paraId="68D53CBB" w14:textId="77777777" w:rsidR="00D075F6" w:rsidRDefault="00734411">
      <w:pPr>
        <w:pStyle w:val="Heading2"/>
      </w:pPr>
      <w:bookmarkStart w:id="70" w:name="X56f8700cbeeed185eff27b2505360753d99a361"/>
      <w:bookmarkStart w:id="71" w:name="_Toc241413261"/>
      <w:bookmarkEnd w:id="68"/>
      <w:r>
        <w:t>2.7 Reproducibilidad y trazabilidad en benchmarking XAI</w:t>
      </w:r>
      <w:bookmarkEnd w:id="71"/>
    </w:p>
    <w:p w14:paraId="5787BAD5" w14:textId="77777777" w:rsidR="00D075F6" w:rsidRDefault="00734411">
      <w:r>
        <w:t xml:space="preserve">La reproducibilidad en XAI no se limita a publicar código. Un benchmark de explicaciones depende de versiones de datos, modelos, semillas, hiperparámetros, métodos de perturbación, parámetros de explicadores, definiciones de métricas y </w:t>
      </w:r>
      <w:r>
        <w:t>reglas de agregación. Si estos elementos no se registran, dos estudios pueden usar el mismo nombre de método y producir evidencia no comparable. La reproducibilidad requiere entonces una descripción del pipeline completo (Hedström et al. 2023; Nauta et al. 2023).</w:t>
      </w:r>
    </w:p>
    <w:p w14:paraId="0D17629C" w14:textId="77777777" w:rsidR="00D075F6" w:rsidRDefault="00734411">
      <w:pPr>
        <w:pStyle w:val="BodyText"/>
      </w:pPr>
      <w:r>
        <w:t xml:space="preserve">La literatura de evaluación XAI muestra que esta exigencia es particularmente delicada porque las explicaciones suelen depender de decisiones que parecen menores: una semilla, un conjunto de referencia, una forma de imputar ausencia </w:t>
      </w:r>
      <w:r>
        <w:t>de variables, un umbral de regla o un generador de perturbaciones. Cuando esas decisiones no se documentan, el resultado puede parecer una propiedad estable del método aunque en realidad sea una propiedad de una configuración concreta. Por eso, el paso desde evaluación anecdótica hacia evaluación cuantitativa debe acompañarse de una disciplina de trazabilidad: no basta con que una métrica exista, debe poder reconstruirse como parte de un experimento completo (Nauta et al. 2023; Hedström et al. 2023).</w:t>
      </w:r>
    </w:p>
    <w:p w14:paraId="552EBD5B" w14:textId="77777777" w:rsidR="00D075F6" w:rsidRDefault="00734411">
      <w:pPr>
        <w:pStyle w:val="BodyText"/>
      </w:pPr>
      <w:r>
        <w:t>FOM-7 incorpora esta preocupación mediante una secuencia de control: congelar el diseño experimental, calificar artefactos, ejecutar métricas armonizadas, aplicar criterios estadísticos, perfilar reproducibilidad y mapear afirmaciones a evidencia. Esta secuencia evita que los resultados se presenten como conclusiones generales sin indicar las condiciones que los sostienen.</w:t>
      </w:r>
    </w:p>
    <w:p w14:paraId="7D233F38" w14:textId="77777777" w:rsidR="00D075F6" w:rsidRDefault="00734411">
      <w:pPr>
        <w:pStyle w:val="BodyText"/>
      </w:pPr>
      <w:r>
        <w:t xml:space="preserve">Esta secuencia también protege contra un problema frecuente en revisiones </w:t>
      </w:r>
      <w:r>
        <w:t>comparativas: la conversión de resultados de herramienta en conclusiones de teoría. Un toolkit puede calcular métricas correctamente y, aun así, el estudio puede sobreinterpretar el resultado si no distingue entre constructo medido, objeto explicativo y alcance del dataset. Los sanity checks de métricas y las críticas a explicaciones post-hoc muestran que tanto los explicadores como los instrumentos de evaluación pueden fallar de maneras no obvias (Tomsett et al. 2020; Slack et al. 2020; Laugel et al. 2019)</w:t>
      </w:r>
      <w:r>
        <w:t>. FOM-7 responde a esta vulnerabilidad haciendo que la calificación del artefacto y la admisibilidad del claim sean pasos explícitos, no inferencias dejadas al lector.</w:t>
      </w:r>
    </w:p>
    <w:p w14:paraId="4C3D4E84" w14:textId="77777777" w:rsidR="00D075F6" w:rsidRDefault="00734411">
      <w:pPr>
        <w:pStyle w:val="BodyText"/>
      </w:pPr>
      <w:r>
        <w:t xml:space="preserve">La trazabilidad de afirmaciones es especialmente relevante para una tesis doctoral. Cada afirmación fuerte debe poder regresar a una tabla, figura, métrica, prueba estadística o decisión metodológica. Si se afirma que un método es más estable, debe quedar claro en qué dataset, modelo, configuración, </w:t>
      </w:r>
      <w:r>
        <w:t>vecindario, semilla y métrica se observó esa estabilidad. Si se afirma que un método es preferible, debe específicarse preferible respecto a qué criterio y bajo qué restricciones.</w:t>
      </w:r>
    </w:p>
    <w:p w14:paraId="66F9EB80" w14:textId="77777777" w:rsidR="00D075F6" w:rsidRDefault="00734411">
      <w:pPr>
        <w:pStyle w:val="BodyText"/>
      </w:pPr>
      <w:r>
        <w:t xml:space="preserve">Esta disciplina también protege contra sobreclaiming. FOM-7 no convierte la evaluación functionally-grounded en evidencia application-grounded. Tampoco pretende resolver todos los problemas human-centered de la XAI. Su contribución es más precisa: construir un protocolo operacional para producir evidencia </w:t>
      </w:r>
      <w:r>
        <w:t>multinivel, reproducible y trazable en un benchmark de explicaciones post-hoc.</w:t>
      </w:r>
    </w:p>
    <w:p w14:paraId="1CCC8DA1" w14:textId="77777777" w:rsidR="00D075F6" w:rsidRDefault="00734411">
      <w:pPr>
        <w:pStyle w:val="BodyText"/>
      </w:pPr>
      <w:r>
        <w:t xml:space="preserve">La consecuencia práctica es que cada tabla de resultados debe leerse como una tabla de evidencia condicionada. Un valor de fidelidad pertenece a una combinación de modelo, dataset, explicador, perturbación y criterio de agregación. Un valor de estabilidad pertenece a una definición de vecindario y a una clase de variación. Una medición de coste pertenece a una configuración de </w:t>
      </w:r>
      <w:r>
        <w:t>hardware, implementación y parámetros. Sin esta información, la comparación puede ser útil como orientación preliminar, pero débil como evidencia doctoral. Con esta información, en cambio, la tesis puede formular conclusiones delimitadas y auditables: no “este explicador es mejor”, sino “este explicador exhibe mayor estabilidad bajo estas condiciones y con este criterio de medición”. Ese cambio de lenguaje es una parte sustantiva de la contribución metodológica.</w:t>
      </w:r>
    </w:p>
    <w:p w14:paraId="6E622430" w14:textId="77777777" w:rsidR="00D075F6" w:rsidRDefault="00734411">
      <w:pPr>
        <w:pStyle w:val="Heading2"/>
      </w:pPr>
      <w:bookmarkStart w:id="72" w:name="síntesis-crítica-justificación-de-fom-7"/>
      <w:bookmarkStart w:id="73" w:name="_Toc241413262"/>
      <w:bookmarkEnd w:id="70"/>
      <w:r>
        <w:t>2.8 Síntesis crítica: justificación de FOM-7</w:t>
      </w:r>
      <w:bookmarkEnd w:id="73"/>
    </w:p>
    <w:p w14:paraId="46134950" w14:textId="77777777" w:rsidR="00D075F6" w:rsidRDefault="00734411">
      <w:r>
        <w:t>La revisión permite formular la brecha central de la tesis. La literatura ofrece métodos de explicación influyentes, como LIME, SHAP, Anchors y DiCE. También ofrece marcos de evaluación y toolkits, como Quantus y OpenXAI. Además, dispone de taxonomías conceptuales que distinguen tipos de evaluación, constructos métricos y niveles de participación humana. El problema, por tanto, no es la ausencia total de recursos teóricos o técnicos.</w:t>
      </w:r>
    </w:p>
    <w:p w14:paraId="6CF04FE9" w14:textId="77777777" w:rsidR="00D075F6" w:rsidRDefault="00734411">
      <w:pPr>
        <w:pStyle w:val="BodyText"/>
      </w:pPr>
      <w:r>
        <w:t xml:space="preserve">La brecha reside en la integración operacional. En la práctica, evaluar XAI para fines comparativos exige responder preguntas encadenadas: qué artefactos son admisibles, qué métodos se comparan, bajo qué datasets y modelos, con qué parámetros, mediante qué métricas, con qué controles estadísticos, bajo qué criterios de reproducibilidad y con qué límites de interpretación. Cuando estas decisiones no se integran en un protocolo, la evaluación puede producir tablas </w:t>
      </w:r>
      <w:r>
        <w:t>aparentemente rigurosas pero débiles como evidencia científica.</w:t>
      </w:r>
    </w:p>
    <w:p w14:paraId="5A369348" w14:textId="77777777" w:rsidR="00D075F6" w:rsidRDefault="00734411">
      <w:pPr>
        <w:pStyle w:val="BodyText"/>
      </w:pPr>
      <w:r>
        <w:t xml:space="preserve">Esta brecha no debe formularse como una descalificación de los marcos existentes. Quantus, OpenXAI y las revisiones sistemáticas recientes representan avances reales hacia la estandarización, la comparabilidad y la cuantificación de explicaciones (Hedström et al. 2023; Agarwal et al. 2022; Nauta et al. 2023). La tesis no afirma que esos recursos sean insuficientes en términos absolutos, sino que no agotan </w:t>
      </w:r>
      <w:r>
        <w:t>la necesidad de un protocolo situado que gobierne el ciclo completo de evidencia en este estudio. La diferencia es sutil pero decisiva: un toolkit puede ofrecer métricas; un protocolo doctoral debe decir cuándo esas métricas son admisibles, cómo se documentan, cómo se comparan, qué inferencias permiten y qué límites conservan.</w:t>
      </w:r>
    </w:p>
    <w:p w14:paraId="7ABD11E3" w14:textId="77777777" w:rsidR="00D075F6" w:rsidRDefault="00734411">
      <w:pPr>
        <w:pStyle w:val="BodyText"/>
      </w:pPr>
      <w:r>
        <w:t xml:space="preserve">La revisión también muestra que las familias de explicación no comparten una ontología única. LIME produce sustitutos locales; SHAP produce atribuciones; </w:t>
      </w:r>
      <w:r>
        <w:t xml:space="preserve">Anchors produce reglas; DiCE produce contrafactuales. Esta diversidad implica que el protocolo no puede asumir una equivalencia natural entre salidas explicativas. La comparación debe ser multinivel porque cada método se relaciona de manera distinta con fidelidad, estabilidad, coste, cobertura, accionabilidad y utilidad. La matriz anterior formaliza esta asimetría y convierte una observación teórica en una regla metodológica: ninguna conclusión comparativa </w:t>
      </w:r>
      <w:r>
        <w:t>puede separarse del tipo de objeto explicativo que la sostiene.</w:t>
      </w:r>
    </w:p>
    <w:p w14:paraId="42641E69" w14:textId="77777777" w:rsidR="00D075F6" w:rsidRDefault="00734411">
      <w:pPr>
        <w:pStyle w:val="BodyText"/>
      </w:pPr>
      <w:r>
        <w:t xml:space="preserve">El tercer elemento de la brecha es la admisibilidad estadística. Una diferencia observada entre métodos no basta para sostener una afirmación doctoral si no se acompaña de controles sobre variabilidad, repetición, comparabilidad y alcance. La literatura de benchmarking XAI ha avanzado al ofrecer métricas y esquemas de evaluación, pero el paso desde resultado numérico hasta claim requiere una capa </w:t>
      </w:r>
      <w:r>
        <w:t>de decisión metodológica. FOM-7 ubica esa capa dentro del protocolo: antes de declarar superioridad, preferencia o robustez, el estudio debe establecer si el resultado es estable, si la prueba estadística es apropiada, si los artefactos son comparables y si la conclusión respeta el constructo evaluado.</w:t>
      </w:r>
    </w:p>
    <w:p w14:paraId="15EF802F" w14:textId="77777777" w:rsidR="00D075F6" w:rsidRDefault="00734411">
      <w:pPr>
        <w:pStyle w:val="BodyText"/>
      </w:pPr>
      <w:r>
        <w:t xml:space="preserve">El cuarto elemento es la trazabilidad. En una tesis doctoral, la credibilidad no depende solo de tener resultados, sino de que el lector pueda seguir el camino </w:t>
      </w:r>
      <w:r>
        <w:t xml:space="preserve">desde una afirmación hasta sus condiciones de producción. Esta trazabilidad incluye referencias bibliográficas, definiciones conceptuales, decisiones de diseño, configuraciones experimentales, métricas, pruebas estadísticas y limitaciones. FOM-7 convierte esta exigencia en arquitectura: cada claim debe vincularse con evidencia identificable y cada evidencia debe declarar su alcance interpretativo. Así, el protocolo evita que la literatura revise conceptos por </w:t>
      </w:r>
      <w:r>
        <w:t>un lado y los experimentos reporten cifras por otro, sin un puente claro entre ambos.</w:t>
      </w:r>
    </w:p>
    <w:p w14:paraId="20153CFB" w14:textId="77777777" w:rsidR="00D075F6" w:rsidRDefault="00734411">
      <w:pPr>
        <w:pStyle w:val="BodyText"/>
      </w:pPr>
      <w:r>
        <w:t xml:space="preserve">FOM-7 se justifica como respuesta a esa brecha. Su aporte no es proponer una métrica aislada ni afirmar que un método de explicación domina universalmente a los demás. Su aporte es estructurar un proceso de evaluación multinivel que conecta diseño experimental, calificación de artefactos, medición, admisibilidad estadística, reproducibilidad y trazabilidad de claims. Esta </w:t>
      </w:r>
      <w:r>
        <w:t>conexión permite que las conclusiones de la tesis sean evaluables, replicables y delimitadas.</w:t>
      </w:r>
    </w:p>
    <w:p w14:paraId="69D11B9C" w14:textId="77777777" w:rsidR="00D075F6" w:rsidRDefault="00734411">
      <w:pPr>
        <w:pStyle w:val="BodyText"/>
      </w:pPr>
      <w:r>
        <w:t xml:space="preserve">En consecuencia, FOM-7 puede describirse como una contribución de gobernanza metodológica para evaluación XAI. No compite con LIME, SHAP, Anchors o DiCE, porque no es un explicador. No compite con Quantus u OpenXAI como librería de métricas, porque su foco no es ampliar el catálogo de implementaciones. Su espacio propio está en coordinar los pasos que permiten convertir explicaciones </w:t>
      </w:r>
      <w:r>
        <w:t>y métricas en evidencia científica: selección de artefactos, congelamiento de condiciones, ejecución comparable, análisis estadístico, perfil reproducible y claim trazable. Esta posición hace que la contribución sea defendible sin sobreclaiming.</w:t>
      </w:r>
    </w:p>
    <w:p w14:paraId="161D12E1" w14:textId="77777777" w:rsidR="00D075F6" w:rsidRDefault="00734411">
      <w:pPr>
        <w:pStyle w:val="BodyText"/>
      </w:pPr>
      <w:r>
        <w:t xml:space="preserve">El capítulo también delimita lo que FOM-7 no demuestra. No demuestra utilidad humana directa, porque esa afirmación requeriría estudios human-grounded o application-grounded específicos (Doshi-Velez 2017; Hase y Bansal 2020; Rong et al. 2024). No </w:t>
      </w:r>
      <w:r>
        <w:t>demuestra verdad causal de las explicaciones, porque las métricas functionally-grounded operan sobre proxies definidos. No demuestra superioridad universal de un método, porque los métodos producen objetos heterogéneos y responden a constructos distintos. Estas limitaciones no debilitan la tesis; al contrario, fortalecen su precisión. Un protocolo doctoral robusto no elimina los límites, los vuelve visibles y auditables.</w:t>
      </w:r>
    </w:p>
    <w:p w14:paraId="746A0818" w14:textId="77777777" w:rsidR="00D075F6" w:rsidRDefault="00734411">
      <w:pPr>
        <w:pStyle w:val="BodyText"/>
      </w:pPr>
      <w:r>
        <w:t xml:space="preserve">Desde esta perspectiva, el capítulo 2 cumple una función argumentativa: </w:t>
      </w:r>
      <w:r>
        <w:t>demuestra que la XAI ha madurado como campo de métodos, que la evaluación ha avanzado mediante taxonomías y toolkits, y que aún falta una capa operacional que gobierne el paso desde resultados métricos hacia afirmaciones científicas. Esa capa es el espacio de contribución de FOM-7 y el puente conceptual hacia el diseño experimental desarrollado en el capítulo siguiente.</w:t>
      </w:r>
    </w:p>
    <w:p w14:paraId="22C57010" w14:textId="77777777" w:rsidR="00D075F6" w:rsidRDefault="00734411">
      <w:pPr>
        <w:pStyle w:val="BodyText"/>
      </w:pPr>
      <w:r>
        <w:t xml:space="preserve">Este capítulo ha establecido el fundamento conceptual que sostiene la propuesta </w:t>
      </w:r>
      <w:r>
        <w:t xml:space="preserve">FOM-7. La revisión muestra que la literatura dispone de explicadores maduros, toolkits de evaluación funcionales y taxonomías conceptuales que distinguen niveles de evidencia —pero ningún protocolo operativo que gobierne el ciclo completo desde el diseño experimental hasta la trazabilidad de afirmaciones. Las dos subsecciones finales —evaluación human-centered y reproducibilidad en XAI— sitúan esa brecha en su contexto más amplio: la reproducibilidad es un requisito </w:t>
      </w:r>
      <w:r>
        <w:t>de validez científica y un requisito normativo emergente; la evaluación centrada en el usuario es una dimensión de calidad que el benchmark puede delimitar, pero no sustituir. La consecuencia operativa de esta revisión es que el Capítulo 3 no puede limitarse a describir qué métricas se calculan: debe especificar bajo qué condiciones experimentales son admisibles, qué artefactos las sostienen y qué inferencias permiten. Esa especificación es el diseño de FOM-7.</w:t>
      </w:r>
    </w:p>
    <w:p w14:paraId="0B68ECA8" w14:textId="77777777" w:rsidR="00D075F6" w:rsidRDefault="00734411">
      <w:pPr>
        <w:pStyle w:val="Heading1"/>
      </w:pPr>
      <w:bookmarkStart w:id="74" w:name="marco-empírico-y-diseño-experimental"/>
      <w:bookmarkStart w:id="75" w:name="_Toc241413263"/>
      <w:bookmarkEnd w:id="43"/>
      <w:bookmarkEnd w:id="72"/>
      <w:r>
        <w:t xml:space="preserve">Capítulo 3. </w:t>
      </w:r>
      <w:r>
        <w:t>Marco empírico y diseño experimental</w:t>
      </w:r>
      <w:bookmarkEnd w:id="75"/>
    </w:p>
    <w:p w14:paraId="534BB083" w14:textId="77777777" w:rsidR="00D075F6" w:rsidRDefault="00734411">
      <w:r>
        <w:t xml:space="preserve">Este capítulo describe el diseño empírico de los dos estudios que conforman el núcleo cuantitativo de la tesis: el benchmark multinivel de métodos agnósticos (el Estudio Omnibus Multimétrico) y la comparación pareada enfocada entre LIME y SHAP (el Estudio Pareado LIME–SHAP). Ambos estudios comparten el mismo pipeline experimental, el mismo conjunto de datos y los mismos artefactos de modelo, y se distinguen por el alcance del análisis inferencial: el estudio </w:t>
      </w:r>
      <w:r>
        <w:t xml:space="preserve">omnibus evalúa los cuatro métodos sobre el diseño factorial completo; el estudio pareado restringe la inferencia confirmativa al subconjunto pareado LIME-SHAP. El capítulo se organiza en ocho secciones: las dos fases experimentales (EXP1 y EXP2), el conjunto de datos y el protocolo de preprocesamiento, el diseño factorial, las configuraciones de los explicadores, la operacionalización de las métricas, el protocolo FOM-7, el análisis de cobertura de artefactos, y el plan de inferencia estadística. Las </w:t>
      </w:r>
      <w:r>
        <w:t>amenazas a la validez y el inventario de recursos de reproducibilidad figuran en el Apéndice A.</w:t>
      </w:r>
    </w:p>
    <w:p w14:paraId="19BF765F" w14:textId="77777777" w:rsidR="00D075F6" w:rsidRDefault="00734411">
      <w:pPr>
        <w:pStyle w:val="BodyText"/>
      </w:pPr>
      <w:r>
        <w:t xml:space="preserve">El diseño traduce los constructos definidos en el Capítulo 2 a decisiones operativas: fidelidad, estabilidad, robustez, complejidad, coste computacional, calificación de artefactos, admisibilidad estadística y trazabilidad de claims. Esta traducción es deliberadamente functionally-grounded: las métricas producen evidencia computacional reproducible, no evidencia directa de utilidad humana ni </w:t>
      </w:r>
      <w:r>
        <w:t>de verdad causal de las explicaciones (Doshi-Velez 2017; Hedström et al. 2023; Nauta et al. 2023).</w:t>
      </w:r>
    </w:p>
    <w:p w14:paraId="612CD9C0" w14:textId="77777777" w:rsidR="00D075F6" w:rsidRDefault="00734411">
      <w:pPr>
        <w:pStyle w:val="Heading2"/>
      </w:pPr>
      <w:bookmarkStart w:id="76" w:name="fases-experimentales-exp1-y-exp2"/>
      <w:bookmarkStart w:id="77" w:name="_Toc241413264"/>
      <w:r>
        <w:t>3.1 Fases experimentales: EXP1 y EXP2</w:t>
      </w:r>
      <w:bookmarkEnd w:id="77"/>
    </w:p>
    <w:p w14:paraId="10AA8048" w14:textId="77777777" w:rsidR="00D075F6" w:rsidRDefault="00734411">
      <w:r>
        <w:t>El diseño experimental distingue dos cohortes de evidencia con roles diferenciados, siguiendo el principio de separación entre actividades de calibración y afirmaciones confirmativas (Hedström et al. 2023; Zheng et al. 2025).</w:t>
      </w:r>
    </w:p>
    <w:p w14:paraId="78080259" w14:textId="77777777" w:rsidR="00D075F6" w:rsidRDefault="00734411">
      <w:pPr>
        <w:pStyle w:val="Heading3"/>
      </w:pPr>
      <w:bookmarkStart w:id="78" w:name="X32cac70d6076bcfbcdceb21da7e13d3984b2a1d"/>
      <w:bookmarkStart w:id="79" w:name="_Toc241413265"/>
      <w:r>
        <w:t>3.1.1 Fase de calibración y reproducibilidad (EXP1)</w:t>
      </w:r>
      <w:bookmarkEnd w:id="79"/>
    </w:p>
    <w:p w14:paraId="664F1960" w14:textId="77777777" w:rsidR="00D075F6" w:rsidRDefault="00734411">
      <w:r>
        <w:t xml:space="preserve">La Fase EXP1 tiene por objetivos: verificar la correcta implementación del </w:t>
      </w:r>
      <w:r>
        <w:t>pipeline experimental, entrenar y congelar los artefactos de modelo compartidos por todos los explicadores en EXP2, y generar un perfil de reproducibilidad sobre configuraciones replicadas que permita cuantificar la dispersión métrica esperada bajo variación de semilla.</w:t>
      </w:r>
    </w:p>
    <w:p w14:paraId="038D5A43" w14:textId="77777777" w:rsidR="00D075F6" w:rsidRDefault="00734411">
      <w:pPr>
        <w:pStyle w:val="BodyText"/>
      </w:pPr>
      <w:r>
        <w:t xml:space="preserve">EXP1 opera sobre dos familias de modelos —bosque aleatorio (rf) y XGBoost (xgb)— y dos métodos explicadores —SHAP (modo árbol) y LIME— formando una cohorte de 75 ejecuciones planificadas. De estas, 66 resultaron analizables </w:t>
      </w:r>
      <w:r>
        <w:t>(88.0% de cobertura). Los modelos entrenados en EXP1 se congelan como artefactos repositorio bajo experiments/exp1_adult/models/ y son reutilizados sin reentrenamiento en EXP2, de modo que cualquier diferencia observada entre métodos en la fase primaria es atribuible al explicador y no a variación en el modelo subyacente.</w:t>
      </w:r>
    </w:p>
    <w:p w14:paraId="60CC5C68" w14:textId="77777777" w:rsidR="00D075F6" w:rsidRDefault="00734411">
      <w:pPr>
        <w:pStyle w:val="BodyText"/>
      </w:pPr>
      <w:r>
        <w:t xml:space="preserve">El rendimiento predictivo de los cinco modelos entrenados en EXP1 y evaluados sobre el conjunto de prueba (9,758 instancias, semilla 42) se muestra en la Tabla </w:t>
      </w:r>
      <w:hyperlink w:anchor="tbl-model-performance">
        <w:r>
          <w:rPr>
            <w:rStyle w:val="Hyperlink"/>
          </w:rPr>
          <w:t>3.1</w:t>
        </w:r>
      </w:hyperlink>
      <w:r>
        <w:t>. Los valores fueron extraídos directamente de los archivos experiments/exp1_adult/models/*/metrics.json del repositorio.</w:t>
      </w:r>
    </w:p>
    <w:tbl>
      <w:tblPr>
        <w:tblW w:w="5000" w:type="pct"/>
        <w:jc w:val="center"/>
        <w:tblLayout w:type="fixed"/>
        <w:tblLook w:val="0000" w:firstRow="0" w:lastRow="0" w:firstColumn="0" w:lastColumn="0" w:noHBand="0" w:noVBand="0"/>
      </w:tblPr>
      <w:tblGrid>
        <w:gridCol w:w="9576"/>
      </w:tblGrid>
      <w:tr w:rsidR="00D075F6" w14:paraId="450FA5E8" w14:textId="77777777">
        <w:trPr>
          <w:jc w:val="center"/>
        </w:trPr>
        <w:tc>
          <w:tcPr>
            <w:tcW w:w="7920" w:type="dxa"/>
          </w:tcPr>
          <w:p w14:paraId="1B01F818" w14:textId="77777777" w:rsidR="00D075F6" w:rsidRDefault="00734411">
            <w:pPr>
              <w:spacing w:before="200"/>
              <w:jc w:val="center"/>
            </w:pPr>
            <w:bookmarkStart w:id="80" w:name="tbl-model-performance"/>
            <w:r>
              <w:t>Tabla 3.1: Rendimiento predictivo de los modelos en el conjunto de prueba (</w:t>
            </w:r>
            <m:oMath>
              <m:r>
                <w:rPr>
                  <w:rFonts w:ascii="Cambria Math" w:hAnsi="Cambria Math"/>
                </w:rPr>
                <m:t>n</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758</m:t>
              </m:r>
            </m:oMath>
            <w:r>
              <w:t>, semilla 42). Valores extraídos de models/*/metrics.json. XGBoost lidera en todas las métricas; el perceptrón multicapa presenta el AUC-ROC más bajo pero supera el umbral de inclusión de 0.88.</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66"/>
              <w:gridCol w:w="2017"/>
              <w:gridCol w:w="2017"/>
              <w:gridCol w:w="1467"/>
              <w:gridCol w:w="733"/>
              <w:gridCol w:w="1650"/>
            </w:tblGrid>
            <w:tr w:rsidR="00D075F6" w14:paraId="55A7B0F8" w14:textId="77777777">
              <w:trPr>
                <w:tblHeader/>
                <w:jc w:val="center"/>
              </w:trPr>
              <w:tc>
                <w:tcPr>
                  <w:tcW w:w="1242" w:type="dxa"/>
                </w:tcPr>
                <w:p w14:paraId="3597834A" w14:textId="77777777" w:rsidR="00D075F6" w:rsidRDefault="00734411">
                  <w:pPr>
                    <w:jc w:val="center"/>
                  </w:pPr>
                  <w:r>
                    <w:rPr>
                      <w:b/>
                      <w:bCs/>
                    </w:rPr>
                    <w:t>Modelo</w:t>
                  </w:r>
                </w:p>
              </w:tc>
              <w:tc>
                <w:tcPr>
                  <w:tcW w:w="1708" w:type="dxa"/>
                </w:tcPr>
                <w:p w14:paraId="10948E2B" w14:textId="77777777" w:rsidR="00D075F6" w:rsidRDefault="00734411">
                  <w:pPr>
                    <w:jc w:val="center"/>
                  </w:pPr>
                  <w:r>
                    <w:rPr>
                      <w:b/>
                      <w:bCs/>
                    </w:rPr>
                    <w:t>Exactitud</w:t>
                  </w:r>
                </w:p>
              </w:tc>
              <w:tc>
                <w:tcPr>
                  <w:tcW w:w="1708" w:type="dxa"/>
                </w:tcPr>
                <w:p w14:paraId="2E1ECAC2" w14:textId="77777777" w:rsidR="00D075F6" w:rsidRDefault="00734411">
                  <w:pPr>
                    <w:jc w:val="center"/>
                  </w:pPr>
                  <w:r>
                    <w:rPr>
                      <w:b/>
                      <w:bCs/>
                    </w:rPr>
                    <w:t>Precisión</w:t>
                  </w:r>
                </w:p>
              </w:tc>
              <w:tc>
                <w:tcPr>
                  <w:tcW w:w="1242" w:type="dxa"/>
                </w:tcPr>
                <w:p w14:paraId="6E5544B9" w14:textId="77777777" w:rsidR="00D075F6" w:rsidRDefault="00734411">
                  <w:pPr>
                    <w:jc w:val="center"/>
                  </w:pPr>
                  <w:r>
                    <w:rPr>
                      <w:b/>
                      <w:bCs/>
                    </w:rPr>
                    <w:t>Recall</w:t>
                  </w:r>
                </w:p>
              </w:tc>
              <w:tc>
                <w:tcPr>
                  <w:tcW w:w="621" w:type="dxa"/>
                </w:tcPr>
                <w:p w14:paraId="583A5BA6" w14:textId="77777777" w:rsidR="00D075F6" w:rsidRDefault="00734411">
                  <w:pPr>
                    <w:jc w:val="center"/>
                  </w:pPr>
                  <w:r>
                    <w:rPr>
                      <w:b/>
                      <w:bCs/>
                    </w:rPr>
                    <w:t>F1</w:t>
                  </w:r>
                </w:p>
              </w:tc>
              <w:tc>
                <w:tcPr>
                  <w:tcW w:w="1397" w:type="dxa"/>
                </w:tcPr>
                <w:p w14:paraId="51DAE59E" w14:textId="77777777" w:rsidR="00D075F6" w:rsidRDefault="00734411">
                  <w:pPr>
                    <w:jc w:val="center"/>
                  </w:pPr>
                  <w:r>
                    <w:rPr>
                      <w:b/>
                      <w:bCs/>
                    </w:rPr>
                    <w:t>AUC-ROC</w:t>
                  </w:r>
                </w:p>
              </w:tc>
            </w:tr>
            <w:tr w:rsidR="00D075F6" w14:paraId="16D46416" w14:textId="77777777">
              <w:trPr>
                <w:jc w:val="center"/>
              </w:trPr>
              <w:tc>
                <w:tcPr>
                  <w:tcW w:w="1242" w:type="dxa"/>
                </w:tcPr>
                <w:p w14:paraId="1D3CFA61" w14:textId="77777777" w:rsidR="00D075F6" w:rsidRDefault="00734411">
                  <w:pPr>
                    <w:jc w:val="center"/>
                  </w:pPr>
                  <w:r>
                    <w:t>Regresión logística (logreg)</w:t>
                  </w:r>
                </w:p>
              </w:tc>
              <w:tc>
                <w:tcPr>
                  <w:tcW w:w="1708" w:type="dxa"/>
                </w:tcPr>
                <w:p w14:paraId="475E1E60" w14:textId="77777777" w:rsidR="00D075F6" w:rsidRDefault="00734411">
                  <w:pPr>
                    <w:jc w:val="center"/>
                  </w:pPr>
                  <w:r>
                    <w:t>0.849</w:t>
                  </w:r>
                </w:p>
              </w:tc>
              <w:tc>
                <w:tcPr>
                  <w:tcW w:w="1708" w:type="dxa"/>
                </w:tcPr>
                <w:p w14:paraId="00C01921" w14:textId="77777777" w:rsidR="00D075F6" w:rsidRDefault="00734411">
                  <w:pPr>
                    <w:jc w:val="center"/>
                  </w:pPr>
                  <w:r>
                    <w:t>0.842</w:t>
                  </w:r>
                </w:p>
              </w:tc>
              <w:tc>
                <w:tcPr>
                  <w:tcW w:w="1242" w:type="dxa"/>
                </w:tcPr>
                <w:p w14:paraId="6490A8B4" w14:textId="77777777" w:rsidR="00D075F6" w:rsidRDefault="00734411">
                  <w:pPr>
                    <w:jc w:val="center"/>
                  </w:pPr>
                  <w:r>
                    <w:t>0.849</w:t>
                  </w:r>
                </w:p>
              </w:tc>
              <w:tc>
                <w:tcPr>
                  <w:tcW w:w="621" w:type="dxa"/>
                </w:tcPr>
                <w:p w14:paraId="1CA4F78E" w14:textId="77777777" w:rsidR="00D075F6" w:rsidRDefault="00734411">
                  <w:pPr>
                    <w:jc w:val="center"/>
                  </w:pPr>
                  <w:r>
                    <w:t>0.844</w:t>
                  </w:r>
                </w:p>
              </w:tc>
              <w:tc>
                <w:tcPr>
                  <w:tcW w:w="1397" w:type="dxa"/>
                </w:tcPr>
                <w:p w14:paraId="7FB9D2AE" w14:textId="77777777" w:rsidR="00D075F6" w:rsidRDefault="00734411">
                  <w:pPr>
                    <w:jc w:val="center"/>
                  </w:pPr>
                  <w:r>
                    <w:t>0.903</w:t>
                  </w:r>
                </w:p>
              </w:tc>
            </w:tr>
            <w:tr w:rsidR="00D075F6" w14:paraId="16E45A00" w14:textId="77777777">
              <w:trPr>
                <w:jc w:val="center"/>
              </w:trPr>
              <w:tc>
                <w:tcPr>
                  <w:tcW w:w="1242" w:type="dxa"/>
                </w:tcPr>
                <w:p w14:paraId="6D1051AB" w14:textId="77777777" w:rsidR="00D075F6" w:rsidRDefault="00734411">
                  <w:pPr>
                    <w:jc w:val="center"/>
                  </w:pPr>
                  <w:r>
                    <w:t>Bosque aleatorio (rf)</w:t>
                  </w:r>
                </w:p>
              </w:tc>
              <w:tc>
                <w:tcPr>
                  <w:tcW w:w="1708" w:type="dxa"/>
                </w:tcPr>
                <w:p w14:paraId="2619F75F" w14:textId="77777777" w:rsidR="00D075F6" w:rsidRDefault="00734411">
                  <w:pPr>
                    <w:jc w:val="center"/>
                  </w:pPr>
                  <w:r>
                    <w:t>0.854</w:t>
                  </w:r>
                </w:p>
              </w:tc>
              <w:tc>
                <w:tcPr>
                  <w:tcW w:w="1708" w:type="dxa"/>
                </w:tcPr>
                <w:p w14:paraId="4D33C0DE" w14:textId="77777777" w:rsidR="00D075F6" w:rsidRDefault="00734411">
                  <w:pPr>
                    <w:jc w:val="center"/>
                  </w:pPr>
                  <w:r>
                    <w:t>0.849</w:t>
                  </w:r>
                </w:p>
              </w:tc>
              <w:tc>
                <w:tcPr>
                  <w:tcW w:w="1242" w:type="dxa"/>
                </w:tcPr>
                <w:p w14:paraId="557AD7D1" w14:textId="77777777" w:rsidR="00D075F6" w:rsidRDefault="00734411">
                  <w:pPr>
                    <w:jc w:val="center"/>
                  </w:pPr>
                  <w:r>
                    <w:t>0.854</w:t>
                  </w:r>
                </w:p>
              </w:tc>
              <w:tc>
                <w:tcPr>
                  <w:tcW w:w="621" w:type="dxa"/>
                </w:tcPr>
                <w:p w14:paraId="64B65E97" w14:textId="77777777" w:rsidR="00D075F6" w:rsidRDefault="00734411">
                  <w:pPr>
                    <w:jc w:val="center"/>
                  </w:pPr>
                  <w:r>
                    <w:t>0.851</w:t>
                  </w:r>
                </w:p>
              </w:tc>
              <w:tc>
                <w:tcPr>
                  <w:tcW w:w="1397" w:type="dxa"/>
                </w:tcPr>
                <w:p w14:paraId="4357B5C0" w14:textId="77777777" w:rsidR="00D075F6" w:rsidRDefault="00734411">
                  <w:pPr>
                    <w:jc w:val="center"/>
                  </w:pPr>
                  <w:r>
                    <w:t>0.902</w:t>
                  </w:r>
                </w:p>
              </w:tc>
            </w:tr>
            <w:tr w:rsidR="00D075F6" w14:paraId="619D014D" w14:textId="77777777">
              <w:trPr>
                <w:jc w:val="center"/>
              </w:trPr>
              <w:tc>
                <w:tcPr>
                  <w:tcW w:w="1242" w:type="dxa"/>
                </w:tcPr>
                <w:p w14:paraId="515D5DE8" w14:textId="77777777" w:rsidR="00D075F6" w:rsidRDefault="00734411">
                  <w:pPr>
                    <w:jc w:val="center"/>
                  </w:pPr>
                  <w:r>
                    <w:t>XGBoost (xgb)</w:t>
                  </w:r>
                </w:p>
              </w:tc>
              <w:tc>
                <w:tcPr>
                  <w:tcW w:w="1708" w:type="dxa"/>
                </w:tcPr>
                <w:p w14:paraId="05E8780F" w14:textId="77777777" w:rsidR="00D075F6" w:rsidRDefault="00734411">
                  <w:pPr>
                    <w:jc w:val="center"/>
                  </w:pPr>
                  <w:r>
                    <w:rPr>
                      <w:b/>
                      <w:bCs/>
                    </w:rPr>
                    <w:t>0.870</w:t>
                  </w:r>
                </w:p>
              </w:tc>
              <w:tc>
                <w:tcPr>
                  <w:tcW w:w="1708" w:type="dxa"/>
                </w:tcPr>
                <w:p w14:paraId="425284B5" w14:textId="77777777" w:rsidR="00D075F6" w:rsidRDefault="00734411">
                  <w:pPr>
                    <w:jc w:val="center"/>
                  </w:pPr>
                  <w:r>
                    <w:rPr>
                      <w:b/>
                      <w:bCs/>
                    </w:rPr>
                    <w:t>0.865</w:t>
                  </w:r>
                </w:p>
              </w:tc>
              <w:tc>
                <w:tcPr>
                  <w:tcW w:w="1242" w:type="dxa"/>
                </w:tcPr>
                <w:p w14:paraId="72B9E280" w14:textId="77777777" w:rsidR="00D075F6" w:rsidRDefault="00734411">
                  <w:pPr>
                    <w:jc w:val="center"/>
                  </w:pPr>
                  <w:r>
                    <w:rPr>
                      <w:b/>
                      <w:bCs/>
                    </w:rPr>
                    <w:t>0.870</w:t>
                  </w:r>
                </w:p>
              </w:tc>
              <w:tc>
                <w:tcPr>
                  <w:tcW w:w="621" w:type="dxa"/>
                </w:tcPr>
                <w:p w14:paraId="60334507" w14:textId="77777777" w:rsidR="00D075F6" w:rsidRDefault="00734411">
                  <w:pPr>
                    <w:jc w:val="center"/>
                  </w:pPr>
                  <w:r>
                    <w:rPr>
                      <w:b/>
                      <w:bCs/>
                    </w:rPr>
                    <w:t>0.865</w:t>
                  </w:r>
                </w:p>
              </w:tc>
              <w:tc>
                <w:tcPr>
                  <w:tcW w:w="1397" w:type="dxa"/>
                </w:tcPr>
                <w:p w14:paraId="29EC198D" w14:textId="77777777" w:rsidR="00D075F6" w:rsidRDefault="00734411">
                  <w:pPr>
                    <w:jc w:val="center"/>
                  </w:pPr>
                  <w:r>
                    <w:rPr>
                      <w:b/>
                      <w:bCs/>
                    </w:rPr>
                    <w:t>0.926</w:t>
                  </w:r>
                </w:p>
              </w:tc>
            </w:tr>
            <w:tr w:rsidR="00D075F6" w14:paraId="28BA3CBD" w14:textId="77777777">
              <w:trPr>
                <w:jc w:val="center"/>
              </w:trPr>
              <w:tc>
                <w:tcPr>
                  <w:tcW w:w="1242" w:type="dxa"/>
                </w:tcPr>
                <w:p w14:paraId="5F47C0F6" w14:textId="77777777" w:rsidR="00D075F6" w:rsidRDefault="00734411">
                  <w:pPr>
                    <w:jc w:val="center"/>
                  </w:pPr>
                  <w:r>
                    <w:t>Máquina de vectores soporte (svm)</w:t>
                  </w:r>
                </w:p>
              </w:tc>
              <w:tc>
                <w:tcPr>
                  <w:tcW w:w="1708" w:type="dxa"/>
                </w:tcPr>
                <w:p w14:paraId="5EC27CF9" w14:textId="77777777" w:rsidR="00D075F6" w:rsidRDefault="00734411">
                  <w:pPr>
                    <w:jc w:val="center"/>
                  </w:pPr>
                  <w:r>
                    <w:t>0.856</w:t>
                  </w:r>
                </w:p>
              </w:tc>
              <w:tc>
                <w:tcPr>
                  <w:tcW w:w="1708" w:type="dxa"/>
                </w:tcPr>
                <w:p w14:paraId="664153F7" w14:textId="77777777" w:rsidR="00D075F6" w:rsidRDefault="00734411">
                  <w:pPr>
                    <w:jc w:val="center"/>
                  </w:pPr>
                  <w:r>
                    <w:t>0.849</w:t>
                  </w:r>
                </w:p>
              </w:tc>
              <w:tc>
                <w:tcPr>
                  <w:tcW w:w="1242" w:type="dxa"/>
                </w:tcPr>
                <w:p w14:paraId="733F2011" w14:textId="77777777" w:rsidR="00D075F6" w:rsidRDefault="00734411">
                  <w:pPr>
                    <w:jc w:val="center"/>
                  </w:pPr>
                  <w:r>
                    <w:t>0.856</w:t>
                  </w:r>
                </w:p>
              </w:tc>
              <w:tc>
                <w:tcPr>
                  <w:tcW w:w="621" w:type="dxa"/>
                </w:tcPr>
                <w:p w14:paraId="57BE173F" w14:textId="77777777" w:rsidR="00D075F6" w:rsidRDefault="00734411">
                  <w:pPr>
                    <w:jc w:val="center"/>
                  </w:pPr>
                  <w:r>
                    <w:t>0.849</w:t>
                  </w:r>
                </w:p>
              </w:tc>
              <w:tc>
                <w:tcPr>
                  <w:tcW w:w="1397" w:type="dxa"/>
                </w:tcPr>
                <w:p w14:paraId="328EBB75" w14:textId="77777777" w:rsidR="00D075F6" w:rsidRDefault="00734411">
                  <w:pPr>
                    <w:jc w:val="center"/>
                  </w:pPr>
                  <w:r>
                    <w:t>0.898</w:t>
                  </w:r>
                </w:p>
              </w:tc>
            </w:tr>
            <w:tr w:rsidR="00D075F6" w14:paraId="527C3FC5" w14:textId="77777777">
              <w:trPr>
                <w:jc w:val="center"/>
              </w:trPr>
              <w:tc>
                <w:tcPr>
                  <w:tcW w:w="1242" w:type="dxa"/>
                </w:tcPr>
                <w:p w14:paraId="0BB8F235" w14:textId="77777777" w:rsidR="00D075F6" w:rsidRDefault="00734411">
                  <w:pPr>
                    <w:jc w:val="center"/>
                  </w:pPr>
                  <w:r>
                    <w:t>Perceptrón multicapa (mlp)</w:t>
                  </w:r>
                </w:p>
              </w:tc>
              <w:tc>
                <w:tcPr>
                  <w:tcW w:w="1708" w:type="dxa"/>
                </w:tcPr>
                <w:p w14:paraId="5130A309" w14:textId="77777777" w:rsidR="00D075F6" w:rsidRDefault="00734411">
                  <w:pPr>
                    <w:jc w:val="center"/>
                  </w:pPr>
                  <w:r>
                    <w:t>0.840</w:t>
                  </w:r>
                </w:p>
              </w:tc>
              <w:tc>
                <w:tcPr>
                  <w:tcW w:w="1708" w:type="dxa"/>
                </w:tcPr>
                <w:p w14:paraId="51EB6A8F" w14:textId="77777777" w:rsidR="00D075F6" w:rsidRDefault="00734411">
                  <w:pPr>
                    <w:jc w:val="center"/>
                  </w:pPr>
                  <w:r>
                    <w:t>0.833</w:t>
                  </w:r>
                </w:p>
              </w:tc>
              <w:tc>
                <w:tcPr>
                  <w:tcW w:w="1242" w:type="dxa"/>
                </w:tcPr>
                <w:p w14:paraId="4F63C511" w14:textId="77777777" w:rsidR="00D075F6" w:rsidRDefault="00734411">
                  <w:pPr>
                    <w:jc w:val="center"/>
                  </w:pPr>
                  <w:r>
                    <w:t>0.840</w:t>
                  </w:r>
                </w:p>
              </w:tc>
              <w:tc>
                <w:tcPr>
                  <w:tcW w:w="621" w:type="dxa"/>
                </w:tcPr>
                <w:p w14:paraId="418C0434" w14:textId="77777777" w:rsidR="00D075F6" w:rsidRDefault="00734411">
                  <w:pPr>
                    <w:jc w:val="center"/>
                  </w:pPr>
                  <w:r>
                    <w:t>0.835</w:t>
                  </w:r>
                </w:p>
              </w:tc>
              <w:tc>
                <w:tcPr>
                  <w:tcW w:w="1397" w:type="dxa"/>
                </w:tcPr>
                <w:p w14:paraId="338A0F5D" w14:textId="77777777" w:rsidR="00D075F6" w:rsidRDefault="00734411">
                  <w:pPr>
                    <w:jc w:val="center"/>
                  </w:pPr>
                  <w:r>
                    <w:t>0.885</w:t>
                  </w:r>
                </w:p>
              </w:tc>
            </w:tr>
            <w:bookmarkEnd w:id="80"/>
          </w:tbl>
          <w:p w14:paraId="03A7525F" w14:textId="77777777" w:rsidR="00D075F6" w:rsidRDefault="00D075F6"/>
        </w:tc>
      </w:tr>
    </w:tbl>
    <w:p w14:paraId="045C933F" w14:textId="77777777" w:rsidR="00D075F6" w:rsidRDefault="00734411">
      <w:pPr>
        <w:pStyle w:val="BodyText"/>
      </w:pPr>
      <w:r>
        <w:t xml:space="preserve">Todos los modelos superan los umbrales de inclusión definidos en el protocolo: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xml:space="preserve">. Esta dispersión inter-modelo es </w:t>
      </w:r>
      <w:r>
        <w:t>intencional: un benchmark robusto debe evaluar explicadores sobre modelos de distinta complejidad y tipo de frontera de decisión, incluyendo modelos lineales (logreg), de conjuntos de árboles (rf, xgb), con kernel (svm) y neuronales (mlp).</w:t>
      </w:r>
    </w:p>
    <w:p w14:paraId="6E8982D1" w14:textId="77777777" w:rsidR="00D075F6" w:rsidRDefault="00734411">
      <w:pPr>
        <w:pStyle w:val="BodyText"/>
      </w:pPr>
      <w:r>
        <w:t xml:space="preserve">El perfilado de reproducibilidad de EXP1 establece que las métricas de calidad presentan coeficientes de variación inferiores al 9% bajo variación de semilla: </w:t>
      </w:r>
      <m:oMath>
        <m:sSub>
          <m:sSubPr>
            <m:ctrlPr>
              <w:rPr>
                <w:rFonts w:ascii="Cambria Math" w:hAnsi="Cambria Math"/>
              </w:rPr>
            </m:ctrlPr>
          </m:sSubPr>
          <m:e>
            <m:r>
              <m:rPr>
                <m:nor/>
              </m:rPr>
              <m:t>CV</m:t>
            </m:r>
          </m:e>
          <m:sub>
            <m:r>
              <w:rPr>
                <w:rFonts w:ascii="Cambria Math" w:hAnsi="Cambria Math"/>
              </w:rPr>
              <m:t>F</m:t>
            </m:r>
          </m:sub>
        </m:sSub>
        <m:r>
          <m:rPr>
            <m:sty m:val="p"/>
          </m:rPr>
          <w:rPr>
            <w:rFonts w:ascii="Cambria Math" w:hAnsi="Cambria Math"/>
          </w:rPr>
          <m:t>≤</m:t>
        </m:r>
        <m:r>
          <w:rPr>
            <w:rFonts w:ascii="Cambria Math" w:hAnsi="Cambria Math"/>
          </w:rPr>
          <m:t>0.064</m:t>
        </m:r>
      </m:oMath>
      <w:r>
        <w:t xml:space="preserve">, </w:t>
      </w:r>
      <m:oMath>
        <m:sSub>
          <m:sSubPr>
            <m:ctrlPr>
              <w:rPr>
                <w:rFonts w:ascii="Cambria Math" w:hAnsi="Cambria Math"/>
              </w:rPr>
            </m:ctrlPr>
          </m:sSubPr>
          <m:e>
            <m:r>
              <m:rPr>
                <m:nor/>
              </m:rPr>
              <m:t>CV</m:t>
            </m:r>
          </m:e>
          <m:sub>
            <m:r>
              <w:rPr>
                <w:rFonts w:ascii="Cambria Math" w:hAnsi="Cambria Math"/>
              </w:rPr>
              <m:t>S</m:t>
            </m:r>
          </m:sub>
        </m:sSub>
        <m:r>
          <m:rPr>
            <m:sty m:val="p"/>
          </m:rPr>
          <w:rPr>
            <w:rFonts w:ascii="Cambria Math" w:hAnsi="Cambria Math"/>
          </w:rPr>
          <m:t>≤</m:t>
        </m:r>
        <m:r>
          <w:rPr>
            <w:rFonts w:ascii="Cambria Math" w:hAnsi="Cambria Math"/>
          </w:rPr>
          <m:t>0.083</m:t>
        </m:r>
      </m:oMath>
      <w:r>
        <w:t xml:space="preserve">, </w:t>
      </w:r>
      <m:oMath>
        <m:sSub>
          <m:sSubPr>
            <m:ctrlPr>
              <w:rPr>
                <w:rFonts w:ascii="Cambria Math" w:hAnsi="Cambria Math"/>
              </w:rPr>
            </m:ctrlPr>
          </m:sSubPr>
          <m:e>
            <m:r>
              <m:rPr>
                <m:nor/>
              </m:rPr>
              <m:t>CV</m:t>
            </m:r>
          </m:e>
          <m:sub>
            <m:r>
              <w:rPr>
                <w:rFonts w:ascii="Cambria Math" w:hAnsi="Cambria Math"/>
              </w:rPr>
              <m:t>P</m:t>
            </m:r>
          </m:sub>
        </m:sSub>
        <m:r>
          <m:rPr>
            <m:sty m:val="p"/>
          </m:rPr>
          <w:rPr>
            <w:rFonts w:ascii="Cambria Math" w:hAnsi="Cambria Math"/>
          </w:rPr>
          <m:t>≤</m:t>
        </m:r>
        <m:r>
          <w:rPr>
            <w:rFonts w:ascii="Cambria Math" w:hAnsi="Cambria Math"/>
          </w:rPr>
          <m:t>0.045</m:t>
        </m:r>
      </m:oMath>
      <w:r>
        <w:t xml:space="preserve">, </w:t>
      </w:r>
      <m:oMath>
        <m:sSub>
          <m:sSubPr>
            <m:ctrlPr>
              <w:rPr>
                <w:rFonts w:ascii="Cambria Math" w:hAnsi="Cambria Math"/>
              </w:rPr>
            </m:ctrlPr>
          </m:sSubPr>
          <m:e>
            <m:r>
              <m:rPr>
                <m:nor/>
              </m:rPr>
              <m:t>CV</m:t>
            </m:r>
          </m:e>
          <m:sub>
            <m:sSub>
              <m:sSubPr>
                <m:ctrlPr>
                  <w:rPr>
                    <w:rFonts w:ascii="Cambria Math" w:hAnsi="Cambria Math"/>
                  </w:rPr>
                </m:ctrlPr>
              </m:sSubPr>
              <m:e>
                <m:r>
                  <m:rPr>
                    <m:sty m:val="p"/>
                  </m:rPr>
                  <w:rPr>
                    <w:rFonts w:ascii="Cambria Math" w:hAnsi="Cambria Math"/>
                  </w:rPr>
                  <m:t>Δ</m:t>
                </m:r>
              </m:e>
              <m:sub>
                <m:r>
                  <w:rPr>
                    <w:rFonts w:ascii="Cambria Math" w:hAnsi="Cambria Math"/>
                  </w:rPr>
                  <m:t>k</m:t>
                </m:r>
              </m:sub>
            </m:sSub>
          </m:sub>
        </m:sSub>
        <m:r>
          <m:rPr>
            <m:sty m:val="p"/>
          </m:rPr>
          <w:rPr>
            <w:rFonts w:ascii="Cambria Math" w:hAnsi="Cambria Math"/>
          </w:rPr>
          <m:t>≤</m:t>
        </m:r>
        <m:r>
          <w:rPr>
            <w:rFonts w:ascii="Cambria Math" w:hAnsi="Cambria Math"/>
          </w:rPr>
          <m:t>0.036</m:t>
        </m:r>
      </m:oMath>
      <w:r>
        <w:t>. El coste computacional exhibe mayor variabilidad (</w:t>
      </w:r>
      <m:oMath>
        <m:sSub>
          <m:sSubPr>
            <m:ctrlPr>
              <w:rPr>
                <w:rFonts w:ascii="Cambria Math" w:hAnsi="Cambria Math"/>
              </w:rPr>
            </m:ctrlPr>
          </m:sSubPr>
          <m:e>
            <m:r>
              <m:rPr>
                <m:nor/>
              </m:rPr>
              <m:t>CV</m:t>
            </m:r>
          </m:e>
          <m:sub>
            <m:r>
              <w:rPr>
                <w:rFonts w:ascii="Cambria Math" w:hAnsi="Cambria Math"/>
              </w:rPr>
              <m:t>C</m:t>
            </m:r>
          </m:sub>
        </m:sSub>
        <m:r>
          <m:rPr>
            <m:sty m:val="p"/>
          </m:rPr>
          <w:rPr>
            <w:rFonts w:ascii="Cambria Math" w:hAnsi="Cambria Math"/>
          </w:rPr>
          <m:t>≤</m:t>
        </m:r>
        <m:r>
          <w:rPr>
            <w:rFonts w:ascii="Cambria Math" w:hAnsi="Cambria Math"/>
          </w:rPr>
          <m:t>0.225</m:t>
        </m:r>
      </m:oMath>
      <w:r>
        <w:t xml:space="preserve"> </w:t>
      </w:r>
      <w:r>
        <w:t xml:space="preserve">para SHAP con kernel), lo que implica que los rankings de calidad son sustancialmente más reproducibles que las estimaciones de latencia. EXP1 </w:t>
      </w:r>
      <w:r>
        <w:rPr>
          <w:b/>
          <w:bCs/>
        </w:rPr>
        <w:t>no</w:t>
      </w:r>
      <w:r>
        <w:t xml:space="preserve"> contribuye a la inferencia confirmativa de EXP2 ni a las hipótesis H1-H3.</w:t>
      </w:r>
    </w:p>
    <w:p w14:paraId="2C6C8F34" w14:textId="77777777" w:rsidR="00D075F6" w:rsidRDefault="00734411">
      <w:pPr>
        <w:pStyle w:val="Heading3"/>
      </w:pPr>
      <w:bookmarkStart w:id="81" w:name="X88dee61532cae681dfa2cfeee2779c5c9929176"/>
      <w:bookmarkStart w:id="82" w:name="_Toc241413266"/>
      <w:bookmarkEnd w:id="78"/>
      <w:r>
        <w:t>3.1.2 Fase de benchmark primario de robustez (EXP2)</w:t>
      </w:r>
      <w:bookmarkEnd w:id="82"/>
    </w:p>
    <w:p w14:paraId="5BBE7A5B" w14:textId="77777777" w:rsidR="00D075F6" w:rsidRDefault="00734411">
      <w:r>
        <w:t xml:space="preserve">La Fase EXP2 es la cohorte de evidencia confirmativa. Expande EXP1 a los cinco modelos y cuatro métodos explicadores, con cinco semillas y tres tamaños de muestra, bajo el protocolo FOM-7 descrito en la Sección </w:t>
      </w:r>
      <w:hyperlink w:anchor="sec-fom7">
        <w:r>
          <w:rPr>
            <w:rStyle w:val="Hyperlink"/>
          </w:rPr>
          <w:t>3.6</w:t>
        </w:r>
      </w:hyperlink>
      <w:r>
        <w:t>. Los resultados de EXP2 son la fuente exclusiva de las afirmaciones estadísticas inferenciales del Estudio Omnibus Multimétrico y del Estudio Pareado LIME–SHAP.</w:t>
      </w:r>
    </w:p>
    <w:p w14:paraId="3568E54D" w14:textId="77777777" w:rsidR="00D075F6" w:rsidRDefault="00734411">
      <w:pPr>
        <w:pStyle w:val="Heading2"/>
      </w:pPr>
      <w:bookmarkStart w:id="83" w:name="Xb179eb5e9b7cbdb0e78e991d72b8aeee41d8932"/>
      <w:bookmarkStart w:id="84" w:name="_Toc241413267"/>
      <w:bookmarkEnd w:id="76"/>
      <w:bookmarkEnd w:id="81"/>
      <w:r>
        <w:t>3.2 Conjunto de datos y protocolo de preprocesamiento</w:t>
      </w:r>
      <w:bookmarkEnd w:id="84"/>
    </w:p>
    <w:p w14:paraId="14319890" w14:textId="77777777" w:rsidR="00D075F6" w:rsidRDefault="00734411">
      <w:pPr>
        <w:pStyle w:val="Heading3"/>
      </w:pPr>
      <w:bookmarkStart w:id="85" w:name="descripción-del-conjunto-de-datos"/>
      <w:bookmarkStart w:id="86" w:name="_Toc241413268"/>
      <w:r>
        <w:t>3.2.1 Descripción del conjunto de datos</w:t>
      </w:r>
      <w:bookmarkEnd w:id="86"/>
    </w:p>
    <w:p w14:paraId="4DB67AC4" w14:textId="77777777" w:rsidR="00D075F6" w:rsidRDefault="00734411">
      <w:r>
        <w:t xml:space="preserve">Ambos estudios utilizan el conjunto de datos UCI Adult Income (Breiman 2001; Kohavi y Becker 1996), ampliamente empleado en benchmarking de XAI por su estructura tabular heterogénea, su variable objetivo binaria bien definida </w:t>
      </w:r>
      <w:r>
        <w:t>y la disponibilidad de comparaciones publicadas que facilitan la verificación de reproducibilidad externa (Agarwal et al. 2022; Hedström et al. 2023).</w:t>
      </w:r>
    </w:p>
    <w:p w14:paraId="6C90A2B8" w14:textId="77777777" w:rsidR="00D075F6" w:rsidRDefault="00734411">
      <w:pPr>
        <w:pStyle w:val="BodyText"/>
      </w:pPr>
      <w:r>
        <w:t xml:space="preserve">El conjunto contiene 48,842 instancias, 14 características originales (6 numéricas y 8 categóricas) y una variable binaria de predicción. Las características numéricas son: edad, horas de trabajo por semana, educación en años, ganancia de capital, pérdida de capital y peso final del censo. Las </w:t>
      </w:r>
      <w:r>
        <w:t xml:space="preserve">categóricas incluyen: clase de trabajo, nivel de educación, estado civil, ocupación, relación familiar, raza, sexo y país de origen. La tasa de positivos (clase </w:t>
      </w:r>
      <m:oMath>
        <m:r>
          <m:rPr>
            <m:sty m:val="p"/>
          </m:rPr>
          <w:rPr>
            <w:rFonts w:ascii="Cambria Math" w:hAnsi="Cambria Math"/>
          </w:rPr>
          <m:t>&gt;</m:t>
        </m:r>
        <m:r>
          <w:rPr>
            <w:rFonts w:ascii="Cambria Math" w:hAnsi="Cambria Math"/>
          </w:rPr>
          <m:t>50</m:t>
        </m:r>
      </m:oMath>
      <w:r>
        <w:t xml:space="preserve">K USD) es del 23.9%, lo que implica un desbalance moderado controlado mediante el muestreo estratificado por cuadrante de error descrito en la Sección </w:t>
      </w:r>
      <w:hyperlink w:anchor="sec-muestreo">
        <w:r>
          <w:rPr>
            <w:rStyle w:val="Hyperlink"/>
          </w:rPr>
          <w:t>3.4</w:t>
        </w:r>
      </w:hyperlink>
      <w:r>
        <w:t>.</w:t>
      </w:r>
    </w:p>
    <w:p w14:paraId="03BF4DCE" w14:textId="77777777" w:rsidR="00D075F6" w:rsidRDefault="00734411">
      <w:pPr>
        <w:pStyle w:val="Heading3"/>
      </w:pPr>
      <w:bookmarkStart w:id="87" w:name="carga-limpieza-y-partición"/>
      <w:bookmarkStart w:id="88" w:name="_Toc241413269"/>
      <w:bookmarkEnd w:id="85"/>
      <w:r>
        <w:t>3.2.2 Carga, limpieza y partición</w:t>
      </w:r>
      <w:bookmarkEnd w:id="88"/>
    </w:p>
    <w:p w14:paraId="5D188D1C" w14:textId="77777777" w:rsidR="00D075F6" w:rsidRDefault="00734411">
      <w:r>
        <w:t xml:space="preserve">El conjunto se carga mediante src/data_loading/adult.py con OpenML como </w:t>
      </w:r>
      <w:r>
        <w:t xml:space="preserve">fuente primaria y UCI como respaldo. El pipeline de limpieza aplica las siguientes transformaciones de forma determinista: (i) normalización de espacios en blanco en valores de texto, (ii) canonicalización de valores faltantes ("?" </w:t>
      </w:r>
      <m:oMath>
        <m:r>
          <m:rPr>
            <m:sty m:val="p"/>
          </m:rPr>
          <w:rPr>
            <w:rFonts w:ascii="Cambria Math" w:hAnsi="Cambria Math"/>
          </w:rPr>
          <m:t>→</m:t>
        </m:r>
      </m:oMath>
      <w:r>
        <w:t xml:space="preserve"> NaN), (iii) unificación de etiquetas de objetivo ("&gt;50K." </w:t>
      </w:r>
      <m:oMath>
        <m:r>
          <m:rPr>
            <m:sty m:val="p"/>
          </m:rPr>
          <w:rPr>
            <w:rFonts w:ascii="Cambria Math" w:hAnsi="Cambria Math"/>
          </w:rPr>
          <m:t>→</m:t>
        </m:r>
      </m:oMath>
      <w:r>
        <w:t xml:space="preserve"> 1, "&lt;=50K." </w:t>
      </w:r>
      <m:oMath>
        <m:r>
          <m:rPr>
            <m:sty m:val="p"/>
          </m:rPr>
          <w:rPr>
            <w:rFonts w:ascii="Cambria Math" w:hAnsi="Cambria Math"/>
          </w:rPr>
          <m:t>→</m:t>
        </m:r>
      </m:oMath>
      <w:r>
        <w:t xml:space="preserve"> 0), (iv) eliminación de duplicados exactos, y (v) ordenamiento determinista de columnas.</w:t>
      </w:r>
    </w:p>
    <w:p w14:paraId="11EA4AA2" w14:textId="77777777" w:rsidR="00D075F6" w:rsidRDefault="00734411">
      <w:pPr>
        <w:pStyle w:val="BodyText"/>
      </w:pPr>
      <w:r>
        <w:t>La partición sigue el esquema estratificado:</w:t>
      </w:r>
    </w:p>
    <w:p w14:paraId="643DEC0F" w14:textId="77777777" w:rsidR="00D075F6" w:rsidRDefault="00734411">
      <w:pPr>
        <w:pStyle w:val="BodyText"/>
      </w:pPr>
      <m:oMathPara>
        <m:oMathParaPr>
          <m:jc m:val="center"/>
        </m:oMathParaPr>
        <m:oMath>
          <m:r>
            <m:rPr>
              <m:nor/>
            </m:rPr>
            <m:t>train_test_split</m:t>
          </m:r>
          <m:r>
            <w:rPr>
              <w:rFonts w:ascii="Cambria Math" w:hAnsi="Cambria Math"/>
            </w:rPr>
            <m:t>​</m:t>
          </m:r>
          <m:d>
            <m:dPr>
              <m:ctrlPr>
                <w:rPr>
                  <w:rFonts w:ascii="Cambria Math" w:hAnsi="Cambria Math"/>
                </w:rPr>
              </m:ctrlPr>
            </m:dPr>
            <m:e>
              <m:r>
                <m:rPr>
                  <m:nor/>
                </m:rPr>
                <m:t>test_size</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r>
                <m:rPr>
                  <m:nor/>
                </m:rPr>
                <m:t>stratify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nor/>
                </m:rPr>
                <m:t>random_state</m:t>
              </m:r>
              <m:r>
                <m:rPr>
                  <m:sty m:val="p"/>
                </m:rPr>
                <w:rPr>
                  <w:rFonts w:ascii="Cambria Math" w:hAnsi="Cambria Math"/>
                </w:rPr>
                <m:t>=</m:t>
              </m:r>
              <m:r>
                <w:rPr>
                  <w:rFonts w:ascii="Cambria Math" w:hAnsi="Cambria Math"/>
                </w:rPr>
                <m:t>s</m:t>
              </m:r>
            </m:e>
          </m:d>
        </m:oMath>
      </m:oMathPara>
    </w:p>
    <w:p w14:paraId="3695F908" w14:textId="77777777" w:rsidR="00D075F6" w:rsidRDefault="00734411">
      <w:r>
        <w:t xml:space="preserve">Para la semilla canónica </w:t>
      </w:r>
      <m:oMath>
        <m:r>
          <w:rPr>
            <w:rFonts w:ascii="Cambria Math" w:hAnsi="Cambria Math"/>
          </w:rPr>
          <m:t>s</m:t>
        </m:r>
        <m:r>
          <m:rPr>
            <m:sty m:val="p"/>
          </m:rPr>
          <w:rPr>
            <w:rFonts w:ascii="Cambria Math" w:hAnsi="Cambria Math"/>
          </w:rPr>
          <m:t>=</m:t>
        </m:r>
        <m:r>
          <w:rPr>
            <w:rFonts w:ascii="Cambria Math" w:hAnsi="Cambria Math"/>
          </w:rPr>
          <m:t>42</m:t>
        </m:r>
      </m:oMath>
      <w:r>
        <w:t>, la partición produce 39,032 instancias de entrenamiento y 9,758 de prueba.</w:t>
      </w:r>
    </w:p>
    <w:p w14:paraId="327F6BDE" w14:textId="77777777" w:rsidR="00D075F6" w:rsidRDefault="00734411">
      <w:pPr>
        <w:pStyle w:val="Heading3"/>
      </w:pPr>
      <w:bookmarkStart w:id="89" w:name="controles-de-fuga-de-datos"/>
      <w:bookmarkStart w:id="90" w:name="_Toc241413270"/>
      <w:bookmarkEnd w:id="87"/>
      <w:r>
        <w:t>3.2.3 Controles de fuga de datos</w:t>
      </w:r>
      <w:bookmarkEnd w:id="90"/>
    </w:p>
    <w:p w14:paraId="5D59F3D2" w14:textId="77777777" w:rsidR="00D075F6" w:rsidRDefault="00734411">
      <w:r>
        <w:t>Los cuatro controles de fuga de datos se aplican de forma uniforme a todos los métodos explicadores:</w:t>
      </w:r>
    </w:p>
    <w:p w14:paraId="5EEBA6C3" w14:textId="77777777" w:rsidR="00D075F6" w:rsidRDefault="00734411" w:rsidP="00734411">
      <w:pPr>
        <w:numPr>
          <w:ilvl w:val="0"/>
          <w:numId w:val="6"/>
        </w:numPr>
      </w:pPr>
      <w:r>
        <w:t xml:space="preserve">La partición estratificada se realiza </w:t>
      </w:r>
      <w:r>
        <w:rPr>
          <w:i/>
          <w:iCs/>
        </w:rPr>
        <w:t>antes</w:t>
      </w:r>
      <w:r>
        <w:t xml:space="preserve"> de ajustar cualquier transformación de preprocesamiento.</w:t>
      </w:r>
    </w:p>
    <w:p w14:paraId="11698120" w14:textId="77777777" w:rsidR="00D075F6" w:rsidRDefault="00734411" w:rsidP="00734411">
      <w:pPr>
        <w:numPr>
          <w:ilvl w:val="0"/>
          <w:numId w:val="6"/>
        </w:numPr>
      </w:pPr>
      <w:r>
        <w:t xml:space="preserve">StandardScaler (numéricas) y OneHotEncoder (handle_unknown='ignore', categóricas) se ajustan </w:t>
      </w:r>
      <w:r>
        <w:rPr>
          <w:b/>
          <w:bCs/>
        </w:rPr>
        <w:t>exclusivamente</w:t>
      </w:r>
      <w:r>
        <w:t xml:space="preserve"> sobre el conjunto de entrenamiento.</w:t>
      </w:r>
    </w:p>
    <w:p w14:paraId="178B6CE3" w14:textId="77777777" w:rsidR="00D075F6" w:rsidRDefault="00734411" w:rsidP="00734411">
      <w:pPr>
        <w:numPr>
          <w:ilvl w:val="0"/>
          <w:numId w:val="6"/>
        </w:numPr>
      </w:pPr>
      <w:r>
        <w:t xml:space="preserve">El preprocesador ajustado se persiste como artefacto y es </w:t>
      </w:r>
      <w:r>
        <w:rPr>
          <w:b/>
          <w:bCs/>
        </w:rPr>
        <w:t>compartido</w:t>
      </w:r>
      <w:r>
        <w:t xml:space="preserve"> por todos los métodos XAI en cada ejecución, eliminando la variación por diferencias de escalado entre métodos.</w:t>
      </w:r>
    </w:p>
    <w:p w14:paraId="5ADD0626" w14:textId="77777777" w:rsidR="00D075F6" w:rsidRDefault="00734411" w:rsidP="00734411">
      <w:pPr>
        <w:numPr>
          <w:ilvl w:val="0"/>
          <w:numId w:val="6"/>
        </w:numPr>
      </w:pPr>
      <w:r>
        <w:t>Las explicaciones se generan sobre el espacio de características transformado que el modelo usó durante el entrenamiento.</w:t>
      </w:r>
    </w:p>
    <w:p w14:paraId="6C41B6CB" w14:textId="77777777" w:rsidR="00D075F6" w:rsidRDefault="00734411">
      <w:pPr>
        <w:pStyle w:val="Heading2"/>
      </w:pPr>
      <w:bookmarkStart w:id="91" w:name="X810bf4db8899260d734480c9f59b02e6a2182a3"/>
      <w:bookmarkStart w:id="92" w:name="_Toc241413271"/>
      <w:bookmarkEnd w:id="83"/>
      <w:bookmarkEnd w:id="89"/>
      <w:r>
        <w:t>3.3 Diseño factorial del benchmark primario (EXP2)</w:t>
      </w:r>
      <w:bookmarkEnd w:id="92"/>
    </w:p>
    <w:p w14:paraId="300E8587" w14:textId="77777777" w:rsidR="00D075F6" w:rsidRDefault="00734411">
      <w:r>
        <w:t>El benchmark primario adopta una estructura factorial cruzada de cuatro factores:</w:t>
      </w:r>
    </w:p>
    <w:p w14:paraId="38256895" w14:textId="77777777" w:rsidR="00D075F6" w:rsidRDefault="00734411">
      <w:pPr>
        <w:pStyle w:val="BodyText"/>
      </w:pPr>
      <m:oMathPara>
        <m:oMathParaPr>
          <m:jc m:val="center"/>
        </m:oMathParaPr>
        <m:oMath>
          <m:r>
            <m:rPr>
              <m:scr m:val="script"/>
              <m:sty m:val="p"/>
            </m:rP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m:oMathPara>
    </w:p>
    <w:p w14:paraId="0E29DC1F" w14:textId="77777777" w:rsidR="00D075F6" w:rsidRDefault="00734411">
      <w:r>
        <w:t>donde:</w:t>
      </w:r>
    </w:p>
    <w:p w14:paraId="76EE4961" w14:textId="77777777" w:rsidR="00D075F6" w:rsidRDefault="00734411" w:rsidP="00734411">
      <w:pPr>
        <w:numPr>
          <w:ilvl w:val="0"/>
          <w:numId w:val="7"/>
        </w:numPr>
      </w:pPr>
      <m:oMath>
        <m:r>
          <w:rPr>
            <w:rFonts w:ascii="Cambria Math" w:hAnsi="Cambria Math"/>
          </w:rPr>
          <m:t>g</m:t>
        </m:r>
        <m:r>
          <m:rPr>
            <m:sty m:val="p"/>
          </m:rPr>
          <w:rPr>
            <w:rFonts w:ascii="Cambria Math" w:hAnsi="Cambria Math"/>
          </w:rPr>
          <m:t>∈{</m:t>
        </m:r>
        <m:r>
          <m:rPr>
            <m:nor/>
          </m:rPr>
          <m:t>logreg</m:t>
        </m:r>
        <m:r>
          <m:rPr>
            <m:sty m:val="p"/>
          </m:rPr>
          <w:rPr>
            <w:rFonts w:ascii="Cambria Math" w:hAnsi="Cambria Math"/>
          </w:rPr>
          <m:t>,</m:t>
        </m:r>
        <m:r>
          <w:rPr>
            <w:rFonts w:ascii="Cambria Math" w:hAnsi="Cambria Math"/>
          </w:rPr>
          <m:t> </m:t>
        </m:r>
        <m:r>
          <m:rPr>
            <m:nor/>
          </m:rPr>
          <m:t>rf</m:t>
        </m:r>
        <m:r>
          <m:rPr>
            <m:sty m:val="p"/>
          </m:rPr>
          <w:rPr>
            <w:rFonts w:ascii="Cambria Math" w:hAnsi="Cambria Math"/>
          </w:rPr>
          <m:t>,</m:t>
        </m:r>
        <m:r>
          <w:rPr>
            <w:rFonts w:ascii="Cambria Math" w:hAnsi="Cambria Math"/>
          </w:rPr>
          <m:t> </m:t>
        </m:r>
        <m:r>
          <m:rPr>
            <m:nor/>
          </m:rPr>
          <m:t>xgb</m:t>
        </m:r>
        <m:r>
          <m:rPr>
            <m:sty m:val="p"/>
          </m:rPr>
          <w:rPr>
            <w:rFonts w:ascii="Cambria Math" w:hAnsi="Cambria Math"/>
          </w:rPr>
          <m:t>,</m:t>
        </m:r>
        <m:r>
          <w:rPr>
            <w:rFonts w:ascii="Cambria Math" w:hAnsi="Cambria Math"/>
          </w:rPr>
          <m:t> </m:t>
        </m:r>
        <m:r>
          <m:rPr>
            <m:nor/>
          </m:rPr>
          <m:t>svm</m:t>
        </m:r>
        <m:r>
          <m:rPr>
            <m:sty m:val="p"/>
          </m:rPr>
          <w:rPr>
            <w:rFonts w:ascii="Cambria Math" w:hAnsi="Cambria Math"/>
          </w:rPr>
          <m:t>,</m:t>
        </m:r>
        <m:r>
          <w:rPr>
            <w:rFonts w:ascii="Cambria Math" w:hAnsi="Cambria Math"/>
          </w:rPr>
          <m:t> </m:t>
        </m:r>
        <m:r>
          <m:rPr>
            <m:nor/>
          </m:rPr>
          <m:t>mlp</m:t>
        </m:r>
        <m:r>
          <m:rPr>
            <m:sty m:val="p"/>
          </m:rPr>
          <w:rPr>
            <w:rFonts w:ascii="Cambria Math" w:hAnsi="Cambria Math"/>
          </w:rPr>
          <m:t>}</m:t>
        </m:r>
      </m:oMath>
      <w:r>
        <w:t xml:space="preserve"> </w:t>
      </w:r>
      <w:r>
        <w:t>— familia de modelo predictivo (5 niveles),</w:t>
      </w:r>
    </w:p>
    <w:p w14:paraId="2E821051" w14:textId="77777777" w:rsidR="00D075F6" w:rsidRDefault="00734411" w:rsidP="00734411">
      <w:pPr>
        <w:numPr>
          <w:ilvl w:val="0"/>
          <w:numId w:val="7"/>
        </w:numPr>
      </w:pPr>
      <m:oMath>
        <m:r>
          <w:rPr>
            <w:rFonts w:ascii="Cambria Math" w:hAnsi="Cambria Math"/>
          </w:rPr>
          <m:t>k</m:t>
        </m:r>
        <m:r>
          <m:rPr>
            <m:sty m:val="p"/>
          </m:rPr>
          <w:rPr>
            <w:rFonts w:ascii="Cambria Math" w:hAnsi="Cambria Math"/>
          </w:rPr>
          <m:t>∈{</m:t>
        </m:r>
        <m:r>
          <m:rPr>
            <m:nor/>
          </m:rPr>
          <m:t>shap</m:t>
        </m:r>
        <m:r>
          <m:rPr>
            <m:sty m:val="p"/>
          </m:rPr>
          <w:rPr>
            <w:rFonts w:ascii="Cambria Math" w:hAnsi="Cambria Math"/>
          </w:rPr>
          <m:t>,</m:t>
        </m:r>
        <m:r>
          <w:rPr>
            <w:rFonts w:ascii="Cambria Math" w:hAnsi="Cambria Math"/>
          </w:rPr>
          <m:t> </m:t>
        </m:r>
        <m:r>
          <m:rPr>
            <m:nor/>
          </m:rPr>
          <m:t>lime</m:t>
        </m:r>
        <m:r>
          <m:rPr>
            <m:sty m:val="p"/>
          </m:rPr>
          <w:rPr>
            <w:rFonts w:ascii="Cambria Math" w:hAnsi="Cambria Math"/>
          </w:rPr>
          <m:t>,</m:t>
        </m:r>
        <m:r>
          <w:rPr>
            <w:rFonts w:ascii="Cambria Math" w:hAnsi="Cambria Math"/>
          </w:rPr>
          <m:t> </m:t>
        </m:r>
        <m:r>
          <m:rPr>
            <m:nor/>
          </m:rPr>
          <m:t>anchors</m:t>
        </m:r>
        <m:r>
          <m:rPr>
            <m:sty m:val="p"/>
          </m:rPr>
          <w:rPr>
            <w:rFonts w:ascii="Cambria Math" w:hAnsi="Cambria Math"/>
          </w:rPr>
          <m:t>,</m:t>
        </m:r>
        <m:r>
          <w:rPr>
            <w:rFonts w:ascii="Cambria Math" w:hAnsi="Cambria Math"/>
          </w:rPr>
          <m:t> </m:t>
        </m:r>
        <m:r>
          <m:rPr>
            <m:nor/>
          </m:rPr>
          <m:t>dice</m:t>
        </m:r>
        <m:r>
          <m:rPr>
            <m:sty m:val="p"/>
          </m:rPr>
          <w:rPr>
            <w:rFonts w:ascii="Cambria Math" w:hAnsi="Cambria Math"/>
          </w:rPr>
          <m:t>}</m:t>
        </m:r>
      </m:oMath>
      <w:r>
        <w:t xml:space="preserve"> — método de explicabilidad (4 niveles),</w:t>
      </w:r>
    </w:p>
    <w:p w14:paraId="4EB8B37D" w14:textId="77777777" w:rsidR="00D075F6" w:rsidRDefault="00734411" w:rsidP="00734411">
      <w:pPr>
        <w:numPr>
          <w:ilvl w:val="0"/>
          <w:numId w:val="7"/>
        </w:numPr>
      </w:pP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 </m:t>
        </m:r>
        <m:r>
          <w:rPr>
            <w:rFonts w:ascii="Cambria Math" w:hAnsi="Cambria Math"/>
          </w:rPr>
          <m:t>123</m:t>
        </m:r>
        <m:r>
          <m:rPr>
            <m:sty m:val="p"/>
          </m:rPr>
          <w:rPr>
            <w:rFonts w:ascii="Cambria Math" w:hAnsi="Cambria Math"/>
          </w:rPr>
          <m:t>,</m:t>
        </m:r>
        <m:r>
          <w:rPr>
            <w:rFonts w:ascii="Cambria Math" w:hAnsi="Cambria Math"/>
          </w:rPr>
          <m:t> </m:t>
        </m:r>
        <m:r>
          <w:rPr>
            <w:rFonts w:ascii="Cambria Math" w:hAnsi="Cambria Math"/>
          </w:rPr>
          <m:t>456</m:t>
        </m:r>
        <m:r>
          <m:rPr>
            <m:sty m:val="p"/>
          </m:rPr>
          <w:rPr>
            <w:rFonts w:ascii="Cambria Math" w:hAnsi="Cambria Math"/>
          </w:rPr>
          <m:t>,</m:t>
        </m:r>
        <m:r>
          <w:rPr>
            <w:rFonts w:ascii="Cambria Math" w:hAnsi="Cambria Math"/>
          </w:rPr>
          <m:t> </m:t>
        </m:r>
        <m:r>
          <w:rPr>
            <w:rFonts w:ascii="Cambria Math" w:hAnsi="Cambria Math"/>
          </w:rPr>
          <m:t>789</m:t>
        </m:r>
        <m:r>
          <m:rPr>
            <m:sty m:val="p"/>
          </m:rPr>
          <w:rPr>
            <w:rFonts w:ascii="Cambria Math" w:hAnsi="Cambria Math"/>
          </w:rPr>
          <m:t>,</m:t>
        </m:r>
        <m:r>
          <w:rPr>
            <w:rFonts w:ascii="Cambria Math" w:hAnsi="Cambria Math"/>
          </w:rPr>
          <m:t> </m:t>
        </m:r>
        <m:r>
          <w:rPr>
            <w:rFonts w:ascii="Cambria Math" w:hAnsi="Cambria Math"/>
          </w:rPr>
          <m:t>999</m:t>
        </m:r>
        <m:r>
          <m:rPr>
            <m:sty m:val="p"/>
          </m:rPr>
          <w:rPr>
            <w:rFonts w:ascii="Cambria Math" w:hAnsi="Cambria Math"/>
          </w:rPr>
          <m:t>}</m:t>
        </m:r>
      </m:oMath>
      <w:r>
        <w:t xml:space="preserve"> — semilla de aleatoriedad (5 niveles),</w:t>
      </w:r>
    </w:p>
    <w:p w14:paraId="1ECAA7DE" w14:textId="77777777" w:rsidR="00D075F6" w:rsidRDefault="00734411" w:rsidP="00734411">
      <w:pPr>
        <w:numPr>
          <w:ilvl w:val="0"/>
          <w:numId w:val="7"/>
        </w:numPr>
      </w:p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100</m:t>
        </m:r>
        <m:r>
          <m:rPr>
            <m:sty m:val="p"/>
          </m:rPr>
          <w:rPr>
            <w:rFonts w:ascii="Cambria Math" w:hAnsi="Cambria Math"/>
          </w:rPr>
          <m:t>,</m:t>
        </m:r>
        <m:r>
          <w:rPr>
            <w:rFonts w:ascii="Cambria Math" w:hAnsi="Cambria Math"/>
          </w:rPr>
          <m:t> </m:t>
        </m:r>
        <m:r>
          <w:rPr>
            <w:rFonts w:ascii="Cambria Math" w:hAnsi="Cambria Math"/>
          </w:rPr>
          <m:t>200</m:t>
        </m:r>
        <m:r>
          <m:rPr>
            <m:sty m:val="p"/>
          </m:rPr>
          <w:rPr>
            <w:rFonts w:ascii="Cambria Math" w:hAnsi="Cambria Math"/>
          </w:rPr>
          <m:t>}</m:t>
        </m:r>
      </m:oMath>
      <w:r>
        <w:t xml:space="preserve"> — instancias por cuadrante de error (3 niveles).</w:t>
      </w:r>
    </w:p>
    <w:p w14:paraId="5F96A0E0" w14:textId="77777777" w:rsidR="00D075F6" w:rsidRDefault="00734411">
      <w:r>
        <w:t>El tamaño del diseño planificado es:</w:t>
      </w:r>
    </w:p>
    <w:p w14:paraId="30A6982E" w14:textId="77777777" w:rsidR="00D075F6" w:rsidRDefault="00734411">
      <w:pPr>
        <w:pStyle w:val="BodyText"/>
      </w:pPr>
      <m:oMathPara>
        <m:oMathParaPr>
          <m:jc m:val="center"/>
        </m:oMathParaPr>
        <m:oMath>
          <m:r>
            <m:rPr>
              <m:sty m:val="p"/>
            </m:rPr>
            <w:rPr>
              <w:rFonts w:ascii="Cambria Math" w:hAnsi="Cambria Math"/>
            </w:rPr>
            <m:t>|</m:t>
          </m:r>
          <m:r>
            <m:rPr>
              <m:scr m:val="script"/>
              <m:sty m:val="p"/>
            </m:rP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r>
            <m:rPr>
              <m:nor/>
            </m:rPr>
            <m:t xml:space="preserve"> ejecuciones</m:t>
          </m:r>
        </m:oMath>
      </m:oMathPara>
    </w:p>
    <w:p w14:paraId="0228D848" w14:textId="77777777" w:rsidR="00D075F6" w:rsidRDefault="00734411">
      <w:r>
        <w:t xml:space="preserve">Cada celda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produce un artefacto de resultado independiente. La variación en </w:t>
      </w:r>
      <m:oMath>
        <m:r>
          <w:rPr>
            <w:rFonts w:ascii="Cambria Math" w:hAnsi="Cambria Math"/>
          </w:rPr>
          <m:t>s</m:t>
        </m:r>
      </m:oMath>
      <w:r>
        <w:t xml:space="preserve"> sirve para estimar la reproducibilidad del protocolo. La variación en </w:t>
      </w:r>
      <m:oMath>
        <m:r>
          <w:rPr>
            <w:rFonts w:ascii="Cambria Math" w:hAnsi="Cambria Math"/>
          </w:rPr>
          <m:t>n</m:t>
        </m:r>
      </m:oMath>
      <w:r>
        <w:t xml:space="preserve"> </w:t>
      </w:r>
      <w:r>
        <w:t>permite examinar la estabilidad de los rankings bajo distintos volúmenes de evidencia local.</w:t>
      </w:r>
    </w:p>
    <w:p w14:paraId="73FE0524" w14:textId="77777777" w:rsidR="00D075F6" w:rsidRDefault="00734411">
      <w:pPr>
        <w:pStyle w:val="Heading3"/>
      </w:pPr>
      <w:bookmarkStart w:id="93" w:name="X7f3be01e797123bdbedac923d646584591998bc"/>
      <w:bookmarkStart w:id="94" w:name="_Toc241413272"/>
      <w:r>
        <w:t>3.3.1 Jerarquía de análisis y unidad inferencial</w:t>
      </w:r>
      <w:bookmarkEnd w:id="94"/>
    </w:p>
    <w:p w14:paraId="73181EC1" w14:textId="77777777" w:rsidR="00D075F6" w:rsidRDefault="00734411">
      <w:r>
        <w:t>Para evitar la pseudo-replicación, el análisis adopta una estructura jerárquica de tres niveles:</w:t>
      </w:r>
    </w:p>
    <w:p w14:paraId="7F60B970" w14:textId="77777777" w:rsidR="00D075F6" w:rsidRDefault="00734411" w:rsidP="00734411">
      <w:pPr>
        <w:numPr>
          <w:ilvl w:val="0"/>
          <w:numId w:val="8"/>
        </w:numPr>
      </w:pPr>
      <w:r>
        <w:rPr>
          <w:b/>
          <w:bCs/>
        </w:rPr>
        <w:t>Nivel de instancia:</w:t>
      </w:r>
      <w:r>
        <w:t xml:space="preserve"> métricas computadas por instancia dentro de cada ejecución.</w:t>
      </w:r>
    </w:p>
    <w:p w14:paraId="3CB6EA1C" w14:textId="77777777" w:rsidR="00D075F6" w:rsidRDefault="00734411" w:rsidP="00734411">
      <w:pPr>
        <w:numPr>
          <w:ilvl w:val="0"/>
          <w:numId w:val="8"/>
        </w:numPr>
      </w:pPr>
      <w:r>
        <w:rPr>
          <w:b/>
          <w:bCs/>
        </w:rPr>
        <w:t>Nivel de ejecución:</w:t>
      </w:r>
      <w:r>
        <w:t xml:space="preserve"> media métrica por instancia, estimador del rendimiento del método </w:t>
      </w:r>
      <m:oMath>
        <m:r>
          <w:rPr>
            <w:rFonts w:ascii="Cambria Math" w:hAnsi="Cambria Math"/>
          </w:rPr>
          <m:t>k</m:t>
        </m:r>
      </m:oMath>
      <w:r>
        <w:t xml:space="preserve"> sobre el modelo </w:t>
      </w:r>
      <m:oMath>
        <m:r>
          <w:rPr>
            <w:rFonts w:ascii="Cambria Math" w:hAnsi="Cambria Math"/>
          </w:rPr>
          <m:t>g</m:t>
        </m:r>
      </m:oMath>
      <w:r>
        <w:t xml:space="preserve"> bajo semilla </w:t>
      </w:r>
      <m:oMath>
        <m:r>
          <w:rPr>
            <w:rFonts w:ascii="Cambria Math" w:hAnsi="Cambria Math"/>
          </w:rPr>
          <m:t>s</m:t>
        </m:r>
      </m:oMath>
      <w:r>
        <w:t xml:space="preserve"> y tamaño </w:t>
      </w:r>
      <m:oMath>
        <m:r>
          <w:rPr>
            <w:rFonts w:ascii="Cambria Math" w:hAnsi="Cambria Math"/>
          </w:rPr>
          <m:t>n</m:t>
        </m:r>
      </m:oMath>
      <w:r>
        <w:t xml:space="preserve">. Estimando declarado: </w:t>
      </w:r>
      <m:oMath>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oMath>
      <w:r>
        <w:t>.</w:t>
      </w:r>
    </w:p>
    <w:p w14:paraId="504007B7" w14:textId="77777777" w:rsidR="00D075F6" w:rsidRDefault="00734411" w:rsidP="00734411">
      <w:pPr>
        <w:numPr>
          <w:ilvl w:val="0"/>
          <w:numId w:val="8"/>
        </w:numPr>
      </w:pPr>
      <w:r>
        <w:rPr>
          <w:b/>
          <w:bCs/>
        </w:rPr>
        <w:t>Nivel de bloque:</w:t>
      </w:r>
      <w:r>
        <w:t xml:space="preserve"> </w:t>
      </w:r>
      <w:r>
        <w:t xml:space="preserve">para los tests de Friedman, el bloque se define como </w:t>
      </w:r>
      <m:oMath>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la ejecución como unidad de observación dentro del bloque. Este diseño produce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oMath>
      <w:r>
        <w:t xml:space="preserve"> bloques completos.</w:t>
      </w:r>
    </w:p>
    <w:p w14:paraId="4374E5A0" w14:textId="77777777" w:rsidR="00D075F6" w:rsidRDefault="00734411">
      <w:r>
        <w:t xml:space="preserve">La unidad inferencial primaria del Estudio Pareado LIME–SHAP es la </w:t>
      </w:r>
      <w:r>
        <w:rPr>
          <w:b/>
          <w:bCs/>
        </w:rPr>
        <w:t>celda pareada</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las 75 tuplas para las que existen artefactos calificados de SHAP y LIME con coordenadas idénticas.</w:t>
      </w:r>
    </w:p>
    <w:p w14:paraId="769A0569" w14:textId="77777777" w:rsidR="00D075F6" w:rsidRDefault="00734411">
      <w:pPr>
        <w:pStyle w:val="Heading2"/>
      </w:pPr>
      <w:bookmarkStart w:id="95" w:name="sec-muestreo"/>
      <w:bookmarkStart w:id="96" w:name="_Toc241413273"/>
      <w:bookmarkEnd w:id="91"/>
      <w:bookmarkEnd w:id="93"/>
      <w:r>
        <w:t>3.4 Protocolo de muestreo de instancias y configuración de explicadores</w:t>
      </w:r>
      <w:bookmarkEnd w:id="96"/>
    </w:p>
    <w:p w14:paraId="0DCE88A1" w14:textId="77777777" w:rsidR="00D075F6" w:rsidRDefault="00734411">
      <w:pPr>
        <w:pStyle w:val="Heading3"/>
      </w:pPr>
      <w:bookmarkStart w:id="97" w:name="X22a27531824c8c7d79a9c6abca6e13f987fd35c"/>
      <w:bookmarkStart w:id="98" w:name="_Toc241413274"/>
      <w:r>
        <w:t>3.4.1 Muestreo estratificado por cuadrante de error</w:t>
      </w:r>
      <w:bookmarkEnd w:id="98"/>
    </w:p>
    <w:p w14:paraId="475C4927" w14:textId="77777777" w:rsidR="00D075F6" w:rsidRDefault="00734411">
      <w:r>
        <w:t xml:space="preserve">Las instancias para cada ejecución se seleccionan mediante muestreo estratificado por cuadrante de error de predicción: Verdaderos Positivos (VP), Verdaderos Negativos (VN), Falsos Positivos (FP) y Falsos Negativos (FN), con objetivo de </w:t>
      </w:r>
      <m:oMath>
        <m:r>
          <w:rPr>
            <w:rFonts w:ascii="Cambria Math" w:hAnsi="Cambria Math"/>
          </w:rPr>
          <m:t>n</m:t>
        </m:r>
      </m:oMath>
      <w:r>
        <w:t xml:space="preserve"> instancias por cuadrante:</w:t>
      </w:r>
    </w:p>
    <w:p w14:paraId="3A6F2DA4" w14:textId="77777777" w:rsidR="00D075F6" w:rsidRDefault="00734411">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sub>
          </m:sSub>
          <m:r>
            <m:rPr>
              <m:sty m:val="p"/>
            </m:rPr>
            <w:rPr>
              <w:rFonts w:ascii="Cambria Math" w:hAnsi="Cambria Math"/>
            </w:rPr>
            <m:t>=</m:t>
          </m:r>
          <m:r>
            <m:rPr>
              <m:nor/>
            </m:rPr>
            <m:t>StratSample</m:t>
          </m:r>
          <m:r>
            <w:rPr>
              <w:rFonts w:ascii="Cambria Math" w:hAnsi="Cambria Math"/>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I</m:t>
                  </m:r>
                </m:e>
                <m:sub>
                  <m:r>
                    <m:rPr>
                      <m:nor/>
                    </m:rPr>
                    <m:t>test</m:t>
                  </m:r>
                </m:sub>
              </m:sSub>
              <m:r>
                <m:rPr>
                  <m:sty m:val="p"/>
                </m:rPr>
                <w:rPr>
                  <w:rFonts w:ascii="Cambria Math" w:hAnsi="Cambria Math"/>
                </w:rPr>
                <m:t>,</m:t>
              </m:r>
              <m:r>
                <w:rPr>
                  <w:rFonts w:ascii="Cambria Math" w:hAnsi="Cambria Math"/>
                </w:rPr>
                <m:t> </m:t>
              </m:r>
              <m:r>
                <m:rPr>
                  <m:nor/>
                </m:rPr>
                <m:t>strata</m:t>
              </m:r>
              <m:r>
                <m:rPr>
                  <m:sty m:val="p"/>
                </m:rPr>
                <w:rPr>
                  <w:rFonts w:ascii="Cambria Math" w:hAnsi="Cambria Math"/>
                </w:rPr>
                <m:t>={</m:t>
              </m:r>
              <m:r>
                <m:rPr>
                  <m:nor/>
                </m:rPr>
                <m:t>VP, VN, FP, FN</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m:rPr>
                      <m:nor/>
                    </m:rPr>
                    <m:t>per_strata</m:t>
                  </m:r>
                </m:sub>
              </m:sSub>
              <m:r>
                <m:rPr>
                  <m:sty m:val="p"/>
                </m:rPr>
                <w:rPr>
                  <w:rFonts w:ascii="Cambria Math" w:hAnsi="Cambria Math"/>
                </w:rPr>
                <m:t>=</m:t>
              </m:r>
              <m:r>
                <w:rPr>
                  <w:rFonts w:ascii="Cambria Math" w:hAnsi="Cambria Math"/>
                </w:rPr>
                <m:t>n</m:t>
              </m:r>
            </m:e>
          </m:d>
        </m:oMath>
      </m:oMathPara>
    </w:p>
    <w:p w14:paraId="5636C990" w14:textId="77777777" w:rsidR="00D075F6" w:rsidRDefault="00734411">
      <w:r>
        <w:t xml:space="preserve">El tamaño nominal por ejecución es </w:t>
      </w:r>
      <m:oMath>
        <m:r>
          <w:rPr>
            <w:rFonts w:ascii="Cambria Math" w:hAnsi="Cambria Math"/>
          </w:rPr>
          <m:t>4</m:t>
        </m:r>
        <m:r>
          <w:rPr>
            <w:rFonts w:ascii="Cambria Math" w:hAnsi="Cambria Math"/>
          </w:rPr>
          <m:t>n</m:t>
        </m:r>
      </m:oMath>
      <w:r>
        <w:t xml:space="preserve">, sujeto a la disponibilidad de instancias en cada cuadrante. El rango observado es de 27 a 800 instancias por </w:t>
      </w:r>
      <w:r>
        <w:t>ejecución (mediana: 400). Esta estrategia garantiza que el explicador se evalúa en los cuatro regímenes de decisión del modelo, no solo en los casos correctamente clasificados.</w:t>
      </w:r>
    </w:p>
    <w:p w14:paraId="0EDF831D" w14:textId="77777777" w:rsidR="00D075F6" w:rsidRDefault="00734411">
      <w:pPr>
        <w:pStyle w:val="Heading3"/>
      </w:pPr>
      <w:bookmarkStart w:id="99" w:name="configuración-de-los-explicadores"/>
      <w:bookmarkStart w:id="100" w:name="_Toc241413275"/>
      <w:bookmarkEnd w:id="97"/>
      <w:r>
        <w:t>3.4.2 Configuración de los explicadores</w:t>
      </w:r>
      <w:bookmarkEnd w:id="100"/>
    </w:p>
    <w:p w14:paraId="2FB5B54B" w14:textId="77777777" w:rsidR="00D075F6" w:rsidRDefault="00734411">
      <w:r>
        <w:t>Todos los métodos se ejecutan a través de ExplainerWrapper.explain_instance, que registra el tiempo de ejecución y persiste las importancias de características. Los parámetros efectivos en EXP2 son:</w:t>
      </w:r>
    </w:p>
    <w:p w14:paraId="68F8DC34" w14:textId="77777777" w:rsidR="00D075F6" w:rsidRDefault="00734411">
      <w:pPr>
        <w:pStyle w:val="BodyText"/>
      </w:pPr>
      <w:r>
        <w:rPr>
          <w:b/>
          <w:bCs/>
        </w:rPr>
        <w:t>SHAP</w:t>
      </w:r>
      <w:r>
        <w:t xml:space="preserve"> (Lundberg 2017): TreeExplainer para rf y xgb; KernelExplainer para logreg, svm y mlp </w:t>
      </w:r>
      <w:r>
        <w:t xml:space="preserve">con conjunto de referencia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50</m:t>
        </m:r>
      </m:oMath>
      <w:r>
        <w:t xml:space="preserve"> muestras del conjunto de entrenamiento. Objetivo: probabilidad de la clase positiva.</w:t>
      </w:r>
    </w:p>
    <w:p w14:paraId="2E24AE8D" w14:textId="77777777" w:rsidR="00D075F6" w:rsidRDefault="00734411">
      <w:pPr>
        <w:pStyle w:val="BodyText"/>
      </w:pPr>
      <w:r>
        <w:rPr>
          <w:b/>
          <w:bCs/>
        </w:rPr>
        <w:t>LIME</w:t>
      </w:r>
      <w:r>
        <w:t xml:space="preserve"> (Ribeiro 2016): LimeTabularExplainer con num_samples = 1{,}000, num_features = 10, kernel_width = 3.0, sin discretización de numéricas.</w:t>
      </w:r>
    </w:p>
    <w:p w14:paraId="50493422" w14:textId="77777777" w:rsidR="00D075F6" w:rsidRDefault="00734411">
      <w:pPr>
        <w:pStyle w:val="BodyText"/>
      </w:pPr>
      <w:r>
        <w:rPr>
          <w:b/>
          <w:bCs/>
        </w:rPr>
        <w:t>Anchors</w:t>
      </w:r>
      <w:r>
        <w:t xml:space="preserve"> (Ribeiro 2018): AnchorTabular con umbral de precisión efectivo </w:t>
      </w:r>
      <m:oMath>
        <m:r>
          <w:rPr>
            <w:rFonts w:ascii="Cambria Math" w:hAnsi="Cambria Math"/>
          </w:rPr>
          <m:t>τ</m:t>
        </m:r>
        <m:r>
          <m:rPr>
            <m:sty m:val="p"/>
          </m:rPr>
          <w:rPr>
            <w:rFonts w:ascii="Cambria Math" w:hAnsi="Cambria Math"/>
          </w:rPr>
          <m:t>=</m:t>
        </m:r>
        <m:r>
          <w:rPr>
            <w:rFonts w:ascii="Cambria Math" w:hAnsi="Cambria Math"/>
          </w:rPr>
          <m:t>0.95</m:t>
        </m:r>
      </m:oMath>
      <w:r>
        <w:t xml:space="preserve"> (el parámetro YAML no es consumido en </w:t>
      </w:r>
      <w:r>
        <w:rPr>
          <w:i/>
          <w:iCs/>
        </w:rPr>
        <w:t>runtime</w:t>
      </w:r>
      <w:r>
        <w:t>; el umbral es fijo). Caveat de implementación registrado en el inventario FOM-7.</w:t>
      </w:r>
    </w:p>
    <w:p w14:paraId="2361DF2F" w14:textId="77777777" w:rsidR="00D075F6" w:rsidRDefault="00734411">
      <w:pPr>
        <w:pStyle w:val="BodyText"/>
      </w:pPr>
      <w:r>
        <w:rPr>
          <w:b/>
          <w:bCs/>
        </w:rPr>
        <w:t>DiCE</w:t>
      </w:r>
      <w:r>
        <w:t xml:space="preserve"> (Mothilal 2020): </w:t>
      </w:r>
      <w:r>
        <w:rPr>
          <w:i/>
          <w:iCs/>
        </w:rPr>
        <w:t>backend</w:t>
      </w:r>
      <w:r>
        <w:t xml:space="preserve"> </w:t>
      </w:r>
      <w:r>
        <w:t xml:space="preserve">aleatorio, objetivo contrafactual de clase opuesta, importancia definida como </w:t>
      </w:r>
      <m:oMath>
        <m:sSub>
          <m:sSubPr>
            <m:ctrlPr>
              <w:rPr>
                <w:rFonts w:ascii="Cambria Math" w:hAnsi="Cambria Math"/>
              </w:rPr>
            </m:ctrlPr>
          </m:sSubPr>
          <m:e>
            <m:r>
              <m:rPr>
                <m:nor/>
              </m:rPr>
              <m:t>imp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 total_CFs = 1 efectivo (parámetro YAML no consumido).</w:t>
      </w:r>
    </w:p>
    <w:p w14:paraId="7CBBD7F3" w14:textId="77777777" w:rsidR="00D075F6" w:rsidRDefault="00734411">
      <w:pPr>
        <w:pStyle w:val="Heading2"/>
      </w:pPr>
      <w:bookmarkStart w:id="101" w:name="sec-metricas"/>
      <w:bookmarkStart w:id="102" w:name="_Toc241413276"/>
      <w:bookmarkEnd w:id="95"/>
      <w:bookmarkEnd w:id="99"/>
      <w:r>
        <w:t>3.5 Operacionalización de las métricas</w:t>
      </w:r>
      <w:bookmarkEnd w:id="102"/>
    </w:p>
    <w:p w14:paraId="4D58893A" w14:textId="77777777" w:rsidR="00D075F6" w:rsidRDefault="00734411">
      <w:r>
        <w:t>Las cinco métricas primarias se computan por instancia y se agregan a nivel de ejecución mediante media aritmética. La dirección de cada métrica se fija en el protocolo antes del análisis.</w:t>
      </w:r>
    </w:p>
    <w:p w14:paraId="58954AF7" w14:textId="77777777" w:rsidR="00D075F6" w:rsidRDefault="00734411">
      <w:pPr>
        <w:pStyle w:val="BodyText"/>
      </w:pPr>
      <w:r>
        <w:t xml:space="preserve">Estas métricas deben leerse como proxies operacionales de los constructos </w:t>
      </w:r>
      <w:r>
        <w:t>revisados en el Capítulo 2. Fidelidad, estabilidad, parsimonia, brecha de fidelidad y coste no son intercambiables con utilidad humana, plausibilidad semántica o causalidad del mecanismo; son indicadores reproducibles que permiten comparar artefactos explicativos bajo condiciones experimentales controladas (Carvalho et al. 2019; Tomsett et al. 2020; Nauta et al. 2023).</w:t>
      </w:r>
    </w:p>
    <w:p w14:paraId="7269B7D9" w14:textId="77777777" w:rsidR="00D075F6" w:rsidRDefault="00734411">
      <w:pPr>
        <w:pStyle w:val="Heading3"/>
      </w:pPr>
      <w:bookmarkStart w:id="103" w:name="fidelidad"/>
      <w:bookmarkStart w:id="104" w:name="_Toc241413277"/>
      <w:r>
        <w:t>3.5.1 Fidelidad</w:t>
      </w:r>
      <w:bookmarkEnd w:id="104"/>
    </w:p>
    <w:p w14:paraId="5CBF0308" w14:textId="77777777" w:rsidR="00D075F6" w:rsidRDefault="00734411">
      <w:r>
        <w:t xml:space="preserve">La fidelidad cuantifica la alineación entre las importancias del explicador y </w:t>
      </w:r>
      <w:r>
        <w:t>el efecto predictivo real bajo enmascaramiento individual de características:</w:t>
      </w:r>
    </w:p>
    <w:p w14:paraId="26E425D8" w14:textId="77777777" w:rsidR="00D075F6" w:rsidRDefault="00734411">
      <w:pPr>
        <w:pStyle w:val="BodyText"/>
      </w:pPr>
      <m:oMathPara>
        <m:oMathParaPr>
          <m:jc m:val="center"/>
        </m:oMathParaPr>
        <m:oMath>
          <m:r>
            <w:rPr>
              <w:rFonts w:ascii="Cambria Math" w:hAnsi="Cambria Math"/>
            </w:rPr>
            <m:t>F</m:t>
          </m:r>
          <m:r>
            <m:rPr>
              <m:sty m:val="p"/>
            </m:rPr>
            <w:rPr>
              <w:rFonts w:ascii="Cambria Math" w:hAnsi="Cambria Math"/>
            </w:rPr>
            <m:t>=</m:t>
          </m:r>
          <m:r>
            <m:rPr>
              <m:nor/>
            </m:rPr>
            <m:t>corr</m:t>
          </m:r>
          <m: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r>
                <m:rPr>
                  <m:sty m:val="p"/>
                </m:rPr>
                <w:rPr>
                  <w:rFonts w:ascii="Cambria Math" w:hAnsi="Cambria Math"/>
                </w:rPr>
                <m:t>)|</m:t>
              </m:r>
            </m:e>
          </m:d>
        </m:oMath>
      </m:oMathPara>
    </w:p>
    <w:p w14:paraId="198CA471" w14:textId="77777777" w:rsidR="00D075F6" w:rsidRDefault="00734411">
      <w:r>
        <w:t xml:space="preserve">donde </w:t>
      </w:r>
      <m:oMath>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oMath>
      <w:r>
        <w:t xml:space="preserve"> sustituye, de manera independiente, la característica transformada </w:t>
      </w:r>
      <m:oMath>
        <m:r>
          <w:rPr>
            <w:rFonts w:ascii="Cambria Math" w:hAnsi="Cambria Math"/>
          </w:rPr>
          <m:t>i</m:t>
        </m:r>
      </m:oMath>
      <w:r>
        <w:t xml:space="preserve"> por su media en el conjunto de entrenamiento. Este operador es determinista y común a los cuatro métodos, pero no preserva la distribución conjunta de las características: puede producir combinaciones implausibles u OOD y, por tanto, introducir sesgo diferencial entre explicadores </w:t>
      </w:r>
      <w:r>
        <w:t xml:space="preserve">(Hooker et al. 2019; Rong et al. 2022). La métrica se interpreta como respuesta del modelo bajo este enmascaramiento concreto, no como verdad de la explicación. Dirección: </w:t>
      </w:r>
      <m:oMath>
        <m:r>
          <m:rPr>
            <m:sty m:val="p"/>
          </m:rPr>
          <w:rPr>
            <w:rFonts w:ascii="Cambria Math" w:hAnsi="Cambria Math"/>
          </w:rPr>
          <m:t>↑</m:t>
        </m:r>
      </m:oMath>
      <w:r>
        <w:t>. Implementación: src/metrics/fidelity.py.</w:t>
      </w:r>
    </w:p>
    <w:p w14:paraId="438D35C7" w14:textId="77777777" w:rsidR="00D075F6" w:rsidRDefault="00734411">
      <w:pPr>
        <w:pStyle w:val="Heading3"/>
      </w:pPr>
      <w:bookmarkStart w:id="105" w:name="estabilidad"/>
      <w:bookmarkStart w:id="106" w:name="_Toc241413278"/>
      <w:bookmarkEnd w:id="103"/>
      <w:r>
        <w:t>3.5.2 Estabilidad</w:t>
      </w:r>
      <w:bookmarkEnd w:id="106"/>
    </w:p>
    <w:p w14:paraId="1B54EC03" w14:textId="77777777" w:rsidR="00D075F6" w:rsidRDefault="00734411">
      <w:r>
        <w:t xml:space="preserve">La estabilidad mide la consistencia de las explicaciones bajo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r>
          <m:rPr>
            <m:sty m:val="p"/>
          </m:rPr>
          <w:rPr>
            <w:rFonts w:ascii="Cambria Math" w:hAnsi="Cambria Math"/>
          </w:rPr>
          <m:t>)</m:t>
        </m:r>
      </m:oMath>
      <w:r>
        <w:t xml:space="preserve">, </w:t>
      </w:r>
      <m:oMath>
        <m:r>
          <w:rPr>
            <w:rFonts w:ascii="Cambria Math" w:hAnsi="Cambria Math"/>
          </w:rPr>
          <m:t>σ</m:t>
        </m:r>
        <m:r>
          <m:rPr>
            <m:sty m:val="p"/>
          </m:rPr>
          <w:rPr>
            <w:rFonts w:ascii="Cambria Math" w:hAnsi="Cambria Math"/>
          </w:rPr>
          <m:t>=</m:t>
        </m:r>
        <m:r>
          <w:rPr>
            <w:rFonts w:ascii="Cambria Math" w:hAnsi="Cambria Math"/>
          </w:rPr>
          <m:t>0.1</m:t>
        </m:r>
      </m:oMath>
      <w:r>
        <w:t>:</w:t>
      </w:r>
    </w:p>
    <w:p w14:paraId="23EEE4F7" w14:textId="77777777" w:rsidR="00D075F6" w:rsidRDefault="00734411">
      <w:pPr>
        <w:pStyle w:val="BodyText"/>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&lt;</m:t>
              </m:r>
              <m:r>
                <w:rPr>
                  <w:rFonts w:ascii="Cambria Math" w:hAnsi="Cambria Math"/>
                </w:rPr>
                <m:t>b</m:t>
              </m:r>
            </m:sub>
            <m:sup>
              <m:r>
                <w:rPr>
                  <w:rFonts w:ascii="Cambria Math" w:hAnsi="Cambria Math"/>
                </w:rPr>
                <m:t>​</m:t>
              </m:r>
            </m:sup>
            <m:e>
              <m:r>
                <m:rPr>
                  <m:sty m:val="p"/>
                </m:rPr>
                <w:rPr>
                  <w:rFonts w:ascii="Cambria Math" w:hAnsi="Cambria Math"/>
                </w:rPr>
                <m:t>cos</m:t>
              </m:r>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a</m:t>
                  </m:r>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r>
                    <m:rPr>
                      <m:sty m:val="p"/>
                    </m:rPr>
                    <w:rPr>
                      <w:rFonts w:ascii="Cambria Math" w:hAnsi="Cambria Math"/>
                    </w:rPr>
                    <m:t>)</m:t>
                  </m:r>
                </m:sup>
              </m:sSup>
            </m:e>
          </m:d>
        </m:oMath>
      </m:oMathPara>
    </w:p>
    <w:p w14:paraId="1ED2A236" w14:textId="77777777" w:rsidR="00D075F6" w:rsidRDefault="00734411">
      <w:r>
        <w:t xml:space="preserve">Con </w:t>
      </w:r>
      <m:oMath>
        <m:r>
          <w:rPr>
            <w:rFonts w:ascii="Cambria Math" w:hAnsi="Cambria Math"/>
          </w:rPr>
          <m:t>T</m:t>
        </m:r>
        <m:r>
          <m:rPr>
            <m:sty m:val="p"/>
          </m:rPr>
          <w:rPr>
            <w:rFonts w:ascii="Cambria Math" w:hAnsi="Cambria Math"/>
          </w:rPr>
          <m:t>=</m:t>
        </m:r>
        <m:r>
          <w:rPr>
            <w:rFonts w:ascii="Cambria Math" w:hAnsi="Cambria Math"/>
          </w:rPr>
          <m:t>15</m:t>
        </m:r>
      </m:oMath>
      <w:r>
        <w:t xml:space="preserve"> se forman </w:t>
      </w:r>
      <m:oMath>
        <m:d>
          <m:dPr>
            <m:ctrlPr>
              <w:rPr>
                <w:rFonts w:ascii="Cambria Math" w:hAnsi="Cambria Math"/>
              </w:rPr>
            </m:ctrlPr>
          </m:dPr>
          <m:e>
            <m:f>
              <m:fPr>
                <m:type m:val="noBar"/>
                <m:ctrlPr>
                  <w:rPr>
                    <w:rFonts w:ascii="Cambria Math" w:hAnsi="Cambria Math"/>
                  </w:rPr>
                </m:ctrlPr>
              </m:fPr>
              <m:num>
                <m:r>
                  <w:rPr>
                    <w:rFonts w:ascii="Cambria Math" w:hAnsi="Cambria Math"/>
                  </w:rPr>
                  <m:t>15</m:t>
                </m:r>
              </m:num>
              <m:den>
                <m:r>
                  <w:rPr>
                    <w:rFonts w:ascii="Cambria Math" w:hAnsi="Cambria Math"/>
                  </w:rPr>
                  <m:t>2</m:t>
                </m:r>
              </m:den>
            </m:f>
          </m:e>
        </m:d>
        <m:r>
          <m:rPr>
            <m:sty m:val="p"/>
          </m:rPr>
          <w:rPr>
            <w:rFonts w:ascii="Cambria Math" w:hAnsi="Cambria Math"/>
          </w:rPr>
          <m:t>=</m:t>
        </m:r>
        <m:r>
          <w:rPr>
            <w:rFonts w:ascii="Cambria Math" w:hAnsi="Cambria Math"/>
          </w:rPr>
          <m:t>105</m:t>
        </m:r>
      </m:oMath>
      <w:r>
        <w:t xml:space="preserve"> pares por instancia. Dirección: </w:t>
      </w:r>
      <m:oMath>
        <m:r>
          <m:rPr>
            <m:sty m:val="p"/>
          </m:rPr>
          <w:rPr>
            <w:rFonts w:ascii="Cambria Math" w:hAnsi="Cambria Math"/>
          </w:rPr>
          <m:t>↑</m:t>
        </m:r>
      </m:oMath>
      <w:r>
        <w:t xml:space="preserve">. Implementación: </w:t>
      </w:r>
      <w:r>
        <w:t>src/metrics/stability.py.</w:t>
      </w:r>
    </w:p>
    <w:p w14:paraId="11A5BA3A" w14:textId="77777777" w:rsidR="00D075F6" w:rsidRDefault="00734411">
      <w:pPr>
        <w:pStyle w:val="Heading3"/>
      </w:pPr>
      <w:bookmarkStart w:id="107" w:name="parsimonia"/>
      <w:bookmarkStart w:id="108" w:name="_Toc241413279"/>
      <w:bookmarkEnd w:id="105"/>
      <w:r>
        <w:t>3.5.3 Parsimonia</w:t>
      </w:r>
      <w:bookmarkEnd w:id="108"/>
    </w:p>
    <w:p w14:paraId="1DE5F6EC" w14:textId="77777777" w:rsidR="00D075F6" w:rsidRDefault="00734411">
      <w:r>
        <w:t>La parsimonia cuantifica la proporción de características activas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sobre el total de características transformadas:</w:t>
      </w:r>
    </w:p>
    <w:p w14:paraId="1A3E89E3" w14:textId="77777777" w:rsidR="00D075F6" w:rsidRDefault="00734411">
      <w:pPr>
        <w:pStyle w:val="BodyText"/>
      </w:pPr>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num>
            <m:den>
              <m:r>
                <m:rPr>
                  <m:scr m:val="script"/>
                  <m:sty m:val="p"/>
                </m:rPr>
                <w:rPr>
                  <w:rFonts w:ascii="Cambria Math" w:hAnsi="Cambria Math"/>
                </w:rPr>
                <m:t>|F|</m:t>
              </m:r>
            </m:den>
          </m:f>
        </m:oMath>
      </m:oMathPara>
    </w:p>
    <w:p w14:paraId="6C3C8E3F" w14:textId="77777777" w:rsidR="00D075F6" w:rsidRDefault="00734411">
      <w:r>
        <w:t xml:space="preserve">Un valor bajo indica mayor concisión. Dirección: </w:t>
      </w:r>
      <m:oMath>
        <m:r>
          <m:rPr>
            <m:sty m:val="p"/>
          </m:rPr>
          <w:rPr>
            <w:rFonts w:ascii="Cambria Math" w:hAnsi="Cambria Math"/>
          </w:rPr>
          <m:t>↓</m:t>
        </m:r>
      </m:oMath>
      <w:r>
        <w:t>. Implementación: src/metrics/sparsity.py.</w:t>
      </w:r>
    </w:p>
    <w:p w14:paraId="6A29FD59" w14:textId="77777777" w:rsidR="00D075F6" w:rsidRDefault="00734411">
      <w:pPr>
        <w:pStyle w:val="Heading3"/>
      </w:pPr>
      <w:bookmarkStart w:id="109" w:name="brecha-de-fidelidad"/>
      <w:bookmarkStart w:id="110" w:name="_Toc241413280"/>
      <w:bookmarkEnd w:id="107"/>
      <w:r>
        <w:t>3.5.4 Brecha de fidelidad</w:t>
      </w:r>
      <w:bookmarkEnd w:id="110"/>
    </w:p>
    <w:p w14:paraId="67E91FEA" w14:textId="77777777" w:rsidR="00D075F6" w:rsidRDefault="00734411">
      <w:r>
        <w:t xml:space="preserve">La brecha de fidelidad cuantifica el cambio en la salida del modelo al enmascarar las </w:t>
      </w:r>
      <m:oMath>
        <m:r>
          <w:rPr>
            <w:rFonts w:ascii="Cambria Math" w:hAnsi="Cambria Math"/>
          </w:rPr>
          <m:t>k</m:t>
        </m:r>
        <m:r>
          <m:rPr>
            <m:sty m:val="p"/>
          </m:rPr>
          <w:rPr>
            <w:rFonts w:ascii="Cambria Math" w:hAnsi="Cambria Math"/>
          </w:rPr>
          <m:t>=</m:t>
        </m:r>
        <m:r>
          <w:rPr>
            <w:rFonts w:ascii="Cambria Math" w:hAnsi="Cambria Math"/>
          </w:rPr>
          <m:t>5</m:t>
        </m:r>
      </m:oMath>
      <w:r>
        <w:t xml:space="preserve"> características de mayor importancia:</w:t>
      </w:r>
    </w:p>
    <w:p w14:paraId="757A3304" w14:textId="77777777" w:rsidR="00D075F6" w:rsidRDefault="00734411">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m:t>mask-top-</m:t>
                      </m:r>
                      <m:r>
                        <w:rPr>
                          <w:rFonts w:ascii="Cambria Math" w:hAnsi="Cambria Math"/>
                        </w:rPr>
                        <m:t>k</m:t>
                      </m:r>
                    </m:sub>
                  </m:sSub>
                </m:e>
              </m:d>
            </m:e>
          </m:d>
        </m:oMath>
      </m:oMathPara>
    </w:p>
    <w:p w14:paraId="6C040694" w14:textId="77777777" w:rsidR="00D075F6" w:rsidRDefault="00734411">
      <w:r>
        <w:t xml:space="preserve">donde </w:t>
      </w:r>
      <m:oMath>
        <m:r>
          <w:rPr>
            <w:rFonts w:ascii="Cambria Math" w:hAnsi="Cambria Math"/>
          </w:rPr>
          <m:t>f</m:t>
        </m:r>
        <m:r>
          <m:rPr>
            <m:sty m:val="p"/>
          </m:rPr>
          <w:rPr>
            <w:rFonts w:ascii="Cambria Math" w:hAnsi="Cambria Math"/>
          </w:rPr>
          <m:t>(⋅)</m:t>
        </m:r>
      </m:oMath>
      <w:r>
        <w:t xml:space="preserve"> </w:t>
      </w:r>
      <w:r>
        <w:t xml:space="preserve">devuelve la probabilidad de la clase positiva. Dirección: </w:t>
      </w:r>
      <m:oMath>
        <m:r>
          <m:rPr>
            <m:sty m:val="p"/>
          </m:rPr>
          <w:rPr>
            <w:rFonts w:ascii="Cambria Math" w:hAnsi="Cambria Math"/>
          </w:rPr>
          <m:t>↑</m:t>
        </m:r>
      </m:oMath>
      <w:r>
        <w:t>. Implementación: src/metrics/faithfulness.py.</w:t>
      </w:r>
    </w:p>
    <w:p w14:paraId="717D4BC8" w14:textId="77777777" w:rsidR="00D075F6" w:rsidRDefault="00734411">
      <w:pPr>
        <w:pStyle w:val="Heading3"/>
      </w:pPr>
      <w:bookmarkStart w:id="111" w:name="coste-computacional"/>
      <w:bookmarkStart w:id="112" w:name="_Toc241413281"/>
      <w:bookmarkEnd w:id="109"/>
      <w:r>
        <w:t>3.5.5 Coste computacional</w:t>
      </w:r>
      <w:bookmarkEnd w:id="112"/>
    </w:p>
    <w:p w14:paraId="6ED126C6" w14:textId="77777777" w:rsidR="00D075F6" w:rsidRDefault="00734411">
      <w:r>
        <w:t>El coste (</w:t>
      </w:r>
      <m:oMath>
        <m:r>
          <w:rPr>
            <w:rFonts w:ascii="Cambria Math" w:hAnsi="Cambria Math"/>
          </w:rPr>
          <m:t>C</m:t>
        </m:r>
      </m:oMath>
      <w:r>
        <w:t xml:space="preserve">) es el tiempo de pared en milisegundos por instancia explicada, registrado en ExplainerWrapper bajo restricciones de recursos gestionadas por ResourceGuard (especificaciones en el Apéndice A). Dirección: </w:t>
      </w:r>
      <m:oMath>
        <m:r>
          <m:rPr>
            <m:sty m:val="p"/>
          </m:rPr>
          <w:rPr>
            <w:rFonts w:ascii="Cambria Math" w:hAnsi="Cambria Math"/>
          </w:rPr>
          <m:t>↓</m:t>
        </m:r>
      </m:oMath>
      <w:r>
        <w:t>.</w:t>
      </w:r>
    </w:p>
    <w:p w14:paraId="68C96227" w14:textId="77777777" w:rsidR="00D075F6" w:rsidRDefault="00734411">
      <w:pPr>
        <w:pStyle w:val="Heading3"/>
      </w:pPr>
      <w:bookmarkStart w:id="113" w:name="resumen-de-métricas-primarias"/>
      <w:bookmarkStart w:id="114" w:name="_Toc241413282"/>
      <w:bookmarkEnd w:id="111"/>
      <w:r>
        <w:t>3.5.6 Resumen de métricas primarias</w:t>
      </w:r>
      <w:bookmarkEnd w:id="114"/>
    </w:p>
    <w:tbl>
      <w:tblPr>
        <w:tblW w:w="5000" w:type="pct"/>
        <w:jc w:val="center"/>
        <w:tblLayout w:type="fixed"/>
        <w:tblLook w:val="0000" w:firstRow="0" w:lastRow="0" w:firstColumn="0" w:lastColumn="0" w:noHBand="0" w:noVBand="0"/>
      </w:tblPr>
      <w:tblGrid>
        <w:gridCol w:w="9576"/>
      </w:tblGrid>
      <w:tr w:rsidR="00D075F6" w14:paraId="26B9727B" w14:textId="77777777">
        <w:trPr>
          <w:jc w:val="center"/>
        </w:trPr>
        <w:tc>
          <w:tcPr>
            <w:tcW w:w="7920" w:type="dxa"/>
          </w:tcPr>
          <w:p w14:paraId="10C7657C" w14:textId="77777777" w:rsidR="00D075F6" w:rsidRDefault="00734411">
            <w:pPr>
              <w:spacing w:before="200"/>
              <w:jc w:val="center"/>
            </w:pPr>
            <w:bookmarkStart w:id="115" w:name="tbl-metrics"/>
            <w:r>
              <w:t xml:space="preserve">Tabla 3.2: Métricas primarias del benchmark con unidades y direcciones.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D075F6" w14:paraId="14DBA720" w14:textId="77777777">
              <w:trPr>
                <w:tblHeader/>
                <w:jc w:val="center"/>
              </w:trPr>
              <w:tc>
                <w:tcPr>
                  <w:tcW w:w="1980" w:type="dxa"/>
                </w:tcPr>
                <w:p w14:paraId="4C8D0E6D" w14:textId="77777777" w:rsidR="00D075F6" w:rsidRDefault="00734411">
                  <w:pPr>
                    <w:jc w:val="center"/>
                  </w:pPr>
                  <w:r>
                    <w:rPr>
                      <w:b/>
                      <w:bCs/>
                    </w:rPr>
                    <w:t>Métrica</w:t>
                  </w:r>
                </w:p>
              </w:tc>
              <w:tc>
                <w:tcPr>
                  <w:tcW w:w="1980" w:type="dxa"/>
                </w:tcPr>
                <w:p w14:paraId="5A6F5745" w14:textId="77777777" w:rsidR="00D075F6" w:rsidRDefault="00734411">
                  <w:pPr>
                    <w:jc w:val="center"/>
                  </w:pPr>
                  <w:r>
                    <w:rPr>
                      <w:b/>
                      <w:bCs/>
                    </w:rPr>
                    <w:t>Símbolo</w:t>
                  </w:r>
                </w:p>
              </w:tc>
              <w:tc>
                <w:tcPr>
                  <w:tcW w:w="1980" w:type="dxa"/>
                </w:tcPr>
                <w:p w14:paraId="7C73CC94" w14:textId="77777777" w:rsidR="00D075F6" w:rsidRDefault="00734411">
                  <w:pPr>
                    <w:jc w:val="center"/>
                  </w:pPr>
                  <w:r>
                    <w:rPr>
                      <w:b/>
                      <w:bCs/>
                    </w:rPr>
                    <w:t>Unidad</w:t>
                  </w:r>
                </w:p>
              </w:tc>
              <w:tc>
                <w:tcPr>
                  <w:tcW w:w="1980" w:type="dxa"/>
                </w:tcPr>
                <w:p w14:paraId="017C33CB" w14:textId="77777777" w:rsidR="00D075F6" w:rsidRDefault="00734411">
                  <w:pPr>
                    <w:jc w:val="center"/>
                  </w:pPr>
                  <w:r>
                    <w:rPr>
                      <w:b/>
                      <w:bCs/>
                    </w:rPr>
                    <w:t>Dirección</w:t>
                  </w:r>
                </w:p>
              </w:tc>
            </w:tr>
            <w:tr w:rsidR="00D075F6" w14:paraId="44B522B9" w14:textId="77777777">
              <w:trPr>
                <w:jc w:val="center"/>
              </w:trPr>
              <w:tc>
                <w:tcPr>
                  <w:tcW w:w="1980" w:type="dxa"/>
                </w:tcPr>
                <w:p w14:paraId="49A728D4" w14:textId="77777777" w:rsidR="00D075F6" w:rsidRDefault="00734411">
                  <w:pPr>
                    <w:jc w:val="center"/>
                  </w:pPr>
                  <w:r>
                    <w:t>Fidelidad</w:t>
                  </w:r>
                </w:p>
              </w:tc>
              <w:tc>
                <w:tcPr>
                  <w:tcW w:w="1980" w:type="dxa"/>
                </w:tcPr>
                <w:p w14:paraId="2CD626D2" w14:textId="77777777" w:rsidR="00D075F6" w:rsidRDefault="00734411">
                  <w:pPr>
                    <w:jc w:val="center"/>
                  </w:pPr>
                  <m:oMathPara>
                    <m:oMath>
                      <m:r>
                        <w:rPr>
                          <w:rFonts w:ascii="Cambria Math" w:hAnsi="Cambria Math"/>
                        </w:rPr>
                        <m:t>F</m:t>
                      </m:r>
                    </m:oMath>
                  </m:oMathPara>
                </w:p>
              </w:tc>
              <w:tc>
                <w:tcPr>
                  <w:tcW w:w="1980" w:type="dxa"/>
                </w:tcPr>
                <w:p w14:paraId="2E9C0155" w14:textId="77777777" w:rsidR="00D075F6" w:rsidRDefault="00734411">
                  <w:pPr>
                    <w:jc w:val="center"/>
                  </w:pPr>
                  <w:r>
                    <w:t>score</w:t>
                  </w:r>
                </w:p>
              </w:tc>
              <w:tc>
                <w:tcPr>
                  <w:tcW w:w="1980" w:type="dxa"/>
                </w:tcPr>
                <w:p w14:paraId="31EBF8D0" w14:textId="77777777" w:rsidR="00D075F6" w:rsidRDefault="00734411">
                  <w:pPr>
                    <w:jc w:val="center"/>
                  </w:pPr>
                  <m:oMathPara>
                    <m:oMath>
                      <m:r>
                        <m:rPr>
                          <m:sty m:val="p"/>
                        </m:rPr>
                        <w:rPr>
                          <w:rFonts w:ascii="Cambria Math" w:hAnsi="Cambria Math"/>
                        </w:rPr>
                        <m:t>↑</m:t>
                      </m:r>
                    </m:oMath>
                  </m:oMathPara>
                </w:p>
              </w:tc>
            </w:tr>
            <w:tr w:rsidR="00D075F6" w14:paraId="31FE5FB8" w14:textId="77777777">
              <w:trPr>
                <w:jc w:val="center"/>
              </w:trPr>
              <w:tc>
                <w:tcPr>
                  <w:tcW w:w="1980" w:type="dxa"/>
                </w:tcPr>
                <w:p w14:paraId="7401E0E8" w14:textId="77777777" w:rsidR="00D075F6" w:rsidRDefault="00734411">
                  <w:pPr>
                    <w:jc w:val="center"/>
                  </w:pPr>
                  <w:r>
                    <w:t>Estabilidad</w:t>
                  </w:r>
                </w:p>
              </w:tc>
              <w:tc>
                <w:tcPr>
                  <w:tcW w:w="1980" w:type="dxa"/>
                </w:tcPr>
                <w:p w14:paraId="071E0BFC" w14:textId="77777777" w:rsidR="00D075F6" w:rsidRDefault="00734411">
                  <w:pPr>
                    <w:jc w:val="center"/>
                  </w:pPr>
                  <m:oMathPara>
                    <m:oMath>
                      <m:r>
                        <w:rPr>
                          <w:rFonts w:ascii="Cambria Math" w:hAnsi="Cambria Math"/>
                        </w:rPr>
                        <m:t>S</m:t>
                      </m:r>
                    </m:oMath>
                  </m:oMathPara>
                </w:p>
              </w:tc>
              <w:tc>
                <w:tcPr>
                  <w:tcW w:w="1980" w:type="dxa"/>
                </w:tcPr>
                <w:p w14:paraId="26BE8503" w14:textId="77777777" w:rsidR="00D075F6" w:rsidRDefault="00734411">
                  <w:pPr>
                    <w:jc w:val="center"/>
                  </w:pPr>
                  <w:r>
                    <w:t>similitud coseno</w:t>
                  </w:r>
                </w:p>
              </w:tc>
              <w:tc>
                <w:tcPr>
                  <w:tcW w:w="1980" w:type="dxa"/>
                </w:tcPr>
                <w:p w14:paraId="76017BFC" w14:textId="77777777" w:rsidR="00D075F6" w:rsidRDefault="00734411">
                  <w:pPr>
                    <w:jc w:val="center"/>
                  </w:pPr>
                  <m:oMathPara>
                    <m:oMath>
                      <m:r>
                        <m:rPr>
                          <m:sty m:val="p"/>
                        </m:rPr>
                        <w:rPr>
                          <w:rFonts w:ascii="Cambria Math" w:hAnsi="Cambria Math"/>
                        </w:rPr>
                        <m:t>↑</m:t>
                      </m:r>
                    </m:oMath>
                  </m:oMathPara>
                </w:p>
              </w:tc>
            </w:tr>
            <w:tr w:rsidR="00D075F6" w14:paraId="71DBA5E3" w14:textId="77777777">
              <w:trPr>
                <w:jc w:val="center"/>
              </w:trPr>
              <w:tc>
                <w:tcPr>
                  <w:tcW w:w="1980" w:type="dxa"/>
                </w:tcPr>
                <w:p w14:paraId="06AAE259" w14:textId="77777777" w:rsidR="00D075F6" w:rsidRDefault="00734411">
                  <w:pPr>
                    <w:jc w:val="center"/>
                  </w:pPr>
                  <w:r>
                    <w:t>Parsimonia</w:t>
                  </w:r>
                </w:p>
              </w:tc>
              <w:tc>
                <w:tcPr>
                  <w:tcW w:w="1980" w:type="dxa"/>
                </w:tcPr>
                <w:p w14:paraId="64BA3544" w14:textId="77777777" w:rsidR="00D075F6" w:rsidRDefault="00734411">
                  <w:pPr>
                    <w:jc w:val="center"/>
                  </w:pPr>
                  <m:oMathPara>
                    <m:oMath>
                      <m:r>
                        <w:rPr>
                          <w:rFonts w:ascii="Cambria Math" w:hAnsi="Cambria Math"/>
                        </w:rPr>
                        <m:t>P</m:t>
                      </m:r>
                    </m:oMath>
                  </m:oMathPara>
                </w:p>
              </w:tc>
              <w:tc>
                <w:tcPr>
                  <w:tcW w:w="1980" w:type="dxa"/>
                </w:tcPr>
                <w:p w14:paraId="569A4FBD" w14:textId="77777777" w:rsidR="00D075F6" w:rsidRDefault="00734411">
                  <w:pPr>
                    <w:jc w:val="center"/>
                  </w:pPr>
                  <w:r>
                    <w:t>proporción activa</w:t>
                  </w:r>
                </w:p>
              </w:tc>
              <w:tc>
                <w:tcPr>
                  <w:tcW w:w="1980" w:type="dxa"/>
                </w:tcPr>
                <w:p w14:paraId="78F1DDEC" w14:textId="77777777" w:rsidR="00D075F6" w:rsidRDefault="00734411">
                  <w:pPr>
                    <w:jc w:val="center"/>
                  </w:pPr>
                  <m:oMathPara>
                    <m:oMath>
                      <m:r>
                        <m:rPr>
                          <m:sty m:val="p"/>
                        </m:rPr>
                        <w:rPr>
                          <w:rFonts w:ascii="Cambria Math" w:hAnsi="Cambria Math"/>
                        </w:rPr>
                        <m:t>↓</m:t>
                      </m:r>
                    </m:oMath>
                  </m:oMathPara>
                </w:p>
              </w:tc>
            </w:tr>
            <w:tr w:rsidR="00D075F6" w14:paraId="0FC34014" w14:textId="77777777">
              <w:trPr>
                <w:jc w:val="center"/>
              </w:trPr>
              <w:tc>
                <w:tcPr>
                  <w:tcW w:w="1980" w:type="dxa"/>
                </w:tcPr>
                <w:p w14:paraId="1277D8BF" w14:textId="77777777" w:rsidR="00D075F6" w:rsidRDefault="00734411">
                  <w:pPr>
                    <w:jc w:val="center"/>
                  </w:pPr>
                  <w:r>
                    <w:t>Brecha de fidelidad</w:t>
                  </w:r>
                </w:p>
              </w:tc>
              <w:tc>
                <w:tcPr>
                  <w:tcW w:w="1980" w:type="dxa"/>
                </w:tcPr>
                <w:p w14:paraId="1AC2E4CA" w14:textId="77777777" w:rsidR="00D075F6" w:rsidRDefault="00734411">
                  <w:pPr>
                    <w:jc w:val="center"/>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m:oMathPara>
                </w:p>
              </w:tc>
              <w:tc>
                <w:tcPr>
                  <w:tcW w:w="1980" w:type="dxa"/>
                </w:tcPr>
                <w:p w14:paraId="41CFE536" w14:textId="77777777" w:rsidR="00D075F6" w:rsidRDefault="00734411">
                  <w:pPr>
                    <w:jc w:val="center"/>
                  </w:pPr>
                  <w:r>
                    <w:t>score</w:t>
                  </w:r>
                </w:p>
              </w:tc>
              <w:tc>
                <w:tcPr>
                  <w:tcW w:w="1980" w:type="dxa"/>
                </w:tcPr>
                <w:p w14:paraId="5F991B90" w14:textId="77777777" w:rsidR="00D075F6" w:rsidRDefault="00734411">
                  <w:pPr>
                    <w:jc w:val="center"/>
                  </w:pPr>
                  <m:oMathPara>
                    <m:oMath>
                      <m:r>
                        <m:rPr>
                          <m:sty m:val="p"/>
                        </m:rPr>
                        <w:rPr>
                          <w:rFonts w:ascii="Cambria Math" w:hAnsi="Cambria Math"/>
                        </w:rPr>
                        <m:t>↑</m:t>
                      </m:r>
                    </m:oMath>
                  </m:oMathPara>
                </w:p>
              </w:tc>
            </w:tr>
            <w:tr w:rsidR="00D075F6" w14:paraId="551A6776" w14:textId="77777777">
              <w:trPr>
                <w:jc w:val="center"/>
              </w:trPr>
              <w:tc>
                <w:tcPr>
                  <w:tcW w:w="1980" w:type="dxa"/>
                </w:tcPr>
                <w:p w14:paraId="507DEDCC" w14:textId="77777777" w:rsidR="00D075F6" w:rsidRDefault="00734411">
                  <w:pPr>
                    <w:jc w:val="center"/>
                  </w:pPr>
                  <w:r>
                    <w:t>Coste computacional</w:t>
                  </w:r>
                </w:p>
              </w:tc>
              <w:tc>
                <w:tcPr>
                  <w:tcW w:w="1980" w:type="dxa"/>
                </w:tcPr>
                <w:p w14:paraId="0A187D3C" w14:textId="77777777" w:rsidR="00D075F6" w:rsidRDefault="00734411">
                  <w:pPr>
                    <w:jc w:val="center"/>
                  </w:pPr>
                  <m:oMathPara>
                    <m:oMath>
                      <m:r>
                        <w:rPr>
                          <w:rFonts w:ascii="Cambria Math" w:hAnsi="Cambria Math"/>
                        </w:rPr>
                        <m:t>C</m:t>
                      </m:r>
                    </m:oMath>
                  </m:oMathPara>
                </w:p>
              </w:tc>
              <w:tc>
                <w:tcPr>
                  <w:tcW w:w="1980" w:type="dxa"/>
                </w:tcPr>
                <w:p w14:paraId="68891D45" w14:textId="77777777" w:rsidR="00D075F6" w:rsidRDefault="00734411">
                  <w:pPr>
                    <w:jc w:val="center"/>
                  </w:pPr>
                  <w:r>
                    <w:t>ms/instancia</w:t>
                  </w:r>
                </w:p>
              </w:tc>
              <w:tc>
                <w:tcPr>
                  <w:tcW w:w="1980" w:type="dxa"/>
                </w:tcPr>
                <w:p w14:paraId="6F34BBED" w14:textId="77777777" w:rsidR="00D075F6" w:rsidRDefault="00734411">
                  <w:pPr>
                    <w:jc w:val="center"/>
                  </w:pPr>
                  <m:oMathPara>
                    <m:oMath>
                      <m:r>
                        <m:rPr>
                          <m:sty m:val="p"/>
                        </m:rPr>
                        <w:rPr>
                          <w:rFonts w:ascii="Cambria Math" w:hAnsi="Cambria Math"/>
                        </w:rPr>
                        <m:t>↓</m:t>
                      </m:r>
                    </m:oMath>
                  </m:oMathPara>
                </w:p>
              </w:tc>
            </w:tr>
            <w:bookmarkEnd w:id="115"/>
          </w:tbl>
          <w:p w14:paraId="70FFF726" w14:textId="77777777" w:rsidR="00D075F6" w:rsidRDefault="00D075F6"/>
        </w:tc>
      </w:tr>
    </w:tbl>
    <w:p w14:paraId="33698DF5" w14:textId="77777777" w:rsidR="00D075F6" w:rsidRDefault="00734411">
      <w:pPr>
        <w:pStyle w:val="Heading2"/>
      </w:pPr>
      <w:bookmarkStart w:id="116" w:name="sec-fom7"/>
      <w:bookmarkStart w:id="117" w:name="_Toc241413283"/>
      <w:bookmarkEnd w:id="101"/>
      <w:bookmarkEnd w:id="113"/>
      <w:r>
        <w:t>3.6 Protocolo de operación FOM-7</w:t>
      </w:r>
      <w:bookmarkEnd w:id="117"/>
    </w:p>
    <w:p w14:paraId="7377CF76" w14:textId="77777777" w:rsidR="00D075F6" w:rsidRDefault="00734411">
      <w:r>
        <w:t>FOM-7 (</w:t>
      </w:r>
      <w:r>
        <w:rPr>
          <w:i/>
          <w:iCs/>
        </w:rPr>
        <w:t>Framework Operation Method</w:t>
      </w:r>
      <w:r>
        <w:t>, siete puertas) es la contribución metodológica central de este estudio. Fue derivado de: (i) los requisitos de benchmarking reproducible documentados en la literatura (Canha et al. 2025; Agarwal et al. 2022; Hedström et al. 2023)</w:t>
      </w:r>
      <w:r>
        <w:t xml:space="preserve">, y (ii) los modos de fallo observados en EXP1: deriva de protocolo, fallos de integridad de artefactos y exportaciones de análisis no equivalentes entre ejecuciones. Las siete puertas son </w:t>
      </w:r>
      <w:r>
        <w:rPr>
          <w:b/>
          <w:bCs/>
        </w:rPr>
        <w:t>secuenciales</w:t>
      </w:r>
      <w:r>
        <w:t>: cada puerta debe ser satisfecha antes de proceder a la siguiente, y un fallo en cualquier puerta degrada los outputs afectados a estatus descriptivo.</w:t>
      </w:r>
    </w:p>
    <w:p w14:paraId="565ECB71" w14:textId="77777777" w:rsidR="00D075F6" w:rsidRDefault="00734411">
      <w:pPr>
        <w:pStyle w:val="BodyText"/>
      </w:pPr>
      <w:r>
        <w:rPr>
          <w:b/>
          <w:bCs/>
        </w:rPr>
        <w:t>Puerta 1 — Congelación del protocolo.</w:t>
      </w:r>
      <w:r>
        <w:t xml:space="preserve"> Bloqueo de versiones de código, archivos de configuración YAML, factores del diseño y plan de inferencia estadística </w:t>
      </w:r>
      <w:r>
        <w:rPr>
          <w:i/>
          <w:iCs/>
        </w:rPr>
        <w:t>antes</w:t>
      </w:r>
      <w:r>
        <w:t xml:space="preserve"> de iniciar cualquier ejecución confirmativa. Formalizado mediante configs/experiments/exp2_scaled/manifest.yaml.</w:t>
      </w:r>
    </w:p>
    <w:p w14:paraId="0DAF8558" w14:textId="77777777" w:rsidR="00D075F6" w:rsidRDefault="00734411">
      <w:pPr>
        <w:pStyle w:val="BodyText"/>
      </w:pPr>
      <w:r>
        <w:rPr>
          <w:b/>
          <w:bCs/>
        </w:rPr>
        <w:t>Puerta 2 — Ejecución por lotes controlada.</w:t>
      </w:r>
      <w:r>
        <w:t xml:space="preserve"> Ejecución de las 300 celdas desde el manifiesto declarativo, con semillas fijas y registro del contexto de tiempo de ejecución. No se permiten modificaciones ad-hoc de configuración.</w:t>
      </w:r>
    </w:p>
    <w:p w14:paraId="219B4BE6" w14:textId="77777777" w:rsidR="00D075F6" w:rsidRDefault="00734411">
      <w:pPr>
        <w:pStyle w:val="BodyText"/>
      </w:pPr>
      <w:r>
        <w:rPr>
          <w:b/>
          <w:bCs/>
        </w:rPr>
        <w:t>Puerta 3 — Auditoría de integridad de artefactos.</w:t>
      </w:r>
      <w:r>
        <w:t xml:space="preserve"> Inspección determinista de cada results.json: detección y exclusión de archivos vacíos, con esquema </w:t>
      </w:r>
      <w:r>
        <w:t xml:space="preserve">incompatible o con valores numéricos inválidos. Ningún artefacto excluido se reemplaza mediante reconstrucción sintética. Esta decisión descarta deliberadamente las estrategias de imputación habituales en presencia de datos faltantes (Adhikari 2022): imputar una métrica de calidad equivaldría a fabricar evidencia sobre el comportamiento de un explicador que no llegó a ejecutarse, de modo que la cobertura reducida se declara y se cuantifica (Sección </w:t>
      </w:r>
      <w:hyperlink w:anchor="sec-cobertura">
        <w:r>
          <w:rPr>
            <w:rStyle w:val="Hyperlink"/>
          </w:rPr>
          <w:t>3.7</w:t>
        </w:r>
      </w:hyperlink>
      <w:r>
        <w:t xml:space="preserve">) en lugar </w:t>
      </w:r>
      <w:r>
        <w:t>de completarse.</w:t>
      </w:r>
    </w:p>
    <w:p w14:paraId="5DBB829B" w14:textId="77777777" w:rsidR="00D075F6" w:rsidRDefault="00734411">
      <w:pPr>
        <w:pStyle w:val="BodyText"/>
      </w:pPr>
      <w:r>
        <w:rPr>
          <w:b/>
          <w:bCs/>
        </w:rPr>
        <w:t>Puerta 4 — Armonización a tablas listas para el análisis.</w:t>
      </w:r>
      <w:r>
        <w:t xml:space="preserve"> Estandarización de claves y campos de métricas: las diferencias de esquema entre cohortes se resuelven mediante un proceso auditado que genera tablas merge-seguras.</w:t>
      </w:r>
    </w:p>
    <w:p w14:paraId="7D8E5C28" w14:textId="77777777" w:rsidR="00D075F6" w:rsidRDefault="00734411">
      <w:pPr>
        <w:pStyle w:val="BodyText"/>
      </w:pPr>
      <w:r>
        <w:rPr>
          <w:b/>
          <w:bCs/>
        </w:rPr>
        <w:t>Puerta 5 — Exportación inferencial.</w:t>
      </w:r>
      <w:r>
        <w:t xml:space="preserve"> Generación determinista de tablas de test omnibus y pruebas pareadas exclusivamente desde entradas calificadas. La superposición de recuperación para mlp_shap/svm_shap (outputs/batch_results.csv) es la única excepción explícitamente </w:t>
      </w:r>
      <w:r>
        <w:t>documentada.</w:t>
      </w:r>
    </w:p>
    <w:p w14:paraId="5972614B" w14:textId="77777777" w:rsidR="00D075F6" w:rsidRDefault="00734411">
      <w:pPr>
        <w:pStyle w:val="BodyText"/>
      </w:pPr>
      <w:r>
        <w:rPr>
          <w:b/>
          <w:bCs/>
        </w:rPr>
        <w:t>Puerta 6 — Perfilado de reproducibilidad.</w:t>
      </w:r>
      <w:r>
        <w:t xml:space="preserve"> Cuantificación de la dispersión entre ejecuciones y del CV en configuraciones replicadas de EXP1. Fundamenta la proposición P1 y establece el rango de variabilidad esperada para interpretar los intervalos de confianza de EXP2.</w:t>
      </w:r>
    </w:p>
    <w:p w14:paraId="140B5057" w14:textId="77777777" w:rsidR="00D075F6" w:rsidRDefault="00734411">
      <w:pPr>
        <w:pStyle w:val="BodyText"/>
      </w:pPr>
      <w:r>
        <w:rPr>
          <w:b/>
          <w:bCs/>
        </w:rPr>
        <w:t>Puerta 7 — Reporte con trazabilidad de afirmaciones.</w:t>
      </w:r>
      <w:r>
        <w:t xml:space="preserve"> Las afirmaciones inferenciales se emiten únicamente cuando todas las puertas previas están satisfechas y son trazables a artefactos fuente específicos. Cualquier </w:t>
      </w:r>
      <w:r>
        <w:t>afirmación no trazable se presenta como descriptiva.</w:t>
      </w:r>
    </w:p>
    <w:p w14:paraId="1115E822" w14:textId="77777777" w:rsidR="00D075F6" w:rsidRDefault="00734411">
      <w:pPr>
        <w:pStyle w:val="BodyText"/>
      </w:pPr>
      <w:r>
        <w:t>El flujo compacto del protocolo es:</w:t>
      </w:r>
    </w:p>
    <w:p w14:paraId="1077219E" w14:textId="77777777" w:rsidR="00D075F6" w:rsidRDefault="00734411">
      <w:pPr>
        <w:pStyle w:val="BodyText"/>
      </w:pPr>
      <m:oMathPara>
        <m:oMathParaPr>
          <m:jc m:val="center"/>
        </m:oMathParaPr>
        <m:oMath>
          <m:r>
            <m:rPr>
              <m:nor/>
            </m:rPr>
            <m:t>Congelación</m:t>
          </m:r>
          <m:r>
            <m:rPr>
              <m:sty m:val="p"/>
            </m:rPr>
            <w:rPr>
              <w:rFonts w:ascii="Cambria Math" w:hAnsi="Cambria Math"/>
            </w:rPr>
            <m:t>→</m:t>
          </m:r>
          <m:r>
            <m:rPr>
              <m:nor/>
            </m:rPr>
            <m:t>Ejecución</m:t>
          </m:r>
          <m:r>
            <m:rPr>
              <m:sty m:val="p"/>
            </m:rPr>
            <w:rPr>
              <w:rFonts w:ascii="Cambria Math" w:hAnsi="Cambria Math"/>
            </w:rPr>
            <m:t>→</m:t>
          </m:r>
          <m:r>
            <m:rPr>
              <m:nor/>
            </m:rPr>
            <m:t>Auditoría</m:t>
          </m:r>
          <m:r>
            <m:rPr>
              <m:sty m:val="p"/>
            </m:rPr>
            <w:rPr>
              <w:rFonts w:ascii="Cambria Math" w:hAnsi="Cambria Math"/>
            </w:rPr>
            <m:t>→</m:t>
          </m:r>
          <m:r>
            <m:rPr>
              <m:nor/>
            </m:rPr>
            <m:t>Armonización</m:t>
          </m:r>
          <m:r>
            <m:rPr>
              <m:sty m:val="p"/>
            </m:rPr>
            <w:rPr>
              <w:rFonts w:ascii="Cambria Math" w:hAnsi="Cambria Math"/>
            </w:rPr>
            <m:t>→</m:t>
          </m:r>
          <m:r>
            <m:rPr>
              <m:nor/>
            </m:rPr>
            <m:t>Exportación</m:t>
          </m:r>
          <m:r>
            <m:rPr>
              <m:sty m:val="p"/>
            </m:rPr>
            <w:rPr>
              <w:rFonts w:ascii="Cambria Math" w:hAnsi="Cambria Math"/>
            </w:rPr>
            <m:t>→</m:t>
          </m:r>
          <m:r>
            <m:rPr>
              <m:nor/>
            </m:rPr>
            <m:t>Perfilado</m:t>
          </m:r>
          <m:r>
            <m:rPr>
              <m:sty m:val="p"/>
            </m:rPr>
            <w:rPr>
              <w:rFonts w:ascii="Cambria Math" w:hAnsi="Cambria Math"/>
            </w:rPr>
            <m:t>→</m:t>
          </m:r>
          <m:r>
            <m:rPr>
              <m:nor/>
            </m:rPr>
            <m:t>Reporte</m:t>
          </m:r>
        </m:oMath>
      </m:oMathPara>
    </w:p>
    <w:p w14:paraId="455165E4" w14:textId="77777777" w:rsidR="00D075F6" w:rsidRDefault="00734411">
      <w:r>
        <w:t xml:space="preserve">La Tabla </w:t>
      </w:r>
      <w:hyperlink w:anchor="tbl-fom7-gates">
        <w:r>
          <w:rPr>
            <w:rStyle w:val="Hyperlink"/>
          </w:rPr>
          <w:t>3.3</w:t>
        </w:r>
      </w:hyperlink>
      <w:r>
        <w:t xml:space="preserve"> resume la función de gobierno de cada puerta. La tabla explicita qué entra, qué sale y qué modo de fallo queda controlado, de modo que FOM-7 pueda auditarse como protocolo y no solo como narración metodológica.</w:t>
      </w:r>
    </w:p>
    <w:tbl>
      <w:tblPr>
        <w:tblW w:w="5000" w:type="pct"/>
        <w:jc w:val="center"/>
        <w:tblLayout w:type="fixed"/>
        <w:tblLook w:val="0000" w:firstRow="0" w:lastRow="0" w:firstColumn="0" w:lastColumn="0" w:noHBand="0" w:noVBand="0"/>
      </w:tblPr>
      <w:tblGrid>
        <w:gridCol w:w="9576"/>
      </w:tblGrid>
      <w:tr w:rsidR="00D075F6" w14:paraId="29726A92" w14:textId="77777777">
        <w:trPr>
          <w:jc w:val="center"/>
        </w:trPr>
        <w:tc>
          <w:tcPr>
            <w:tcW w:w="7920" w:type="dxa"/>
          </w:tcPr>
          <w:p w14:paraId="5EBEBE35" w14:textId="77777777" w:rsidR="00D075F6" w:rsidRDefault="00734411">
            <w:pPr>
              <w:spacing w:before="200"/>
              <w:jc w:val="center"/>
            </w:pPr>
            <w:bookmarkStart w:id="118" w:name="tbl-fom7-gates"/>
            <w:r>
              <w:t>Tabla 3.3: Puertas FOM-7, artefactos y modos de fallo controlados.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D075F6" w14:paraId="5D90D719" w14:textId="77777777">
              <w:trPr>
                <w:tblHeader/>
                <w:jc w:val="center"/>
              </w:trPr>
              <w:tc>
                <w:tcPr>
                  <w:tcW w:w="1320" w:type="dxa"/>
                </w:tcPr>
                <w:p w14:paraId="5693E40C" w14:textId="77777777" w:rsidR="00D075F6" w:rsidRDefault="00734411">
                  <w:pPr>
                    <w:jc w:val="center"/>
                  </w:pPr>
                  <w:r>
                    <w:rPr>
                      <w:b/>
                      <w:bCs/>
                    </w:rPr>
                    <w:t>Puerta</w:t>
                  </w:r>
                </w:p>
              </w:tc>
              <w:tc>
                <w:tcPr>
                  <w:tcW w:w="1320" w:type="dxa"/>
                </w:tcPr>
                <w:p w14:paraId="02A096AD" w14:textId="77777777" w:rsidR="00D075F6" w:rsidRDefault="00734411">
                  <w:pPr>
                    <w:jc w:val="center"/>
                  </w:pPr>
                  <w:r>
                    <w:rPr>
                      <w:b/>
                      <w:bCs/>
                    </w:rPr>
                    <w:t>Propósito</w:t>
                  </w:r>
                </w:p>
              </w:tc>
              <w:tc>
                <w:tcPr>
                  <w:tcW w:w="1320" w:type="dxa"/>
                </w:tcPr>
                <w:p w14:paraId="65C1170E" w14:textId="77777777" w:rsidR="00D075F6" w:rsidRDefault="00734411">
                  <w:pPr>
                    <w:jc w:val="center"/>
                  </w:pPr>
                  <w:r>
                    <w:rPr>
                      <w:b/>
                      <w:bCs/>
                    </w:rPr>
                    <w:t>Artefacto de entrada</w:t>
                  </w:r>
                </w:p>
              </w:tc>
              <w:tc>
                <w:tcPr>
                  <w:tcW w:w="1320" w:type="dxa"/>
                </w:tcPr>
                <w:p w14:paraId="3B9E545F" w14:textId="77777777" w:rsidR="00D075F6" w:rsidRDefault="00734411">
                  <w:pPr>
                    <w:jc w:val="center"/>
                  </w:pPr>
                  <w:r>
                    <w:rPr>
                      <w:b/>
                      <w:bCs/>
                    </w:rPr>
                    <w:t>Artefacto de salida</w:t>
                  </w:r>
                </w:p>
              </w:tc>
              <w:tc>
                <w:tcPr>
                  <w:tcW w:w="1320" w:type="dxa"/>
                </w:tcPr>
                <w:p w14:paraId="44179AA7" w14:textId="77777777" w:rsidR="00D075F6" w:rsidRDefault="00734411">
                  <w:pPr>
                    <w:jc w:val="center"/>
                  </w:pPr>
                  <w:r>
                    <w:rPr>
                      <w:b/>
                      <w:bCs/>
                    </w:rPr>
                    <w:t>Fallo controlado</w:t>
                  </w:r>
                </w:p>
              </w:tc>
              <w:tc>
                <w:tcPr>
                  <w:tcW w:w="1320" w:type="dxa"/>
                </w:tcPr>
                <w:p w14:paraId="5894BFD9" w14:textId="77777777" w:rsidR="00D075F6" w:rsidRDefault="00734411">
                  <w:pPr>
                    <w:jc w:val="center"/>
                  </w:pPr>
                  <w:r>
                    <w:rPr>
                      <w:b/>
                      <w:bCs/>
                    </w:rPr>
                    <w:t>Evidencia</w:t>
                  </w:r>
                </w:p>
              </w:tc>
            </w:tr>
            <w:tr w:rsidR="00D075F6" w14:paraId="70175498" w14:textId="77777777">
              <w:trPr>
                <w:jc w:val="center"/>
              </w:trPr>
              <w:tc>
                <w:tcPr>
                  <w:tcW w:w="1320" w:type="dxa"/>
                </w:tcPr>
                <w:p w14:paraId="1898D02C" w14:textId="77777777" w:rsidR="00D075F6" w:rsidRDefault="00734411">
                  <w:pPr>
                    <w:jc w:val="center"/>
                  </w:pPr>
                  <w:r>
                    <w:t>1. Congelación</w:t>
                  </w:r>
                </w:p>
              </w:tc>
              <w:tc>
                <w:tcPr>
                  <w:tcW w:w="1320" w:type="dxa"/>
                </w:tcPr>
                <w:p w14:paraId="3976E5A7" w14:textId="77777777" w:rsidR="00D075F6" w:rsidRDefault="00734411">
                  <w:pPr>
                    <w:jc w:val="center"/>
                  </w:pPr>
                  <w:r>
                    <w:t>Fijar diseño, versiones y plan inferencial antes de EXP2</w:t>
                  </w:r>
                </w:p>
              </w:tc>
              <w:tc>
                <w:tcPr>
                  <w:tcW w:w="1320" w:type="dxa"/>
                </w:tcPr>
                <w:p w14:paraId="2154FDF4" w14:textId="77777777" w:rsidR="00D075F6" w:rsidRDefault="00734411">
                  <w:pPr>
                    <w:jc w:val="center"/>
                  </w:pPr>
                  <w:r>
                    <w:t>configs/experiments/exp2_scaled/manifest.yaml, código versionado</w:t>
                  </w:r>
                </w:p>
              </w:tc>
              <w:tc>
                <w:tcPr>
                  <w:tcW w:w="1320" w:type="dxa"/>
                </w:tcPr>
                <w:p w14:paraId="549F3BA7" w14:textId="77777777" w:rsidR="00D075F6" w:rsidRDefault="00734411">
                  <w:pPr>
                    <w:jc w:val="center"/>
                  </w:pPr>
                  <w:r>
                    <w:t>Diseño factorial declarado</w:t>
                  </w:r>
                </w:p>
              </w:tc>
              <w:tc>
                <w:tcPr>
                  <w:tcW w:w="1320" w:type="dxa"/>
                </w:tcPr>
                <w:p w14:paraId="7BC0507A" w14:textId="77777777" w:rsidR="00D075F6" w:rsidRDefault="00734411">
                  <w:pPr>
                    <w:jc w:val="center"/>
                  </w:pPr>
                  <w:r>
                    <w:t>Deriva de protocolo, cambio post-hoc de hipótesis</w:t>
                  </w:r>
                </w:p>
              </w:tc>
              <w:tc>
                <w:tcPr>
                  <w:tcW w:w="1320" w:type="dxa"/>
                </w:tcPr>
                <w:p w14:paraId="1BDC5E38" w14:textId="77777777" w:rsidR="00D075F6" w:rsidRDefault="00734411">
                  <w:pPr>
                    <w:jc w:val="center"/>
                  </w:pPr>
                  <w:r>
                    <w:t>manifest.yaml, commit de tesis</w:t>
                  </w:r>
                </w:p>
              </w:tc>
            </w:tr>
            <w:tr w:rsidR="00D075F6" w14:paraId="7655EC11" w14:textId="77777777">
              <w:trPr>
                <w:jc w:val="center"/>
              </w:trPr>
              <w:tc>
                <w:tcPr>
                  <w:tcW w:w="1320" w:type="dxa"/>
                </w:tcPr>
                <w:p w14:paraId="4A154BA5" w14:textId="77777777" w:rsidR="00D075F6" w:rsidRDefault="00734411">
                  <w:pPr>
                    <w:jc w:val="center"/>
                  </w:pPr>
                  <w:r>
                    <w:t>2. Ejecución</w:t>
                  </w:r>
                </w:p>
              </w:tc>
              <w:tc>
                <w:tcPr>
                  <w:tcW w:w="1320" w:type="dxa"/>
                </w:tcPr>
                <w:p w14:paraId="2E03DFAB" w14:textId="77777777" w:rsidR="00D075F6" w:rsidRDefault="00734411">
                  <w:pPr>
                    <w:jc w:val="center"/>
                  </w:pPr>
                  <w:r>
                    <w:t>Ejecutar celdas desde configuración declarativa</w:t>
                  </w:r>
                </w:p>
              </w:tc>
              <w:tc>
                <w:tcPr>
                  <w:tcW w:w="1320" w:type="dxa"/>
                </w:tcPr>
                <w:p w14:paraId="65A87E15" w14:textId="77777777" w:rsidR="00D075F6" w:rsidRDefault="00734411">
                  <w:pPr>
                    <w:jc w:val="center"/>
                  </w:pPr>
                  <w:r>
                    <w:t>YAML por celda, modelos congelados</w:t>
                  </w:r>
                </w:p>
              </w:tc>
              <w:tc>
                <w:tcPr>
                  <w:tcW w:w="1320" w:type="dxa"/>
                </w:tcPr>
                <w:p w14:paraId="0BF9D91A" w14:textId="77777777" w:rsidR="00D075F6" w:rsidRDefault="00734411">
                  <w:pPr>
                    <w:jc w:val="center"/>
                  </w:pPr>
                  <w:r>
                    <w:t>Árbol experiments/exp2_scaled/results/</w:t>
                  </w:r>
                </w:p>
              </w:tc>
              <w:tc>
                <w:tcPr>
                  <w:tcW w:w="1320" w:type="dxa"/>
                </w:tcPr>
                <w:p w14:paraId="0B0A7C63" w14:textId="77777777" w:rsidR="00D075F6" w:rsidRDefault="00734411">
                  <w:pPr>
                    <w:jc w:val="center"/>
                  </w:pPr>
                  <w:r>
                    <w:t>Ejecuciones ad-hoc, semillas no registradas</w:t>
                  </w:r>
                </w:p>
              </w:tc>
              <w:tc>
                <w:tcPr>
                  <w:tcW w:w="1320" w:type="dxa"/>
                </w:tcPr>
                <w:p w14:paraId="2C528F73" w14:textId="77777777" w:rsidR="00D075F6" w:rsidRDefault="00734411">
                  <w:pPr>
                    <w:jc w:val="center"/>
                  </w:pPr>
                  <w:r>
                    <w:t>results.json por celda</w:t>
                  </w:r>
                </w:p>
              </w:tc>
            </w:tr>
            <w:tr w:rsidR="00D075F6" w14:paraId="38FFF576" w14:textId="77777777">
              <w:trPr>
                <w:jc w:val="center"/>
              </w:trPr>
              <w:tc>
                <w:tcPr>
                  <w:tcW w:w="1320" w:type="dxa"/>
                </w:tcPr>
                <w:p w14:paraId="594E3858" w14:textId="77777777" w:rsidR="00D075F6" w:rsidRDefault="00734411">
                  <w:pPr>
                    <w:jc w:val="center"/>
                  </w:pPr>
                  <w:r>
                    <w:t>3. Auditoría</w:t>
                  </w:r>
                </w:p>
              </w:tc>
              <w:tc>
                <w:tcPr>
                  <w:tcW w:w="1320" w:type="dxa"/>
                </w:tcPr>
                <w:p w14:paraId="28D45EAA" w14:textId="77777777" w:rsidR="00D075F6" w:rsidRDefault="00734411">
                  <w:pPr>
                    <w:jc w:val="center"/>
                  </w:pPr>
                  <w:r>
                    <w:t>Calificar integridad de resultados</w:t>
                  </w:r>
                </w:p>
              </w:tc>
              <w:tc>
                <w:tcPr>
                  <w:tcW w:w="1320" w:type="dxa"/>
                </w:tcPr>
                <w:p w14:paraId="7640594D" w14:textId="77777777" w:rsidR="00D075F6" w:rsidRDefault="00734411">
                  <w:pPr>
                    <w:jc w:val="center"/>
                  </w:pPr>
                  <w:r>
                    <w:t>results.json crudos</w:t>
                  </w:r>
                </w:p>
              </w:tc>
              <w:tc>
                <w:tcPr>
                  <w:tcW w:w="1320" w:type="dxa"/>
                </w:tcPr>
                <w:p w14:paraId="1DAECBFF" w14:textId="77777777" w:rsidR="00D075F6" w:rsidRDefault="00734411">
                  <w:pPr>
                    <w:jc w:val="center"/>
                  </w:pPr>
                  <w:r>
                    <w:t>Inventario de celdas analizables</w:t>
                  </w:r>
                </w:p>
              </w:tc>
              <w:tc>
                <w:tcPr>
                  <w:tcW w:w="1320" w:type="dxa"/>
                </w:tcPr>
                <w:p w14:paraId="55D4B433" w14:textId="77777777" w:rsidR="00D075F6" w:rsidRDefault="00734411">
                  <w:pPr>
                    <w:jc w:val="center"/>
                  </w:pPr>
                  <w:r>
                    <w:t>Archivos vacíos, esquemas incompatibles, valores inválidos</w:t>
                  </w:r>
                </w:p>
              </w:tc>
              <w:tc>
                <w:tcPr>
                  <w:tcW w:w="1320" w:type="dxa"/>
                </w:tcPr>
                <w:p w14:paraId="5C11FC11" w14:textId="77777777" w:rsidR="00D075F6" w:rsidRDefault="00734411">
                  <w:pPr>
                    <w:jc w:val="center"/>
                  </w:pPr>
                  <w:r>
                    <w:t>outputs/analysis/paper_a_exp2_stats/exp2_run_inventory.csv</w:t>
                  </w:r>
                </w:p>
              </w:tc>
            </w:tr>
            <w:tr w:rsidR="00D075F6" w14:paraId="63E33280" w14:textId="77777777">
              <w:trPr>
                <w:jc w:val="center"/>
              </w:trPr>
              <w:tc>
                <w:tcPr>
                  <w:tcW w:w="1320" w:type="dxa"/>
                </w:tcPr>
                <w:p w14:paraId="4E788F2D" w14:textId="77777777" w:rsidR="00D075F6" w:rsidRDefault="00734411">
                  <w:pPr>
                    <w:jc w:val="center"/>
                  </w:pPr>
                  <w:r>
                    <w:t>4. Armonización</w:t>
                  </w:r>
                </w:p>
              </w:tc>
              <w:tc>
                <w:tcPr>
                  <w:tcW w:w="1320" w:type="dxa"/>
                </w:tcPr>
                <w:p w14:paraId="02198CFD" w14:textId="77777777" w:rsidR="00D075F6" w:rsidRDefault="00734411">
                  <w:pPr>
                    <w:jc w:val="center"/>
                  </w:pPr>
                  <w:r>
                    <w:t>Convertir resultados heterogéneos en tablas de análisis</w:t>
                  </w:r>
                </w:p>
              </w:tc>
              <w:tc>
                <w:tcPr>
                  <w:tcW w:w="1320" w:type="dxa"/>
                </w:tcPr>
                <w:p w14:paraId="29427F02" w14:textId="77777777" w:rsidR="00D075F6" w:rsidRDefault="00734411">
                  <w:pPr>
                    <w:jc w:val="center"/>
                  </w:pPr>
                  <w:r>
                    <w:t>Artefactos calificados y outputs/batch_results.csv</w:t>
                  </w:r>
                </w:p>
              </w:tc>
              <w:tc>
                <w:tcPr>
                  <w:tcW w:w="1320" w:type="dxa"/>
                </w:tcPr>
                <w:p w14:paraId="770F32F0" w14:textId="77777777" w:rsidR="00D075F6" w:rsidRDefault="00734411">
                  <w:pPr>
                    <w:jc w:val="center"/>
                  </w:pPr>
                  <w:r>
                    <w:t>Métricas a nivel de ejecución y bloque</w:t>
                  </w:r>
                </w:p>
              </w:tc>
              <w:tc>
                <w:tcPr>
                  <w:tcW w:w="1320" w:type="dxa"/>
                </w:tcPr>
                <w:p w14:paraId="1D220F69" w14:textId="77777777" w:rsidR="00D075F6" w:rsidRDefault="00734411">
                  <w:pPr>
                    <w:jc w:val="center"/>
                  </w:pPr>
                  <w:r>
                    <w:t>Campos no comparables, mezclas de esquema</w:t>
                  </w:r>
                </w:p>
              </w:tc>
              <w:tc>
                <w:tcPr>
                  <w:tcW w:w="1320" w:type="dxa"/>
                </w:tcPr>
                <w:p w14:paraId="3EB5EA1D" w14:textId="77777777" w:rsidR="00D075F6" w:rsidRDefault="00734411">
                  <w:pPr>
                    <w:jc w:val="center"/>
                  </w:pPr>
                  <w:r>
                    <w:t xml:space="preserve">exp2_run_level_metrics.csv, </w:t>
                  </w:r>
                  <w:r>
                    <w:t>exp2_block_method_summary.csv</w:t>
                  </w:r>
                </w:p>
              </w:tc>
            </w:tr>
            <w:tr w:rsidR="00D075F6" w14:paraId="64353634" w14:textId="77777777">
              <w:trPr>
                <w:jc w:val="center"/>
              </w:trPr>
              <w:tc>
                <w:tcPr>
                  <w:tcW w:w="1320" w:type="dxa"/>
                </w:tcPr>
                <w:p w14:paraId="1E153BC8" w14:textId="77777777" w:rsidR="00D075F6" w:rsidRDefault="00734411">
                  <w:pPr>
                    <w:jc w:val="center"/>
                  </w:pPr>
                  <w:r>
                    <w:t>5. Exportación</w:t>
                  </w:r>
                </w:p>
              </w:tc>
              <w:tc>
                <w:tcPr>
                  <w:tcW w:w="1320" w:type="dxa"/>
                </w:tcPr>
                <w:p w14:paraId="2FA334FC" w14:textId="77777777" w:rsidR="00D075F6" w:rsidRDefault="00734411">
                  <w:pPr>
                    <w:jc w:val="center"/>
                  </w:pPr>
                  <w:r>
                    <w:t>Generar tablas inferenciales deterministas</w:t>
                  </w:r>
                </w:p>
              </w:tc>
              <w:tc>
                <w:tcPr>
                  <w:tcW w:w="1320" w:type="dxa"/>
                </w:tcPr>
                <w:p w14:paraId="23346C68" w14:textId="77777777" w:rsidR="00D075F6" w:rsidRDefault="00734411">
                  <w:pPr>
                    <w:jc w:val="center"/>
                  </w:pPr>
                  <w:r>
                    <w:t>Tablas armonizadas</w:t>
                  </w:r>
                </w:p>
              </w:tc>
              <w:tc>
                <w:tcPr>
                  <w:tcW w:w="1320" w:type="dxa"/>
                </w:tcPr>
                <w:p w14:paraId="2D2FA8D9" w14:textId="77777777" w:rsidR="00D075F6" w:rsidRDefault="00734411">
                  <w:pPr>
                    <w:jc w:val="center"/>
                  </w:pPr>
                  <w:r>
                    <w:t>Friedman, Nemenyi y Wilcoxon exportados</w:t>
                  </w:r>
                </w:p>
              </w:tc>
              <w:tc>
                <w:tcPr>
                  <w:tcW w:w="1320" w:type="dxa"/>
                </w:tcPr>
                <w:p w14:paraId="186D6939" w14:textId="77777777" w:rsidR="00D075F6" w:rsidRDefault="00734411">
                  <w:pPr>
                    <w:jc w:val="center"/>
                  </w:pPr>
                  <w:r>
                    <w:t>Cálculos manuales, doble conteo, pseudorreplicación</w:t>
                  </w:r>
                </w:p>
              </w:tc>
              <w:tc>
                <w:tcPr>
                  <w:tcW w:w="1320" w:type="dxa"/>
                </w:tcPr>
                <w:p w14:paraId="386A61C3" w14:textId="77777777" w:rsidR="00D075F6" w:rsidRDefault="00734411">
                  <w:pPr>
                    <w:jc w:val="center"/>
                  </w:pPr>
                  <w:r>
                    <w:t>friedman_results.csv, nemenyi_*.csv, wilcoxon_*.csv</w:t>
                  </w:r>
                </w:p>
              </w:tc>
            </w:tr>
            <w:tr w:rsidR="00D075F6" w14:paraId="0A14BEE7" w14:textId="77777777">
              <w:trPr>
                <w:jc w:val="center"/>
              </w:trPr>
              <w:tc>
                <w:tcPr>
                  <w:tcW w:w="1320" w:type="dxa"/>
                </w:tcPr>
                <w:p w14:paraId="686D43DA" w14:textId="77777777" w:rsidR="00D075F6" w:rsidRDefault="00734411">
                  <w:pPr>
                    <w:jc w:val="center"/>
                  </w:pPr>
                  <w:r>
                    <w:t>6. Perfilado</w:t>
                  </w:r>
                </w:p>
              </w:tc>
              <w:tc>
                <w:tcPr>
                  <w:tcW w:w="1320" w:type="dxa"/>
                </w:tcPr>
                <w:p w14:paraId="42D0EFAA" w14:textId="77777777" w:rsidR="00D075F6" w:rsidRDefault="00734411">
                  <w:pPr>
                    <w:jc w:val="center"/>
                  </w:pPr>
                  <w:r>
                    <w:t>Cuantificar reproducibilidad bajo semillas</w:t>
                  </w:r>
                </w:p>
              </w:tc>
              <w:tc>
                <w:tcPr>
                  <w:tcW w:w="1320" w:type="dxa"/>
                </w:tcPr>
                <w:p w14:paraId="6487350E" w14:textId="77777777" w:rsidR="00D075F6" w:rsidRDefault="00734411">
                  <w:pPr>
                    <w:jc w:val="center"/>
                  </w:pPr>
                  <w:r>
                    <w:t>Réplicas EXP1 y métricas primarias</w:t>
                  </w:r>
                </w:p>
              </w:tc>
              <w:tc>
                <w:tcPr>
                  <w:tcW w:w="1320" w:type="dxa"/>
                </w:tcPr>
                <w:p w14:paraId="320B544C" w14:textId="77777777" w:rsidR="00D075F6" w:rsidRDefault="00734411">
                  <w:pPr>
                    <w:jc w:val="center"/>
                  </w:pPr>
                  <w:r>
                    <w:t>CV por método/métrica</w:t>
                  </w:r>
                </w:p>
              </w:tc>
              <w:tc>
                <w:tcPr>
                  <w:tcW w:w="1320" w:type="dxa"/>
                </w:tcPr>
                <w:p w14:paraId="77ADA4E6" w14:textId="77777777" w:rsidR="00D075F6" w:rsidRDefault="00734411">
                  <w:pPr>
                    <w:jc w:val="center"/>
                  </w:pPr>
                  <w:r>
                    <w:t>Confundir variación de semilla con efecto de método</w:t>
                  </w:r>
                </w:p>
              </w:tc>
              <w:tc>
                <w:tcPr>
                  <w:tcW w:w="1320" w:type="dxa"/>
                </w:tcPr>
                <w:p w14:paraId="5B9BFBB9" w14:textId="77777777" w:rsidR="00D075F6" w:rsidRDefault="00734411">
                  <w:pPr>
                    <w:jc w:val="center"/>
                  </w:pPr>
                  <w:r>
                    <w:t>experiments/exp1_adult/reproducibility/reproducibility_report.csv</w:t>
                  </w:r>
                </w:p>
              </w:tc>
            </w:tr>
            <w:tr w:rsidR="00D075F6" w14:paraId="3D8C0E07" w14:textId="77777777">
              <w:trPr>
                <w:jc w:val="center"/>
              </w:trPr>
              <w:tc>
                <w:tcPr>
                  <w:tcW w:w="1320" w:type="dxa"/>
                </w:tcPr>
                <w:p w14:paraId="58EC5D76" w14:textId="77777777" w:rsidR="00D075F6" w:rsidRDefault="00734411">
                  <w:pPr>
                    <w:jc w:val="center"/>
                  </w:pPr>
                  <w:r>
                    <w:t>7. Reporte</w:t>
                  </w:r>
                </w:p>
              </w:tc>
              <w:tc>
                <w:tcPr>
                  <w:tcW w:w="1320" w:type="dxa"/>
                </w:tcPr>
                <w:p w14:paraId="7ECA64E2" w14:textId="77777777" w:rsidR="00D075F6" w:rsidRDefault="00734411">
                  <w:pPr>
                    <w:jc w:val="center"/>
                  </w:pPr>
                  <w:r>
                    <w:t>Vincular cada claim con evidencia identificable</w:t>
                  </w:r>
                </w:p>
              </w:tc>
              <w:tc>
                <w:tcPr>
                  <w:tcW w:w="1320" w:type="dxa"/>
                </w:tcPr>
                <w:p w14:paraId="358D3D52" w14:textId="77777777" w:rsidR="00D075F6" w:rsidRDefault="00734411">
                  <w:pPr>
                    <w:jc w:val="center"/>
                  </w:pPr>
                  <w:r>
                    <w:t>Resultados, tablas, scripts, limitaciones</w:t>
                  </w:r>
                </w:p>
              </w:tc>
              <w:tc>
                <w:tcPr>
                  <w:tcW w:w="1320" w:type="dxa"/>
                </w:tcPr>
                <w:p w14:paraId="06763927" w14:textId="77777777" w:rsidR="00D075F6" w:rsidRDefault="00734411">
                  <w:pPr>
                    <w:jc w:val="center"/>
                  </w:pPr>
                  <w:r>
                    <w:t>Claims trazables en Capítulo 4</w:t>
                  </w:r>
                </w:p>
              </w:tc>
              <w:tc>
                <w:tcPr>
                  <w:tcW w:w="1320" w:type="dxa"/>
                </w:tcPr>
                <w:p w14:paraId="007B2FCA" w14:textId="77777777" w:rsidR="00D075F6" w:rsidRDefault="00734411">
                  <w:pPr>
                    <w:jc w:val="center"/>
                  </w:pPr>
                  <w:r>
                    <w:t>Sobreclaiming, afirmaciones no auditables</w:t>
                  </w:r>
                </w:p>
              </w:tc>
              <w:tc>
                <w:tcPr>
                  <w:tcW w:w="1320" w:type="dxa"/>
                </w:tcPr>
                <w:p w14:paraId="10E508B7" w14:textId="77777777" w:rsidR="00D075F6" w:rsidRDefault="00734411">
                  <w:pPr>
                    <w:jc w:val="center"/>
                  </w:pPr>
                  <w:r>
                    <w:t xml:space="preserve">Tablas </w:t>
                  </w:r>
                  <w:hyperlink w:anchor="tbl-results-overview">
                    <w:r>
                      <w:rPr>
                        <w:rStyle w:val="Hyperlink"/>
                      </w:rPr>
                      <w:t>4.1</w:t>
                    </w:r>
                  </w:hyperlink>
                  <w:r>
                    <w:t xml:space="preserve"> y </w:t>
                  </w:r>
                  <w:hyperlink w:anchor="tbl-claim-traceability">
                    <w:r>
                      <w:rPr>
                        <w:rStyle w:val="Hyperlink"/>
                      </w:rPr>
                      <w:t>4.7</w:t>
                    </w:r>
                  </w:hyperlink>
                </w:p>
              </w:tc>
            </w:tr>
            <w:bookmarkEnd w:id="118"/>
          </w:tbl>
          <w:p w14:paraId="4102F4B4" w14:textId="77777777" w:rsidR="00D075F6" w:rsidRDefault="00D075F6"/>
        </w:tc>
      </w:tr>
    </w:tbl>
    <w:p w14:paraId="256F19F7" w14:textId="77777777" w:rsidR="00D075F6" w:rsidRDefault="00734411">
      <w:pPr>
        <w:pStyle w:val="Heading2"/>
      </w:pPr>
      <w:bookmarkStart w:id="119" w:name="sec-cobertura"/>
      <w:bookmarkStart w:id="120" w:name="_Toc241413284"/>
      <w:bookmarkEnd w:id="116"/>
      <w:r>
        <w:t>3.7 Cobertura de artefactos y análisis del impacto de datos faltantes</w:t>
      </w:r>
      <w:bookmarkEnd w:id="120"/>
    </w:p>
    <w:p w14:paraId="3243D1AD" w14:textId="77777777" w:rsidR="00D075F6" w:rsidRDefault="00734411">
      <w:pPr>
        <w:pStyle w:val="Heading3"/>
      </w:pPr>
      <w:bookmarkStart w:id="121" w:name="inventario-de-cobertura"/>
      <w:bookmarkStart w:id="122" w:name="_Toc241413285"/>
      <w:r>
        <w:t>3.7.1 Inventario de cobertura</w:t>
      </w:r>
      <w:bookmarkEnd w:id="122"/>
    </w:p>
    <w:p w14:paraId="6ECFB57C" w14:textId="77777777" w:rsidR="00D075F6" w:rsidRDefault="00734411">
      <w:r>
        <w:t>El análisis de cobertura se realizó directamente sobre el árbol de resultados comprometidos (experiments/exp2_scaled/results/</w:t>
      </w:r>
      <w:r>
        <w:t>), verificando la presencia y el tamaño no nulo de cada results.json en las 300 celdas del diseño.</w:t>
      </w:r>
    </w:p>
    <w:tbl>
      <w:tblPr>
        <w:tblW w:w="5000" w:type="pct"/>
        <w:jc w:val="center"/>
        <w:tblLayout w:type="fixed"/>
        <w:tblLook w:val="0000" w:firstRow="0" w:lastRow="0" w:firstColumn="0" w:lastColumn="0" w:noHBand="0" w:noVBand="0"/>
      </w:tblPr>
      <w:tblGrid>
        <w:gridCol w:w="9576"/>
      </w:tblGrid>
      <w:tr w:rsidR="00D075F6" w14:paraId="2B2F13DF" w14:textId="77777777">
        <w:trPr>
          <w:jc w:val="center"/>
        </w:trPr>
        <w:tc>
          <w:tcPr>
            <w:tcW w:w="7920" w:type="dxa"/>
          </w:tcPr>
          <w:p w14:paraId="31723582" w14:textId="77777777" w:rsidR="00D075F6" w:rsidRDefault="00734411">
            <w:pPr>
              <w:spacing w:before="200"/>
              <w:jc w:val="center"/>
            </w:pPr>
            <w:bookmarkStart w:id="123" w:name="tbl-coverage"/>
            <w:r>
              <w:t xml:space="preserve">Tabla 3.4: Inventario de cobertura de artefactos. EXP2 incluye la superposición de recuperación de 30 filas para celdas mlp_shap/svm_shap.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84"/>
              <w:gridCol w:w="1584"/>
              <w:gridCol w:w="1584"/>
              <w:gridCol w:w="1584"/>
              <w:gridCol w:w="1584"/>
            </w:tblGrid>
            <w:tr w:rsidR="00D075F6" w14:paraId="19FB4093" w14:textId="77777777">
              <w:trPr>
                <w:tblHeader/>
                <w:jc w:val="center"/>
              </w:trPr>
              <w:tc>
                <w:tcPr>
                  <w:tcW w:w="1584" w:type="dxa"/>
                </w:tcPr>
                <w:p w14:paraId="057B7F97" w14:textId="77777777" w:rsidR="00D075F6" w:rsidRDefault="00734411">
                  <w:pPr>
                    <w:jc w:val="center"/>
                  </w:pPr>
                  <w:r>
                    <w:rPr>
                      <w:b/>
                      <w:bCs/>
                    </w:rPr>
                    <w:t>Cohorte</w:t>
                  </w:r>
                </w:p>
              </w:tc>
              <w:tc>
                <w:tcPr>
                  <w:tcW w:w="1584" w:type="dxa"/>
                </w:tcPr>
                <w:p w14:paraId="6DDA82A5" w14:textId="77777777" w:rsidR="00D075F6" w:rsidRDefault="00734411">
                  <w:pPr>
                    <w:jc w:val="center"/>
                  </w:pPr>
                  <w:r>
                    <w:rPr>
                      <w:b/>
                      <w:bCs/>
                    </w:rPr>
                    <w:t>Planificadas</w:t>
                  </w:r>
                </w:p>
              </w:tc>
              <w:tc>
                <w:tcPr>
                  <w:tcW w:w="1584" w:type="dxa"/>
                </w:tcPr>
                <w:p w14:paraId="72D2D605" w14:textId="77777777" w:rsidR="00D075F6" w:rsidRDefault="00734411">
                  <w:pPr>
                    <w:jc w:val="center"/>
                  </w:pPr>
                  <w:r>
                    <w:rPr>
                      <w:b/>
                      <w:bCs/>
                    </w:rPr>
                    <w:t>Presentes</w:t>
                  </w:r>
                </w:p>
              </w:tc>
              <w:tc>
                <w:tcPr>
                  <w:tcW w:w="1584" w:type="dxa"/>
                </w:tcPr>
                <w:p w14:paraId="1D69752E" w14:textId="77777777" w:rsidR="00D075F6" w:rsidRDefault="00734411">
                  <w:pPr>
                    <w:jc w:val="center"/>
                  </w:pPr>
                  <w:r>
                    <w:rPr>
                      <w:b/>
                      <w:bCs/>
                    </w:rPr>
                    <w:t>Analizables</w:t>
                  </w:r>
                </w:p>
              </w:tc>
              <w:tc>
                <w:tcPr>
                  <w:tcW w:w="1584" w:type="dxa"/>
                </w:tcPr>
                <w:p w14:paraId="71C126D2" w14:textId="77777777" w:rsidR="00D075F6" w:rsidRDefault="00734411">
                  <w:pPr>
                    <w:jc w:val="center"/>
                  </w:pPr>
                  <w:r>
                    <w:rPr>
                      <w:b/>
                      <w:bCs/>
                    </w:rPr>
                    <w:t>Cobertura</w:t>
                  </w:r>
                </w:p>
              </w:tc>
            </w:tr>
            <w:tr w:rsidR="00D075F6" w14:paraId="6AB1FE59" w14:textId="77777777">
              <w:trPr>
                <w:jc w:val="center"/>
              </w:trPr>
              <w:tc>
                <w:tcPr>
                  <w:tcW w:w="1584" w:type="dxa"/>
                </w:tcPr>
                <w:p w14:paraId="56E90BA9" w14:textId="77777777" w:rsidR="00D075F6" w:rsidRDefault="00734411">
                  <w:pPr>
                    <w:jc w:val="center"/>
                  </w:pPr>
                  <w:r>
                    <w:t>EXP1 (calibración)</w:t>
                  </w:r>
                </w:p>
              </w:tc>
              <w:tc>
                <w:tcPr>
                  <w:tcW w:w="1584" w:type="dxa"/>
                </w:tcPr>
                <w:p w14:paraId="45713E71" w14:textId="77777777" w:rsidR="00D075F6" w:rsidRDefault="00734411">
                  <w:pPr>
                    <w:jc w:val="center"/>
                  </w:pPr>
                  <w:r>
                    <w:t>75</w:t>
                  </w:r>
                </w:p>
              </w:tc>
              <w:tc>
                <w:tcPr>
                  <w:tcW w:w="1584" w:type="dxa"/>
                </w:tcPr>
                <w:p w14:paraId="24754C0B" w14:textId="77777777" w:rsidR="00D075F6" w:rsidRDefault="00734411">
                  <w:pPr>
                    <w:jc w:val="center"/>
                  </w:pPr>
                  <w:r>
                    <w:t>75</w:t>
                  </w:r>
                </w:p>
              </w:tc>
              <w:tc>
                <w:tcPr>
                  <w:tcW w:w="1584" w:type="dxa"/>
                </w:tcPr>
                <w:p w14:paraId="42F3176A" w14:textId="77777777" w:rsidR="00D075F6" w:rsidRDefault="00734411">
                  <w:pPr>
                    <w:jc w:val="center"/>
                  </w:pPr>
                  <w:r>
                    <w:t>66</w:t>
                  </w:r>
                </w:p>
              </w:tc>
              <w:tc>
                <w:tcPr>
                  <w:tcW w:w="1584" w:type="dxa"/>
                </w:tcPr>
                <w:p w14:paraId="02D61A0C" w14:textId="77777777" w:rsidR="00D075F6" w:rsidRDefault="00734411">
                  <w:pPr>
                    <w:jc w:val="center"/>
                  </w:pPr>
                  <w:r>
                    <w:t>88.0%</w:t>
                  </w:r>
                </w:p>
              </w:tc>
            </w:tr>
            <w:tr w:rsidR="00D075F6" w14:paraId="154E0618" w14:textId="77777777">
              <w:trPr>
                <w:jc w:val="center"/>
              </w:trPr>
              <w:tc>
                <w:tcPr>
                  <w:tcW w:w="1584" w:type="dxa"/>
                </w:tcPr>
                <w:p w14:paraId="49777AD2" w14:textId="77777777" w:rsidR="00D075F6" w:rsidRDefault="00734411">
                  <w:pPr>
                    <w:jc w:val="center"/>
                  </w:pPr>
                  <w:r>
                    <w:t>EXP2 (benchmark primario)</w:t>
                  </w:r>
                </w:p>
              </w:tc>
              <w:tc>
                <w:tcPr>
                  <w:tcW w:w="1584" w:type="dxa"/>
                </w:tcPr>
                <w:p w14:paraId="07AF96A5" w14:textId="77777777" w:rsidR="00D075F6" w:rsidRDefault="00734411">
                  <w:pPr>
                    <w:jc w:val="center"/>
                  </w:pPr>
                  <w:r>
                    <w:t>300</w:t>
                  </w:r>
                </w:p>
              </w:tc>
              <w:tc>
                <w:tcPr>
                  <w:tcW w:w="1584" w:type="dxa"/>
                </w:tcPr>
                <w:p w14:paraId="7632EEF0" w14:textId="77777777" w:rsidR="00D075F6" w:rsidRDefault="00734411">
                  <w:pPr>
                    <w:jc w:val="center"/>
                  </w:pPr>
                  <w:r>
                    <w:t>299</w:t>
                  </w:r>
                </w:p>
              </w:tc>
              <w:tc>
                <w:tcPr>
                  <w:tcW w:w="1584" w:type="dxa"/>
                </w:tcPr>
                <w:p w14:paraId="1B055378" w14:textId="77777777" w:rsidR="00D075F6" w:rsidRDefault="00734411">
                  <w:pPr>
                    <w:jc w:val="center"/>
                  </w:pPr>
                  <w:r>
                    <w:t>275</w:t>
                  </w:r>
                </w:p>
              </w:tc>
              <w:tc>
                <w:tcPr>
                  <w:tcW w:w="1584" w:type="dxa"/>
                </w:tcPr>
                <w:p w14:paraId="365FD3D3" w14:textId="77777777" w:rsidR="00D075F6" w:rsidRDefault="00734411">
                  <w:pPr>
                    <w:jc w:val="center"/>
                  </w:pPr>
                  <w:r>
                    <w:t>91.7%</w:t>
                  </w:r>
                </w:p>
              </w:tc>
            </w:tr>
            <w:bookmarkEnd w:id="123"/>
          </w:tbl>
          <w:p w14:paraId="6D4C8249" w14:textId="77777777" w:rsidR="00D075F6" w:rsidRDefault="00D075F6"/>
        </w:tc>
      </w:tr>
    </w:tbl>
    <w:p w14:paraId="481A1479" w14:textId="77777777" w:rsidR="00D075F6" w:rsidRDefault="00734411">
      <w:pPr>
        <w:pStyle w:val="BodyText"/>
      </w:pPr>
      <w:r>
        <w:t xml:space="preserve">La </w:t>
      </w:r>
      <w:r>
        <w:rPr>
          <w:b/>
          <w:bCs/>
        </w:rPr>
        <w:t>única celda físicamente faltante</w:t>
      </w:r>
      <w:r>
        <w:t xml:space="preserve"> en EXP2 es svm_shap_s456_n200 </w:t>
      </w:r>
      <w:r>
        <w:t>(verificado por inspección directa del árbol de artefactos). Las 25 celdas con cobertura analítica reducida presentan artefactos físicamente presentes pero con diferencias de esquema; se concentran en Anchors (18 celdas) y DiCE (7 celdas), con SHAP y LIME en cobertura completa (75/75 tras la superposición de recuperación).</w:t>
      </w:r>
    </w:p>
    <w:tbl>
      <w:tblPr>
        <w:tblW w:w="5000" w:type="pct"/>
        <w:jc w:val="center"/>
        <w:tblLayout w:type="fixed"/>
        <w:tblLook w:val="0000" w:firstRow="0" w:lastRow="0" w:firstColumn="0" w:lastColumn="0" w:noHBand="0" w:noVBand="0"/>
      </w:tblPr>
      <w:tblGrid>
        <w:gridCol w:w="9576"/>
      </w:tblGrid>
      <w:tr w:rsidR="00D075F6" w14:paraId="385D793B" w14:textId="77777777">
        <w:trPr>
          <w:jc w:val="center"/>
        </w:trPr>
        <w:tc>
          <w:tcPr>
            <w:tcW w:w="7920" w:type="dxa"/>
          </w:tcPr>
          <w:p w14:paraId="2B904438" w14:textId="77777777" w:rsidR="00D075F6" w:rsidRDefault="00734411">
            <w:pPr>
              <w:spacing w:before="200"/>
              <w:jc w:val="center"/>
            </w:pPr>
            <w:bookmarkStart w:id="124" w:name="tbl-coverage-method"/>
            <w:r>
              <w:t>Tabla 3.5: Cobertura analítica por método. SHAP incluye la superposición de recuperación.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D075F6" w14:paraId="78FA4057" w14:textId="77777777">
              <w:trPr>
                <w:tblHeader/>
                <w:jc w:val="center"/>
              </w:trPr>
              <w:tc>
                <w:tcPr>
                  <w:tcW w:w="1980" w:type="dxa"/>
                </w:tcPr>
                <w:p w14:paraId="5895DF26" w14:textId="77777777" w:rsidR="00D075F6" w:rsidRDefault="00734411">
                  <w:pPr>
                    <w:jc w:val="center"/>
                  </w:pPr>
                  <w:r>
                    <w:rPr>
                      <w:b/>
                      <w:bCs/>
                    </w:rPr>
                    <w:t>Método</w:t>
                  </w:r>
                </w:p>
              </w:tc>
              <w:tc>
                <w:tcPr>
                  <w:tcW w:w="1980" w:type="dxa"/>
                </w:tcPr>
                <w:p w14:paraId="089EA799" w14:textId="77777777" w:rsidR="00D075F6" w:rsidRDefault="00734411">
                  <w:pPr>
                    <w:jc w:val="center"/>
                  </w:pPr>
                  <w:r>
                    <w:rPr>
                      <w:b/>
                      <w:bCs/>
                    </w:rPr>
                    <w:t>Planificadas</w:t>
                  </w:r>
                </w:p>
              </w:tc>
              <w:tc>
                <w:tcPr>
                  <w:tcW w:w="1980" w:type="dxa"/>
                </w:tcPr>
                <w:p w14:paraId="4990568C" w14:textId="77777777" w:rsidR="00D075F6" w:rsidRDefault="00734411">
                  <w:pPr>
                    <w:jc w:val="center"/>
                  </w:pPr>
                  <w:r>
                    <w:rPr>
                      <w:b/>
                      <w:bCs/>
                    </w:rPr>
                    <w:t>Analizables</w:t>
                  </w:r>
                </w:p>
              </w:tc>
              <w:tc>
                <w:tcPr>
                  <w:tcW w:w="1980" w:type="dxa"/>
                </w:tcPr>
                <w:p w14:paraId="41551B04" w14:textId="77777777" w:rsidR="00D075F6" w:rsidRDefault="00734411">
                  <w:pPr>
                    <w:jc w:val="center"/>
                  </w:pPr>
                  <w:r>
                    <w:rPr>
                      <w:b/>
                      <w:bCs/>
                    </w:rPr>
                    <w:t>Cobertura</w:t>
                  </w:r>
                </w:p>
              </w:tc>
            </w:tr>
            <w:tr w:rsidR="00D075F6" w14:paraId="65519CDE" w14:textId="77777777">
              <w:trPr>
                <w:jc w:val="center"/>
              </w:trPr>
              <w:tc>
                <w:tcPr>
                  <w:tcW w:w="1980" w:type="dxa"/>
                </w:tcPr>
                <w:p w14:paraId="33834C48" w14:textId="77777777" w:rsidR="00D075F6" w:rsidRDefault="00734411">
                  <w:pPr>
                    <w:jc w:val="center"/>
                  </w:pPr>
                  <w:r>
                    <w:t>SHAP</w:t>
                  </w:r>
                </w:p>
              </w:tc>
              <w:tc>
                <w:tcPr>
                  <w:tcW w:w="1980" w:type="dxa"/>
                </w:tcPr>
                <w:p w14:paraId="4F12379A" w14:textId="77777777" w:rsidR="00D075F6" w:rsidRDefault="00734411">
                  <w:pPr>
                    <w:jc w:val="center"/>
                  </w:pPr>
                  <w:r>
                    <w:t>75</w:t>
                  </w:r>
                </w:p>
              </w:tc>
              <w:tc>
                <w:tcPr>
                  <w:tcW w:w="1980" w:type="dxa"/>
                </w:tcPr>
                <w:p w14:paraId="08EBF9CC" w14:textId="77777777" w:rsidR="00D075F6" w:rsidRDefault="00734411">
                  <w:pPr>
                    <w:jc w:val="center"/>
                  </w:pPr>
                  <w:r>
                    <w:t>75</w:t>
                  </w:r>
                </w:p>
              </w:tc>
              <w:tc>
                <w:tcPr>
                  <w:tcW w:w="1980" w:type="dxa"/>
                </w:tcPr>
                <w:p w14:paraId="5FDABB55" w14:textId="77777777" w:rsidR="00D075F6" w:rsidRDefault="00734411">
                  <w:pPr>
                    <w:jc w:val="center"/>
                  </w:pPr>
                  <w:r>
                    <w:t>100.0%</w:t>
                  </w:r>
                </w:p>
              </w:tc>
            </w:tr>
            <w:tr w:rsidR="00D075F6" w14:paraId="0686A271" w14:textId="77777777">
              <w:trPr>
                <w:jc w:val="center"/>
              </w:trPr>
              <w:tc>
                <w:tcPr>
                  <w:tcW w:w="1980" w:type="dxa"/>
                </w:tcPr>
                <w:p w14:paraId="06FBED8F" w14:textId="77777777" w:rsidR="00D075F6" w:rsidRDefault="00734411">
                  <w:pPr>
                    <w:jc w:val="center"/>
                  </w:pPr>
                  <w:r>
                    <w:t>LIME</w:t>
                  </w:r>
                </w:p>
              </w:tc>
              <w:tc>
                <w:tcPr>
                  <w:tcW w:w="1980" w:type="dxa"/>
                </w:tcPr>
                <w:p w14:paraId="09D53290" w14:textId="77777777" w:rsidR="00D075F6" w:rsidRDefault="00734411">
                  <w:pPr>
                    <w:jc w:val="center"/>
                  </w:pPr>
                  <w:r>
                    <w:t>75</w:t>
                  </w:r>
                </w:p>
              </w:tc>
              <w:tc>
                <w:tcPr>
                  <w:tcW w:w="1980" w:type="dxa"/>
                </w:tcPr>
                <w:p w14:paraId="530166D9" w14:textId="77777777" w:rsidR="00D075F6" w:rsidRDefault="00734411">
                  <w:pPr>
                    <w:jc w:val="center"/>
                  </w:pPr>
                  <w:r>
                    <w:t>75</w:t>
                  </w:r>
                </w:p>
              </w:tc>
              <w:tc>
                <w:tcPr>
                  <w:tcW w:w="1980" w:type="dxa"/>
                </w:tcPr>
                <w:p w14:paraId="77D376EF" w14:textId="77777777" w:rsidR="00D075F6" w:rsidRDefault="00734411">
                  <w:pPr>
                    <w:jc w:val="center"/>
                  </w:pPr>
                  <w:r>
                    <w:t>100.0%</w:t>
                  </w:r>
                </w:p>
              </w:tc>
            </w:tr>
            <w:tr w:rsidR="00D075F6" w14:paraId="6E68E55A" w14:textId="77777777">
              <w:trPr>
                <w:jc w:val="center"/>
              </w:trPr>
              <w:tc>
                <w:tcPr>
                  <w:tcW w:w="1980" w:type="dxa"/>
                </w:tcPr>
                <w:p w14:paraId="76128703" w14:textId="77777777" w:rsidR="00D075F6" w:rsidRDefault="00734411">
                  <w:pPr>
                    <w:jc w:val="center"/>
                  </w:pPr>
                  <w:r>
                    <w:t>Anchors</w:t>
                  </w:r>
                </w:p>
              </w:tc>
              <w:tc>
                <w:tcPr>
                  <w:tcW w:w="1980" w:type="dxa"/>
                </w:tcPr>
                <w:p w14:paraId="3FD2869C" w14:textId="77777777" w:rsidR="00D075F6" w:rsidRDefault="00734411">
                  <w:pPr>
                    <w:jc w:val="center"/>
                  </w:pPr>
                  <w:r>
                    <w:t>75</w:t>
                  </w:r>
                </w:p>
              </w:tc>
              <w:tc>
                <w:tcPr>
                  <w:tcW w:w="1980" w:type="dxa"/>
                </w:tcPr>
                <w:p w14:paraId="0A82E6B7" w14:textId="77777777" w:rsidR="00D075F6" w:rsidRDefault="00734411">
                  <w:pPr>
                    <w:jc w:val="center"/>
                  </w:pPr>
                  <w:r>
                    <w:t>57</w:t>
                  </w:r>
                </w:p>
              </w:tc>
              <w:tc>
                <w:tcPr>
                  <w:tcW w:w="1980" w:type="dxa"/>
                </w:tcPr>
                <w:p w14:paraId="5AD9BE5D" w14:textId="77777777" w:rsidR="00D075F6" w:rsidRDefault="00734411">
                  <w:pPr>
                    <w:jc w:val="center"/>
                  </w:pPr>
                  <w:r>
                    <w:t>76.0%</w:t>
                  </w:r>
                </w:p>
              </w:tc>
            </w:tr>
            <w:tr w:rsidR="00D075F6" w14:paraId="4F7576FF" w14:textId="77777777">
              <w:trPr>
                <w:jc w:val="center"/>
              </w:trPr>
              <w:tc>
                <w:tcPr>
                  <w:tcW w:w="1980" w:type="dxa"/>
                </w:tcPr>
                <w:p w14:paraId="4933994B" w14:textId="77777777" w:rsidR="00D075F6" w:rsidRDefault="00734411">
                  <w:pPr>
                    <w:jc w:val="center"/>
                  </w:pPr>
                  <w:r>
                    <w:t>DiCE</w:t>
                  </w:r>
                </w:p>
              </w:tc>
              <w:tc>
                <w:tcPr>
                  <w:tcW w:w="1980" w:type="dxa"/>
                </w:tcPr>
                <w:p w14:paraId="5B8CA5CA" w14:textId="77777777" w:rsidR="00D075F6" w:rsidRDefault="00734411">
                  <w:pPr>
                    <w:jc w:val="center"/>
                  </w:pPr>
                  <w:r>
                    <w:t>75</w:t>
                  </w:r>
                </w:p>
              </w:tc>
              <w:tc>
                <w:tcPr>
                  <w:tcW w:w="1980" w:type="dxa"/>
                </w:tcPr>
                <w:p w14:paraId="3DC12487" w14:textId="77777777" w:rsidR="00D075F6" w:rsidRDefault="00734411">
                  <w:pPr>
                    <w:jc w:val="center"/>
                  </w:pPr>
                  <w:r>
                    <w:t>68</w:t>
                  </w:r>
                </w:p>
              </w:tc>
              <w:tc>
                <w:tcPr>
                  <w:tcW w:w="1980" w:type="dxa"/>
                </w:tcPr>
                <w:p w14:paraId="35A32955" w14:textId="77777777" w:rsidR="00D075F6" w:rsidRDefault="00734411">
                  <w:pPr>
                    <w:jc w:val="center"/>
                  </w:pPr>
                  <w:r>
                    <w:t>90.7%</w:t>
                  </w:r>
                </w:p>
              </w:tc>
            </w:tr>
            <w:bookmarkEnd w:id="124"/>
          </w:tbl>
          <w:p w14:paraId="6862FBA9" w14:textId="77777777" w:rsidR="00D075F6" w:rsidRDefault="00D075F6"/>
        </w:tc>
      </w:tr>
    </w:tbl>
    <w:p w14:paraId="7500A96B" w14:textId="77777777" w:rsidR="00D075F6" w:rsidRDefault="00734411">
      <w:pPr>
        <w:pStyle w:val="Heading3"/>
      </w:pPr>
      <w:bookmarkStart w:id="125" w:name="Xcb4396ffd8bf23e7b418105a9e8d3fef7075c0b"/>
      <w:bookmarkStart w:id="126" w:name="_Toc241413286"/>
      <w:bookmarkEnd w:id="121"/>
      <w:r>
        <w:t>3.7.2 Evaluación cuantitativa del impacto estadístico</w:t>
      </w:r>
      <w:bookmarkEnd w:id="126"/>
    </w:p>
    <w:p w14:paraId="357057AC" w14:textId="77777777" w:rsidR="00D075F6" w:rsidRDefault="00734411">
      <w:r>
        <w:t>El impacto de las 25 celdas ausentes se evalúa en tres dimensiones: completitud de bloques de Friedman, precisión de medias globales de Anchors y DiCE, e integridad del Estudio Pareado LIME–SHAP.</w:t>
      </w:r>
    </w:p>
    <w:p w14:paraId="31E0273E" w14:textId="77777777" w:rsidR="00D075F6" w:rsidRDefault="00734411">
      <w:pPr>
        <w:pStyle w:val="BodyText"/>
      </w:pPr>
      <w:r>
        <w:rPr>
          <w:b/>
          <w:bCs/>
        </w:rPr>
        <w:t>Completitud de bloques de Friedman.</w:t>
      </w:r>
      <w:r>
        <w:t xml:space="preserve"> El test de Friedman opera sobre </w:t>
      </w:r>
      <m:oMath>
        <m:r>
          <w:rPr>
            <w:rFonts w:ascii="Cambria Math" w:hAnsi="Cambria Math"/>
          </w:rPr>
          <m:t>B</m:t>
        </m:r>
        <m:r>
          <m:rPr>
            <m:sty m:val="p"/>
          </m:rPr>
          <w:rPr>
            <w:rFonts w:ascii="Cambria Math" w:hAnsi="Cambria Math"/>
          </w:rPr>
          <m:t>=</m:t>
        </m:r>
        <m:r>
          <w:rPr>
            <w:rFonts w:ascii="Cambria Math" w:hAnsi="Cambria Math"/>
          </w:rPr>
          <m:t>15</m:t>
        </m:r>
      </m:oMath>
      <w:r>
        <w:t xml:space="preserve">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completos: un bloque es completo si los cuatro métodos </w:t>
      </w:r>
      <w:r>
        <w:t>tienen al menos una ejecución analizable. Verificación directa: los 15/15 bloques son completos para todos los métodos. La completitud de bloques garantiza la ejecutabilidad y validez del test de Friedman (Demšar 2006).</w:t>
      </w:r>
    </w:p>
    <w:p w14:paraId="7F4E537B" w14:textId="77777777" w:rsidR="00D075F6" w:rsidRDefault="00734411">
      <w:pPr>
        <w:pStyle w:val="BodyText"/>
      </w:pPr>
      <w:r>
        <w:rPr>
          <w:b/>
          <w:bCs/>
        </w:rPr>
        <w:t>Impacto en la precisión de los estimados de Anchors.</w:t>
      </w:r>
      <w:r>
        <w:t xml:space="preserve"> Con 57/75 = 76.0% de cobertura, algunos bloques de Anchors se estiman con </w:t>
      </w:r>
      <m:oMath>
        <m:r>
          <w:rPr>
            <w:rFonts w:ascii="Cambria Math" w:hAnsi="Cambria Math"/>
          </w:rPr>
          <m:t>r</m:t>
        </m:r>
        <m:r>
          <m:rPr>
            <m:sty m:val="p"/>
          </m:rPr>
          <w:rPr>
            <w:rFonts w:ascii="Cambria Math" w:hAnsi="Cambria Math"/>
          </w:rPr>
          <m:t>&lt;</m:t>
        </m:r>
        <m:r>
          <w:rPr>
            <w:rFonts w:ascii="Cambria Math" w:hAnsi="Cambria Math"/>
          </w:rPr>
          <m:t>5</m:t>
        </m:r>
      </m:oMath>
      <w:r>
        <w:t xml:space="preserve"> semillas. En el caso más desfavorable (bloques logreg-Anchors y mlp-Anchors, </w:t>
      </w:r>
      <m:oMath>
        <m:r>
          <w:rPr>
            <w:rFonts w:ascii="Cambria Math" w:hAnsi="Cambria Math"/>
          </w:rPr>
          <m:t>r</m:t>
        </m:r>
        <m:r>
          <m:rPr>
            <m:sty m:val="p"/>
          </m:rPr>
          <w:rPr>
            <w:rFonts w:ascii="Cambria Math" w:hAnsi="Cambria Math"/>
          </w:rPr>
          <m:t>≈</m:t>
        </m:r>
        <m:r>
          <w:rPr>
            <w:rFonts w:ascii="Cambria Math" w:hAnsi="Cambria Math"/>
          </w:rPr>
          <m:t>2.3</m:t>
        </m:r>
      </m:oMath>
      <w:r>
        <w:t xml:space="preserve"> semillas por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la varianza del estimador de bloque se infla según:</w:t>
      </w:r>
    </w:p>
    <w:p w14:paraId="7AE58D57" w14:textId="77777777" w:rsidR="00D075F6" w:rsidRDefault="00734411">
      <w:pPr>
        <w:pStyle w:val="BodyText"/>
      </w:pPr>
      <m:oMathPara>
        <m:oMathParaPr>
          <m:jc m:val="center"/>
        </m:oMathParaPr>
        <m:oMath>
          <m:r>
            <m:rPr>
              <m:nor/>
            </m:rPr>
            <m:t>Var</m:t>
          </m:r>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up>
                  <m:r>
                    <w:rPr>
                      <w:rFonts w:ascii="Cambria Math" w:hAnsi="Cambria Math"/>
                    </w:rPr>
                    <m:t>2</m:t>
                  </m:r>
                </m:sup>
              </m:sSubSup>
            </m:num>
            <m:den>
              <m:r>
                <w:rPr>
                  <w:rFonts w:ascii="Cambria Math" w:hAnsi="Cambria Math"/>
                </w:rPr>
                <m:t>r</m:t>
              </m:r>
            </m:den>
          </m:f>
        </m:oMath>
      </m:oMathPara>
    </w:p>
    <w:p w14:paraId="536C45F4" w14:textId="77777777" w:rsidR="00D075F6" w:rsidRDefault="00734411">
      <w:r>
        <w:t xml:space="preserve">Con </w:t>
      </w:r>
      <m:oMath>
        <m:r>
          <w:rPr>
            <w:rFonts w:ascii="Cambria Math" w:hAnsi="Cambria Math"/>
          </w:rPr>
          <m:t>r</m:t>
        </m:r>
        <m:r>
          <m:rPr>
            <m:sty m:val="p"/>
          </m:rPr>
          <w:rPr>
            <w:rFonts w:ascii="Cambria Math" w:hAnsi="Cambria Math"/>
          </w:rPr>
          <m:t>=</m:t>
        </m:r>
        <m:r>
          <w:rPr>
            <w:rFonts w:ascii="Cambria Math" w:hAnsi="Cambria Math"/>
          </w:rPr>
          <m:t>5</m:t>
        </m:r>
      </m:oMath>
      <w:r>
        <w:t xml:space="preserve"> planificados versus </w:t>
      </w:r>
      <m:oMath>
        <m:r>
          <w:rPr>
            <w:rFonts w:ascii="Cambria Math" w:hAnsi="Cambria Math"/>
          </w:rPr>
          <m:t>r</m:t>
        </m:r>
        <m:r>
          <m:rPr>
            <m:sty m:val="p"/>
          </m:rPr>
          <w:rPr>
            <w:rFonts w:ascii="Cambria Math" w:hAnsi="Cambria Math"/>
          </w:rPr>
          <m:t>≈</m:t>
        </m:r>
        <m:r>
          <w:rPr>
            <w:rFonts w:ascii="Cambria Math" w:hAnsi="Cambria Math"/>
          </w:rPr>
          <m:t>2.3</m:t>
        </m:r>
      </m:oMath>
      <w:r>
        <w:t xml:space="preserve"> observados, el error estándar se infla por un factor de </w:t>
      </w:r>
      <m:oMath>
        <m:rad>
          <m:radPr>
            <m:degHide m:val="1"/>
            <m:ctrlPr>
              <w:rPr>
                <w:rFonts w:ascii="Cambria Math" w:hAnsi="Cambria Math"/>
              </w:rPr>
            </m:ctrlPr>
          </m:radPr>
          <m:deg/>
          <m:e>
            <m:r>
              <w:rPr>
                <w:rFonts w:ascii="Cambria Math" w:hAnsi="Cambria Math"/>
              </w:rPr>
              <m:t>5</m:t>
            </m:r>
            <m:r>
              <m:rPr>
                <m:sty m:val="p"/>
              </m:rPr>
              <w:rPr>
                <w:rFonts w:ascii="Cambria Math" w:hAnsi="Cambria Math"/>
              </w:rPr>
              <m:t>/</m:t>
            </m:r>
            <m:r>
              <w:rPr>
                <w:rFonts w:ascii="Cambria Math" w:hAnsi="Cambria Math"/>
              </w:rPr>
              <m:t>2.3</m:t>
            </m:r>
          </m:e>
        </m:rad>
        <m:r>
          <m:rPr>
            <m:sty m:val="p"/>
          </m:rPr>
          <w:rPr>
            <w:rFonts w:ascii="Cambria Math" w:hAnsi="Cambria Math"/>
          </w:rPr>
          <m:t>≈</m:t>
        </m:r>
        <m:r>
          <w:rPr>
            <w:rFonts w:ascii="Cambria Math" w:hAnsi="Cambria Math"/>
          </w:rPr>
          <m:t>1.47</m:t>
        </m:r>
      </m:oMath>
      <w:r>
        <w:t xml:space="preserve"> (incremento del 47%). Este incremento amplía los intervalos de confianza de las medias de Anchors en esos bloques, pero no invalida el test de Friedman por tres razones: (i) el test de Friedman es un procedimiento de rangos, robusto a la inflación de varianza en bloques individuales; (ii) los estadísticos de Friedman del estudio omnibus superan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30.44</m:t>
        </m:r>
      </m:oMath>
      <w:r>
        <w:t xml:space="preserve"> </w:t>
      </w:r>
      <w:r>
        <w:t xml:space="preserve">en todas las métricas, muy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m:t>
        </m:r>
      </m:oMath>
      <w:r>
        <w:t>; (iii) el margen de seguridad para la métrica con menor estadístico (Coste) es:</w:t>
      </w:r>
    </w:p>
    <w:p w14:paraId="7BC48B83" w14:textId="77777777" w:rsidR="00D075F6" w:rsidRDefault="00734411">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30.44</m:t>
              </m:r>
              <m:r>
                <m:rPr>
                  <m:sty m:val="p"/>
                </m:rPr>
                <w:rPr>
                  <w:rFonts w:ascii="Cambria Math" w:hAnsi="Cambria Math"/>
                </w:rPr>
                <m:t>-</m:t>
              </m:r>
              <m:r>
                <w:rPr>
                  <w:rFonts w:ascii="Cambria Math" w:hAnsi="Cambria Math"/>
                </w:rPr>
                <m:t>7.81</m:t>
              </m:r>
            </m:num>
            <m:den>
              <m:r>
                <w:rPr>
                  <w:rFonts w:ascii="Cambria Math" w:hAnsi="Cambria Math"/>
                </w:rPr>
                <m:t>7.81</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290</m:t>
          </m:r>
          <m:r>
            <m:rPr>
              <m:sty m:val="p"/>
            </m:rPr>
            <w:rPr>
              <w:rFonts w:ascii="Cambria Math" w:hAnsi="Cambria Math"/>
            </w:rPr>
            <m:t>%</m:t>
          </m:r>
        </m:oMath>
      </m:oMathPara>
    </w:p>
    <w:p w14:paraId="3E2913AE" w14:textId="77777777" w:rsidR="00D075F6" w:rsidRDefault="00734411">
      <w:r>
        <w:t>Para acotar el margen de forma explícita se aplica una prueba de esfuerzo deliberadamente severa sobre la métrica menos favorable: se divide por dos el estadístico observado de Coste, una degradación que excede con holgura la inflación de varianza calculada de 1.47. El resultado sigue siendo significativo:</w:t>
      </w:r>
    </w:p>
    <w:p w14:paraId="48E4D40D" w14:textId="77777777" w:rsidR="00D075F6" w:rsidRDefault="00734411">
      <w:pPr>
        <w:pStyle w:val="BodyText"/>
      </w:pPr>
      <m:oMathPara>
        <m:oMathParaPr>
          <m:jc m:val="center"/>
        </m:oMathParaPr>
        <m:oMath>
          <m:sSubSup>
            <m:sSubSupPr>
              <m:ctrlPr>
                <w:rPr>
                  <w:rFonts w:ascii="Cambria Math" w:hAnsi="Cambria Math"/>
                </w:rPr>
              </m:ctrlPr>
            </m:sSubSupPr>
            <m:e>
              <m:r>
                <w:rPr>
                  <w:rFonts w:ascii="Cambria Math" w:hAnsi="Cambria Math"/>
                </w:rPr>
                <m:t>χ</m:t>
              </m:r>
            </m:e>
            <m:sub>
              <m:r>
                <m:rPr>
                  <m:nor/>
                </m:rPr>
                <m:t>estrés</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30.44</m:t>
              </m:r>
            </m:num>
            <m:den>
              <m:r>
                <w:rPr>
                  <w:rFonts w:ascii="Cambria Math" w:hAnsi="Cambria Math"/>
                </w:rPr>
                <m:t>2</m:t>
              </m:r>
            </m:den>
          </m:f>
          <m:r>
            <m:rPr>
              <m:sty m:val="p"/>
            </m:rPr>
            <w:rPr>
              <w:rFonts w:ascii="Cambria Math" w:hAnsi="Cambria Math"/>
            </w:rPr>
            <m:t>=</m:t>
          </m:r>
          <m:r>
            <w:rPr>
              <w:rFonts w:ascii="Cambria Math" w:hAnsi="Cambria Math"/>
            </w:rPr>
            <m:t>15.22 </m:t>
          </m:r>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χ</m:t>
                  </m:r>
                </m:e>
                <m:sub>
                  <m:r>
                    <w:rPr>
                      <w:rFonts w:ascii="Cambria Math" w:hAnsi="Cambria Math"/>
                    </w:rPr>
                    <m:t>3</m:t>
                  </m:r>
                </m:sub>
                <m:sup>
                  <m:r>
                    <w:rPr>
                      <w:rFonts w:ascii="Cambria Math" w:hAnsi="Cambria Math"/>
                    </w:rPr>
                    <m:t>2</m:t>
                  </m:r>
                </m:sup>
              </m:sSubSup>
              <m:r>
                <m:rPr>
                  <m:sty m:val="p"/>
                </m:rPr>
                <w:rPr>
                  <w:rFonts w:ascii="Cambria Math" w:hAnsi="Cambria Math"/>
                </w:rPr>
                <m:t>&gt;</m:t>
              </m:r>
              <m:r>
                <w:rPr>
                  <w:rFonts w:ascii="Cambria Math" w:hAnsi="Cambria Math"/>
                </w:rPr>
                <m:t>15.22</m:t>
              </m:r>
            </m:e>
          </m:d>
          <m:r>
            <m:rPr>
              <m:sty m:val="p"/>
            </m:rPr>
            <w:rPr>
              <w:rFonts w:ascii="Cambria Math" w:hAnsi="Cambria Math"/>
            </w:rPr>
            <m:t>=</m:t>
          </m:r>
          <m:r>
            <w:rPr>
              <w:rFonts w:ascii="Cambria Math" w:hAnsi="Cambria Math"/>
            </w:rPr>
            <m:t>0.0016</m:t>
          </m:r>
          <m:r>
            <m:rPr>
              <m:sty m:val="p"/>
            </m:rPr>
            <w:rPr>
              <w:rFonts w:ascii="Cambria Math" w:hAnsi="Cambria Math"/>
            </w:rPr>
            <m:t>&lt;</m:t>
          </m:r>
          <m:r>
            <w:rPr>
              <w:rFonts w:ascii="Cambria Math" w:hAnsi="Cambria Math"/>
            </w:rPr>
            <m:t>0.05</m:t>
          </m:r>
        </m:oMath>
      </m:oMathPara>
    </w:p>
    <w:p w14:paraId="0DA7C866" w14:textId="77777777" w:rsidR="00D075F6" w:rsidRDefault="00734411">
      <w:r>
        <w:t xml:space="preserve">Conviene precisar qué operación es esta y qué no es. Dividir el estadístico por dos no equivale a una reducción del poder del 50%: es una degradación directa de la evidencia observada, aplicada como cota inferior conservadora. Bajo la interpretación alternativa —reducir a la mitad el parámetro de no centralidad </w:t>
      </w:r>
      <m:oMath>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27.44</m:t>
        </m:r>
      </m:oMath>
      <w:r>
        <w:t xml:space="preserve">, de modo que </w:t>
      </w:r>
      <m:oMath>
        <m:r>
          <m:rPr>
            <m:scr m:val="double-struck"/>
            <m:sty m:val="p"/>
          </m:rP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16.72</m:t>
        </m:r>
      </m:oMath>
      <w:r>
        <w:t>— la conclusión es todavía más holgada (</w:t>
      </w:r>
      <m:oMath>
        <m:r>
          <w:rPr>
            <w:rFonts w:ascii="Cambria Math" w:hAnsi="Cambria Math"/>
          </w:rPr>
          <m:t>p</m:t>
        </m:r>
        <m:r>
          <m:rPr>
            <m:sty m:val="p"/>
          </m:rPr>
          <w:rPr>
            <w:rFonts w:ascii="Cambria Math" w:hAnsi="Cambria Math"/>
          </w:rPr>
          <m:t>=</m:t>
        </m:r>
        <m:r>
          <w:rPr>
            <w:rFonts w:ascii="Cambria Math" w:hAnsi="Cambria Math"/>
          </w:rPr>
          <m:t>0.0008</m:t>
        </m:r>
      </m:oMath>
      <w:r>
        <w:t xml:space="preserve">). Ambas </w:t>
      </w:r>
      <w:r>
        <w:t xml:space="preserve">lecturas dejan el estadístico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7.815</m:t>
        </m:r>
      </m:oMath>
      <w:r>
        <w:t>, de modo que la significación de Coste no depende de cuál de las dos se adopte.</w:t>
      </w:r>
    </w:p>
    <w:p w14:paraId="78BFA414" w14:textId="77777777" w:rsidR="00D075F6" w:rsidRDefault="00734411">
      <w:pPr>
        <w:pStyle w:val="BodyText"/>
      </w:pPr>
      <w:r>
        <w:rPr>
          <w:b/>
          <w:bCs/>
        </w:rPr>
        <w:t>Integridad del Estudio Pareado LIME–SHAP.</w:t>
      </w:r>
      <w:r>
        <w:t xml:space="preserve"> Con cobertura completa de SHAP (75/75) y LIME (75/75), su cobertura pareada es del 100%. Los datos faltantes de Anchors y DiCE </w:t>
      </w:r>
      <w:r>
        <w:rPr>
          <w:b/>
          <w:bCs/>
        </w:rPr>
        <w:t>no afectan</w:t>
      </w:r>
      <w:r>
        <w:t xml:space="preserve"> a este estudio.</w:t>
      </w:r>
    </w:p>
    <w:p w14:paraId="6B0687DA" w14:textId="77777777" w:rsidR="00D075F6" w:rsidRDefault="00734411">
      <w:pPr>
        <w:pStyle w:val="BodyText"/>
      </w:pPr>
      <w:r>
        <w:rPr>
          <w:b/>
          <w:bCs/>
        </w:rPr>
        <w:t>Dirección del sesgo de selección en Anchors.</w:t>
      </w:r>
      <w:r>
        <w:t xml:space="preserve"> El análisis anterior cuantifica el efecto de la cobertura reducida sobre la </w:t>
      </w:r>
      <w:r>
        <w:rPr>
          <w:i/>
          <w:iCs/>
        </w:rPr>
        <w:t>varianza</w:t>
      </w:r>
      <w:r>
        <w:t xml:space="preserve"> de los estimadores, pero </w:t>
      </w:r>
      <w:r>
        <w:t xml:space="preserve">la ausencia de datos en Anchors no es aleatoria y exige además una consideración sobre el </w:t>
      </w:r>
      <w:r>
        <w:rPr>
          <w:i/>
          <w:iCs/>
        </w:rPr>
        <w:t>sesgo</w:t>
      </w:r>
      <w:r>
        <w:t xml:space="preserve">. Las 18 celdas ausentes lo están porque el algoritmo no convergió a una regla con precisión </w:t>
      </w:r>
      <m:oMath>
        <m:r>
          <m:rPr>
            <m:sty m:val="p"/>
          </m:rPr>
          <w:rPr>
            <w:rFonts w:ascii="Cambria Math" w:hAnsi="Cambria Math"/>
          </w:rPr>
          <m:t>≥</m:t>
        </m:r>
        <m:r>
          <w:rPr>
            <w:rFonts w:ascii="Cambria Math" w:hAnsi="Cambria Math"/>
          </w:rPr>
          <m:t>τ</m:t>
        </m:r>
      </m:oMath>
      <w:r>
        <w:t xml:space="preserve"> dentro del límite de búsqueda: la ausencia depende del resultado que se habría observado, es decir, es </w:t>
      </w:r>
      <w:r>
        <w:rPr>
          <w:i/>
          <w:iCs/>
        </w:rPr>
        <w:t>missing not at random</w:t>
      </w:r>
      <w:r>
        <w:t xml:space="preserve"> (MNAR) y se concentra en los estratos de mayor incertidumbre local, precisamente aquellos en los que Anchors habría obtenido </w:t>
      </w:r>
      <w:r>
        <w:t xml:space="preserve">previsiblemente sus peores métricas. La consecuencia es direccional: las medias de calidad reportadas para Anchors son, con toda probabilidad, </w:t>
      </w:r>
      <w:r>
        <w:rPr>
          <w:b/>
          <w:bCs/>
        </w:rPr>
        <w:t>optimistas</w:t>
      </w:r>
      <w:r>
        <w:t xml:space="preserve"> respecto a su rendimiento sobre el conjunto completo de celdas intentadas.</w:t>
      </w:r>
    </w:p>
    <w:p w14:paraId="7496A84F" w14:textId="77777777" w:rsidR="00D075F6" w:rsidRDefault="00734411">
      <w:pPr>
        <w:pStyle w:val="BodyText"/>
      </w:pPr>
      <w:r>
        <w:t>El análisis de sensibilidad al umbral (</w:t>
      </w:r>
      <w:hyperlink w:anchor="tbl-appendix-anchors-sensitivity">
        <w:r>
          <w:rPr>
            <w:rStyle w:val="Hyperlink"/>
          </w:rPr>
          <w:t>Tabla 6.10</w:t>
        </w:r>
      </w:hyperlink>
      <w:r>
        <w:t xml:space="preserve">) ofrece una estimación empírica de la magnitud de este efecto. Al relajar </w:t>
      </w:r>
      <m:oMath>
        <m:r>
          <w:rPr>
            <w:rFonts w:ascii="Cambria Math" w:hAnsi="Cambria Math"/>
          </w:rPr>
          <m:t>τ</m:t>
        </m:r>
      </m:oMath>
      <w:r>
        <w:t xml:space="preserve"> de 0.95 a 0.90, la cobertura asciende de 57/75 (76%) a 72/75 (96%) y la fidelidad media </w:t>
      </w:r>
      <w:r>
        <w:rPr>
          <w:i/>
          <w:iCs/>
        </w:rPr>
        <w:t>aumenta</w:t>
      </w:r>
      <w:r>
        <w:t xml:space="preserve"> </w:t>
      </w:r>
      <w:r>
        <w:t xml:space="preserve">de 0.386 a 0.421 —no disminuye—, lo que confirma que las celdas recuperadas al relajar el criterio no son las de peor calidad bajo la métrica de correlación de importancias, sino que el umbral y la métrica de fidelidad no están alineados. El sesgo existe, por tanto, pero su magnitud es moderada y su dirección no invalida la posición de Anchors en el ordenamiento: el método ya ocupa la tercera o cuarta posición incluso bajo esta estimación potencialmente </w:t>
      </w:r>
      <w:r>
        <w:t>favorable. Esta consideración refuerza —no debilita— la cautela con la que el Capítulo 6 recomienda el uso de Anchors.</w:t>
      </w:r>
    </w:p>
    <w:p w14:paraId="52C3D11D" w14:textId="77777777" w:rsidR="00D075F6" w:rsidRDefault="00734411">
      <w:pPr>
        <w:pStyle w:val="BodyText"/>
      </w:pPr>
      <w:r>
        <w:rPr>
          <w:b/>
          <w:bCs/>
        </w:rPr>
        <w:t>Conclusión.</w:t>
      </w:r>
      <w:r>
        <w:t xml:space="preserve"> El impacto estadístico de los 25 artefactos analíticamente ausentes es mínimo: los tests de Friedman permanecen significativos con márgenes de seguridad </w:t>
      </w:r>
      <m:oMath>
        <m:r>
          <m:rPr>
            <m:sty m:val="p"/>
          </m:rPr>
          <w:rPr>
            <w:rFonts w:ascii="Cambria Math" w:hAnsi="Cambria Math"/>
          </w:rPr>
          <m:t>≥</m:t>
        </m:r>
        <m:r>
          <w:rPr>
            <w:rFonts w:ascii="Cambria Math" w:hAnsi="Cambria Math"/>
          </w:rPr>
          <m:t>290</m:t>
        </m:r>
        <m:r>
          <m:rPr>
            <m:sty m:val="p"/>
          </m:rPr>
          <w:rPr>
            <w:rFonts w:ascii="Cambria Math" w:hAnsi="Cambria Math"/>
          </w:rPr>
          <m:t>%</m:t>
        </m:r>
      </m:oMath>
      <w:r>
        <w:t xml:space="preserve">, el Estudio Pareado LIME–SHAP tiene cobertura completa, y la única limitación real son los intervalos de confianza de Anchors en los bloques logreg y mlp. Esta limitación se registra como </w:t>
      </w:r>
      <w:r>
        <w:t>caveat explícito en la interpretación de los resultados del Capítulo 4.</w:t>
      </w:r>
    </w:p>
    <w:p w14:paraId="3D3A2D76" w14:textId="77777777" w:rsidR="00D075F6" w:rsidRDefault="00734411">
      <w:pPr>
        <w:pStyle w:val="Heading2"/>
      </w:pPr>
      <w:bookmarkStart w:id="127" w:name="plan-de-inferencia-estadística"/>
      <w:bookmarkStart w:id="128" w:name="_Toc241413287"/>
      <w:bookmarkEnd w:id="119"/>
      <w:bookmarkEnd w:id="125"/>
      <w:r>
        <w:t>3.8 Plan de inferencia estadística</w:t>
      </w:r>
      <w:bookmarkEnd w:id="128"/>
    </w:p>
    <w:p w14:paraId="7BEEDF3B" w14:textId="77777777" w:rsidR="00D075F6" w:rsidRDefault="00734411">
      <w:pPr>
        <w:pStyle w:val="Heading3"/>
      </w:pPr>
      <w:bookmarkStart w:id="129" w:name="Xb1cf6929af397b34ac8b341602720570fd1cf16"/>
      <w:bookmarkStart w:id="130" w:name="_Toc241413288"/>
      <w:r>
        <w:t>3.8.1 Estudio Omnibus Multimétrico: test omnibus de Friedman</w:t>
      </w:r>
      <w:bookmarkEnd w:id="130"/>
    </w:p>
    <w:p w14:paraId="15F6D2B2" w14:textId="77777777" w:rsidR="00D075F6" w:rsidRDefault="00734411">
      <w:r>
        <w:t xml:space="preserve">Para contrastar H1 y H2, se aplica el test de Friedman (Friedman 1937) sobre los </w:t>
      </w:r>
      <m:oMath>
        <m:r>
          <w:rPr>
            <w:rFonts w:ascii="Cambria Math" w:hAnsi="Cambria Math"/>
          </w:rPr>
          <m:t>B</m:t>
        </m:r>
        <m:r>
          <m:rPr>
            <m:sty m:val="p"/>
          </m:rPr>
          <w:rPr>
            <w:rFonts w:ascii="Cambria Math" w:hAnsi="Cambria Math"/>
          </w:rPr>
          <m:t>=</m:t>
        </m:r>
        <m:r>
          <w:rPr>
            <w:rFonts w:ascii="Cambria Math" w:hAnsi="Cambria Math"/>
          </w:rPr>
          <m:t>15</m:t>
        </m:r>
      </m:oMath>
      <w:r>
        <w:t xml:space="preserve"> bloques completos con </w:t>
      </w:r>
      <m:oMath>
        <m:r>
          <w:rPr>
            <w:rFonts w:ascii="Cambria Math" w:hAnsi="Cambria Math"/>
          </w:rPr>
          <m:t>k</m:t>
        </m:r>
        <m:r>
          <m:rPr>
            <m:sty m:val="p"/>
          </m:rPr>
          <w:rPr>
            <w:rFonts w:ascii="Cambria Math" w:hAnsi="Cambria Math"/>
          </w:rPr>
          <m:t>=</m:t>
        </m:r>
        <m:r>
          <w:rPr>
            <w:rFonts w:ascii="Cambria Math" w:hAnsi="Cambria Math"/>
          </w:rPr>
          <m:t>4</m:t>
        </m:r>
      </m:oMath>
      <w:r>
        <w:t xml:space="preserve"> tratamientos. El estadístico se calcula sobre los rangos </w:t>
      </w:r>
      <m:oMath>
        <m:sSub>
          <m:sSubPr>
            <m:ctrlPr>
              <w:rPr>
                <w:rFonts w:ascii="Cambria Math" w:hAnsi="Cambria Math"/>
              </w:rPr>
            </m:ctrlPr>
          </m:sSubPr>
          <m:e>
            <m:r>
              <w:rPr>
                <w:rFonts w:ascii="Cambria Math" w:hAnsi="Cambria Math"/>
              </w:rPr>
              <m:t>r</m:t>
            </m:r>
          </m:e>
          <m:sub>
            <m:r>
              <w:rPr>
                <w:rFonts w:ascii="Cambria Math" w:hAnsi="Cambria Math"/>
              </w:rPr>
              <m:t>bj</m:t>
            </m:r>
          </m:sub>
        </m:sSub>
      </m:oMath>
      <w:r>
        <w:t xml:space="preserve"> de cada tratamiento </w:t>
      </w:r>
      <m:oMath>
        <m:r>
          <w:rPr>
            <w:rFonts w:ascii="Cambria Math" w:hAnsi="Cambria Math"/>
          </w:rPr>
          <m:t>j</m:t>
        </m:r>
      </m:oMath>
      <w:r>
        <w:t xml:space="preserve"> dentro de cada bloque </w:t>
      </w:r>
      <m:oMath>
        <m:r>
          <w:rPr>
            <w:rFonts w:ascii="Cambria Math" w:hAnsi="Cambria Math"/>
          </w:rPr>
          <m:t>b</m:t>
        </m:r>
      </m:oMath>
      <w:r>
        <w:t>:</w:t>
      </w:r>
    </w:p>
    <w:p w14:paraId="38FDBEAC" w14:textId="77777777" w:rsidR="00D075F6" w:rsidRDefault="00734411">
      <w:pPr>
        <w:pStyle w:val="BodyText"/>
      </w:pPr>
      <w:r>
        <w:t xml:space="preserve">Cada observación de método dentro de un bloque es primero la media de sus semillas calificadas. Si </w:t>
      </w:r>
      <m:oMath>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oMath>
      <w:r>
        <w:t xml:space="preserve"> </w:t>
      </w:r>
      <w:r>
        <w:t xml:space="preserve">es la métrica </w:t>
      </w:r>
      <m:oMath>
        <m:r>
          <w:rPr>
            <w:rFonts w:ascii="Cambria Math" w:hAnsi="Cambria Math"/>
          </w:rPr>
          <m:t>m</m:t>
        </m:r>
      </m:oMath>
      <w:r>
        <w:t xml:space="preserve"> para el modelo </w:t>
      </w:r>
      <m:oMath>
        <m:r>
          <w:rPr>
            <w:rFonts w:ascii="Cambria Math" w:hAnsi="Cambria Math"/>
          </w:rPr>
          <m:t>g</m:t>
        </m:r>
      </m:oMath>
      <w:r>
        <w:t xml:space="preserve">, el método </w:t>
      </w:r>
      <m:oMath>
        <m:r>
          <w:rPr>
            <w:rFonts w:ascii="Cambria Math" w:hAnsi="Cambria Math"/>
          </w:rPr>
          <m:t>k</m:t>
        </m:r>
      </m:oMath>
      <w:r>
        <w:t xml:space="preserve">, la semilla </w:t>
      </w:r>
      <m:oMath>
        <m:r>
          <w:rPr>
            <w:rFonts w:ascii="Cambria Math" w:hAnsi="Cambria Math"/>
          </w:rPr>
          <m:t>s</m:t>
        </m:r>
      </m:oMath>
      <w:r>
        <w:t xml:space="preserve"> y el tamaño </w:t>
      </w:r>
      <m:oMath>
        <m:r>
          <w:rPr>
            <w:rFonts w:ascii="Cambria Math" w:hAnsi="Cambria Math"/>
          </w:rPr>
          <m:t>n</m:t>
        </m:r>
      </m:oMath>
      <w:r>
        <w:t>, entonces</w:t>
      </w:r>
    </w:p>
    <w:p w14:paraId="79889550" w14:textId="77777777" w:rsidR="00D075F6" w:rsidRDefault="00734411">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den>
          </m:f>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e>
          </m:nary>
          <m:r>
            <m:rPr>
              <m:sty m:val="p"/>
            </m:rPr>
            <w:rPr>
              <w:rFonts w:ascii="Cambria Math" w:hAnsi="Cambria Math"/>
            </w:rPr>
            <m:t>,</m:t>
          </m:r>
        </m:oMath>
      </m:oMathPara>
    </w:p>
    <w:p w14:paraId="07D50D2F" w14:textId="77777777" w:rsidR="00D075F6" w:rsidRDefault="00734411">
      <w:r>
        <w:t xml:space="preserve">donde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oMath>
      <w:r>
        <w:t xml:space="preserve"> contiene únicamente semillas calificadas y </w:t>
      </w: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oMath>
      <w:r>
        <w:t>. SHAP y LIME aportan cinco semillas en cada bloque; Anchors y DiCE aportan entre una y cinco según la cobertura documentada. Las semillas reducen la incertidumbre de la puntuación del bloque, pero no se tratan como 75 bloques Friedman independientes.</w:t>
      </w:r>
    </w:p>
    <w:p w14:paraId="136785F0" w14:textId="77777777" w:rsidR="00D075F6" w:rsidRDefault="00734411">
      <w:pPr>
        <w:pStyle w:val="BodyText"/>
      </w:pPr>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12</m:t>
              </m:r>
              <m:r>
                <w:rPr>
                  <w:rFonts w:ascii="Cambria Math" w:hAnsi="Cambria Math"/>
                </w:rPr>
                <m:t>B</m:t>
              </m:r>
            </m:num>
            <m:den>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2</m:t>
                          </m:r>
                        </m:den>
                      </m:f>
                    </m:e>
                  </m:d>
                </m:e>
                <m:sup>
                  <m:r>
                    <w:rPr>
                      <w:rFonts w:ascii="Cambria Math" w:hAnsi="Cambria Math"/>
                    </w:rPr>
                    <m:t>2</m:t>
                  </m:r>
                </m:sup>
              </m:sSup>
            </m:e>
          </m:nary>
        </m:oMath>
      </m:oMathPara>
    </w:p>
    <w:p w14:paraId="058A1511" w14:textId="77777777" w:rsidR="00D075F6" w:rsidRDefault="00734411">
      <w:r>
        <w:t xml:space="preserve">donde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r>
                  <w:rPr>
                    <w:rFonts w:ascii="Cambria Math" w:hAnsi="Cambria Math"/>
                  </w:rPr>
                  <m:t>r</m:t>
                </m:r>
              </m:e>
              <m:sub>
                <m:r>
                  <w:rPr>
                    <w:rFonts w:ascii="Cambria Math" w:hAnsi="Cambria Math"/>
                  </w:rPr>
                  <m:t>bj</m:t>
                </m:r>
              </m:sub>
            </m:sSub>
          </m:e>
        </m:nary>
      </m:oMath>
      <w:r>
        <w:t xml:space="preserve">. Bajo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2</m:t>
            </m:r>
          </m:sup>
        </m:sSubSup>
      </m:oMath>
      <w:r>
        <w:t xml:space="preserve"> asintóticamente para </w:t>
      </w:r>
      <m:oMath>
        <m:r>
          <w:rPr>
            <w:rFonts w:ascii="Cambria Math" w:hAnsi="Cambria Math"/>
          </w:rPr>
          <m:t>B</m:t>
        </m:r>
        <m:r>
          <m:rPr>
            <m:sty m:val="p"/>
          </m:rPr>
          <w:rPr>
            <w:rFonts w:ascii="Cambria Math" w:hAnsi="Cambria Math"/>
          </w:rPr>
          <m:t>≥</m:t>
        </m:r>
        <m:r>
          <w:rPr>
            <w:rFonts w:ascii="Cambria Math" w:hAnsi="Cambria Math"/>
          </w:rPr>
          <m:t>10</m:t>
        </m:r>
      </m:oMath>
      <w:r>
        <w:t xml:space="preserve"> (Demšar 2006). El tamaño del efecto se reporta mediante la </w:t>
      </w:r>
      <m:oMath>
        <m:r>
          <w:rPr>
            <w:rFonts w:ascii="Cambria Math" w:hAnsi="Cambria Math"/>
          </w:rPr>
          <m:t>W</m:t>
        </m:r>
      </m:oMath>
      <w:r>
        <w:t xml:space="preserve"> de Kendall:</w:t>
      </w:r>
    </w:p>
    <w:p w14:paraId="1D56EE97" w14:textId="77777777" w:rsidR="00D075F6" w:rsidRDefault="00734411">
      <w:pPr>
        <w:pStyle w:val="BodyText"/>
      </w:pPr>
      <m:oMathPara>
        <m:oMathParaPr>
          <m:jc m:val="center"/>
        </m:oMathParaPr>
        <m:oMath>
          <m:r>
            <w:rPr>
              <w:rFonts w:ascii="Cambria Math" w:hAnsi="Cambria Math"/>
            </w:rPr>
            <m:t>W</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num>
            <m:den>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2B0BE049" w14:textId="77777777" w:rsidR="00D075F6" w:rsidRDefault="00734411">
      <w:r>
        <w:t xml:space="preserve">donde </w:t>
      </w:r>
      <m:oMath>
        <m:r>
          <w:rPr>
            <w:rFonts w:ascii="Cambria Math" w:hAnsi="Cambria Math"/>
          </w:rPr>
          <m:t>W</m:t>
        </m:r>
        <m:r>
          <m:rPr>
            <m:sty m:val="p"/>
          </m:rPr>
          <w:rPr>
            <w:rFonts w:ascii="Cambria Math" w:hAnsi="Cambria Math"/>
          </w:rPr>
          <m:t>=</m:t>
        </m:r>
        <m:r>
          <w:rPr>
            <w:rFonts w:ascii="Cambria Math" w:hAnsi="Cambria Math"/>
          </w:rPr>
          <m:t>1</m:t>
        </m:r>
      </m:oMath>
      <w:r>
        <w:t xml:space="preserve"> indica concordancia perfecta entre bloques.</w:t>
      </w:r>
    </w:p>
    <w:p w14:paraId="01A82AAA" w14:textId="77777777" w:rsidR="00D075F6" w:rsidRDefault="00734411">
      <w:pPr>
        <w:pStyle w:val="Heading3"/>
      </w:pPr>
      <w:bookmarkStart w:id="131" w:name="localización-post-hoc-nemenyi"/>
      <w:bookmarkStart w:id="132" w:name="_Toc241413289"/>
      <w:bookmarkEnd w:id="129"/>
      <w:r>
        <w:t>3.8.2 Localización post-hoc: Nemenyi</w:t>
      </w:r>
      <w:bookmarkEnd w:id="132"/>
    </w:p>
    <w:p w14:paraId="2B795C94" w14:textId="77777777" w:rsidR="00D075F6" w:rsidRDefault="00734411">
      <w:r>
        <w:t xml:space="preserve">Cuando Friedman rechaza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se aplica la prueba post-hoc de Nemenyi (Nemenyi 1963). La diferencia crítica al nivel </w:t>
      </w:r>
      <m:oMath>
        <m:r>
          <w:rPr>
            <w:rFonts w:ascii="Cambria Math" w:hAnsi="Cambria Math"/>
          </w:rPr>
          <m:t>α</m:t>
        </m:r>
        <m:r>
          <m:rPr>
            <m:sty m:val="p"/>
          </m:rPr>
          <w:rPr>
            <w:rFonts w:ascii="Cambria Math" w:hAnsi="Cambria Math"/>
          </w:rPr>
          <m:t>=</m:t>
        </m:r>
        <m:r>
          <w:rPr>
            <w:rFonts w:ascii="Cambria Math" w:hAnsi="Cambria Math"/>
          </w:rPr>
          <m:t>0.05</m:t>
        </m:r>
      </m:oMath>
      <w:r>
        <w:t xml:space="preserve"> con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B</m:t>
        </m:r>
        <m:r>
          <m:rPr>
            <m:sty m:val="p"/>
          </m:rPr>
          <w:rPr>
            <w:rFonts w:ascii="Cambria Math" w:hAnsi="Cambria Math"/>
          </w:rPr>
          <m:t>=</m:t>
        </m:r>
        <m:r>
          <w:rPr>
            <w:rFonts w:ascii="Cambria Math" w:hAnsi="Cambria Math"/>
          </w:rPr>
          <m:t>15</m:t>
        </m:r>
      </m:oMath>
      <w:r>
        <w:t xml:space="preserve"> es:</w:t>
      </w:r>
    </w:p>
    <w:p w14:paraId="69E162AB" w14:textId="77777777" w:rsidR="00D075F6" w:rsidRDefault="00734411">
      <w:pPr>
        <w:pStyle w:val="BodyText"/>
      </w:pPr>
      <m:oMathPara>
        <m:oMathParaPr>
          <m:jc m:val="center"/>
        </m:oMathParaPr>
        <m:oMath>
          <m:r>
            <m:rPr>
              <m:nor/>
            </m:rPr>
            <m:t>CD</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6</m:t>
                  </m:r>
                  <m:r>
                    <w:rPr>
                      <w:rFonts w:ascii="Cambria Math" w:hAnsi="Cambria Math"/>
                    </w:rPr>
                    <m:t>B</m:t>
                  </m:r>
                </m:den>
              </m:f>
            </m:e>
          </m:rad>
          <m:r>
            <m:rPr>
              <m:sty m:val="p"/>
            </m:rPr>
            <w:rPr>
              <w:rFonts w:ascii="Cambria Math" w:hAnsi="Cambria Math"/>
            </w:rPr>
            <m:t>≈</m:t>
          </m:r>
          <m:r>
            <w:rPr>
              <w:rFonts w:ascii="Cambria Math" w:hAnsi="Cambria Math"/>
            </w:rPr>
            <m:t>2.569</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5</m:t>
                  </m:r>
                </m:num>
                <m:den>
                  <m:r>
                    <w:rPr>
                      <w:rFonts w:ascii="Cambria Math" w:hAnsi="Cambria Math"/>
                    </w:rPr>
                    <m:t>6</m:t>
                  </m:r>
                  <m:r>
                    <m:rPr>
                      <m:sty m:val="p"/>
                    </m:rPr>
                    <w:rPr>
                      <w:rFonts w:ascii="Cambria Math" w:hAnsi="Cambria Math"/>
                    </w:rPr>
                    <m:t>×</m:t>
                  </m:r>
                  <m:r>
                    <w:rPr>
                      <w:rFonts w:ascii="Cambria Math" w:hAnsi="Cambria Math"/>
                    </w:rPr>
                    <m:t>15</m:t>
                  </m:r>
                </m:den>
              </m:f>
            </m:e>
          </m:rad>
          <m:r>
            <m:rPr>
              <m:sty m:val="p"/>
            </m:rPr>
            <w:rPr>
              <w:rFonts w:ascii="Cambria Math" w:hAnsi="Cambria Math"/>
            </w:rPr>
            <m:t>≈</m:t>
          </m:r>
          <m:r>
            <w:rPr>
              <w:rFonts w:ascii="Cambria Math" w:hAnsi="Cambria Math"/>
            </w:rPr>
            <m:t>1.211</m:t>
          </m:r>
          <m:r>
            <m:rPr>
              <m:nor/>
            </m:rPr>
            <m:t xml:space="preserve"> rangos</m:t>
          </m:r>
        </m:oMath>
      </m:oMathPara>
    </w:p>
    <w:p w14:paraId="06933BB7" w14:textId="77777777" w:rsidR="00D075F6" w:rsidRDefault="00734411">
      <w:r>
        <w:t xml:space="preserve">Dos métodos se consideran significativamente distintos si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|&gt;</m:t>
        </m:r>
        <m:r>
          <m:rPr>
            <m:nor/>
          </m:rPr>
          <m:t>CD</m:t>
        </m:r>
      </m:oMath>
      <w:r>
        <w:t>.</w:t>
      </w:r>
    </w:p>
    <w:p w14:paraId="59668165" w14:textId="77777777" w:rsidR="00D075F6" w:rsidRDefault="00734411">
      <w:pPr>
        <w:pStyle w:val="Heading3"/>
      </w:pPr>
      <w:bookmarkStart w:id="133" w:name="X08bdaeec7e5b5ab89fd5fd5e96115413f920248"/>
      <w:bookmarkStart w:id="134" w:name="_Toc241413290"/>
      <w:bookmarkEnd w:id="131"/>
      <w:r>
        <w:t>3.8.3 Seguimiento dirigido SHAP–LIME sobre bloques agregados</w:t>
      </w:r>
      <w:bookmarkEnd w:id="134"/>
    </w:p>
    <w:p w14:paraId="4C7ED615" w14:textId="77777777" w:rsidR="00D075F6" w:rsidRDefault="00734411">
      <w:r>
        <w:t xml:space="preserve">Para responder a la observación del revisor en la misma unidad de análisis que Friedman, se añade un seguimiento dirigido, motivado por la revisión y no preespecificado, sobre 15 bloques agregados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En cada bloque se parean las medias de semillas de SHAP y LIME y se aplica un Wilcoxon bilateral de rangos con signo a las cinco métricas primarias. Los cinco valores </w:t>
      </w:r>
      <m:oMath>
        <m:r>
          <w:rPr>
            <w:rFonts w:ascii="Cambria Math" w:hAnsi="Cambria Math"/>
          </w:rPr>
          <m:t>p</m:t>
        </m:r>
      </m:oMath>
      <w:r>
        <w:t xml:space="preserve"> </w:t>
      </w:r>
      <w:r>
        <w:t>forman una familia propia con corrección de Holm-Bonferroni. Para fidelidad se reporta además una prueba exacta bilateral de signos como corroboración direccional.</w:t>
      </w:r>
    </w:p>
    <w:p w14:paraId="38E7CE07" w14:textId="77777777" w:rsidR="00D075F6" w:rsidRDefault="00734411">
      <w:pPr>
        <w:pStyle w:val="BodyText"/>
      </w:pPr>
      <w:r>
        <w:t xml:space="preserve">Este seguimiento no reemplaza a Friedman ni a Nemenyi: Friedman conserva la decisión global de H1, Nemenyi conserva la localización simultánea entre los cuatro métodos, y el nuevo contraste responde solamente a la diferencia dirigida SHAP–LIME con puntuaciones agregadas por bloque. Tampoco reemplaza el Wilcoxon de H3 sobre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cuya unidad inferencial conserva cada semilla emparejada.</w:t>
      </w:r>
    </w:p>
    <w:p w14:paraId="2FD7B9B0" w14:textId="77777777" w:rsidR="00D075F6" w:rsidRDefault="00734411">
      <w:pPr>
        <w:pStyle w:val="Heading3"/>
      </w:pPr>
      <w:bookmarkStart w:id="135" w:name="X82a710d830240cc18776e0ef609d9e71b3f53e7"/>
      <w:bookmarkStart w:id="136" w:name="_Toc241413291"/>
      <w:bookmarkEnd w:id="133"/>
      <w:r>
        <w:t>3.8.4 Wilcoxon pareado: conjuntos de 45 y 75 celdas</w:t>
      </w:r>
      <w:bookmarkEnd w:id="136"/>
    </w:p>
    <w:p w14:paraId="01FB51EF" w14:textId="77777777" w:rsidR="00D075F6" w:rsidRDefault="00734411">
      <w:r>
        <w:t xml:space="preserve">Para contrastar H3 se aplica el test de Wilcoxon con rangos con signo bilateral (Wilcoxon 1945) sobre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SHAP</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LIME</m:t>
            </m:r>
            <m:r>
              <m:rPr>
                <m:sty m:val="p"/>
              </m:rPr>
              <w:rPr>
                <w:rFonts w:ascii="Cambria Math" w:hAnsi="Cambria Math"/>
              </w:rPr>
              <m:t>,</m:t>
            </m:r>
            <m:r>
              <w:rPr>
                <w:rFonts w:ascii="Cambria Math" w:hAnsi="Cambria Math"/>
              </w:rPr>
              <m:t>i</m:t>
            </m:r>
          </m:sub>
        </m:sSub>
      </m:oMath>
      <w:r>
        <w:t xml:space="preserve"> en dos conjuntos:</w:t>
      </w:r>
    </w:p>
    <w:p w14:paraId="2182EBC2" w14:textId="77777777" w:rsidR="00D075F6" w:rsidRDefault="00734411" w:rsidP="00734411">
      <w:pPr>
        <w:numPr>
          <w:ilvl w:val="0"/>
          <w:numId w:val="9"/>
        </w:numPr>
      </w:pPr>
      <w:r>
        <w:rPr>
          <w:b/>
          <w:bCs/>
        </w:rPr>
        <w:t>Wilcoxon-45</w:t>
      </w:r>
      <w:r>
        <w:t xml:space="preserve">: 45 celdas con </w:t>
      </w:r>
      <m:oMath>
        <m:r>
          <w:rPr>
            <w:rFonts w:ascii="Cambria Math" w:hAnsi="Cambria Math"/>
          </w:rPr>
          <m:t>g</m:t>
        </m:r>
        <m:r>
          <m:rPr>
            <m:sty m:val="p"/>
          </m:rPr>
          <w:rPr>
            <w:rFonts w:ascii="Cambria Math" w:hAnsi="Cambria Math"/>
          </w:rPr>
          <m:t>∈{</m:t>
        </m:r>
      </m:oMath>
      <w:r>
        <w:t>logreg, rf, xgb</w:t>
      </w:r>
      <m:oMath>
        <m:r>
          <m:rPr>
            <m:sty m:val="p"/>
          </m:rPr>
          <w:rPr>
            <w:rFonts w:ascii="Cambria Math" w:hAnsi="Cambria Math"/>
          </w:rPr>
          <m:t>}</m:t>
        </m:r>
      </m:oMath>
      <w:r>
        <w:t xml:space="preserve"> (conjunto primario con TreeSHAP exacto).</w:t>
      </w:r>
    </w:p>
    <w:p w14:paraId="369B3238" w14:textId="77777777" w:rsidR="00D075F6" w:rsidRDefault="00734411" w:rsidP="00734411">
      <w:pPr>
        <w:numPr>
          <w:ilvl w:val="0"/>
          <w:numId w:val="9"/>
        </w:numPr>
      </w:pPr>
      <w:r>
        <w:rPr>
          <w:b/>
          <w:bCs/>
        </w:rPr>
        <w:t>Wilcoxon-75</w:t>
      </w:r>
      <w:r>
        <w:t>: 75 celdas completas (análisis de sensibilidad que incluye SVM y MLP con KernelSHAP).</w:t>
      </w:r>
    </w:p>
    <w:p w14:paraId="7AE2566C" w14:textId="77777777" w:rsidR="00D075F6" w:rsidRDefault="00734411">
      <w:r>
        <w:t xml:space="preserve">El tamaño del efecto se reporta como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w:t>
      </w:r>
      <w:r>
        <w:t>de Cohen (Lakens 2013):</w:t>
      </w:r>
    </w:p>
    <w:p w14:paraId="581A6365" w14:textId="77777777" w:rsidR="00D075F6" w:rsidRDefault="00734411">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d</m:t>
                  </m:r>
                </m:e>
              </m:acc>
            </m:num>
            <m:den>
              <m:sSub>
                <m:sSubPr>
                  <m:ctrlPr>
                    <w:rPr>
                      <w:rFonts w:ascii="Cambria Math" w:hAnsi="Cambria Math"/>
                    </w:rPr>
                  </m:ctrlPr>
                </m:sSubPr>
                <m:e>
                  <m:r>
                    <w:rPr>
                      <w:rFonts w:ascii="Cambria Math" w:hAnsi="Cambria Math"/>
                    </w:rPr>
                    <m:t>s</m:t>
                  </m:r>
                </m:e>
                <m:sub>
                  <m:r>
                    <w:rPr>
                      <w:rFonts w:ascii="Cambria Math" w:hAnsi="Cambria Math"/>
                    </w:rPr>
                    <m:t>d</m:t>
                  </m:r>
                </m:sub>
              </m:sSub>
            </m:den>
          </m:f>
        </m:oMath>
      </m:oMathPara>
    </w:p>
    <w:p w14:paraId="076404C5" w14:textId="77777777" w:rsidR="00D075F6" w:rsidRDefault="00734411">
      <w:r>
        <w:t>con interpretación convencional: pequeño (</w:t>
      </w:r>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0.5</m:t>
        </m:r>
      </m:oMath>
      <w:r>
        <w:t>), mediano (</w:t>
      </w:r>
      <m:oMath>
        <m:r>
          <w:rPr>
            <w:rFonts w:ascii="Cambria Math" w:hAnsi="Cambria Math"/>
          </w:rPr>
          <m:t>0.5</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0.8</m:t>
        </m:r>
      </m:oMath>
      <w:r>
        <w:t>),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m:t>
        </m:r>
      </m:oMath>
      <w:r>
        <w:t>).</w:t>
      </w:r>
    </w:p>
    <w:p w14:paraId="23179C56" w14:textId="77777777" w:rsidR="00D075F6" w:rsidRDefault="00734411">
      <w:pPr>
        <w:pStyle w:val="Heading3"/>
      </w:pPr>
      <w:bookmarkStart w:id="137" w:name="control-de-multiplicidad"/>
      <w:bookmarkStart w:id="138" w:name="_Toc241413292"/>
      <w:bookmarkEnd w:id="135"/>
      <w:r>
        <w:t>3.8.5 Control de multiplicidad</w:t>
      </w:r>
      <w:bookmarkEnd w:id="138"/>
    </w:p>
    <w:p w14:paraId="5BD54D82" w14:textId="77777777" w:rsidR="00D075F6" w:rsidRDefault="00734411">
      <w:r>
        <w:t>Las pruebas se organizan en cuatro familias inferenciales independientes, con corrección de Holm-Bonferroni dentro de cada familia:</w:t>
      </w:r>
    </w:p>
    <w:tbl>
      <w:tblPr>
        <w:tblW w:w="5000" w:type="pct"/>
        <w:jc w:val="center"/>
        <w:tblLayout w:type="fixed"/>
        <w:tblLook w:val="0000" w:firstRow="0" w:lastRow="0" w:firstColumn="0" w:lastColumn="0" w:noHBand="0" w:noVBand="0"/>
      </w:tblPr>
      <w:tblGrid>
        <w:gridCol w:w="9576"/>
      </w:tblGrid>
      <w:tr w:rsidR="00D075F6" w14:paraId="648BDBBC" w14:textId="77777777">
        <w:trPr>
          <w:jc w:val="center"/>
        </w:trPr>
        <w:tc>
          <w:tcPr>
            <w:tcW w:w="7920" w:type="dxa"/>
          </w:tcPr>
          <w:p w14:paraId="210B4BE5" w14:textId="77777777" w:rsidR="00D075F6" w:rsidRDefault="00734411">
            <w:pPr>
              <w:spacing w:before="200"/>
              <w:jc w:val="center"/>
            </w:pPr>
            <w:bookmarkStart w:id="139" w:name="tbl-stat-plan"/>
            <w:r>
              <w:t>Tabla 3.6: Familias inferenciales y control de multiplicidad. No se aplica corrección conjunta entre familias; cada familia responde a una pregunta con unidades de análisis distintas (Demšar 2006).</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50"/>
              <w:gridCol w:w="1983"/>
              <w:gridCol w:w="1417"/>
              <w:gridCol w:w="3400"/>
            </w:tblGrid>
            <w:tr w:rsidR="00D075F6" w14:paraId="6F202274" w14:textId="77777777">
              <w:trPr>
                <w:tblHeader/>
                <w:jc w:val="center"/>
              </w:trPr>
              <w:tc>
                <w:tcPr>
                  <w:tcW w:w="2160" w:type="dxa"/>
                </w:tcPr>
                <w:p w14:paraId="496B5799" w14:textId="77777777" w:rsidR="00D075F6" w:rsidRDefault="00734411">
                  <w:pPr>
                    <w:jc w:val="center"/>
                  </w:pPr>
                  <w:r>
                    <w:rPr>
                      <w:b/>
                      <w:bCs/>
                    </w:rPr>
                    <w:t>Familia</w:t>
                  </w:r>
                </w:p>
              </w:tc>
              <w:tc>
                <w:tcPr>
                  <w:tcW w:w="1680" w:type="dxa"/>
                </w:tcPr>
                <w:p w14:paraId="360C6665" w14:textId="77777777" w:rsidR="00D075F6" w:rsidRDefault="00734411">
                  <w:pPr>
                    <w:jc w:val="center"/>
                  </w:pPr>
                  <w:r>
                    <w:rPr>
                      <w:b/>
                      <w:bCs/>
                    </w:rPr>
                    <w:t>Tests</w:t>
                  </w:r>
                </w:p>
              </w:tc>
              <w:tc>
                <w:tcPr>
                  <w:tcW w:w="1200" w:type="dxa"/>
                </w:tcPr>
                <w:p w14:paraId="14C0F40E" w14:textId="77777777" w:rsidR="00D075F6" w:rsidRDefault="00734411">
                  <w:pPr>
                    <w:jc w:val="center"/>
                  </w:pPr>
                  <m:oMathPara>
                    <m:oMath>
                      <m:r>
                        <w:rPr>
                          <w:rFonts w:ascii="Cambria Math" w:hAnsi="Cambria Math"/>
                        </w:rPr>
                        <m:t>n</m:t>
                      </m:r>
                    </m:oMath>
                  </m:oMathPara>
                </w:p>
              </w:tc>
              <w:tc>
                <w:tcPr>
                  <w:tcW w:w="2880" w:type="dxa"/>
                </w:tcPr>
                <w:p w14:paraId="495F7BE0" w14:textId="77777777" w:rsidR="00D075F6" w:rsidRDefault="00734411">
                  <w:pPr>
                    <w:jc w:val="center"/>
                  </w:pPr>
                  <w:r>
                    <w:rPr>
                      <w:b/>
                      <w:bCs/>
                    </w:rPr>
                    <w:t>Corrección</w:t>
                  </w:r>
                </w:p>
              </w:tc>
            </w:tr>
            <w:tr w:rsidR="00D075F6" w14:paraId="35A75DA2" w14:textId="77777777">
              <w:trPr>
                <w:jc w:val="center"/>
              </w:trPr>
              <w:tc>
                <w:tcPr>
                  <w:tcW w:w="2160" w:type="dxa"/>
                </w:tcPr>
                <w:p w14:paraId="3ED6B36D" w14:textId="77777777" w:rsidR="00D075F6" w:rsidRDefault="00734411">
                  <w:pPr>
                    <w:jc w:val="center"/>
                  </w:pPr>
                  <w:r>
                    <w:t>Friedman (estudio omnibus)</w:t>
                  </w:r>
                </w:p>
              </w:tc>
              <w:tc>
                <w:tcPr>
                  <w:tcW w:w="1680" w:type="dxa"/>
                </w:tcPr>
                <w:p w14:paraId="4DAE3D08" w14:textId="77777777" w:rsidR="00D075F6" w:rsidRDefault="00734411">
                  <w:pPr>
                    <w:jc w:val="center"/>
                  </w:pPr>
                  <w:r>
                    <w:t>5 (uno por métrica)</w:t>
                  </w:r>
                </w:p>
              </w:tc>
              <w:tc>
                <w:tcPr>
                  <w:tcW w:w="1200" w:type="dxa"/>
                </w:tcPr>
                <w:p w14:paraId="30682CFB" w14:textId="77777777" w:rsidR="00D075F6" w:rsidRDefault="00734411">
                  <w:pPr>
                    <w:jc w:val="center"/>
                  </w:pPr>
                  <w:r>
                    <w:t>15 bloques</w:t>
                  </w:r>
                </w:p>
              </w:tc>
              <w:tc>
                <w:tcPr>
                  <w:tcW w:w="2880" w:type="dxa"/>
                </w:tcPr>
                <w:p w14:paraId="27926131" w14:textId="77777777" w:rsidR="00D075F6" w:rsidRDefault="00734411">
                  <w:pPr>
                    <w:jc w:val="center"/>
                  </w:pPr>
                  <w:r>
                    <w:t>Holm-Bonferroni</w:t>
                  </w:r>
                </w:p>
              </w:tc>
            </w:tr>
            <w:tr w:rsidR="00D075F6" w14:paraId="7FF552D9" w14:textId="77777777">
              <w:trPr>
                <w:jc w:val="center"/>
              </w:trPr>
              <w:tc>
                <w:tcPr>
                  <w:tcW w:w="2160" w:type="dxa"/>
                </w:tcPr>
                <w:p w14:paraId="70BFD89B" w14:textId="77777777" w:rsidR="00D075F6" w:rsidRDefault="00734411">
                  <w:pPr>
                    <w:jc w:val="center"/>
                  </w:pPr>
                  <w:r>
                    <w:t>Wilcoxon-15 (seguimiento dirigido)</w:t>
                  </w:r>
                </w:p>
              </w:tc>
              <w:tc>
                <w:tcPr>
                  <w:tcW w:w="1680" w:type="dxa"/>
                </w:tcPr>
                <w:p w14:paraId="0AE59A76" w14:textId="77777777" w:rsidR="00D075F6" w:rsidRDefault="00734411">
                  <w:pPr>
                    <w:jc w:val="center"/>
                  </w:pPr>
                  <w:r>
                    <w:t>5</w:t>
                  </w:r>
                </w:p>
              </w:tc>
              <w:tc>
                <w:tcPr>
                  <w:tcW w:w="1200" w:type="dxa"/>
                </w:tcPr>
                <w:p w14:paraId="256366ED" w14:textId="77777777" w:rsidR="00D075F6" w:rsidRDefault="00734411">
                  <w:pPr>
                    <w:jc w:val="center"/>
                  </w:pPr>
                  <w:r>
                    <w:t>15 bloques agregados</w:t>
                  </w:r>
                </w:p>
              </w:tc>
              <w:tc>
                <w:tcPr>
                  <w:tcW w:w="2880" w:type="dxa"/>
                </w:tcPr>
                <w:p w14:paraId="71706591" w14:textId="77777777" w:rsidR="00D075F6" w:rsidRDefault="00734411">
                  <w:pPr>
                    <w:jc w:val="center"/>
                  </w:pPr>
                  <w:r>
                    <w:t>Holm-Bonferroni</w:t>
                  </w:r>
                </w:p>
              </w:tc>
            </w:tr>
            <w:tr w:rsidR="00D075F6" w14:paraId="18F31529" w14:textId="77777777">
              <w:trPr>
                <w:jc w:val="center"/>
              </w:trPr>
              <w:tc>
                <w:tcPr>
                  <w:tcW w:w="2160" w:type="dxa"/>
                </w:tcPr>
                <w:p w14:paraId="017853AF" w14:textId="77777777" w:rsidR="00D075F6" w:rsidRDefault="00734411">
                  <w:pPr>
                    <w:jc w:val="center"/>
                  </w:pPr>
                  <w:r>
                    <w:t>Wilcoxon-45 (estudio omnibus)</w:t>
                  </w:r>
                </w:p>
              </w:tc>
              <w:tc>
                <w:tcPr>
                  <w:tcW w:w="1680" w:type="dxa"/>
                </w:tcPr>
                <w:p w14:paraId="002F1601" w14:textId="77777777" w:rsidR="00D075F6" w:rsidRDefault="00734411">
                  <w:pPr>
                    <w:jc w:val="center"/>
                  </w:pPr>
                  <w:r>
                    <w:t>5</w:t>
                  </w:r>
                </w:p>
              </w:tc>
              <w:tc>
                <w:tcPr>
                  <w:tcW w:w="1200" w:type="dxa"/>
                </w:tcPr>
                <w:p w14:paraId="296BC509" w14:textId="77777777" w:rsidR="00D075F6" w:rsidRDefault="00734411">
                  <w:pPr>
                    <w:jc w:val="center"/>
                  </w:pPr>
                  <w:r>
                    <w:t>45 celdas</w:t>
                  </w:r>
                </w:p>
              </w:tc>
              <w:tc>
                <w:tcPr>
                  <w:tcW w:w="2880" w:type="dxa"/>
                </w:tcPr>
                <w:p w14:paraId="2672B0BD" w14:textId="77777777" w:rsidR="00D075F6" w:rsidRDefault="00734411">
                  <w:pPr>
                    <w:jc w:val="center"/>
                  </w:pPr>
                  <w:r>
                    <w:t>Holm-Bonferroni</w:t>
                  </w:r>
                </w:p>
              </w:tc>
            </w:tr>
            <w:tr w:rsidR="00D075F6" w14:paraId="273B7A7E" w14:textId="77777777">
              <w:trPr>
                <w:jc w:val="center"/>
              </w:trPr>
              <w:tc>
                <w:tcPr>
                  <w:tcW w:w="2160" w:type="dxa"/>
                </w:tcPr>
                <w:p w14:paraId="407F78D9" w14:textId="77777777" w:rsidR="00D075F6" w:rsidRDefault="00734411">
                  <w:pPr>
                    <w:jc w:val="center"/>
                  </w:pPr>
                  <w:r>
                    <w:t>Wilcoxon-75 (omnibus y pareado)</w:t>
                  </w:r>
                </w:p>
              </w:tc>
              <w:tc>
                <w:tcPr>
                  <w:tcW w:w="1680" w:type="dxa"/>
                </w:tcPr>
                <w:p w14:paraId="754BE416" w14:textId="77777777" w:rsidR="00D075F6" w:rsidRDefault="00734411">
                  <w:pPr>
                    <w:jc w:val="center"/>
                  </w:pPr>
                  <w:r>
                    <w:t>5</w:t>
                  </w:r>
                </w:p>
              </w:tc>
              <w:tc>
                <w:tcPr>
                  <w:tcW w:w="1200" w:type="dxa"/>
                </w:tcPr>
                <w:p w14:paraId="7B7A163A" w14:textId="77777777" w:rsidR="00D075F6" w:rsidRDefault="00734411">
                  <w:pPr>
                    <w:jc w:val="center"/>
                  </w:pPr>
                  <w:r>
                    <w:t>75 celdas</w:t>
                  </w:r>
                </w:p>
              </w:tc>
              <w:tc>
                <w:tcPr>
                  <w:tcW w:w="2880" w:type="dxa"/>
                </w:tcPr>
                <w:p w14:paraId="15B3A130" w14:textId="77777777" w:rsidR="00D075F6" w:rsidRDefault="00734411">
                  <w:pPr>
                    <w:jc w:val="center"/>
                  </w:pPr>
                  <w:r>
                    <w:t>Holm-Bonferroni</w:t>
                  </w:r>
                </w:p>
              </w:tc>
            </w:tr>
            <w:bookmarkEnd w:id="139"/>
          </w:tbl>
          <w:p w14:paraId="2FD6F543" w14:textId="77777777" w:rsidR="00D075F6" w:rsidRDefault="00D075F6"/>
        </w:tc>
      </w:tr>
    </w:tbl>
    <w:p w14:paraId="6479B7AD" w14:textId="77777777" w:rsidR="00D075F6" w:rsidRDefault="00734411">
      <w:pPr>
        <w:pStyle w:val="Heading3"/>
      </w:pPr>
      <w:bookmarkStart w:id="140" w:name="X8d8a6fe44143f1c1b581a8bcb7389a6bd938df3"/>
      <w:bookmarkStart w:id="141" w:name="_Toc241413293"/>
      <w:bookmarkEnd w:id="137"/>
      <w:r>
        <w:t>3.8.6 Resumen del plan estadístico por hipótesis</w:t>
      </w:r>
      <w:bookmarkEnd w:id="141"/>
    </w:p>
    <w:tbl>
      <w:tblPr>
        <w:tblW w:w="5000" w:type="pct"/>
        <w:jc w:val="center"/>
        <w:tblLayout w:type="fixed"/>
        <w:tblLook w:val="0000" w:firstRow="0" w:lastRow="0" w:firstColumn="0" w:lastColumn="0" w:noHBand="0" w:noVBand="0"/>
      </w:tblPr>
      <w:tblGrid>
        <w:gridCol w:w="9576"/>
      </w:tblGrid>
      <w:tr w:rsidR="00D075F6" w14:paraId="695565E1" w14:textId="77777777">
        <w:trPr>
          <w:jc w:val="center"/>
        </w:trPr>
        <w:tc>
          <w:tcPr>
            <w:tcW w:w="7920" w:type="dxa"/>
          </w:tcPr>
          <w:p w14:paraId="2C8855C5" w14:textId="77777777" w:rsidR="00D075F6" w:rsidRDefault="00734411">
            <w:pPr>
              <w:spacing w:before="200"/>
              <w:jc w:val="center"/>
            </w:pPr>
            <w:bookmarkStart w:id="142" w:name="tbl-hypo-plan"/>
            <w:r>
              <w:t>Tabla 3.7: Plan de decisiones estadísticas por hipótesis.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9"/>
              <w:gridCol w:w="1870"/>
              <w:gridCol w:w="1558"/>
              <w:gridCol w:w="2493"/>
            </w:tblGrid>
            <w:tr w:rsidR="00D075F6" w14:paraId="486C0FDF" w14:textId="77777777">
              <w:trPr>
                <w:tblHeader/>
                <w:jc w:val="center"/>
              </w:trPr>
              <w:tc>
                <w:tcPr>
                  <w:tcW w:w="2904" w:type="dxa"/>
                </w:tcPr>
                <w:p w14:paraId="054F2BF4" w14:textId="77777777" w:rsidR="00D075F6" w:rsidRDefault="00734411">
                  <w:pPr>
                    <w:jc w:val="center"/>
                  </w:pPr>
                  <w:r>
                    <w:rPr>
                      <w:b/>
                      <w:bCs/>
                    </w:rPr>
                    <w:t>Hipótesis</w:t>
                  </w:r>
                </w:p>
              </w:tc>
              <w:tc>
                <w:tcPr>
                  <w:tcW w:w="1584" w:type="dxa"/>
                </w:tcPr>
                <w:p w14:paraId="4955EAC2" w14:textId="77777777" w:rsidR="00D075F6" w:rsidRDefault="00734411">
                  <w:pPr>
                    <w:jc w:val="center"/>
                  </w:pPr>
                  <w:r>
                    <w:rPr>
                      <w:b/>
                      <w:bCs/>
                    </w:rPr>
                    <w:t>Test</w:t>
                  </w:r>
                </w:p>
              </w:tc>
              <w:tc>
                <w:tcPr>
                  <w:tcW w:w="1320" w:type="dxa"/>
                </w:tcPr>
                <w:p w14:paraId="001BFA62" w14:textId="77777777" w:rsidR="00D075F6" w:rsidRDefault="00734411">
                  <w:pPr>
                    <w:jc w:val="center"/>
                  </w:pPr>
                  <m:oMathPara>
                    <m:oMath>
                      <m:r>
                        <w:rPr>
                          <w:rFonts w:ascii="Cambria Math" w:hAnsi="Cambria Math"/>
                        </w:rPr>
                        <m:t>n</m:t>
                      </m:r>
                    </m:oMath>
                  </m:oMathPara>
                </w:p>
              </w:tc>
              <w:tc>
                <w:tcPr>
                  <w:tcW w:w="2112" w:type="dxa"/>
                </w:tcPr>
                <w:p w14:paraId="4C613647" w14:textId="77777777" w:rsidR="00D075F6" w:rsidRDefault="00734411">
                  <w:pPr>
                    <w:jc w:val="center"/>
                  </w:pPr>
                  <w:r>
                    <w:rPr>
                      <w:b/>
                      <w:bCs/>
                    </w:rPr>
                    <w:t>Diseño</w:t>
                  </w:r>
                </w:p>
              </w:tc>
            </w:tr>
            <w:tr w:rsidR="00D075F6" w14:paraId="49C30084" w14:textId="77777777">
              <w:trPr>
                <w:jc w:val="center"/>
              </w:trPr>
              <w:tc>
                <w:tcPr>
                  <w:tcW w:w="2904" w:type="dxa"/>
                </w:tcPr>
                <w:p w14:paraId="74A9AA36" w14:textId="77777777" w:rsidR="00D075F6" w:rsidRDefault="00734411">
                  <w:pPr>
                    <w:jc w:val="center"/>
                  </w:pPr>
                  <w:r>
                    <w:t>H1 (fidelidad)</w:t>
                  </w:r>
                </w:p>
              </w:tc>
              <w:tc>
                <w:tcPr>
                  <w:tcW w:w="1584" w:type="dxa"/>
                </w:tcPr>
                <w:p w14:paraId="2BF3CF68" w14:textId="77777777" w:rsidR="00D075F6" w:rsidRDefault="00734411">
                  <w:pPr>
                    <w:jc w:val="center"/>
                  </w:pPr>
                  <w:r>
                    <w:t>Friedman + Nemenyi; seguimiento dirigido SHAP–LIME</w:t>
                  </w:r>
                </w:p>
              </w:tc>
              <w:tc>
                <w:tcPr>
                  <w:tcW w:w="1320" w:type="dxa"/>
                </w:tcPr>
                <w:p w14:paraId="436890F0" w14:textId="77777777" w:rsidR="00D075F6" w:rsidRDefault="00734411">
                  <w:pPr>
                    <w:jc w:val="center"/>
                  </w:pPr>
                  <w:r>
                    <w:t>15 bloques</w:t>
                  </w:r>
                </w:p>
              </w:tc>
              <w:tc>
                <w:tcPr>
                  <w:tcW w:w="2112" w:type="dxa"/>
                </w:tcPr>
                <w:p w14:paraId="1D8D1DF5" w14:textId="77777777" w:rsidR="00D075F6" w:rsidRDefault="00734411">
                  <w:pPr>
                    <w:jc w:val="center"/>
                  </w:pPr>
                  <w:r>
                    <w:t>4 métodos × 15 bloques; contraste dirigido sobre las mismas medias de bloque</w:t>
                  </w:r>
                </w:p>
              </w:tc>
            </w:tr>
            <w:tr w:rsidR="00D075F6" w14:paraId="3FC12B99" w14:textId="77777777">
              <w:trPr>
                <w:jc w:val="center"/>
              </w:trPr>
              <w:tc>
                <w:tcPr>
                  <w:tcW w:w="2904" w:type="dxa"/>
                </w:tcPr>
                <w:p w14:paraId="58F7B0DA" w14:textId="77777777" w:rsidR="00D075F6" w:rsidRDefault="00734411">
                  <w:pPr>
                    <w:jc w:val="center"/>
                  </w:pPr>
                  <w:r>
                    <w:t>H2 (estabilidad)</w:t>
                  </w:r>
                </w:p>
              </w:tc>
              <w:tc>
                <w:tcPr>
                  <w:tcW w:w="1584" w:type="dxa"/>
                </w:tcPr>
                <w:p w14:paraId="3148806D" w14:textId="77777777" w:rsidR="00D075F6" w:rsidRDefault="00734411">
                  <w:pPr>
                    <w:jc w:val="center"/>
                  </w:pPr>
                  <w:r>
                    <w:t>Friedman + Nemenyi</w:t>
                  </w:r>
                </w:p>
              </w:tc>
              <w:tc>
                <w:tcPr>
                  <w:tcW w:w="1320" w:type="dxa"/>
                </w:tcPr>
                <w:p w14:paraId="45739849" w14:textId="77777777" w:rsidR="00D075F6" w:rsidRDefault="00734411">
                  <w:pPr>
                    <w:jc w:val="center"/>
                  </w:pPr>
                  <w:r>
                    <w:t>15 bloques</w:t>
                  </w:r>
                </w:p>
              </w:tc>
              <w:tc>
                <w:tcPr>
                  <w:tcW w:w="2112" w:type="dxa"/>
                </w:tcPr>
                <w:p w14:paraId="7EA5F551" w14:textId="77777777" w:rsidR="00D075F6" w:rsidRDefault="00734411">
                  <w:pPr>
                    <w:jc w:val="center"/>
                  </w:pPr>
                  <w:r>
                    <w:t>4 métodos × 15 bloques</w:t>
                  </w:r>
                </w:p>
              </w:tc>
            </w:tr>
            <w:tr w:rsidR="00D075F6" w14:paraId="2A323C23" w14:textId="77777777">
              <w:trPr>
                <w:jc w:val="center"/>
              </w:trPr>
              <w:tc>
                <w:tcPr>
                  <w:tcW w:w="2904" w:type="dxa"/>
                </w:tcPr>
                <w:p w14:paraId="70B25A21" w14:textId="77777777" w:rsidR="00D075F6" w:rsidRDefault="00734411">
                  <w:pPr>
                    <w:jc w:val="center"/>
                  </w:pPr>
                  <w:r>
                    <w:t>H3 (relación SHAP-LIME)</w:t>
                  </w:r>
                </w:p>
              </w:tc>
              <w:tc>
                <w:tcPr>
                  <w:tcW w:w="1584" w:type="dxa"/>
                </w:tcPr>
                <w:p w14:paraId="0538A41F" w14:textId="77777777" w:rsidR="00D075F6" w:rsidRDefault="00734411">
                  <w:pPr>
                    <w:jc w:val="center"/>
                  </w:pPr>
                  <w:r>
                    <w:t>Wilcoxon bilateral</w:t>
                  </w:r>
                </w:p>
              </w:tc>
              <w:tc>
                <w:tcPr>
                  <w:tcW w:w="1320" w:type="dxa"/>
                </w:tcPr>
                <w:p w14:paraId="68FCDDC0" w14:textId="77777777" w:rsidR="00D075F6" w:rsidRDefault="00734411">
                  <w:pPr>
                    <w:jc w:val="center"/>
                  </w:pPr>
                  <w:r>
                    <w:t>75 pares</w:t>
                  </w:r>
                </w:p>
              </w:tc>
              <w:tc>
                <w:tcPr>
                  <w:tcW w:w="2112" w:type="dxa"/>
                </w:tcPr>
                <w:p w14:paraId="47D3FA32" w14:textId="77777777" w:rsidR="00D075F6" w:rsidRDefault="00734411">
                  <w:pPr>
                    <w:jc w:val="center"/>
                  </w:pP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idénticos</w:t>
                  </w:r>
                </w:p>
              </w:tc>
            </w:tr>
            <w:tr w:rsidR="00D075F6" w14:paraId="02FED34B" w14:textId="77777777">
              <w:trPr>
                <w:jc w:val="center"/>
              </w:trPr>
              <w:tc>
                <w:tcPr>
                  <w:tcW w:w="2904" w:type="dxa"/>
                </w:tcPr>
                <w:p w14:paraId="6439DABD" w14:textId="77777777" w:rsidR="00D075F6" w:rsidRDefault="00734411">
                  <w:pPr>
                    <w:jc w:val="center"/>
                  </w:pPr>
                  <w:r>
                    <w:t>P1 (reproducibilidad)</w:t>
                  </w:r>
                </w:p>
              </w:tc>
              <w:tc>
                <w:tcPr>
                  <w:tcW w:w="1584" w:type="dxa"/>
                </w:tcPr>
                <w:p w14:paraId="1A895E34" w14:textId="77777777" w:rsidR="00D075F6" w:rsidRDefault="00734411">
                  <w:pPr>
                    <w:jc w:val="center"/>
                  </w:pPr>
                  <w:r>
                    <w:t>CV sobre EXP1</w:t>
                  </w:r>
                </w:p>
              </w:tc>
              <w:tc>
                <w:tcPr>
                  <w:tcW w:w="1320" w:type="dxa"/>
                </w:tcPr>
                <w:p w14:paraId="22EFA6B1" w14:textId="77777777" w:rsidR="00D075F6" w:rsidRDefault="00734411">
                  <w:pPr>
                    <w:jc w:val="center"/>
                  </w:pPr>
                  <w:r>
                    <w:t>5 semillas</w:t>
                  </w:r>
                </w:p>
              </w:tc>
              <w:tc>
                <w:tcPr>
                  <w:tcW w:w="2112" w:type="dxa"/>
                </w:tcPr>
                <w:p w14:paraId="5EDA97CF" w14:textId="77777777" w:rsidR="00D075F6" w:rsidRDefault="00734411">
                  <w:pPr>
                    <w:jc w:val="center"/>
                  </w:pPr>
                  <w:r>
                    <w:t>Por método</w:t>
                  </w:r>
                </w:p>
              </w:tc>
            </w:tr>
            <w:bookmarkEnd w:id="142"/>
          </w:tbl>
          <w:p w14:paraId="04FC97BA" w14:textId="77777777" w:rsidR="00D075F6" w:rsidRDefault="00D075F6"/>
        </w:tc>
      </w:tr>
    </w:tbl>
    <w:p w14:paraId="0C325920" w14:textId="77777777" w:rsidR="00D075F6" w:rsidRDefault="00734411">
      <w:pPr>
        <w:pStyle w:val="Heading2"/>
      </w:pPr>
      <w:bookmarkStart w:id="143" w:name="amenazas-a-la-validez"/>
      <w:bookmarkStart w:id="144" w:name="_Toc241413294"/>
      <w:bookmarkEnd w:id="127"/>
      <w:bookmarkEnd w:id="140"/>
      <w:r>
        <w:t>3.9 Amenazas a la validez</w:t>
      </w:r>
      <w:bookmarkEnd w:id="144"/>
    </w:p>
    <w:p w14:paraId="0291D681" w14:textId="77777777" w:rsidR="00D075F6" w:rsidRDefault="00734411">
      <w:r>
        <w:t xml:space="preserve">La interpretación de los resultados se acota mediante cinco familias de amenazas. Estas amenazas no invalidan el diseño, pero delimitan qué tipo de afirmación </w:t>
      </w:r>
      <w:r>
        <w:t>puede sostenerse a partir del benchmark.</w:t>
      </w:r>
    </w:p>
    <w:tbl>
      <w:tblPr>
        <w:tblW w:w="5000" w:type="pct"/>
        <w:jc w:val="center"/>
        <w:tblLayout w:type="fixed"/>
        <w:tblLook w:val="0000" w:firstRow="0" w:lastRow="0" w:firstColumn="0" w:lastColumn="0" w:noHBand="0" w:noVBand="0"/>
      </w:tblPr>
      <w:tblGrid>
        <w:gridCol w:w="9576"/>
      </w:tblGrid>
      <w:tr w:rsidR="00D075F6" w14:paraId="68A17887" w14:textId="77777777">
        <w:trPr>
          <w:jc w:val="center"/>
        </w:trPr>
        <w:tc>
          <w:tcPr>
            <w:tcW w:w="7920" w:type="dxa"/>
          </w:tcPr>
          <w:p w14:paraId="2FDEB6FB" w14:textId="77777777" w:rsidR="00D075F6" w:rsidRDefault="00734411">
            <w:pPr>
              <w:spacing w:before="200"/>
              <w:jc w:val="center"/>
            </w:pPr>
            <w:bookmarkStart w:id="145" w:name="tbl-validity-threats"/>
            <w:r>
              <w:t>Tabla 3.8: Amenazas a la validez, controles y riesgo residual.</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290411FA" w14:textId="77777777">
              <w:trPr>
                <w:tblHeader/>
                <w:jc w:val="center"/>
              </w:trPr>
              <w:tc>
                <w:tcPr>
                  <w:tcW w:w="1980" w:type="dxa"/>
                </w:tcPr>
                <w:p w14:paraId="0E1E83CB" w14:textId="77777777" w:rsidR="00D075F6" w:rsidRDefault="00734411">
                  <w:pPr>
                    <w:jc w:val="center"/>
                  </w:pPr>
                  <w:r>
                    <w:rPr>
                      <w:b/>
                      <w:bCs/>
                    </w:rPr>
                    <w:t>Familia</w:t>
                  </w:r>
                </w:p>
              </w:tc>
              <w:tc>
                <w:tcPr>
                  <w:tcW w:w="1980" w:type="dxa"/>
                </w:tcPr>
                <w:p w14:paraId="43B2CD99" w14:textId="77777777" w:rsidR="00D075F6" w:rsidRDefault="00734411">
                  <w:pPr>
                    <w:jc w:val="center"/>
                  </w:pPr>
                  <w:r>
                    <w:rPr>
                      <w:b/>
                      <w:bCs/>
                    </w:rPr>
                    <w:t>Amenaza principal</w:t>
                  </w:r>
                </w:p>
              </w:tc>
              <w:tc>
                <w:tcPr>
                  <w:tcW w:w="1980" w:type="dxa"/>
                </w:tcPr>
                <w:p w14:paraId="3D865208" w14:textId="77777777" w:rsidR="00D075F6" w:rsidRDefault="00734411">
                  <w:pPr>
                    <w:jc w:val="center"/>
                  </w:pPr>
                  <w:r>
                    <w:rPr>
                      <w:b/>
                      <w:bCs/>
                    </w:rPr>
                    <w:t>Control aplicado</w:t>
                  </w:r>
                </w:p>
              </w:tc>
              <w:tc>
                <w:tcPr>
                  <w:tcW w:w="1980" w:type="dxa"/>
                </w:tcPr>
                <w:p w14:paraId="6505C283" w14:textId="77777777" w:rsidR="00D075F6" w:rsidRDefault="00734411">
                  <w:pPr>
                    <w:jc w:val="center"/>
                  </w:pPr>
                  <w:r>
                    <w:rPr>
                      <w:b/>
                      <w:bCs/>
                    </w:rPr>
                    <w:t>Riesgo residual</w:t>
                  </w:r>
                </w:p>
              </w:tc>
            </w:tr>
            <w:tr w:rsidR="00D075F6" w14:paraId="3D388732" w14:textId="77777777">
              <w:trPr>
                <w:jc w:val="center"/>
              </w:trPr>
              <w:tc>
                <w:tcPr>
                  <w:tcW w:w="1980" w:type="dxa"/>
                </w:tcPr>
                <w:p w14:paraId="1C327D5D" w14:textId="77777777" w:rsidR="00D075F6" w:rsidRDefault="00734411">
                  <w:pPr>
                    <w:jc w:val="center"/>
                  </w:pPr>
                  <w:r>
                    <w:t>Validez interna</w:t>
                  </w:r>
                </w:p>
              </w:tc>
              <w:tc>
                <w:tcPr>
                  <w:tcW w:w="1980" w:type="dxa"/>
                </w:tcPr>
                <w:p w14:paraId="58000E95" w14:textId="77777777" w:rsidR="00D075F6" w:rsidRDefault="00734411">
                  <w:pPr>
                    <w:jc w:val="center"/>
                  </w:pPr>
                  <w:r>
                    <w:t>Diferencias atribuibles al modelo o preprocesamiento, no al explicador</w:t>
                  </w:r>
                </w:p>
              </w:tc>
              <w:tc>
                <w:tcPr>
                  <w:tcW w:w="1980" w:type="dxa"/>
                </w:tcPr>
                <w:p w14:paraId="153C5401" w14:textId="77777777" w:rsidR="00D075F6" w:rsidRDefault="00734411">
                  <w:pPr>
                    <w:jc w:val="center"/>
                  </w:pPr>
                  <w:r>
                    <w:t>Modelos y preprocesador congelados; misma partición y mismas semillas por celda</w:t>
                  </w:r>
                </w:p>
              </w:tc>
              <w:tc>
                <w:tcPr>
                  <w:tcW w:w="1980" w:type="dxa"/>
                </w:tcPr>
                <w:p w14:paraId="466F7717" w14:textId="77777777" w:rsidR="00D075F6" w:rsidRDefault="00734411">
                  <w:pPr>
                    <w:jc w:val="center"/>
                  </w:pPr>
                  <w:r>
                    <w:t>Variación no observada por implementación interna de cada librería</w:t>
                  </w:r>
                </w:p>
              </w:tc>
            </w:tr>
            <w:tr w:rsidR="00D075F6" w14:paraId="23F5D65F" w14:textId="77777777">
              <w:trPr>
                <w:jc w:val="center"/>
              </w:trPr>
              <w:tc>
                <w:tcPr>
                  <w:tcW w:w="1980" w:type="dxa"/>
                </w:tcPr>
                <w:p w14:paraId="3CA75AD6" w14:textId="77777777" w:rsidR="00D075F6" w:rsidRDefault="00734411">
                  <w:pPr>
                    <w:jc w:val="center"/>
                  </w:pPr>
                  <w:r>
                    <w:t>Validez de constructo</w:t>
                  </w:r>
                </w:p>
              </w:tc>
              <w:tc>
                <w:tcPr>
                  <w:tcW w:w="1980" w:type="dxa"/>
                </w:tcPr>
                <w:p w14:paraId="7B549D21" w14:textId="77777777" w:rsidR="00D075F6" w:rsidRDefault="00734411">
                  <w:pPr>
                    <w:jc w:val="center"/>
                  </w:pPr>
                  <w:r>
                    <w:t>Métricas automáticas que no capturan utilidad humana, plausibilidad o causalidad; enmascaramiento independiente potencialmente OOD</w:t>
                  </w:r>
                </w:p>
              </w:tc>
              <w:tc>
                <w:tcPr>
                  <w:tcW w:w="1980" w:type="dxa"/>
                </w:tcPr>
                <w:p w14:paraId="781CEF93" w14:textId="77777777" w:rsidR="00D075F6" w:rsidRDefault="00734411">
                  <w:pPr>
                    <w:jc w:val="center"/>
                  </w:pPr>
                  <w:r>
                    <w:t>Definición previa de las métricas como proxies functionally-grounded; mismo operador de media de entrenamiento para todos los métodos; alcance declarado</w:t>
                  </w:r>
                </w:p>
              </w:tc>
              <w:tc>
                <w:tcPr>
                  <w:tcW w:w="1980" w:type="dxa"/>
                </w:tcPr>
                <w:p w14:paraId="091FCC86" w14:textId="77777777" w:rsidR="00D075F6" w:rsidRDefault="00734411">
                  <w:pPr>
                    <w:jc w:val="center"/>
                  </w:pPr>
                  <w:r>
                    <w:t>No se preserva la distribución conjunta y puede persistir sesgo diferencial entre explicadores; no se infiere utilidad humana directa ni verdad causal</w:t>
                  </w:r>
                </w:p>
              </w:tc>
            </w:tr>
            <w:tr w:rsidR="00D075F6" w14:paraId="6D3D7740" w14:textId="77777777">
              <w:trPr>
                <w:jc w:val="center"/>
              </w:trPr>
              <w:tc>
                <w:tcPr>
                  <w:tcW w:w="1980" w:type="dxa"/>
                </w:tcPr>
                <w:p w14:paraId="292DBC00" w14:textId="77777777" w:rsidR="00D075F6" w:rsidRDefault="00734411">
                  <w:pPr>
                    <w:jc w:val="center"/>
                  </w:pPr>
                  <w:r>
                    <w:t>Validez externa</w:t>
                  </w:r>
                </w:p>
              </w:tc>
              <w:tc>
                <w:tcPr>
                  <w:tcW w:w="1980" w:type="dxa"/>
                </w:tcPr>
                <w:p w14:paraId="5A921C66" w14:textId="77777777" w:rsidR="00D075F6" w:rsidRDefault="00734411">
                  <w:pPr>
                    <w:jc w:val="center"/>
                  </w:pPr>
                  <w:r>
                    <w:t>Generalización fuera de Adult Income y clasificación tabular binaria</w:t>
                  </w:r>
                </w:p>
              </w:tc>
              <w:tc>
                <w:tcPr>
                  <w:tcW w:w="1980" w:type="dxa"/>
                </w:tcPr>
                <w:p w14:paraId="32584B13" w14:textId="77777777" w:rsidR="00D075F6" w:rsidRDefault="00734411">
                  <w:pPr>
                    <w:jc w:val="center"/>
                  </w:pPr>
                  <w:r>
                    <w:t>Framing explícito como benchmark tabular Adult; comparación con literatura XAI tabular</w:t>
                  </w:r>
                </w:p>
              </w:tc>
              <w:tc>
                <w:tcPr>
                  <w:tcW w:w="1980" w:type="dxa"/>
                </w:tcPr>
                <w:p w14:paraId="0044DF77" w14:textId="77777777" w:rsidR="00D075F6" w:rsidRDefault="00734411">
                  <w:pPr>
                    <w:jc w:val="center"/>
                  </w:pPr>
                  <w:r>
                    <w:t>No cubre imágenes, texto, series temporales ni dominios causales</w:t>
                  </w:r>
                </w:p>
              </w:tc>
            </w:tr>
            <w:tr w:rsidR="00D075F6" w14:paraId="6370553F" w14:textId="77777777">
              <w:trPr>
                <w:jc w:val="center"/>
              </w:trPr>
              <w:tc>
                <w:tcPr>
                  <w:tcW w:w="1980" w:type="dxa"/>
                </w:tcPr>
                <w:p w14:paraId="6A14B3BB" w14:textId="77777777" w:rsidR="00D075F6" w:rsidRDefault="00734411">
                  <w:pPr>
                    <w:jc w:val="center"/>
                  </w:pPr>
                  <w:r>
                    <w:t>Conclusión estadística</w:t>
                  </w:r>
                </w:p>
              </w:tc>
              <w:tc>
                <w:tcPr>
                  <w:tcW w:w="1980" w:type="dxa"/>
                </w:tcPr>
                <w:p w14:paraId="3740014C" w14:textId="77777777" w:rsidR="00D075F6" w:rsidRDefault="00734411">
                  <w:pPr>
                    <w:jc w:val="center"/>
                  </w:pPr>
                  <w:r>
                    <w:t>Pseudorreplicación, multiplicidad y datos faltantes</w:t>
                  </w:r>
                </w:p>
              </w:tc>
              <w:tc>
                <w:tcPr>
                  <w:tcW w:w="1980" w:type="dxa"/>
                </w:tcPr>
                <w:p w14:paraId="2D7E9DD2" w14:textId="77777777" w:rsidR="00D075F6" w:rsidRDefault="00734411">
                  <w:pPr>
                    <w:jc w:val="center"/>
                  </w:pPr>
                  <w:r>
                    <w:t>Unidad inferencial por bloque/celda; Friedman, Nemenyi, Wilcoxon y Holm-Bonferroni; análisis de cobertura</w:t>
                  </w:r>
                </w:p>
              </w:tc>
              <w:tc>
                <w:tcPr>
                  <w:tcW w:w="1980" w:type="dxa"/>
                </w:tcPr>
                <w:p w14:paraId="6D7959A1" w14:textId="77777777" w:rsidR="00D075F6" w:rsidRDefault="00734411">
                  <w:pPr>
                    <w:jc w:val="center"/>
                  </w:pPr>
                  <w:r>
                    <w:t>Menor precisión en Anchors para bloques con baja cobertura</w:t>
                  </w:r>
                </w:p>
              </w:tc>
            </w:tr>
            <w:tr w:rsidR="00D075F6" w14:paraId="0A7F6A1F" w14:textId="77777777">
              <w:trPr>
                <w:jc w:val="center"/>
              </w:trPr>
              <w:tc>
                <w:tcPr>
                  <w:tcW w:w="1980" w:type="dxa"/>
                </w:tcPr>
                <w:p w14:paraId="6783311E" w14:textId="77777777" w:rsidR="00D075F6" w:rsidRDefault="00734411">
                  <w:pPr>
                    <w:jc w:val="center"/>
                  </w:pPr>
                  <w:r>
                    <w:t>Reproducibilidad</w:t>
                  </w:r>
                </w:p>
              </w:tc>
              <w:tc>
                <w:tcPr>
                  <w:tcW w:w="1980" w:type="dxa"/>
                </w:tcPr>
                <w:p w14:paraId="2F0046EF" w14:textId="77777777" w:rsidR="00D075F6" w:rsidRDefault="00734411">
                  <w:pPr>
                    <w:jc w:val="center"/>
                  </w:pPr>
                  <w:r>
                    <w:t>Dependencia de versiones, semillas, recursos y artefactos locales</w:t>
                  </w:r>
                </w:p>
              </w:tc>
              <w:tc>
                <w:tcPr>
                  <w:tcW w:w="1980" w:type="dxa"/>
                </w:tcPr>
                <w:p w14:paraId="38ADFC0B" w14:textId="77777777" w:rsidR="00D075F6" w:rsidRDefault="00734411">
                  <w:pPr>
                    <w:jc w:val="center"/>
                  </w:pPr>
                  <w:r>
                    <w:t>Manifiestos YAML, artefactos versionados, scripts de análisis y DOI Zenodo</w:t>
                  </w:r>
                </w:p>
              </w:tc>
              <w:tc>
                <w:tcPr>
                  <w:tcW w:w="1980" w:type="dxa"/>
                </w:tcPr>
                <w:p w14:paraId="05AAF4D6" w14:textId="77777777" w:rsidR="00D075F6" w:rsidRDefault="00734411">
                  <w:pPr>
                    <w:jc w:val="center"/>
                  </w:pPr>
                  <w:r>
                    <w:t>Reproducción completa requiere entorno compatible con Python 3.11 y dependencias fijadas</w:t>
                  </w:r>
                </w:p>
              </w:tc>
            </w:tr>
            <w:bookmarkEnd w:id="145"/>
          </w:tbl>
          <w:p w14:paraId="5516D976" w14:textId="77777777" w:rsidR="00D075F6" w:rsidRDefault="00D075F6"/>
        </w:tc>
      </w:tr>
    </w:tbl>
    <w:p w14:paraId="1599CC21" w14:textId="77777777" w:rsidR="00D075F6" w:rsidRDefault="00734411">
      <w:pPr>
        <w:pStyle w:val="BodyText"/>
      </w:pPr>
      <w:r>
        <w:t xml:space="preserve">El límite más importante es de constructo: el estudio produce evidencia computacional reproducible sobre artefactos explicativos, no una validación psicológica o causal de la explicación. Esta delimitación es consistente con el </w:t>
      </w:r>
      <w:r>
        <w:t>Capítulo 2 y protege la interpretación de los resultados del Capítulo 4.</w:t>
      </w:r>
    </w:p>
    <w:p w14:paraId="4838D5D8" w14:textId="77777777" w:rsidR="00D075F6" w:rsidRDefault="00734411">
      <w:pPr>
        <w:pStyle w:val="Heading2"/>
      </w:pPr>
      <w:bookmarkStart w:id="146" w:name="trazabilidad-y-reproducibilidad"/>
      <w:bookmarkStart w:id="147" w:name="_Toc241413295"/>
      <w:bookmarkEnd w:id="143"/>
      <w:r>
        <w:t>3.10 Trazabilidad y reproducibilidad</w:t>
      </w:r>
      <w:bookmarkEnd w:id="147"/>
    </w:p>
    <w:p w14:paraId="4770A0BA" w14:textId="77777777" w:rsidR="00D075F6" w:rsidRDefault="00734411">
      <w:r>
        <w:t xml:space="preserve">Todos los análisis del Capítulo 4 son reproducibles desde el repositorio público https://github.com/jonnabio/xai-eval-framework, archivado con DOI 10.5281/zenodo.21538180 (commit 553f65d71b077ec181ad36da7bb6e7c9942fe116, 2026-07-24), que es el corte de evidencia efectivamente reportado en el Capítulo 4: 299 artefactos comprometidos y 275 ejecuciones analizables tras la </w:t>
      </w:r>
      <w:r>
        <w:t>superposición de recuperación. El DOI de concepto 10.5281/zenodo.19297723 resuelve siempre a la versión más reciente. La instantánea previa 10.5281/zenodo.19297724 (abril de 2026) permanece archivada por procedencia, pero es anterior a la superposición de recuperación y no corresponde a las cifras reportadas aquí. Los anclajes de reproducibilidad principales son:</w:t>
      </w:r>
    </w:p>
    <w:p w14:paraId="46D2D091" w14:textId="77777777" w:rsidR="00D075F6" w:rsidRDefault="00734411" w:rsidP="00734411">
      <w:pPr>
        <w:numPr>
          <w:ilvl w:val="0"/>
          <w:numId w:val="10"/>
        </w:numPr>
      </w:pPr>
      <w:r>
        <w:t>configs/experiments/exp2_scaled/manifest.yaml — diseño factorial declarado (300 celdas).</w:t>
      </w:r>
    </w:p>
    <w:p w14:paraId="20983214" w14:textId="77777777" w:rsidR="00D075F6" w:rsidRDefault="00734411" w:rsidP="00734411">
      <w:pPr>
        <w:numPr>
          <w:ilvl w:val="0"/>
          <w:numId w:val="10"/>
        </w:numPr>
      </w:pPr>
      <w:r>
        <w:t xml:space="preserve">experiments/exp2_scaled/results/ </w:t>
      </w:r>
      <w:r>
        <w:t>— árbol de artefactos por ejecución (299 archivos results.json no vacíos).</w:t>
      </w:r>
    </w:p>
    <w:p w14:paraId="09C5F638" w14:textId="77777777" w:rsidR="00D075F6" w:rsidRDefault="00734411" w:rsidP="00734411">
      <w:pPr>
        <w:numPr>
          <w:ilvl w:val="0"/>
          <w:numId w:val="10"/>
        </w:numPr>
      </w:pPr>
      <w:r>
        <w:t>outputs/batch_results.csv — superposición de recuperación (30 filas).</w:t>
      </w:r>
    </w:p>
    <w:p w14:paraId="0A838ABA" w14:textId="77777777" w:rsidR="00D075F6" w:rsidRDefault="00734411" w:rsidP="00734411">
      <w:pPr>
        <w:numPr>
          <w:ilvl w:val="0"/>
          <w:numId w:val="10"/>
        </w:numPr>
      </w:pPr>
      <w:r>
        <w:t>scripts/run_exp2_statistical_analysis.py — generación determinista de tablas inferenciales.</w:t>
      </w:r>
    </w:p>
    <w:p w14:paraId="736DC6E0" w14:textId="77777777" w:rsidR="00D075F6" w:rsidRDefault="00734411" w:rsidP="00734411">
      <w:pPr>
        <w:numPr>
          <w:ilvl w:val="0"/>
          <w:numId w:val="10"/>
        </w:numPr>
      </w:pPr>
      <w:r>
        <w:t>scripts/run_exp2_block_paired_analysis.py — seguimiento dirigido SHAP–LIME sobre los 15 bloques agregados y prueba exacta de signos.</w:t>
      </w:r>
    </w:p>
    <w:p w14:paraId="55738040" w14:textId="77777777" w:rsidR="00D075F6" w:rsidRDefault="00734411" w:rsidP="00734411">
      <w:pPr>
        <w:numPr>
          <w:ilvl w:val="0"/>
          <w:numId w:val="10"/>
        </w:numPr>
      </w:pPr>
      <w:r>
        <w:t>outputs/analysis/paper_a_exp2_stats/ — exportaciones inferenciales de referencia.</w:t>
      </w:r>
    </w:p>
    <w:p w14:paraId="4B0C0146" w14:textId="77777777" w:rsidR="00D075F6" w:rsidRDefault="00734411">
      <w:r>
        <w:t>Las especificaciones completas del entorno de ejecución, los parámetros de restricción de recursos y las instrucciones de reproducción paso a paso figuran en el Apéndice E.</w:t>
      </w:r>
    </w:p>
    <w:p w14:paraId="2699B518" w14:textId="77777777" w:rsidR="00D075F6" w:rsidRDefault="00734411">
      <w:pPr>
        <w:pStyle w:val="Heading2"/>
      </w:pPr>
      <w:bookmarkStart w:id="148" w:name="sec-estudios-complementarios"/>
      <w:bookmarkStart w:id="149" w:name="_Toc241413296"/>
      <w:bookmarkEnd w:id="146"/>
      <w:r>
        <w:t>3.11 Estudios complementarios: EXP3 y EXP4</w:t>
      </w:r>
      <w:bookmarkEnd w:id="149"/>
    </w:p>
    <w:p w14:paraId="71C52B50" w14:textId="77777777" w:rsidR="00D075F6" w:rsidRDefault="00734411">
      <w:r>
        <w:t xml:space="preserve">El diseño experimental principal comprende las fases EXP1 y EXP2 descritas en las secciones anteriores. Dos estudios complementarios amplían el alcance de la evidencia sin alterar el protocolo confirmativo: EXP3 extiende la validación </w:t>
      </w:r>
      <w:r>
        <w:t>de fidelidad a datasets adicionales y EXP4 cuantifica la fiabilidad de los evaluadores semánticos LLM como instrumento de medición.</w:t>
      </w:r>
    </w:p>
    <w:p w14:paraId="341B94D9" w14:textId="77777777" w:rsidR="00D075F6" w:rsidRDefault="00734411">
      <w:pPr>
        <w:pStyle w:val="Heading3"/>
      </w:pPr>
      <w:bookmarkStart w:id="150" w:name="sec-exp3-diseno"/>
      <w:bookmarkStart w:id="151" w:name="_Toc241413297"/>
      <w:r>
        <w:t>3.11.1 EXP3: Validación cruzada de fidelidad en datasets adicionales</w:t>
      </w:r>
      <w:bookmarkEnd w:id="151"/>
    </w:p>
    <w:p w14:paraId="212A1B2E" w14:textId="77777777" w:rsidR="00D075F6" w:rsidRDefault="00734411">
      <w:r>
        <w:t>EXP3 replica parcialmente los ordenamientos de fidelidad fuera del dataset primario mediante dos datasets tabulares de clasificación binaria:</w:t>
      </w:r>
    </w:p>
    <w:p w14:paraId="67617F16" w14:textId="77777777" w:rsidR="00D075F6" w:rsidRDefault="00734411" w:rsidP="00734411">
      <w:pPr>
        <w:numPr>
          <w:ilvl w:val="0"/>
          <w:numId w:val="11"/>
        </w:numPr>
      </w:pPr>
      <w:r>
        <w:rPr>
          <w:b/>
          <w:bCs/>
        </w:rPr>
        <w:t>Breast Cancer Wisconsin</w:t>
      </w:r>
      <w:r>
        <w:t xml:space="preserve"> (Dua y Graff 2019): </w:t>
      </w:r>
      <m:oMath>
        <m:r>
          <w:rPr>
            <w:rFonts w:ascii="Cambria Math" w:hAnsi="Cambria Math"/>
          </w:rPr>
          <m:t>n</m:t>
        </m:r>
        <m:r>
          <m:rPr>
            <m:sty m:val="p"/>
          </m:rPr>
          <w:rPr>
            <w:rFonts w:ascii="Cambria Math" w:hAnsi="Cambria Math"/>
          </w:rPr>
          <m:t>=</m:t>
        </m:r>
        <m:r>
          <w:rPr>
            <w:rFonts w:ascii="Cambria Math" w:hAnsi="Cambria Math"/>
          </w:rPr>
          <m:t>569</m:t>
        </m:r>
      </m:oMath>
      <w:r>
        <w:t xml:space="preserve"> instancias, 30 características numéricas continuas (sin categóricas), clasificación binaria maligno/benigno.</w:t>
      </w:r>
    </w:p>
    <w:p w14:paraId="225564DB" w14:textId="77777777" w:rsidR="00D075F6" w:rsidRDefault="00734411" w:rsidP="00734411">
      <w:pPr>
        <w:numPr>
          <w:ilvl w:val="0"/>
          <w:numId w:val="11"/>
        </w:numPr>
      </w:pPr>
      <w:r>
        <w:rPr>
          <w:b/>
          <w:bCs/>
        </w:rPr>
        <w:t>German Credit</w:t>
      </w:r>
      <w:r>
        <w:t xml:space="preserve"> (Dua y Graff 2019):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xml:space="preserve"> instancias, 20 características (mixtas numéricas y codificadas), clasificación binaria crédito-bueno/malo.</w:t>
      </w:r>
    </w:p>
    <w:p w14:paraId="410AF4AF" w14:textId="77777777" w:rsidR="00D075F6" w:rsidRDefault="00734411">
      <w:r>
        <w:t>El diseño base de EXP3 cruza dos modelos (Random Forest y XGBoost), tres semillas (</w:t>
      </w:r>
      <m:oMath>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oMath>
      <w:r>
        <w:t xml:space="preserve">) y los dos datasets, produciendo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12</m:t>
        </m:r>
      </m:oMath>
      <w:r>
        <w:t xml:space="preserve"> comparaciones pareadas SHAP–Anchors. La métrica evaluada es fidelidad con la misma operacionalización que EXP2 (correlación importancias–enmascaramiento). Una extensión posterior incorporó </w:t>
      </w:r>
      <w:r>
        <w:t>LIME en los mismos datasets y modelos, reportando fidelidad y estabilidad de LIME bajo el protocolo EXP2. Sin embargo, la estabilidad de SHAP no fue instrumentada en esa extensión, por lo que EXP3 proporciona validación cross-dataset parcial de los ordenamientos de fidelidad, pero no un contraste pareado SHAP-LIME completo de estabilidad fuera de UCI Adult Income.</w:t>
      </w:r>
    </w:p>
    <w:p w14:paraId="5C59B038" w14:textId="77777777" w:rsidR="00D075F6" w:rsidRDefault="00734411">
      <w:pPr>
        <w:pStyle w:val="Heading3"/>
      </w:pPr>
      <w:bookmarkStart w:id="152" w:name="sec-exp4-diseno"/>
      <w:bookmarkStart w:id="153" w:name="_Toc241413298"/>
      <w:bookmarkEnd w:id="150"/>
      <w:r>
        <w:t>3.11.2 EXP4: Estudio de fiabilidad de jueces LLM para evaluación semántica</w:t>
      </w:r>
      <w:bookmarkEnd w:id="153"/>
    </w:p>
    <w:p w14:paraId="77CA3B98" w14:textId="77777777" w:rsidR="00D075F6" w:rsidRDefault="00734411">
      <w:r>
        <w:t>EXP4 es un estudio de calibración empírica cuyo propósito es cuantificar la convergencia inter-juez de evaluadores LLM sobre explicaciones del corpus experimental de EXP2. Su función en la tesis es proporcionar evidencia cuantitativa de la brecha de evaluación semántica identificada en la taxonomía del Capítulo 5 (Brecha 3, §</w:t>
      </w:r>
      <w:hyperlink w:anchor="sec-taxonomia-brechas">
        <w:r>
          <w:rPr>
            <w:rStyle w:val="Hyperlink"/>
          </w:rPr>
          <w:t>5.6</w:t>
        </w:r>
      </w:hyperlink>
      <w:r>
        <w:t>: la evaluación semántica crece más rápido que su base de validación empírica).</w:t>
      </w:r>
    </w:p>
    <w:p w14:paraId="245D1B99" w14:textId="77777777" w:rsidR="00D075F6" w:rsidRDefault="00734411">
      <w:pPr>
        <w:pStyle w:val="BodyText"/>
      </w:pPr>
      <w:r>
        <w:rPr>
          <w:b/>
          <w:bCs/>
        </w:rPr>
        <w:t>Muestra.</w:t>
      </w:r>
      <w:r>
        <w:t xml:space="preserve"> Se seleccionaron </w:t>
      </w:r>
      <m:oMath>
        <m:r>
          <w:rPr>
            <w:rFonts w:ascii="Cambria Math" w:hAnsi="Cambria Math"/>
          </w:rPr>
          <m:t>n</m:t>
        </m:r>
        <m:r>
          <m:rPr>
            <m:sty m:val="p"/>
          </m:rPr>
          <w:rPr>
            <w:rFonts w:ascii="Cambria Math" w:hAnsi="Cambria Math"/>
          </w:rPr>
          <m:t>=</m:t>
        </m:r>
        <m:r>
          <w:rPr>
            <w:rFonts w:ascii="Cambria Math" w:hAnsi="Cambria Math"/>
          </w:rPr>
          <m:t>147</m:t>
        </m:r>
      </m:oMath>
      <w:r>
        <w:t xml:space="preserve"> </w:t>
      </w:r>
      <w:r>
        <w:t>pares de salidas de explicación del corpus EXP2, estratificados para representar los cinco modelos y los cuatro métodos explicadores. Cada par contiene la salida de texto de dos explicaciones sobre la misma instancia o configuración comparable.</w:t>
      </w:r>
    </w:p>
    <w:p w14:paraId="22F88D48" w14:textId="77777777" w:rsidR="00D075F6" w:rsidRDefault="00734411">
      <w:pPr>
        <w:pStyle w:val="BodyText"/>
      </w:pPr>
      <w:r>
        <w:rPr>
          <w:b/>
          <w:bCs/>
        </w:rPr>
        <w:t>Jueces.</w:t>
      </w:r>
      <w:r>
        <w:t xml:space="preserve"> Tres jueces LLM independientes puntuaron cada par de forma ciega (sin conocer la puntuación de los otros jueces) sobre siete dimensiones semánticas estructuradas mediante una rúbrica de escala 1–5 por dimensión (las siete dimensiones se enumeran en la Tabla </w:t>
      </w:r>
      <w:hyperlink w:anchor="tbl-exp4-icc">
        <w:r>
          <w:rPr>
            <w:rStyle w:val="Hyperlink"/>
          </w:rPr>
          <w:t>5.3</w:t>
        </w:r>
      </w:hyperlink>
      <w:r>
        <w:t xml:space="preserve"> del Capítulo 5). El uso de modelos de lenguaje como instrumento de medida exige cautela: estos sistemas producen salidas fluidas y plausibles con independencia de su corrección factual, un modo de fallo ampliamente documentado en generación de lenguaje natural (Ji 2022), por lo que su convergencia inter-juez debe establecerse empíricamente antes de tratarla como evidencia.</w:t>
      </w:r>
    </w:p>
    <w:p w14:paraId="3450CEAF" w14:textId="77777777" w:rsidR="00D075F6" w:rsidRDefault="00734411">
      <w:pPr>
        <w:pStyle w:val="BodyText"/>
      </w:pPr>
      <w:r>
        <w:rPr>
          <w:b/>
          <w:bCs/>
        </w:rPr>
        <w:t>Análisis.</w:t>
      </w:r>
      <w:r>
        <w:t xml:space="preserve"> La fiabilidad inter-juez se cuantifica mediante la correlación </w:t>
      </w:r>
      <w:r>
        <w:t xml:space="preserve">intraclase ICC(1,1) —modelo de efectos aleatorios unidireccional, evaluador único— y el </w:t>
      </w:r>
      <m:oMath>
        <m:r>
          <w:rPr>
            <w:rFonts w:ascii="Cambria Math" w:hAnsi="Cambria Math"/>
          </w:rPr>
          <m:t>α</m:t>
        </m:r>
      </m:oMath>
      <w:r>
        <w:t xml:space="preserve"> de Krippendorff (Krippendorff 2018), estadístico que tolera puntuaciones ausentes y admite escalas ordinales. Se prefieren ambos al coeficiente </w:t>
      </w:r>
      <m:oMath>
        <m:r>
          <w:rPr>
            <w:rFonts w:ascii="Cambria Math" w:hAnsi="Cambria Math"/>
          </w:rPr>
          <m:t>κ</m:t>
        </m:r>
      </m:oMath>
      <w:r>
        <w:t xml:space="preserve"> de Cohen (Cohen 1960) porque este último se define para dos evaluadores y escalas nominales, mientras que el diseño de EXP4 involucra tres jueces y puntuaciones ordinales de 1 a 5. El umbral de fiabilidad aceptable es </w:t>
      </w:r>
      <m:oMath>
        <m:r>
          <m:rPr>
            <m:sty m:val="p"/>
          </m:rPr>
          <w:rPr>
            <w:rFonts w:ascii="Cambria Math" w:hAnsi="Cambria Math"/>
          </w:rPr>
          <m:t>≥</m:t>
        </m:r>
        <m:r>
          <w:rPr>
            <w:rFonts w:ascii="Cambria Math" w:hAnsi="Cambria Math"/>
          </w:rPr>
          <m:t>0.75</m:t>
        </m:r>
      </m:oMath>
      <w:r>
        <w:t xml:space="preserve"> (Koo y Li 2016), que corresponde a la categoría </w:t>
      </w:r>
      <w:r>
        <w:rPr>
          <w:i/>
          <w:iCs/>
        </w:rPr>
        <w:t>good</w:t>
      </w:r>
      <w:r>
        <w:t xml:space="preserve"> o superior según los criterios de Koo y Li (2016).</w:t>
      </w:r>
    </w:p>
    <w:p w14:paraId="1B15ED03" w14:textId="77777777" w:rsidR="00D075F6" w:rsidRDefault="00734411">
      <w:pPr>
        <w:pStyle w:val="BodyText"/>
      </w:pPr>
      <w:r>
        <w:rPr>
          <w:b/>
          <w:bCs/>
        </w:rPr>
        <w:t>Alcance.</w:t>
      </w:r>
      <w:r>
        <w:t xml:space="preserve"> EXP4 evalúa la fiabilidad del instrumento de medición semántico, no la calidad de los métodos explicadores. Sus resultados no modifican las conclusiones confirmativas de H1–H3; aportan evidencia sobre el diseño de rúbricas para evaluación semántica futura. EXP4 tiene carácter exploratorio y no genera hipótesis confirmativas propias; su resultado se clasifica como proposición de calibración P2, declarada con su estatuto epistémico diferenciado </w:t>
      </w:r>
      <w:r>
        <w:t>en el Capítulo 1 y reportada en los Capítulos 5 y 6.</w:t>
      </w:r>
    </w:p>
    <w:p w14:paraId="333252F9" w14:textId="77777777" w:rsidR="00D075F6" w:rsidRDefault="00734411">
      <w:pPr>
        <w:pStyle w:val="BodyText"/>
      </w:pPr>
      <w:r>
        <w:t xml:space="preserve">Este capítulo ha operacionalizado el protocolo FOM-7 y ha establecido las condiciones bajo las cuales los resultados del Capítulo 4 son estadísticamente admisibles: 275 artefactos calificados de 300 planificados, con separación EXP1/EXP2, semillas declarativas, auditoría de integridad y plan inferencial fijado antes de la ejecución confirmativa. Los estudios complementarios EXP3 y EXP4 amplían la evidencia disponible sin alterar el protocolo confirmativo </w:t>
      </w:r>
      <w:r>
        <w:t>central. El Capítulo 4 presenta los resultados de H1, H2, H3 y P1; el Capítulo 5 incorpora los resultados de EXP4 como componente empírico de la taxonomía.</w:t>
      </w:r>
    </w:p>
    <w:p w14:paraId="2CA5EDDB" w14:textId="77777777" w:rsidR="00D075F6" w:rsidRDefault="00734411">
      <w:pPr>
        <w:pStyle w:val="Heading1"/>
      </w:pPr>
      <w:bookmarkStart w:id="154" w:name="resultados-y-discusión"/>
      <w:bookmarkStart w:id="155" w:name="_Toc241413299"/>
      <w:bookmarkEnd w:id="74"/>
      <w:bookmarkEnd w:id="148"/>
      <w:bookmarkEnd w:id="152"/>
      <w:r>
        <w:t>Capítulo 4. Resultados y discusión</w:t>
      </w:r>
      <w:bookmarkEnd w:id="155"/>
    </w:p>
    <w:p w14:paraId="74A2A466" w14:textId="77777777" w:rsidR="00D075F6" w:rsidRDefault="00734411">
      <w:r>
        <w:t xml:space="preserve">Este capítulo presenta los resultados empíricos del Estudio Omnibus Multimétrico y del Estudio Pareado LIME–SHAP, organizados conforme a las hipótesis y proposición de trabajo establecidas en el Capítulo 1. La exposición sigue la secuencia lógica del protocolo FOM-7: primero se </w:t>
      </w:r>
      <w:r>
        <w:t>documentan los resultados del análisis omnibus multimétrico, luego el análisis pareado SHAP-LIME, y finalmente la verificación de la proposición de reproducibilidad (P1). La discusión integradora al final del capítulo articula los hallazgos con la literatura y deriva criterios operativos de selección de métodos.</w:t>
      </w:r>
    </w:p>
    <w:p w14:paraId="1E89E5F3" w14:textId="77777777" w:rsidR="00D075F6" w:rsidRDefault="00734411">
      <w:pPr>
        <w:pStyle w:val="BodyText"/>
      </w:pPr>
      <w:r>
        <w:t>Todos los valores reportados en este capítulo se calcularon a partir de los artefactos de la etapa de benchmark primario de robustez (EXP2), compuesta por 275 celdas calificadas del diseño factorial</w:t>
      </w:r>
      <w:r>
        <w:t xml:space="preserve">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Las 25 celdas faltantes (todas ellas del tipo Anchors o DiCE) fueron excluidas por la puerta 3 del protocolo y no afectan las pruebas confirmativas (véase Capítulo 3, sección de cobertura y calificación).</w:t>
      </w:r>
    </w:p>
    <w:p w14:paraId="2B476FB9" w14:textId="77777777" w:rsidR="00D075F6" w:rsidRDefault="00734411">
      <w:pPr>
        <w:pStyle w:val="Heading2"/>
      </w:pPr>
      <w:bookmarkStart w:id="156" w:name="X265f56e886428ba30debc49e85dcc5a7469d3ae"/>
      <w:bookmarkStart w:id="157" w:name="_Toc241413300"/>
      <w:r>
        <w:t>4.1 Descripción general de la cobertura analítica</w:t>
      </w:r>
      <w:bookmarkEnd w:id="157"/>
    </w:p>
    <w:p w14:paraId="6E95DAE1" w14:textId="77777777" w:rsidR="00D075F6" w:rsidRDefault="00734411">
      <w:r>
        <w:t>Antes de presentar las pruebas confirmativas, conviene establecer la distribución real de los datos. De las 300 celdas planificadas en EXP2 (</w:t>
      </w:r>
      <m:oMath>
        <m: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se obtuvieron artefactos calificados en 275, distribuidos como sigue:</w:t>
      </w:r>
    </w:p>
    <w:p w14:paraId="05FADF4E" w14:textId="77777777" w:rsidR="00D075F6" w:rsidRDefault="00734411" w:rsidP="00734411">
      <w:pPr>
        <w:numPr>
          <w:ilvl w:val="0"/>
          <w:numId w:val="12"/>
        </w:numPr>
      </w:pPr>
      <w:r>
        <w:rPr>
          <w:b/>
          <w:bCs/>
        </w:rPr>
        <w:t>SHAP</w:t>
      </w:r>
      <w:r>
        <w:t>: 75 de 75 celdas (100%). La superposición de recuperación (outputs/batch_results.csv) completa la única celda físicamente faltante del árbol exp2_scaled (svm_shap_s456_n200) y sustituye las ejecuciones SHAP de mlp/svm para evitar sesgos por truncamiento de tiempo.</w:t>
      </w:r>
    </w:p>
    <w:p w14:paraId="045566AA" w14:textId="77777777" w:rsidR="00D075F6" w:rsidRDefault="00734411" w:rsidP="00734411">
      <w:pPr>
        <w:numPr>
          <w:ilvl w:val="0"/>
          <w:numId w:val="12"/>
        </w:numPr>
      </w:pPr>
      <w:r>
        <w:rPr>
          <w:b/>
          <w:bCs/>
        </w:rPr>
        <w:t>LIME</w:t>
      </w:r>
      <w:r>
        <w:t>: 75 de 75 celdas (100%). Cobertura completa.</w:t>
      </w:r>
    </w:p>
    <w:p w14:paraId="5B504B7E" w14:textId="77777777" w:rsidR="00D075F6" w:rsidRDefault="00734411" w:rsidP="00734411">
      <w:pPr>
        <w:numPr>
          <w:ilvl w:val="0"/>
          <w:numId w:val="12"/>
        </w:numPr>
      </w:pPr>
      <w:r>
        <w:rPr>
          <w:b/>
          <w:bCs/>
        </w:rPr>
        <w:t>DiCE</w:t>
      </w:r>
      <w:r>
        <w:t>: 68 de 75 celdas (90.7%). Las 7 celdas faltantes se distribuyen entre varias combinaciones con semillas específicas (2 en logreg_dice, 2 en mlp_dice, 2 en svm_dice y 1 en xgb_dice).</w:t>
      </w:r>
    </w:p>
    <w:p w14:paraId="326D0268" w14:textId="77777777" w:rsidR="00D075F6" w:rsidRDefault="00734411" w:rsidP="00734411">
      <w:pPr>
        <w:numPr>
          <w:ilvl w:val="0"/>
          <w:numId w:val="12"/>
        </w:numPr>
      </w:pPr>
      <w:r>
        <w:rPr>
          <w:b/>
          <w:bCs/>
        </w:rPr>
        <w:t>Anchors</w:t>
      </w:r>
      <w:r>
        <w:t>: 57 de 75 celdas (76.0%). Las 18 celdas faltantes se concentran en logreg_anchors y mlp_anchors (con 2 celdas adicionales en xgb_anchors) y reflejan la falta de convergencia del algoritmo a una regla con precisión ≥ 0.95 dentro del límite de búsqueda.</w:t>
      </w:r>
    </w:p>
    <w:p w14:paraId="1B021D42" w14:textId="77777777" w:rsidR="00D075F6" w:rsidRDefault="00734411">
      <w:r>
        <w:t xml:space="preserve">Para el análisis Friedman (H1 y H2), se utilizan los 15 bloques completos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model-size blocks</w:t>
      </w:r>
      <w:r>
        <w:t xml:space="preserve">) para los cuales los cuatro métodos disponen de al menos una ejecución calificada (véase Capítulo 3). Para el análisis pareado </w:t>
      </w:r>
      <w:r>
        <w:t xml:space="preserve">SHAP-LIME (H3), se utilizan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coincidentes en las que ambos métodos producen resultados calificados.</w:t>
      </w:r>
    </w:p>
    <w:p w14:paraId="3B293FC6" w14:textId="77777777" w:rsidR="00D075F6" w:rsidRDefault="00734411">
      <w:pPr>
        <w:pStyle w:val="BodyText"/>
      </w:pPr>
      <w:r>
        <w:t xml:space="preserve">La Tabla </w:t>
      </w:r>
      <w:hyperlink w:anchor="tbl-results-overview">
        <w:r>
          <w:rPr>
            <w:rStyle w:val="Hyperlink"/>
          </w:rPr>
          <w:t>4.1</w:t>
        </w:r>
      </w:hyperlink>
      <w:r>
        <w:t xml:space="preserve"> resume las decisiones inferenciales principales antes de desarrollar cada resultado. Su función es separar la evidencia estadística de la interpretación sustantiva y hacer explícita la unidad de análisis de cada claim.</w:t>
      </w:r>
    </w:p>
    <w:tbl>
      <w:tblPr>
        <w:tblW w:w="5000" w:type="pct"/>
        <w:jc w:val="center"/>
        <w:tblLayout w:type="fixed"/>
        <w:tblLook w:val="0000" w:firstRow="0" w:lastRow="0" w:firstColumn="0" w:lastColumn="0" w:noHBand="0" w:noVBand="0"/>
      </w:tblPr>
      <w:tblGrid>
        <w:gridCol w:w="9576"/>
      </w:tblGrid>
      <w:tr w:rsidR="00D075F6" w14:paraId="372E1767" w14:textId="77777777">
        <w:trPr>
          <w:jc w:val="center"/>
        </w:trPr>
        <w:tc>
          <w:tcPr>
            <w:tcW w:w="7920" w:type="dxa"/>
          </w:tcPr>
          <w:p w14:paraId="38805DC1" w14:textId="77777777" w:rsidR="00D075F6" w:rsidRDefault="00734411">
            <w:pPr>
              <w:spacing w:before="200"/>
              <w:jc w:val="center"/>
            </w:pPr>
            <w:bookmarkStart w:id="158" w:name="tbl-results-overview"/>
            <w:r>
              <w:t>Tabla 4.1: Resumen auditable de hipótesis, pruebas y decisiones.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35"/>
              <w:gridCol w:w="1335"/>
              <w:gridCol w:w="1336"/>
              <w:gridCol w:w="1336"/>
              <w:gridCol w:w="1336"/>
              <w:gridCol w:w="1336"/>
              <w:gridCol w:w="1336"/>
            </w:tblGrid>
            <w:tr w:rsidR="00D075F6" w14:paraId="1957EC0A" w14:textId="77777777">
              <w:trPr>
                <w:tblHeader/>
                <w:jc w:val="center"/>
              </w:trPr>
              <w:tc>
                <w:tcPr>
                  <w:tcW w:w="1131" w:type="dxa"/>
                </w:tcPr>
                <w:p w14:paraId="2F999240" w14:textId="77777777" w:rsidR="00D075F6" w:rsidRDefault="00734411">
                  <w:pPr>
                    <w:jc w:val="center"/>
                  </w:pPr>
                  <w:r>
                    <w:rPr>
                      <w:b/>
                      <w:bCs/>
                    </w:rPr>
                    <w:t>Claim</w:t>
                  </w:r>
                </w:p>
              </w:tc>
              <w:tc>
                <w:tcPr>
                  <w:tcW w:w="1131" w:type="dxa"/>
                </w:tcPr>
                <w:p w14:paraId="318C72A0" w14:textId="77777777" w:rsidR="00D075F6" w:rsidRDefault="00734411">
                  <w:pPr>
                    <w:jc w:val="center"/>
                  </w:pPr>
                  <w:r>
                    <w:rPr>
                      <w:b/>
                      <w:bCs/>
                    </w:rPr>
                    <w:t>Test</w:t>
                  </w:r>
                </w:p>
              </w:tc>
              <w:tc>
                <w:tcPr>
                  <w:tcW w:w="1131" w:type="dxa"/>
                </w:tcPr>
                <w:p w14:paraId="741621A3" w14:textId="77777777" w:rsidR="00D075F6" w:rsidRDefault="00734411">
                  <w:pPr>
                    <w:jc w:val="center"/>
                  </w:pPr>
                  <w:r>
                    <w:rPr>
                      <w:b/>
                      <w:bCs/>
                    </w:rPr>
                    <w:t xml:space="preserve">Unidad / </w:t>
                  </w:r>
                  <m:oMath>
                    <m:r>
                      <w:rPr>
                        <w:rFonts w:ascii="Cambria Math" w:hAnsi="Cambria Math"/>
                      </w:rPr>
                      <m:t>n</m:t>
                    </m:r>
                  </m:oMath>
                </w:p>
              </w:tc>
              <w:tc>
                <w:tcPr>
                  <w:tcW w:w="1131" w:type="dxa"/>
                </w:tcPr>
                <w:p w14:paraId="10156F4A" w14:textId="77777777" w:rsidR="00D075F6" w:rsidRDefault="00734411">
                  <w:pPr>
                    <w:jc w:val="center"/>
                  </w:pPr>
                  <w:r>
                    <w:rPr>
                      <w:b/>
                      <w:bCs/>
                    </w:rPr>
                    <w:t>Estadístico</w:t>
                  </w:r>
                </w:p>
              </w:tc>
              <w:tc>
                <w:tcPr>
                  <w:tcW w:w="1131" w:type="dxa"/>
                </w:tcPr>
                <w:p w14:paraId="215B3424" w14:textId="77777777" w:rsidR="00D075F6" w:rsidRDefault="00734411">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1131" w:type="dxa"/>
                </w:tcPr>
                <w:p w14:paraId="42EBFCC7" w14:textId="77777777" w:rsidR="00D075F6" w:rsidRDefault="00734411">
                  <w:pPr>
                    <w:jc w:val="center"/>
                  </w:pPr>
                  <w:r>
                    <w:rPr>
                      <w:b/>
                      <w:bCs/>
                    </w:rPr>
                    <w:t>Efecto</w:t>
                  </w:r>
                </w:p>
              </w:tc>
              <w:tc>
                <w:tcPr>
                  <w:tcW w:w="1131" w:type="dxa"/>
                </w:tcPr>
                <w:p w14:paraId="724D44DE" w14:textId="77777777" w:rsidR="00D075F6" w:rsidRDefault="00734411">
                  <w:pPr>
                    <w:jc w:val="center"/>
                  </w:pPr>
                  <w:r>
                    <w:rPr>
                      <w:b/>
                      <w:bCs/>
                    </w:rPr>
                    <w:t>Decisión</w:t>
                  </w:r>
                </w:p>
              </w:tc>
            </w:tr>
            <w:tr w:rsidR="00D075F6" w14:paraId="42B38D77" w14:textId="77777777">
              <w:trPr>
                <w:jc w:val="center"/>
              </w:trPr>
              <w:tc>
                <w:tcPr>
                  <w:tcW w:w="1131" w:type="dxa"/>
                </w:tcPr>
                <w:p w14:paraId="5D070AFB" w14:textId="77777777" w:rsidR="00D075F6" w:rsidRDefault="00734411">
                  <w:pPr>
                    <w:jc w:val="center"/>
                  </w:pPr>
                  <w:r>
                    <w:t>H1: existen diferencias de fidelidad entre métodos</w:t>
                  </w:r>
                </w:p>
              </w:tc>
              <w:tc>
                <w:tcPr>
                  <w:tcW w:w="1131" w:type="dxa"/>
                </w:tcPr>
                <w:p w14:paraId="723D26BB" w14:textId="77777777" w:rsidR="00D075F6" w:rsidRDefault="00734411">
                  <w:pPr>
                    <w:jc w:val="center"/>
                  </w:pPr>
                  <w:r>
                    <w:t>Friedman + Nemenyi; seguimiento dirigido SHAP–LIME</w:t>
                  </w:r>
                </w:p>
              </w:tc>
              <w:tc>
                <w:tcPr>
                  <w:tcW w:w="1131" w:type="dxa"/>
                </w:tcPr>
                <w:p w14:paraId="2F03D530" w14:textId="77777777" w:rsidR="00D075F6" w:rsidRDefault="00734411">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411652A7" w14:textId="77777777" w:rsidR="00D075F6" w:rsidRDefault="00734411">
                  <w:pPr>
                    <w:jc w:val="center"/>
                  </w:p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Wilcoxon </w:t>
                  </w:r>
                  <m:oMath>
                    <m:r>
                      <w:rPr>
                        <w:rFonts w:ascii="Cambria Math" w:hAnsi="Cambria Math"/>
                      </w:rPr>
                      <m:t>W</m:t>
                    </m:r>
                    <m:r>
                      <m:rPr>
                        <m:sty m:val="p"/>
                      </m:rPr>
                      <w:rPr>
                        <w:rFonts w:ascii="Cambria Math" w:hAnsi="Cambria Math"/>
                      </w:rPr>
                      <m:t>=</m:t>
                    </m:r>
                    <m:r>
                      <w:rPr>
                        <w:rFonts w:ascii="Cambria Math" w:hAnsi="Cambria Math"/>
                      </w:rPr>
                      <m:t>0</m:t>
                    </m:r>
                  </m:oMath>
                </w:p>
              </w:tc>
              <w:tc>
                <w:tcPr>
                  <w:tcW w:w="1131" w:type="dxa"/>
                </w:tcPr>
                <w:p w14:paraId="106D9DB3" w14:textId="77777777" w:rsidR="00D075F6" w:rsidRDefault="00734411">
                  <w:pPr>
                    <w:jc w:val="center"/>
                  </w:pPr>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(Friedman); </w:t>
                  </w:r>
                  <m:oMath>
                    <m:r>
                      <w:rPr>
                        <w:rFonts w:ascii="Cambria Math" w:hAnsi="Cambria Math"/>
                      </w:rPr>
                      <m:t>3.05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(seguimiento)</w:t>
                  </w:r>
                </w:p>
              </w:tc>
              <w:tc>
                <w:tcPr>
                  <w:tcW w:w="1131" w:type="dxa"/>
                </w:tcPr>
                <w:p w14:paraId="58478503" w14:textId="77777777" w:rsidR="00D075F6" w:rsidRDefault="00734411">
                  <w:pPr>
                    <w:jc w:val="center"/>
                  </w:pPr>
                  <w:r>
                    <w:t xml:space="preserve">Kendall </w:t>
                  </w:r>
                  <m:oMath>
                    <m:r>
                      <w:rPr>
                        <w:rFonts w:ascii="Cambria Math" w:hAnsi="Cambria Math"/>
                      </w:rPr>
                      <m:t>W</m:t>
                    </m:r>
                    <m:r>
                      <m:rPr>
                        <m:sty m:val="p"/>
                      </m:rPr>
                      <w:rPr>
                        <w:rFonts w:ascii="Cambria Math" w:hAnsi="Cambria Math"/>
                      </w:rPr>
                      <m:t>=</m:t>
                    </m:r>
                    <m:r>
                      <w:rPr>
                        <w:rFonts w:ascii="Cambria Math" w:hAnsi="Cambria Math"/>
                      </w:rPr>
                      <m:t>0.936</m:t>
                    </m:r>
                  </m:oMath>
                  <w:r>
                    <w:t xml:space="preserve">; diferencia media SHAP–LIME </w:t>
                  </w:r>
                  <m:oMath>
                    <m:r>
                      <m:rPr>
                        <m:sty m:val="p"/>
                      </m:rPr>
                      <w:rPr>
                        <w:rFonts w:ascii="Cambria Math" w:hAnsi="Cambria Math"/>
                      </w:rPr>
                      <m:t>+</m:t>
                    </m:r>
                    <m:r>
                      <w:rPr>
                        <w:rFonts w:ascii="Cambria Math" w:hAnsi="Cambria Math"/>
                      </w:rPr>
                      <m:t>0.2479</m:t>
                    </m:r>
                  </m:oMath>
                </w:p>
              </w:tc>
              <w:tc>
                <w:tcPr>
                  <w:tcW w:w="1131" w:type="dxa"/>
                </w:tcPr>
                <w:p w14:paraId="4AC6ABA4" w14:textId="77777777" w:rsidR="00D075F6" w:rsidRDefault="00734411">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Nemenyi localiza tres pares y el seguimiento distingue SHAP de LIME</w:t>
                  </w:r>
                </w:p>
              </w:tc>
            </w:tr>
            <w:tr w:rsidR="00D075F6" w14:paraId="3167798E" w14:textId="77777777">
              <w:trPr>
                <w:jc w:val="center"/>
              </w:trPr>
              <w:tc>
                <w:tcPr>
                  <w:tcW w:w="1131" w:type="dxa"/>
                </w:tcPr>
                <w:p w14:paraId="7D46F4BB" w14:textId="77777777" w:rsidR="00D075F6" w:rsidRDefault="00734411">
                  <w:pPr>
                    <w:jc w:val="center"/>
                  </w:pPr>
                  <w:r>
                    <w:t>H2: existen diferencias de estabilidad entre métodos</w:t>
                  </w:r>
                </w:p>
              </w:tc>
              <w:tc>
                <w:tcPr>
                  <w:tcW w:w="1131" w:type="dxa"/>
                </w:tcPr>
                <w:p w14:paraId="2627965B" w14:textId="77777777" w:rsidR="00D075F6" w:rsidRDefault="00734411">
                  <w:pPr>
                    <w:jc w:val="center"/>
                  </w:pPr>
                  <w:r>
                    <w:t>Friedman + Nemenyi</w:t>
                  </w:r>
                </w:p>
              </w:tc>
              <w:tc>
                <w:tcPr>
                  <w:tcW w:w="1131" w:type="dxa"/>
                </w:tcPr>
                <w:p w14:paraId="57BFF49A" w14:textId="77777777" w:rsidR="00D075F6" w:rsidRDefault="00734411">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7A17A616" w14:textId="77777777" w:rsidR="00D075F6" w:rsidRDefault="00734411">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m:oMathPara>
                </w:p>
              </w:tc>
              <w:tc>
                <w:tcPr>
                  <w:tcW w:w="1131" w:type="dxa"/>
                </w:tcPr>
                <w:p w14:paraId="784B9AA4" w14:textId="77777777" w:rsidR="00D075F6" w:rsidRDefault="00734411">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1131" w:type="dxa"/>
                </w:tcPr>
                <w:p w14:paraId="07788123" w14:textId="77777777" w:rsidR="00D075F6" w:rsidRDefault="00734411">
                  <w:pPr>
                    <w:jc w:val="center"/>
                  </w:pPr>
                  <m:oMathPara>
                    <m:oMath>
                      <m:r>
                        <w:rPr>
                          <w:rFonts w:ascii="Cambria Math" w:hAnsi="Cambria Math"/>
                        </w:rPr>
                        <m:t>W</m:t>
                      </m:r>
                      <m:r>
                        <m:rPr>
                          <m:sty m:val="p"/>
                        </m:rPr>
                        <w:rPr>
                          <w:rFonts w:ascii="Cambria Math" w:hAnsi="Cambria Math"/>
                        </w:rPr>
                        <m:t>=</m:t>
                      </m:r>
                      <m:r>
                        <w:rPr>
                          <w:rFonts w:ascii="Cambria Math" w:hAnsi="Cambria Math"/>
                        </w:rPr>
                        <m:t>0.904</m:t>
                      </m:r>
                    </m:oMath>
                  </m:oMathPara>
                </w:p>
              </w:tc>
              <w:tc>
                <w:tcPr>
                  <w:tcW w:w="1131" w:type="dxa"/>
                </w:tcPr>
                <w:p w14:paraId="34FEE36C" w14:textId="77777777" w:rsidR="00D075F6" w:rsidRDefault="00734411">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SHAP/DiCE forman el grupo más estable</w:t>
                  </w:r>
                </w:p>
              </w:tc>
            </w:tr>
            <w:tr w:rsidR="00D075F6" w14:paraId="6A286788" w14:textId="77777777">
              <w:trPr>
                <w:jc w:val="center"/>
              </w:trPr>
              <w:tc>
                <w:tcPr>
                  <w:tcW w:w="1131" w:type="dxa"/>
                </w:tcPr>
                <w:p w14:paraId="69AF15D3" w14:textId="77777777" w:rsidR="00D075F6" w:rsidRDefault="00734411">
                  <w:pPr>
                    <w:jc w:val="center"/>
                  </w:pPr>
                  <w:r>
                    <w:t>H3: SHAP y LIME difieren en calidad-coste</w:t>
                  </w:r>
                </w:p>
              </w:tc>
              <w:tc>
                <w:tcPr>
                  <w:tcW w:w="1131" w:type="dxa"/>
                </w:tcPr>
                <w:p w14:paraId="7CE5264D" w14:textId="77777777" w:rsidR="00D075F6" w:rsidRDefault="00734411">
                  <w:pPr>
                    <w:jc w:val="center"/>
                  </w:pPr>
                  <w:r>
                    <w:t>Wilcoxon pareado bilateral</w:t>
                  </w:r>
                </w:p>
              </w:tc>
              <w:tc>
                <w:tcPr>
                  <w:tcW w:w="1131" w:type="dxa"/>
                </w:tcPr>
                <w:p w14:paraId="7DFB5254" w14:textId="77777777" w:rsidR="00D075F6" w:rsidRDefault="00734411">
                  <w:pPr>
                    <w:jc w:val="center"/>
                  </w:pPr>
                  <w:r>
                    <w:t xml:space="preserve">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2D92522F" w14:textId="77777777" w:rsidR="00D075F6" w:rsidRDefault="00734411">
                  <w:pPr>
                    <w:jc w:val="center"/>
                  </w:pPr>
                  <m:oMath>
                    <m:r>
                      <w:rPr>
                        <w:rFonts w:ascii="Cambria Math" w:hAnsi="Cambria Math"/>
                      </w:rPr>
                      <m:t>W</m:t>
                    </m:r>
                    <m:r>
                      <m:rPr>
                        <m:sty m:val="p"/>
                      </m:rPr>
                      <w:rPr>
                        <w:rFonts w:ascii="Cambria Math" w:hAnsi="Cambria Math"/>
                      </w:rPr>
                      <m:t>=</m:t>
                    </m:r>
                    <m:r>
                      <w:rPr>
                        <w:rFonts w:ascii="Cambria Math" w:hAnsi="Cambria Math"/>
                      </w:rPr>
                      <m:t>0</m:t>
                    </m:r>
                  </m:oMath>
                  <w:r>
                    <w:t xml:space="preserve"> a </w:t>
                  </w:r>
                  <m:oMath>
                    <m:r>
                      <w:rPr>
                        <w:rFonts w:ascii="Cambria Math" w:hAnsi="Cambria Math"/>
                      </w:rPr>
                      <m:t>205</m:t>
                    </m:r>
                  </m:oMath>
                </w:p>
              </w:tc>
              <w:tc>
                <w:tcPr>
                  <w:tcW w:w="1131" w:type="dxa"/>
                </w:tcPr>
                <w:p w14:paraId="61679DAE" w14:textId="77777777" w:rsidR="00D075F6" w:rsidRDefault="00734411">
                  <w:pPr>
                    <w:jc w:val="center"/>
                  </w:pPr>
                  <m:oMath>
                    <m:r>
                      <m:rPr>
                        <m:sty m:val="p"/>
                      </m:rPr>
                      <w:rPr>
                        <w:rFonts w:ascii="Cambria Math" w:hAnsi="Cambria Math"/>
                      </w:rPr>
                      <m:t>≤</m:t>
                    </m:r>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para calidad; </w:t>
                  </w:r>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para coste</w:t>
                  </w:r>
                </w:p>
              </w:tc>
              <w:tc>
                <w:tcPr>
                  <w:tcW w:w="1131" w:type="dxa"/>
                </w:tcPr>
                <w:p w14:paraId="5F18F66C" w14:textId="77777777" w:rsidR="00D075F6" w:rsidRDefault="00734411">
                  <w:pPr>
                    <w:jc w:val="center"/>
                  </w:p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xml:space="preserve"> a </w:t>
                  </w:r>
                  <m:oMath>
                    <m:r>
                      <w:rPr>
                        <w:rFonts w:ascii="Cambria Math" w:hAnsi="Cambria Math"/>
                      </w:rPr>
                      <m:t>4.820</m:t>
                    </m:r>
                  </m:oMath>
                </w:p>
              </w:tc>
              <w:tc>
                <w:tcPr>
                  <w:tcW w:w="1131" w:type="dxa"/>
                </w:tcPr>
                <w:p w14:paraId="5BB281BF" w14:textId="77777777" w:rsidR="00D075F6" w:rsidRDefault="00734411">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mejora calidad y aumenta coste medio</w:t>
                  </w:r>
                </w:p>
              </w:tc>
            </w:tr>
            <w:tr w:rsidR="00D075F6" w14:paraId="3CCB0171" w14:textId="77777777">
              <w:trPr>
                <w:jc w:val="center"/>
              </w:trPr>
              <w:tc>
                <w:tcPr>
                  <w:tcW w:w="1131" w:type="dxa"/>
                </w:tcPr>
                <w:p w14:paraId="2B18C2DF" w14:textId="77777777" w:rsidR="00D075F6" w:rsidRDefault="00734411">
                  <w:pPr>
                    <w:jc w:val="center"/>
                  </w:pPr>
                  <w:r>
                    <w:t>P1: el protocolo es reproducible bajo semillas</w:t>
                  </w:r>
                </w:p>
              </w:tc>
              <w:tc>
                <w:tcPr>
                  <w:tcW w:w="1131" w:type="dxa"/>
                </w:tcPr>
                <w:p w14:paraId="6FF89F27" w14:textId="77777777" w:rsidR="00D075F6" w:rsidRDefault="00734411">
                  <w:pPr>
                    <w:jc w:val="center"/>
                  </w:pPr>
                  <w:r>
                    <w:t>CV sobre el estrato replicado</w:t>
                  </w:r>
                </w:p>
              </w:tc>
              <w:tc>
                <w:tcPr>
                  <w:tcW w:w="1131" w:type="dxa"/>
                </w:tcPr>
                <w:p w14:paraId="2FFE9993" w14:textId="77777777" w:rsidR="00D075F6" w:rsidRDefault="00734411">
                  <w:pPr>
                    <w:jc w:val="center"/>
                  </w:pPr>
                  <w:r>
                    <w:t xml:space="preserve">5 semillas RF, </w:t>
                  </w:r>
                  <m:oMath>
                    <m:r>
                      <w:rPr>
                        <w:rFonts w:ascii="Cambria Math" w:hAnsi="Cambria Math"/>
                      </w:rPr>
                      <m:t>N</m:t>
                    </m:r>
                    <m:r>
                      <m:rPr>
                        <m:sty m:val="p"/>
                      </m:rPr>
                      <w:rPr>
                        <w:rFonts w:ascii="Cambria Math" w:hAnsi="Cambria Math"/>
                      </w:rPr>
                      <m:t>=</m:t>
                    </m:r>
                    <m:r>
                      <w:rPr>
                        <w:rFonts w:ascii="Cambria Math" w:hAnsi="Cambria Math"/>
                      </w:rPr>
                      <m:t>100</m:t>
                    </m:r>
                  </m:oMath>
                </w:p>
              </w:tc>
              <w:tc>
                <w:tcPr>
                  <w:tcW w:w="1131" w:type="dxa"/>
                </w:tcPr>
                <w:p w14:paraId="5556605D" w14:textId="77777777" w:rsidR="00D075F6" w:rsidRDefault="00734411">
                  <w:pPr>
                    <w:jc w:val="center"/>
                  </w:pPr>
                  <w:r>
                    <w:t>CV por métrica</w:t>
                  </w:r>
                </w:p>
              </w:tc>
              <w:tc>
                <w:tcPr>
                  <w:tcW w:w="1131" w:type="dxa"/>
                </w:tcPr>
                <w:p w14:paraId="6DBB9FF5" w14:textId="77777777" w:rsidR="00D075F6" w:rsidRDefault="00734411">
                  <w:pPr>
                    <w:jc w:val="center"/>
                  </w:pPr>
                  <w:r>
                    <w:t>No aplica</w:t>
                  </w:r>
                </w:p>
              </w:tc>
              <w:tc>
                <w:tcPr>
                  <w:tcW w:w="1131" w:type="dxa"/>
                </w:tcPr>
                <w:p w14:paraId="51F4617B" w14:textId="77777777" w:rsidR="00D075F6" w:rsidRDefault="00734411">
                  <w:pPr>
                    <w:jc w:val="center"/>
                  </w:pPr>
                  <w:r>
                    <w:t>CV &lt; 3% en señales principales</w:t>
                  </w:r>
                </w:p>
              </w:tc>
              <w:tc>
                <w:tcPr>
                  <w:tcW w:w="1131" w:type="dxa"/>
                </w:tcPr>
                <w:p w14:paraId="274C7FAE" w14:textId="77777777" w:rsidR="00D075F6" w:rsidRDefault="00734411">
                  <w:pPr>
                    <w:jc w:val="center"/>
                  </w:pPr>
                  <w:r>
                    <w:t>Confirmación parcial; LIME-estabilidad queda fuera por media cercana a cero</w:t>
                  </w:r>
                </w:p>
              </w:tc>
            </w:tr>
            <w:bookmarkEnd w:id="158"/>
          </w:tbl>
          <w:p w14:paraId="53030D9D" w14:textId="77777777" w:rsidR="00D075F6" w:rsidRDefault="00D075F6"/>
        </w:tc>
      </w:tr>
    </w:tbl>
    <w:p w14:paraId="7E449C50" w14:textId="77777777" w:rsidR="00D075F6" w:rsidRDefault="00734411">
      <w:pPr>
        <w:pStyle w:val="Heading2"/>
      </w:pPr>
      <w:bookmarkStart w:id="159" w:name="sec-estudio-a"/>
      <w:bookmarkStart w:id="160" w:name="_Toc241413301"/>
      <w:bookmarkEnd w:id="156"/>
      <w:r>
        <w:t>4.2 Estudio Omnibus Multimétrico: H1 y H2</w:t>
      </w:r>
      <w:bookmarkEnd w:id="160"/>
    </w:p>
    <w:p w14:paraId="292D975C" w14:textId="77777777" w:rsidR="00D075F6" w:rsidRDefault="00734411">
      <w:pPr>
        <w:pStyle w:val="Heading3"/>
      </w:pPr>
      <w:bookmarkStart w:id="161" w:name="X41be5df394949178755daa825e68dc45d5470c0"/>
      <w:bookmarkStart w:id="162" w:name="_Toc241413302"/>
      <w:r>
        <w:t>4.2.1 H1: Diferencias entre métodos en fidelidad</w:t>
      </w:r>
      <w:bookmarkEnd w:id="162"/>
    </w:p>
    <w:p w14:paraId="55146648" w14:textId="77777777" w:rsidR="00D075F6" w:rsidRDefault="00734411">
      <w:r>
        <w:t xml:space="preserve">La prueba de Friedman para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sobre la métrica de fidelidad arrojó una estadística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con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xml:space="preserve"> grados de libertad sobre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El 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de modo que el margen de seguridad inferencial es:</w:t>
      </w:r>
    </w:p>
    <w:p w14:paraId="0AA4CB66" w14:textId="77777777" w:rsidR="00D075F6" w:rsidRDefault="00734411">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num>
            <m:den>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den>
          </m:f>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42.12</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439</m:t>
          </m:r>
          <m:r>
            <m:rPr>
              <m:sty m:val="p"/>
            </m:rPr>
            <w:rPr>
              <w:rFonts w:ascii="Cambria Math" w:hAnsi="Cambria Math"/>
            </w:rPr>
            <m:t>%</m:t>
          </m:r>
        </m:oMath>
      </m:oMathPara>
    </w:p>
    <w:p w14:paraId="6F1BC977" w14:textId="77777777" w:rsidR="00D075F6" w:rsidRDefault="00734411">
      <w:r>
        <w:t xml:space="preserve">Este resultado rechaza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xml:space="preserve"> </w:t>
      </w:r>
      <w:r>
        <w:t>con una holgura de más de cinco veces el umbral crítico, lo que ofrece evidencia fuerte de diferencias sistemáticas entre métodos bajo las condiciones del benchmark. La distribución empírica de los rangos muestra a SHAP en la primera posición en los 15 bloques, con LIME como segundo en los 15 bloques y alternancia Anchors–DiCE en las posiciones 3–4:</w:t>
      </w:r>
    </w:p>
    <w:tbl>
      <w:tblPr>
        <w:tblW w:w="5000" w:type="pct"/>
        <w:jc w:val="center"/>
        <w:tblLayout w:type="fixed"/>
        <w:tblLook w:val="0000" w:firstRow="0" w:lastRow="0" w:firstColumn="0" w:lastColumn="0" w:noHBand="0" w:noVBand="0"/>
      </w:tblPr>
      <w:tblGrid>
        <w:gridCol w:w="9576"/>
      </w:tblGrid>
      <w:tr w:rsidR="00D075F6" w14:paraId="3238F4ED" w14:textId="77777777">
        <w:trPr>
          <w:jc w:val="center"/>
        </w:trPr>
        <w:tc>
          <w:tcPr>
            <w:tcW w:w="7920" w:type="dxa"/>
          </w:tcPr>
          <w:p w14:paraId="180CCA07" w14:textId="77777777" w:rsidR="00D075F6" w:rsidRDefault="00734411">
            <w:pPr>
              <w:spacing w:before="200"/>
              <w:jc w:val="center"/>
            </w:pPr>
            <w:bookmarkStart w:id="163" w:name="tbl-friedman-fidelity"/>
            <w:r>
              <w:t>Tabla 4.2: Suma y media de rangos de fidelidad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D075F6" w14:paraId="48A28C42" w14:textId="77777777">
              <w:trPr>
                <w:tblHeader/>
                <w:jc w:val="center"/>
              </w:trPr>
              <w:tc>
                <w:tcPr>
                  <w:tcW w:w="1980" w:type="dxa"/>
                </w:tcPr>
                <w:p w14:paraId="3DAF2252" w14:textId="77777777" w:rsidR="00D075F6" w:rsidRDefault="00734411">
                  <w:r>
                    <w:rPr>
                      <w:b/>
                      <w:bCs/>
                    </w:rPr>
                    <w:t>Método</w:t>
                  </w:r>
                </w:p>
              </w:tc>
              <w:tc>
                <w:tcPr>
                  <w:tcW w:w="1980" w:type="dxa"/>
                </w:tcPr>
                <w:p w14:paraId="02C46AFA" w14:textId="77777777" w:rsidR="00D075F6" w:rsidRDefault="00734411">
                  <w:r>
                    <w:rPr>
                      <w:b/>
                      <w:bCs/>
                    </w:rPr>
                    <w:t>Suma de rangos</w:t>
                  </w:r>
                </w:p>
              </w:tc>
              <w:tc>
                <w:tcPr>
                  <w:tcW w:w="1980" w:type="dxa"/>
                </w:tcPr>
                <w:p w14:paraId="44489B5D" w14:textId="77777777" w:rsidR="00D075F6" w:rsidRDefault="00734411">
                  <w:r>
                    <w:rPr>
                      <w:b/>
                      <w:bCs/>
                    </w:rPr>
                    <w:t>Rango medio</w:t>
                  </w:r>
                </w:p>
              </w:tc>
              <w:tc>
                <w:tcPr>
                  <w:tcW w:w="1980" w:type="dxa"/>
                </w:tcPr>
                <w:p w14:paraId="307D0E83" w14:textId="77777777" w:rsidR="00D075F6" w:rsidRDefault="00734411">
                  <w:r>
                    <w:rPr>
                      <w:b/>
                      <w:bCs/>
                    </w:rPr>
                    <w:t>Posición</w:t>
                  </w:r>
                </w:p>
              </w:tc>
            </w:tr>
            <w:tr w:rsidR="00D075F6" w14:paraId="41DD574C" w14:textId="77777777">
              <w:trPr>
                <w:jc w:val="center"/>
              </w:trPr>
              <w:tc>
                <w:tcPr>
                  <w:tcW w:w="1980" w:type="dxa"/>
                </w:tcPr>
                <w:p w14:paraId="1EEBA38F" w14:textId="77777777" w:rsidR="00D075F6" w:rsidRDefault="00734411">
                  <w:r>
                    <w:t>SHAP</w:t>
                  </w:r>
                </w:p>
              </w:tc>
              <w:tc>
                <w:tcPr>
                  <w:tcW w:w="1980" w:type="dxa"/>
                </w:tcPr>
                <w:p w14:paraId="50EE67C9" w14:textId="77777777" w:rsidR="00D075F6" w:rsidRDefault="00734411">
                  <w:r>
                    <w:t>15</w:t>
                  </w:r>
                </w:p>
              </w:tc>
              <w:tc>
                <w:tcPr>
                  <w:tcW w:w="1980" w:type="dxa"/>
                </w:tcPr>
                <w:p w14:paraId="651064C1" w14:textId="77777777" w:rsidR="00D075F6" w:rsidRDefault="00734411">
                  <w:r>
                    <w:t>1.000</w:t>
                  </w:r>
                </w:p>
              </w:tc>
              <w:tc>
                <w:tcPr>
                  <w:tcW w:w="1980" w:type="dxa"/>
                </w:tcPr>
                <w:p w14:paraId="40F63F0B" w14:textId="77777777" w:rsidR="00D075F6" w:rsidRDefault="00734411">
                  <w:r>
                    <w:t>1.ª</w:t>
                  </w:r>
                </w:p>
              </w:tc>
            </w:tr>
            <w:tr w:rsidR="00D075F6" w14:paraId="61D55D87" w14:textId="77777777">
              <w:trPr>
                <w:jc w:val="center"/>
              </w:trPr>
              <w:tc>
                <w:tcPr>
                  <w:tcW w:w="1980" w:type="dxa"/>
                </w:tcPr>
                <w:p w14:paraId="636AD154" w14:textId="77777777" w:rsidR="00D075F6" w:rsidRDefault="00734411">
                  <w:r>
                    <w:t>LIME</w:t>
                  </w:r>
                </w:p>
              </w:tc>
              <w:tc>
                <w:tcPr>
                  <w:tcW w:w="1980" w:type="dxa"/>
                </w:tcPr>
                <w:p w14:paraId="13ED71BD" w14:textId="77777777" w:rsidR="00D075F6" w:rsidRDefault="00734411">
                  <w:r>
                    <w:t>30</w:t>
                  </w:r>
                </w:p>
              </w:tc>
              <w:tc>
                <w:tcPr>
                  <w:tcW w:w="1980" w:type="dxa"/>
                </w:tcPr>
                <w:p w14:paraId="17311A8E" w14:textId="77777777" w:rsidR="00D075F6" w:rsidRDefault="00734411">
                  <w:r>
                    <w:t>2.000</w:t>
                  </w:r>
                </w:p>
              </w:tc>
              <w:tc>
                <w:tcPr>
                  <w:tcW w:w="1980" w:type="dxa"/>
                </w:tcPr>
                <w:p w14:paraId="51D48A95" w14:textId="77777777" w:rsidR="00D075F6" w:rsidRDefault="00734411">
                  <w:r>
                    <w:t>2.ª</w:t>
                  </w:r>
                </w:p>
              </w:tc>
            </w:tr>
            <w:tr w:rsidR="00D075F6" w14:paraId="196E6BAB" w14:textId="77777777">
              <w:trPr>
                <w:jc w:val="center"/>
              </w:trPr>
              <w:tc>
                <w:tcPr>
                  <w:tcW w:w="1980" w:type="dxa"/>
                </w:tcPr>
                <w:p w14:paraId="5171F75B" w14:textId="77777777" w:rsidR="00D075F6" w:rsidRDefault="00734411">
                  <w:r>
                    <w:t>Anchors</w:t>
                  </w:r>
                </w:p>
              </w:tc>
              <w:tc>
                <w:tcPr>
                  <w:tcW w:w="1980" w:type="dxa"/>
                </w:tcPr>
                <w:p w14:paraId="1C2B4CCE" w14:textId="77777777" w:rsidR="00D075F6" w:rsidRDefault="00734411">
                  <w:r>
                    <w:t>48</w:t>
                  </w:r>
                </w:p>
              </w:tc>
              <w:tc>
                <w:tcPr>
                  <w:tcW w:w="1980" w:type="dxa"/>
                </w:tcPr>
                <w:p w14:paraId="442E4025" w14:textId="77777777" w:rsidR="00D075F6" w:rsidRDefault="00734411">
                  <w:r>
                    <w:t>3.200</w:t>
                  </w:r>
                </w:p>
              </w:tc>
              <w:tc>
                <w:tcPr>
                  <w:tcW w:w="1980" w:type="dxa"/>
                </w:tcPr>
                <w:p w14:paraId="3D5FA5F5" w14:textId="77777777" w:rsidR="00D075F6" w:rsidRDefault="00734411">
                  <w:r>
                    <w:t>3.ª</w:t>
                  </w:r>
                </w:p>
              </w:tc>
            </w:tr>
            <w:tr w:rsidR="00D075F6" w14:paraId="72976DBD" w14:textId="77777777">
              <w:trPr>
                <w:jc w:val="center"/>
              </w:trPr>
              <w:tc>
                <w:tcPr>
                  <w:tcW w:w="1980" w:type="dxa"/>
                </w:tcPr>
                <w:p w14:paraId="3C25336C" w14:textId="77777777" w:rsidR="00D075F6" w:rsidRDefault="00734411">
                  <w:r>
                    <w:t>DiCE</w:t>
                  </w:r>
                </w:p>
              </w:tc>
              <w:tc>
                <w:tcPr>
                  <w:tcW w:w="1980" w:type="dxa"/>
                </w:tcPr>
                <w:p w14:paraId="7A3287D4" w14:textId="77777777" w:rsidR="00D075F6" w:rsidRDefault="00734411">
                  <w:r>
                    <w:t>57</w:t>
                  </w:r>
                </w:p>
              </w:tc>
              <w:tc>
                <w:tcPr>
                  <w:tcW w:w="1980" w:type="dxa"/>
                </w:tcPr>
                <w:p w14:paraId="7F91C8CC" w14:textId="77777777" w:rsidR="00D075F6" w:rsidRDefault="00734411">
                  <w:r>
                    <w:t>3.800</w:t>
                  </w:r>
                </w:p>
              </w:tc>
              <w:tc>
                <w:tcPr>
                  <w:tcW w:w="1980" w:type="dxa"/>
                </w:tcPr>
                <w:p w14:paraId="16D132D2" w14:textId="77777777" w:rsidR="00D075F6" w:rsidRDefault="00734411">
                  <w:r>
                    <w:t>4.ª</w:t>
                  </w:r>
                </w:p>
              </w:tc>
            </w:tr>
            <w:bookmarkEnd w:id="163"/>
          </w:tbl>
          <w:p w14:paraId="3659E87E" w14:textId="77777777" w:rsidR="00D075F6" w:rsidRDefault="00D075F6"/>
        </w:tc>
      </w:tr>
    </w:tbl>
    <w:p w14:paraId="4E19090E" w14:textId="77777777" w:rsidR="00D075F6" w:rsidRDefault="00734411">
      <w:pPr>
        <w:pStyle w:val="BodyText"/>
      </w:pPr>
      <w:r>
        <w:t xml:space="preserve">El hecho de que SHAP obtenga rango 1 en la totalidad de los 15 bloques (suma = 15, media = 1.000) implica que en ningún contexto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ningún otro método superó a SHAP en fidelidad. Las medias brutas (promedio </w:t>
      </w:r>
      <m:oMath>
        <m:r>
          <m:rPr>
            <m:sty m:val="p"/>
          </m:rPr>
          <w:rPr>
            <w:rFonts w:ascii="Cambria Math" w:hAnsi="Cambria Math"/>
          </w:rPr>
          <m:t>±</m:t>
        </m:r>
      </m:oMath>
      <w:r>
        <w:t xml:space="preserve"> desviación estándar entre bloques) son: SHAP = 0.808 </w:t>
      </w:r>
      <m:oMath>
        <m:r>
          <m:rPr>
            <m:sty m:val="p"/>
          </m:rPr>
          <w:rPr>
            <w:rFonts w:ascii="Cambria Math" w:hAnsi="Cambria Math"/>
          </w:rPr>
          <m:t>±</m:t>
        </m:r>
      </m:oMath>
      <w:r>
        <w:t xml:space="preserve"> 0.093, LIME = 0.560 </w:t>
      </w:r>
      <m:oMath>
        <m:r>
          <m:rPr>
            <m:sty m:val="p"/>
          </m:rPr>
          <w:rPr>
            <w:rFonts w:ascii="Cambria Math" w:hAnsi="Cambria Math"/>
          </w:rPr>
          <m:t>±</m:t>
        </m:r>
      </m:oMath>
      <w:r>
        <w:t xml:space="preserve"> 0.068, Anchors = 0.389 </w:t>
      </w:r>
      <m:oMath>
        <m:r>
          <m:rPr>
            <m:sty m:val="p"/>
          </m:rPr>
          <w:rPr>
            <w:rFonts w:ascii="Cambria Math" w:hAnsi="Cambria Math"/>
          </w:rPr>
          <m:t>±</m:t>
        </m:r>
      </m:oMath>
      <w:r>
        <w:t xml:space="preserve"> 0.100, DiCE = 0.170 </w:t>
      </w:r>
      <m:oMath>
        <m:r>
          <m:rPr>
            <m:sty m:val="p"/>
          </m:rPr>
          <w:rPr>
            <w:rFonts w:ascii="Cambria Math" w:hAnsi="Cambria Math"/>
          </w:rPr>
          <m:t>±</m:t>
        </m:r>
      </m:oMath>
      <w:r>
        <w:t xml:space="preserve"> 0.103.</w:t>
      </w:r>
    </w:p>
    <w:p w14:paraId="317D3993" w14:textId="77777777" w:rsidR="00D075F6" w:rsidRDefault="00734411">
      <w:pPr>
        <w:pStyle w:val="BodyText"/>
      </w:pPr>
      <w:r>
        <w:t xml:space="preserve">La escala de fidelidad es acotada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(correlación entre importancias </w:t>
      </w:r>
      <w:r>
        <w:t xml:space="preserve">y efecto de enmascaramiento): valores superiores a 0.80 señalan explicaciones que capturan fielmente el comportamiento local del modelo; valores inferiores a 0.40 indican explicaciones poco representativas. Bajo estos criterios, SHAP opera consistentemente en zona alta de fidelidad, LIME en zona media, y tanto Anchors como DiCE en zona baja-media. La fidelidad baja de DiCE no es sorprendente: como método contrafactual, DiCE no optimiza la correlación de </w:t>
      </w:r>
      <w:r>
        <w:t>importancias, sino la generación de ejemplos alternativos, de modo que la métrica de fidelidad captura una dimensión de calidad que no es el objetivo de diseño primario de este método.</w:t>
      </w:r>
    </w:p>
    <w:p w14:paraId="2C168DED" w14:textId="77777777" w:rsidR="00D075F6" w:rsidRDefault="00734411">
      <w:pPr>
        <w:pStyle w:val="BodyText"/>
      </w:pPr>
      <w:r>
        <w:t xml:space="preserve">Estas magnitudes describen el comportamiento bajo el operador declarado: reemplazo independiente por la media de entrenamiento en el espacio transformado. Aplicar el mismo operador mejora la comparabilidad interna, pero no preserva la distribución conjunta ni elimina el riesgo de observaciones OOD </w:t>
      </w:r>
      <w:r>
        <w:t>(Hooker et al. 2019; Rong et al. 2022). Por ello, el ordenamiento se acota a esta operacionalización y no constituye por sí solo una prueba irrestricta de corrección de las atribuciones.</w:t>
      </w:r>
    </w:p>
    <w:p w14:paraId="784F888C" w14:textId="77777777" w:rsidR="00D075F6" w:rsidRDefault="00734411">
      <w:pPr>
        <w:pStyle w:val="BodyText"/>
      </w:pPr>
      <w:r>
        <w:rPr>
          <w:b/>
          <w:bCs/>
        </w:rPr>
        <w:t>Localización post-hoc (Nemenyi):</w:t>
      </w:r>
      <w:r>
        <w:t xml:space="preserve"> La diferencia crítica para comparaciones pareadas con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n</m:t>
        </m:r>
        <m:r>
          <m:rPr>
            <m:sty m:val="p"/>
          </m:rPr>
          <w:rPr>
            <w:rFonts w:ascii="Cambria Math" w:hAnsi="Cambria Math"/>
          </w:rPr>
          <m:t>=</m:t>
        </m:r>
        <m:r>
          <w:rPr>
            <w:rFonts w:ascii="Cambria Math" w:hAnsi="Cambria Math"/>
          </w:rPr>
          <m:t>15</m:t>
        </m:r>
      </m:oMath>
      <w:r>
        <w:t xml:space="preserve"> es:</w:t>
      </w:r>
    </w:p>
    <w:p w14:paraId="1E365FB1" w14:textId="77777777" w:rsidR="00D075F6" w:rsidRDefault="00734411">
      <w:pPr>
        <w:pStyle w:val="BodyText"/>
      </w:pPr>
      <m:oMathPara>
        <m:oMathParaPr>
          <m:jc m:val="center"/>
        </m:oMathParaPr>
        <m:oMath>
          <m:r>
            <w:rPr>
              <w:rFonts w:ascii="Cambria Math" w:hAnsi="Cambria Math"/>
            </w:rPr>
            <m:t>CD</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6</m:t>
                  </m:r>
                  <m:r>
                    <w:rPr>
                      <w:rFonts w:ascii="Cambria Math" w:hAnsi="Cambria Math"/>
                    </w:rPr>
                    <m:t>n</m:t>
                  </m:r>
                </m:den>
              </m:f>
            </m:e>
          </m:rad>
          <m:r>
            <m:rPr>
              <m:sty m:val="p"/>
            </m:rPr>
            <w:rPr>
              <w:rFonts w:ascii="Cambria Math" w:hAnsi="Cambria Math"/>
            </w:rPr>
            <m:t>=</m:t>
          </m:r>
          <m:r>
            <w:rPr>
              <w:rFonts w:ascii="Cambria Math" w:hAnsi="Cambria Math"/>
            </w:rPr>
            <m:t>2.569</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5</m:t>
                  </m:r>
                </m:num>
                <m:den>
                  <m:r>
                    <w:rPr>
                      <w:rFonts w:ascii="Cambria Math" w:hAnsi="Cambria Math"/>
                    </w:rPr>
                    <m:t>6</m:t>
                  </m:r>
                  <m:r>
                    <m:rPr>
                      <m:sty m:val="p"/>
                    </m:rPr>
                    <w:rPr>
                      <w:rFonts w:ascii="Cambria Math" w:hAnsi="Cambria Math"/>
                    </w:rPr>
                    <m:t>×</m:t>
                  </m:r>
                  <m:r>
                    <w:rPr>
                      <w:rFonts w:ascii="Cambria Math" w:hAnsi="Cambria Math"/>
                    </w:rPr>
                    <m:t>15</m:t>
                  </m:r>
                </m:den>
              </m:f>
            </m:e>
          </m:rad>
          <m:r>
            <m:rPr>
              <m:sty m:val="p"/>
            </m:rPr>
            <w:rPr>
              <w:rFonts w:ascii="Cambria Math" w:hAnsi="Cambria Math"/>
            </w:rPr>
            <m:t>=</m:t>
          </m:r>
          <m:r>
            <w:rPr>
              <w:rFonts w:ascii="Cambria Math" w:hAnsi="Cambria Math"/>
            </w:rPr>
            <m:t>2.569</m:t>
          </m:r>
          <m:r>
            <m:rPr>
              <m:sty m:val="p"/>
            </m:rPr>
            <w:rPr>
              <w:rFonts w:ascii="Cambria Math" w:hAnsi="Cambria Math"/>
            </w:rPr>
            <m:t>×</m:t>
          </m:r>
          <m:r>
            <w:rPr>
              <w:rFonts w:ascii="Cambria Math" w:hAnsi="Cambria Math"/>
            </w:rPr>
            <m:t>0.4714</m:t>
          </m:r>
          <m:r>
            <m:rPr>
              <m:sty m:val="p"/>
            </m:rPr>
            <w:rPr>
              <w:rFonts w:ascii="Cambria Math" w:hAnsi="Cambria Math"/>
            </w:rPr>
            <m:t>=</m:t>
          </m:r>
          <m:r>
            <w:rPr>
              <w:rFonts w:ascii="Cambria Math" w:hAnsi="Cambria Math"/>
            </w:rPr>
            <m:t>1.211</m:t>
          </m:r>
        </m:oMath>
      </m:oMathPara>
    </w:p>
    <w:p w14:paraId="2701D475" w14:textId="77777777" w:rsidR="00D075F6" w:rsidRDefault="00734411">
      <w:r>
        <w:t xml:space="preserve">Donde </w:t>
      </w:r>
      <m:oMath>
        <m:sSub>
          <m:sSubPr>
            <m:ctrlPr>
              <w:rPr>
                <w:rFonts w:ascii="Cambria Math" w:hAnsi="Cambria Math"/>
              </w:rPr>
            </m:ctrlPr>
          </m:sSubPr>
          <m:e>
            <m:r>
              <w:rPr>
                <w:rFonts w:ascii="Cambria Math" w:hAnsi="Cambria Math"/>
              </w:rPr>
              <m:t>q</m:t>
            </m:r>
          </m:e>
          <m:sub>
            <m:r>
              <w:rPr>
                <w:rFonts w:ascii="Cambria Math" w:hAnsi="Cambria Math"/>
              </w:rPr>
              <m:t>α</m:t>
            </m:r>
          </m:sub>
        </m:sSub>
        <m:r>
          <m:rPr>
            <m:sty m:val="p"/>
          </m:rPr>
          <w:rPr>
            <w:rFonts w:ascii="Cambria Math" w:hAnsi="Cambria Math"/>
          </w:rPr>
          <m:t>=</m:t>
        </m:r>
        <m:r>
          <w:rPr>
            <w:rFonts w:ascii="Cambria Math" w:hAnsi="Cambria Math"/>
          </w:rPr>
          <m:t>2.569</m:t>
        </m:r>
      </m:oMath>
      <w:r>
        <w:t xml:space="preserve"> es el valor crítico de la distribución de Nemenyi para </w:t>
      </w:r>
      <m:oMath>
        <m:r>
          <w:rPr>
            <w:rFonts w:ascii="Cambria Math" w:hAnsi="Cambria Math"/>
          </w:rPr>
          <m:t>k</m:t>
        </m:r>
        <m:r>
          <m:rPr>
            <m:sty m:val="p"/>
          </m:rPr>
          <w:rPr>
            <w:rFonts w:ascii="Cambria Math" w:hAnsi="Cambria Math"/>
          </w:rPr>
          <m:t>=</m:t>
        </m:r>
        <m:r>
          <w:rPr>
            <w:rFonts w:ascii="Cambria Math" w:hAnsi="Cambria Math"/>
          </w:rPr>
          <m:t>4</m:t>
        </m:r>
      </m:oMath>
      <w:r>
        <w:t xml:space="preserve"> con </w:t>
      </w:r>
      <m:oMath>
        <m:r>
          <w:rPr>
            <w:rFonts w:ascii="Cambria Math" w:hAnsi="Cambria Math"/>
          </w:rPr>
          <m:t>α</m:t>
        </m:r>
        <m:r>
          <m:rPr>
            <m:sty m:val="p"/>
          </m:rPr>
          <w:rPr>
            <w:rFonts w:ascii="Cambria Math" w:hAnsi="Cambria Math"/>
          </w:rPr>
          <m:t>=</m:t>
        </m:r>
        <m:r>
          <w:rPr>
            <w:rFonts w:ascii="Cambria Math" w:hAnsi="Cambria Math"/>
          </w:rPr>
          <m:t>0.05</m:t>
        </m:r>
      </m:oMath>
      <w:r>
        <w:t xml:space="preserve"> (Demšar 2006). Tres de las seis diferencias en rangos </w:t>
      </w:r>
      <w:r>
        <w:t>medios superan la diferencia crítica: SHAP–Anchors, SHAP–DiCE y LIME–DiCE:</w:t>
      </w:r>
    </w:p>
    <w:tbl>
      <w:tblPr>
        <w:tblW w:w="5000" w:type="pct"/>
        <w:jc w:val="center"/>
        <w:tblLayout w:type="fixed"/>
        <w:tblLook w:val="0000" w:firstRow="0" w:lastRow="0" w:firstColumn="0" w:lastColumn="0" w:noHBand="0" w:noVBand="0"/>
      </w:tblPr>
      <w:tblGrid>
        <w:gridCol w:w="9576"/>
      </w:tblGrid>
      <w:tr w:rsidR="00D075F6" w14:paraId="5DC381BA" w14:textId="77777777">
        <w:trPr>
          <w:jc w:val="center"/>
        </w:trPr>
        <w:tc>
          <w:tcPr>
            <w:tcW w:w="7920" w:type="dxa"/>
          </w:tcPr>
          <w:p w14:paraId="0C40471A" w14:textId="77777777" w:rsidR="00D075F6" w:rsidRDefault="00734411">
            <w:pPr>
              <w:spacing w:before="200"/>
              <w:jc w:val="center"/>
            </w:pPr>
            <w:bookmarkStart w:id="164" w:name="tbl-nemenyi-fidelity"/>
            <w:r>
              <w:t>Tabla 4.3: Comparaciones post-hoc de Nemenyi para fidelidad.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D075F6" w14:paraId="7963386E" w14:textId="77777777">
              <w:trPr>
                <w:tblHeader/>
                <w:jc w:val="center"/>
              </w:trPr>
              <w:tc>
                <w:tcPr>
                  <w:tcW w:w="1980" w:type="dxa"/>
                </w:tcPr>
                <w:p w14:paraId="18F46592" w14:textId="77777777" w:rsidR="00D075F6" w:rsidRDefault="00734411">
                  <w:r>
                    <w:rPr>
                      <w:b/>
                      <w:bCs/>
                    </w:rPr>
                    <w:t>Par</w:t>
                  </w:r>
                </w:p>
              </w:tc>
              <w:tc>
                <w:tcPr>
                  <w:tcW w:w="1980" w:type="dxa"/>
                </w:tcPr>
                <w:p w14:paraId="72E9638F" w14:textId="77777777" w:rsidR="00D075F6" w:rsidRDefault="00734411">
                  <m:oMathPara>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oMath>
                  </m:oMathPara>
                </w:p>
              </w:tc>
              <w:tc>
                <w:tcPr>
                  <w:tcW w:w="1980" w:type="dxa"/>
                </w:tcPr>
                <w:p w14:paraId="7E9D56C3" w14:textId="77777777" w:rsidR="00D075F6" w:rsidRDefault="00734411">
                  <w:r>
                    <w:rPr>
                      <w:b/>
                      <w:bCs/>
                    </w:rPr>
                    <w:t>CD</w:t>
                  </w:r>
                </w:p>
              </w:tc>
              <w:tc>
                <w:tcPr>
                  <w:tcW w:w="1980" w:type="dxa"/>
                </w:tcPr>
                <w:p w14:paraId="751673BE" w14:textId="77777777" w:rsidR="00D075F6" w:rsidRDefault="00734411">
                  <w:r>
                    <w:rPr>
                      <w:b/>
                      <w:bCs/>
                    </w:rPr>
                    <w:t>Significativo</w:t>
                  </w:r>
                </w:p>
              </w:tc>
            </w:tr>
            <w:tr w:rsidR="00D075F6" w14:paraId="117D660C" w14:textId="77777777">
              <w:trPr>
                <w:jc w:val="center"/>
              </w:trPr>
              <w:tc>
                <w:tcPr>
                  <w:tcW w:w="1980" w:type="dxa"/>
                </w:tcPr>
                <w:p w14:paraId="6E78D044" w14:textId="77777777" w:rsidR="00D075F6" w:rsidRDefault="00734411">
                  <w:r>
                    <w:t>SHAP vs. LIME</w:t>
                  </w:r>
                </w:p>
              </w:tc>
              <w:tc>
                <w:tcPr>
                  <w:tcW w:w="1980" w:type="dxa"/>
                </w:tcPr>
                <w:p w14:paraId="2BDAA7BB" w14:textId="77777777" w:rsidR="00D075F6" w:rsidRDefault="00734411">
                  <w:r>
                    <w:t>1.000</w:t>
                  </w:r>
                </w:p>
              </w:tc>
              <w:tc>
                <w:tcPr>
                  <w:tcW w:w="1980" w:type="dxa"/>
                </w:tcPr>
                <w:p w14:paraId="7E61817A" w14:textId="77777777" w:rsidR="00D075F6" w:rsidRDefault="00734411">
                  <w:r>
                    <w:t>1.211</w:t>
                  </w:r>
                </w:p>
              </w:tc>
              <w:tc>
                <w:tcPr>
                  <w:tcW w:w="1980" w:type="dxa"/>
                </w:tcPr>
                <w:p w14:paraId="7DB12FA2" w14:textId="77777777" w:rsidR="00D075F6" w:rsidRDefault="00734411">
                  <w:r>
                    <w:t>No</w:t>
                  </w:r>
                </w:p>
              </w:tc>
            </w:tr>
            <w:tr w:rsidR="00D075F6" w14:paraId="269C2450" w14:textId="77777777">
              <w:trPr>
                <w:jc w:val="center"/>
              </w:trPr>
              <w:tc>
                <w:tcPr>
                  <w:tcW w:w="1980" w:type="dxa"/>
                </w:tcPr>
                <w:p w14:paraId="12C08825" w14:textId="77777777" w:rsidR="00D075F6" w:rsidRDefault="00734411">
                  <w:r>
                    <w:t>SHAP vs. Anchors</w:t>
                  </w:r>
                </w:p>
              </w:tc>
              <w:tc>
                <w:tcPr>
                  <w:tcW w:w="1980" w:type="dxa"/>
                </w:tcPr>
                <w:p w14:paraId="7F33A63D" w14:textId="77777777" w:rsidR="00D075F6" w:rsidRDefault="00734411">
                  <w:r>
                    <w:t>2.200</w:t>
                  </w:r>
                </w:p>
              </w:tc>
              <w:tc>
                <w:tcPr>
                  <w:tcW w:w="1980" w:type="dxa"/>
                </w:tcPr>
                <w:p w14:paraId="7B7D7834" w14:textId="77777777" w:rsidR="00D075F6" w:rsidRDefault="00734411">
                  <w:r>
                    <w:t>1.211</w:t>
                  </w:r>
                </w:p>
              </w:tc>
              <w:tc>
                <w:tcPr>
                  <w:tcW w:w="1980" w:type="dxa"/>
                </w:tcPr>
                <w:p w14:paraId="17796173" w14:textId="77777777" w:rsidR="00D075F6" w:rsidRDefault="00734411">
                  <w:r>
                    <w:t>Sí</w:t>
                  </w:r>
                </w:p>
              </w:tc>
            </w:tr>
            <w:tr w:rsidR="00D075F6" w14:paraId="6746F518" w14:textId="77777777">
              <w:trPr>
                <w:jc w:val="center"/>
              </w:trPr>
              <w:tc>
                <w:tcPr>
                  <w:tcW w:w="1980" w:type="dxa"/>
                </w:tcPr>
                <w:p w14:paraId="4F29D8FE" w14:textId="77777777" w:rsidR="00D075F6" w:rsidRDefault="00734411">
                  <w:r>
                    <w:t>SHAP vs. DiCE</w:t>
                  </w:r>
                </w:p>
              </w:tc>
              <w:tc>
                <w:tcPr>
                  <w:tcW w:w="1980" w:type="dxa"/>
                </w:tcPr>
                <w:p w14:paraId="13767080" w14:textId="77777777" w:rsidR="00D075F6" w:rsidRDefault="00734411">
                  <w:r>
                    <w:t>2.800</w:t>
                  </w:r>
                </w:p>
              </w:tc>
              <w:tc>
                <w:tcPr>
                  <w:tcW w:w="1980" w:type="dxa"/>
                </w:tcPr>
                <w:p w14:paraId="41C6AB60" w14:textId="77777777" w:rsidR="00D075F6" w:rsidRDefault="00734411">
                  <w:r>
                    <w:t>1.211</w:t>
                  </w:r>
                </w:p>
              </w:tc>
              <w:tc>
                <w:tcPr>
                  <w:tcW w:w="1980" w:type="dxa"/>
                </w:tcPr>
                <w:p w14:paraId="7DA969A6" w14:textId="77777777" w:rsidR="00D075F6" w:rsidRDefault="00734411">
                  <w:r>
                    <w:t>Sí</w:t>
                  </w:r>
                </w:p>
              </w:tc>
            </w:tr>
            <w:tr w:rsidR="00D075F6" w14:paraId="730849D8" w14:textId="77777777">
              <w:trPr>
                <w:jc w:val="center"/>
              </w:trPr>
              <w:tc>
                <w:tcPr>
                  <w:tcW w:w="1980" w:type="dxa"/>
                </w:tcPr>
                <w:p w14:paraId="28359A39" w14:textId="77777777" w:rsidR="00D075F6" w:rsidRDefault="00734411">
                  <w:r>
                    <w:t>LIME vs. Anchors</w:t>
                  </w:r>
                </w:p>
              </w:tc>
              <w:tc>
                <w:tcPr>
                  <w:tcW w:w="1980" w:type="dxa"/>
                </w:tcPr>
                <w:p w14:paraId="2B6A43E4" w14:textId="77777777" w:rsidR="00D075F6" w:rsidRDefault="00734411">
                  <w:r>
                    <w:t>1.200</w:t>
                  </w:r>
                </w:p>
              </w:tc>
              <w:tc>
                <w:tcPr>
                  <w:tcW w:w="1980" w:type="dxa"/>
                </w:tcPr>
                <w:p w14:paraId="26BB4ABC" w14:textId="77777777" w:rsidR="00D075F6" w:rsidRDefault="00734411">
                  <w:r>
                    <w:t>1.211</w:t>
                  </w:r>
                </w:p>
              </w:tc>
              <w:tc>
                <w:tcPr>
                  <w:tcW w:w="1980" w:type="dxa"/>
                </w:tcPr>
                <w:p w14:paraId="7A2EDE04" w14:textId="77777777" w:rsidR="00D075F6" w:rsidRDefault="00734411">
                  <w:r>
                    <w:t>No</w:t>
                  </w:r>
                </w:p>
              </w:tc>
            </w:tr>
            <w:tr w:rsidR="00D075F6" w14:paraId="572EF662" w14:textId="77777777">
              <w:trPr>
                <w:jc w:val="center"/>
              </w:trPr>
              <w:tc>
                <w:tcPr>
                  <w:tcW w:w="1980" w:type="dxa"/>
                </w:tcPr>
                <w:p w14:paraId="2005D031" w14:textId="77777777" w:rsidR="00D075F6" w:rsidRDefault="00734411">
                  <w:r>
                    <w:t>LIME vs. DiCE</w:t>
                  </w:r>
                </w:p>
              </w:tc>
              <w:tc>
                <w:tcPr>
                  <w:tcW w:w="1980" w:type="dxa"/>
                </w:tcPr>
                <w:p w14:paraId="1A10B0DC" w14:textId="77777777" w:rsidR="00D075F6" w:rsidRDefault="00734411">
                  <w:r>
                    <w:t>1.800</w:t>
                  </w:r>
                </w:p>
              </w:tc>
              <w:tc>
                <w:tcPr>
                  <w:tcW w:w="1980" w:type="dxa"/>
                </w:tcPr>
                <w:p w14:paraId="0D5D9F39" w14:textId="77777777" w:rsidR="00D075F6" w:rsidRDefault="00734411">
                  <w:r>
                    <w:t>1.211</w:t>
                  </w:r>
                </w:p>
              </w:tc>
              <w:tc>
                <w:tcPr>
                  <w:tcW w:w="1980" w:type="dxa"/>
                </w:tcPr>
                <w:p w14:paraId="5BB20321" w14:textId="77777777" w:rsidR="00D075F6" w:rsidRDefault="00734411">
                  <w:r>
                    <w:t>Sí</w:t>
                  </w:r>
                </w:p>
              </w:tc>
            </w:tr>
            <w:tr w:rsidR="00D075F6" w14:paraId="52B1D9DA" w14:textId="77777777">
              <w:trPr>
                <w:jc w:val="center"/>
              </w:trPr>
              <w:tc>
                <w:tcPr>
                  <w:tcW w:w="1980" w:type="dxa"/>
                </w:tcPr>
                <w:p w14:paraId="3FAEEEEF" w14:textId="77777777" w:rsidR="00D075F6" w:rsidRDefault="00734411">
                  <w:r>
                    <w:t>Anchors vs. DiCE</w:t>
                  </w:r>
                </w:p>
              </w:tc>
              <w:tc>
                <w:tcPr>
                  <w:tcW w:w="1980" w:type="dxa"/>
                </w:tcPr>
                <w:p w14:paraId="35111ECB" w14:textId="77777777" w:rsidR="00D075F6" w:rsidRDefault="00734411">
                  <w:r>
                    <w:t>0.600</w:t>
                  </w:r>
                </w:p>
              </w:tc>
              <w:tc>
                <w:tcPr>
                  <w:tcW w:w="1980" w:type="dxa"/>
                </w:tcPr>
                <w:p w14:paraId="6CD70EA9" w14:textId="77777777" w:rsidR="00D075F6" w:rsidRDefault="00734411">
                  <w:r>
                    <w:t>1.211</w:t>
                  </w:r>
                </w:p>
              </w:tc>
              <w:tc>
                <w:tcPr>
                  <w:tcW w:w="1980" w:type="dxa"/>
                </w:tcPr>
                <w:p w14:paraId="115A5D16" w14:textId="77777777" w:rsidR="00D075F6" w:rsidRDefault="00734411">
                  <w:r>
                    <w:t>No</w:t>
                  </w:r>
                </w:p>
              </w:tc>
            </w:tr>
            <w:bookmarkEnd w:id="164"/>
          </w:tbl>
          <w:p w14:paraId="0BFF5744" w14:textId="77777777" w:rsidR="00D075F6" w:rsidRDefault="00D075F6"/>
        </w:tc>
      </w:tr>
    </w:tbl>
    <w:p w14:paraId="305494FD" w14:textId="77777777" w:rsidR="00D075F6" w:rsidRDefault="00734411">
      <w:pPr>
        <w:pStyle w:val="BodyText"/>
      </w:pPr>
      <w:r>
        <w:t xml:space="preserve">La localización Nemenyi es conservadora cuando </w:t>
      </w:r>
      <m:oMath>
        <m:r>
          <w:rPr>
            <w:rFonts w:ascii="Cambria Math" w:hAnsi="Cambria Math"/>
          </w:rPr>
          <m:t>n</m:t>
        </m:r>
      </m:oMath>
      <w:r>
        <w:t xml:space="preserve"> es pequeño. En fidelidad, </w:t>
      </w:r>
      <w:r>
        <w:t>se distinguen de forma robusta SHAP frente a Anchors/DiCE y LIME frente a DiCE; las diferencias SHAP–LIME y LIME–Anchors no superan el umbral crítico bajo este procedimiento. Este resultado no contradice la dominancia observada de SHAP en rangos.</w:t>
      </w:r>
    </w:p>
    <w:p w14:paraId="37E46E46" w14:textId="77777777" w:rsidR="00D075F6" w:rsidRDefault="00734411">
      <w:pPr>
        <w:pStyle w:val="BodyText"/>
      </w:pPr>
      <w:r>
        <w:rPr>
          <w:b/>
          <w:bCs/>
        </w:rPr>
        <w:t>Seguimiento dirigido SHAP–LIME.</w:t>
      </w:r>
      <w:r>
        <w:t xml:space="preserve"> Para evaluar esa diferencia con la misma agregación que Friedman, se realizó un contraste bilateral de Wilcoxon sobre los 15 bloques agregados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cada uno construido como media de las cinco </w:t>
      </w:r>
      <w:r>
        <w:t xml:space="preserve">semillas calificadas de cada método. SHAP superó a LIME en fidelidad en los 15 bloques: diferencia media por bloque de </w:t>
      </w:r>
      <m:oMath>
        <m:r>
          <m:rPr>
            <m:sty m:val="p"/>
          </m:rPr>
          <w:rPr>
            <w:rFonts w:ascii="Cambria Math" w:hAnsi="Cambria Math"/>
          </w:rPr>
          <m:t>+</m:t>
        </m:r>
        <m:r>
          <w:rPr>
            <w:rFonts w:ascii="Cambria Math" w:hAnsi="Cambria Math"/>
          </w:rPr>
          <m:t>0.2479</m:t>
        </m:r>
      </m:oMath>
      <w:r>
        <w:t xml:space="preserve">, estadístico de rangos </w:t>
      </w:r>
      <m:oMath>
        <m:r>
          <w:rPr>
            <w:rFonts w:ascii="Cambria Math" w:hAnsi="Cambria Math"/>
          </w:rPr>
          <m:t>W</m:t>
        </m:r>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6.10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y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3.05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dentro de la familia de cinco métricas. Las diferencias tuvieron 15 positivas, 0 negativas y 0 empates; la prueba exacta bilateral de signos (</w:t>
      </w:r>
      <m:oMath>
        <m:r>
          <w:rPr>
            <w:rFonts w:ascii="Cambria Math" w:hAnsi="Cambria Math"/>
          </w:rPr>
          <m:t>p</m:t>
        </m:r>
        <m:r>
          <m:rPr>
            <m:sty m:val="p"/>
          </m:rPr>
          <w:rPr>
            <w:rFonts w:ascii="Cambria Math" w:hAnsi="Cambria Math"/>
          </w:rPr>
          <m:t>=</m:t>
        </m:r>
        <m:r>
          <w:rPr>
            <w:rFonts w:ascii="Cambria Math" w:hAnsi="Cambria Math"/>
          </w:rPr>
          <m:t>6.10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confirma que la dirección no depende de unos pocos bloques extremos.</w:t>
      </w:r>
    </w:p>
    <w:p w14:paraId="51674E64" w14:textId="77777777" w:rsidR="00D075F6" w:rsidRDefault="00734411">
      <w:pPr>
        <w:pStyle w:val="BodyText"/>
      </w:pPr>
      <w:r>
        <w:t xml:space="preserve">Este análisis es un seguimiento motivado por la revisión, no una prueba </w:t>
      </w:r>
      <w:r>
        <w:t xml:space="preserve">preespecificada de H1. Nemenyi pregunta qué pares se separan bajo una localización simultánea de cuatro métodos basada en rangos y, con solo 15 bloques, no separa SHAP de LIME. El seguimiento pregunta directamente si la diferencia SHAP–LIME de magnitud es sistemática en esos mismos bloques y controla multiplicidad sobre las cinco métricas. El Wilcoxon de H3 que se presenta más adelante conserva otra unidad: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emparejadas.</w:t>
      </w:r>
    </w:p>
    <w:p w14:paraId="03373FCD" w14:textId="77777777" w:rsidR="00D075F6" w:rsidRDefault="00734411">
      <w:pPr>
        <w:pStyle w:val="Heading3"/>
      </w:pPr>
      <w:bookmarkStart w:id="165" w:name="X117d71016dd8839ee57c9e60cc09d0400ac5f3d"/>
      <w:bookmarkStart w:id="166" w:name="_Toc241413303"/>
      <w:bookmarkEnd w:id="161"/>
      <w:r>
        <w:t>4.2.2 H2: Diferencias entre métodos en estabilidad</w:t>
      </w:r>
      <w:bookmarkEnd w:id="166"/>
    </w:p>
    <w:p w14:paraId="79975D68" w14:textId="77777777" w:rsidR="00D075F6" w:rsidRDefault="00734411">
      <w:r>
        <w:t xml:space="preserve">La prueba de Friedman para estabilidad arrojó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xml:space="preserve"> con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lo que implica un margen de seguridad de:</w:t>
      </w:r>
    </w:p>
    <w:p w14:paraId="3EE758FE" w14:textId="77777777" w:rsidR="00D075F6" w:rsidRDefault="00734411">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40.68</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421</m:t>
          </m:r>
          <m:r>
            <m:rPr>
              <m:sty m:val="p"/>
            </m:rPr>
            <w:rPr>
              <w:rFonts w:ascii="Cambria Math" w:hAnsi="Cambria Math"/>
            </w:rPr>
            <m:t>%</m:t>
          </m:r>
        </m:oMath>
      </m:oMathPara>
    </w:p>
    <w:p w14:paraId="4C4DDC91" w14:textId="77777777" w:rsidR="00D075F6" w:rsidRDefault="00734411">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xml:space="preserve"> se rechaza con la misma holgura que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Sin embargo, el ordenamiento de los métodos en estabilidad difiere sustancialmente del observado en fidelidad, lo que constituye en sí mismo un hallazgo teórico relevante: las dimensiones de calidad no están correlacionadas monótonamente.</w:t>
      </w:r>
    </w:p>
    <w:tbl>
      <w:tblPr>
        <w:tblW w:w="5000" w:type="pct"/>
        <w:jc w:val="center"/>
        <w:tblLayout w:type="fixed"/>
        <w:tblLook w:val="0000" w:firstRow="0" w:lastRow="0" w:firstColumn="0" w:lastColumn="0" w:noHBand="0" w:noVBand="0"/>
      </w:tblPr>
      <w:tblGrid>
        <w:gridCol w:w="9576"/>
      </w:tblGrid>
      <w:tr w:rsidR="00D075F6" w14:paraId="1D4B0202" w14:textId="77777777">
        <w:trPr>
          <w:jc w:val="center"/>
        </w:trPr>
        <w:tc>
          <w:tcPr>
            <w:tcW w:w="7920" w:type="dxa"/>
          </w:tcPr>
          <w:p w14:paraId="62138DC6" w14:textId="77777777" w:rsidR="00D075F6" w:rsidRDefault="00734411">
            <w:pPr>
              <w:spacing w:before="200"/>
              <w:jc w:val="center"/>
            </w:pPr>
            <w:bookmarkStart w:id="167" w:name="tbl-friedman-stability"/>
            <w:r>
              <w:t>Tabla 4.4: Suma y media de rangos de estabilidad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D075F6" w14:paraId="683A0184" w14:textId="77777777">
              <w:trPr>
                <w:tblHeader/>
                <w:jc w:val="center"/>
              </w:trPr>
              <w:tc>
                <w:tcPr>
                  <w:tcW w:w="1980" w:type="dxa"/>
                </w:tcPr>
                <w:p w14:paraId="2332E2BD" w14:textId="77777777" w:rsidR="00D075F6" w:rsidRDefault="00734411">
                  <w:r>
                    <w:rPr>
                      <w:b/>
                      <w:bCs/>
                    </w:rPr>
                    <w:t>Método</w:t>
                  </w:r>
                </w:p>
              </w:tc>
              <w:tc>
                <w:tcPr>
                  <w:tcW w:w="1980" w:type="dxa"/>
                </w:tcPr>
                <w:p w14:paraId="72311F29" w14:textId="77777777" w:rsidR="00D075F6" w:rsidRDefault="00734411">
                  <w:r>
                    <w:rPr>
                      <w:b/>
                      <w:bCs/>
                    </w:rPr>
                    <w:t>Suma de rangos</w:t>
                  </w:r>
                </w:p>
              </w:tc>
              <w:tc>
                <w:tcPr>
                  <w:tcW w:w="1980" w:type="dxa"/>
                </w:tcPr>
                <w:p w14:paraId="61855211" w14:textId="77777777" w:rsidR="00D075F6" w:rsidRDefault="00734411">
                  <w:r>
                    <w:rPr>
                      <w:b/>
                      <w:bCs/>
                    </w:rPr>
                    <w:t>Rango medio</w:t>
                  </w:r>
                </w:p>
              </w:tc>
              <w:tc>
                <w:tcPr>
                  <w:tcW w:w="1980" w:type="dxa"/>
                </w:tcPr>
                <w:p w14:paraId="52AA3EDA" w14:textId="77777777" w:rsidR="00D075F6" w:rsidRDefault="00734411">
                  <w:r>
                    <w:rPr>
                      <w:b/>
                      <w:bCs/>
                    </w:rPr>
                    <w:t>Media bruta</w:t>
                  </w:r>
                </w:p>
              </w:tc>
            </w:tr>
            <w:tr w:rsidR="00D075F6" w14:paraId="59959738" w14:textId="77777777">
              <w:trPr>
                <w:jc w:val="center"/>
              </w:trPr>
              <w:tc>
                <w:tcPr>
                  <w:tcW w:w="1980" w:type="dxa"/>
                </w:tcPr>
                <w:p w14:paraId="14591A5E" w14:textId="77777777" w:rsidR="00D075F6" w:rsidRDefault="00734411">
                  <w:r>
                    <w:t>SHAP</w:t>
                  </w:r>
                </w:p>
              </w:tc>
              <w:tc>
                <w:tcPr>
                  <w:tcW w:w="1980" w:type="dxa"/>
                </w:tcPr>
                <w:p w14:paraId="395553D4" w14:textId="77777777" w:rsidR="00D075F6" w:rsidRDefault="00734411">
                  <w:r>
                    <w:t>15</w:t>
                  </w:r>
                </w:p>
              </w:tc>
              <w:tc>
                <w:tcPr>
                  <w:tcW w:w="1980" w:type="dxa"/>
                </w:tcPr>
                <w:p w14:paraId="197DB107" w14:textId="77777777" w:rsidR="00D075F6" w:rsidRDefault="00734411">
                  <w:r>
                    <w:t>1.000</w:t>
                  </w:r>
                </w:p>
              </w:tc>
              <w:tc>
                <w:tcPr>
                  <w:tcW w:w="1980" w:type="dxa"/>
                </w:tcPr>
                <w:p w14:paraId="05FD1830" w14:textId="77777777" w:rsidR="00D075F6" w:rsidRDefault="00734411">
                  <w:r>
                    <w:t>0.732</w:t>
                  </w:r>
                </w:p>
              </w:tc>
            </w:tr>
            <w:tr w:rsidR="00D075F6" w14:paraId="3ECA34C0" w14:textId="77777777">
              <w:trPr>
                <w:jc w:val="center"/>
              </w:trPr>
              <w:tc>
                <w:tcPr>
                  <w:tcW w:w="1980" w:type="dxa"/>
                </w:tcPr>
                <w:p w14:paraId="5AD71882" w14:textId="77777777" w:rsidR="00D075F6" w:rsidRDefault="00734411">
                  <w:r>
                    <w:t>DiCE</w:t>
                  </w:r>
                </w:p>
              </w:tc>
              <w:tc>
                <w:tcPr>
                  <w:tcW w:w="1980" w:type="dxa"/>
                </w:tcPr>
                <w:p w14:paraId="08D412EA" w14:textId="77777777" w:rsidR="00D075F6" w:rsidRDefault="00734411">
                  <w:r>
                    <w:t>30</w:t>
                  </w:r>
                </w:p>
              </w:tc>
              <w:tc>
                <w:tcPr>
                  <w:tcW w:w="1980" w:type="dxa"/>
                </w:tcPr>
                <w:p w14:paraId="4AE64CC3" w14:textId="77777777" w:rsidR="00D075F6" w:rsidRDefault="00734411">
                  <w:r>
                    <w:t>2.000</w:t>
                  </w:r>
                </w:p>
              </w:tc>
              <w:tc>
                <w:tcPr>
                  <w:tcW w:w="1980" w:type="dxa"/>
                </w:tcPr>
                <w:p w14:paraId="001B9FB3" w14:textId="77777777" w:rsidR="00D075F6" w:rsidRDefault="00734411">
                  <w:r>
                    <w:t>0.361</w:t>
                  </w:r>
                </w:p>
              </w:tc>
            </w:tr>
            <w:tr w:rsidR="00D075F6" w14:paraId="65E07F47" w14:textId="77777777">
              <w:trPr>
                <w:jc w:val="center"/>
              </w:trPr>
              <w:tc>
                <w:tcPr>
                  <w:tcW w:w="1980" w:type="dxa"/>
                </w:tcPr>
                <w:p w14:paraId="6E566F5B" w14:textId="77777777" w:rsidR="00D075F6" w:rsidRDefault="00734411">
                  <w:r>
                    <w:t>LIME</w:t>
                  </w:r>
                </w:p>
              </w:tc>
              <w:tc>
                <w:tcPr>
                  <w:tcW w:w="1980" w:type="dxa"/>
                </w:tcPr>
                <w:p w14:paraId="04FAFAD6" w14:textId="77777777" w:rsidR="00D075F6" w:rsidRDefault="00734411">
                  <w:r>
                    <w:t>51</w:t>
                  </w:r>
                </w:p>
              </w:tc>
              <w:tc>
                <w:tcPr>
                  <w:tcW w:w="1980" w:type="dxa"/>
                </w:tcPr>
                <w:p w14:paraId="2B759220" w14:textId="77777777" w:rsidR="00D075F6" w:rsidRDefault="00734411">
                  <w:r>
                    <w:t>3.400</w:t>
                  </w:r>
                </w:p>
              </w:tc>
              <w:tc>
                <w:tcPr>
                  <w:tcW w:w="1980" w:type="dxa"/>
                </w:tcPr>
                <w:p w14:paraId="587399CF" w14:textId="77777777" w:rsidR="00D075F6" w:rsidRDefault="00734411">
                  <w:r>
                    <w:t>0.014</w:t>
                  </w:r>
                </w:p>
              </w:tc>
            </w:tr>
            <w:tr w:rsidR="00D075F6" w14:paraId="465F37FD" w14:textId="77777777">
              <w:trPr>
                <w:jc w:val="center"/>
              </w:trPr>
              <w:tc>
                <w:tcPr>
                  <w:tcW w:w="1980" w:type="dxa"/>
                </w:tcPr>
                <w:p w14:paraId="707FA1E7" w14:textId="77777777" w:rsidR="00D075F6" w:rsidRDefault="00734411">
                  <w:r>
                    <w:t>Anchors</w:t>
                  </w:r>
                </w:p>
              </w:tc>
              <w:tc>
                <w:tcPr>
                  <w:tcW w:w="1980" w:type="dxa"/>
                </w:tcPr>
                <w:p w14:paraId="6B731653" w14:textId="77777777" w:rsidR="00D075F6" w:rsidRDefault="00734411">
                  <w:r>
                    <w:t>54</w:t>
                  </w:r>
                </w:p>
              </w:tc>
              <w:tc>
                <w:tcPr>
                  <w:tcW w:w="1980" w:type="dxa"/>
                </w:tcPr>
                <w:p w14:paraId="392C4E49" w14:textId="77777777" w:rsidR="00D075F6" w:rsidRDefault="00734411">
                  <w:r>
                    <w:t>3.600</w:t>
                  </w:r>
                </w:p>
              </w:tc>
              <w:tc>
                <w:tcPr>
                  <w:tcW w:w="1980" w:type="dxa"/>
                </w:tcPr>
                <w:p w14:paraId="73C42227" w14:textId="77777777" w:rsidR="00D075F6" w:rsidRDefault="00734411">
                  <w:r>
                    <w:t>0.043</w:t>
                  </w:r>
                </w:p>
              </w:tc>
            </w:tr>
            <w:bookmarkEnd w:id="167"/>
          </w:tbl>
          <w:p w14:paraId="4DF3CEA2" w14:textId="77777777" w:rsidR="00D075F6" w:rsidRDefault="00D075F6"/>
        </w:tc>
      </w:tr>
    </w:tbl>
    <w:p w14:paraId="6198C271" w14:textId="77777777" w:rsidR="00D075F6" w:rsidRDefault="00734411">
      <w:pPr>
        <w:pStyle w:val="BodyText"/>
      </w:pPr>
      <w:r>
        <w:t xml:space="preserve">SHAP mantiene la primera posición en estabilidad (rango medio = 1.000), lo que implica que ocupa el primer rango también en esta dimensión. DiCE, que ocupa el último lugar en fidelidad, asciende a la segunda posición en estabilidad </w:t>
      </w:r>
      <w:r>
        <w:t xml:space="preserve">(rango medio = 2.000; media bruta = 0.361), lo que refleja que las explicaciones contrafactuales de DiCE tienen cierta coherencia estructural aunque su correlación con la función del modelo sea baja. El resultado más llamativo es la casi-nula estabilidad de LIME: su media bruta de 0.014 (similitud coseno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indica que explicaciones generadas sobre instancias ligeramente perturbadas son prácticamente ortogonales entre sí. Este es un rasgo conocido del diseño por muestreo local de LIME (Ribeiro 2016), </w:t>
      </w:r>
      <w:r>
        <w:t>pero la cuantificación en este benchmark evidencia que la inestabilidad no es marginal, sino estructural.</w:t>
      </w:r>
    </w:p>
    <w:p w14:paraId="3C686056" w14:textId="77777777" w:rsidR="00D075F6" w:rsidRDefault="00734411">
      <w:pPr>
        <w:pStyle w:val="BodyText"/>
      </w:pPr>
      <w:r>
        <w:t>La diferencia crítica Nemenyi para estabilidad es idéntica a la calculada para fidelidad (</w:t>
      </w:r>
      <m:oMath>
        <m:r>
          <w:rPr>
            <w:rFonts w:ascii="Cambria Math" w:hAnsi="Cambria Math"/>
          </w:rPr>
          <m:t>CD</m:t>
        </m:r>
        <m:r>
          <m:rPr>
            <m:sty m:val="p"/>
          </m:rPr>
          <w:rPr>
            <w:rFonts w:ascii="Cambria Math" w:hAnsi="Cambria Math"/>
          </w:rPr>
          <m:t>=</m:t>
        </m:r>
        <m:r>
          <w:rPr>
            <w:rFonts w:ascii="Cambria Math" w:hAnsi="Cambria Math"/>
          </w:rPr>
          <m:t>1.211</m:t>
        </m:r>
      </m:oMath>
      <w:r>
        <w:t xml:space="preserve">) dado el mismo </w:t>
      </w:r>
      <m:oMath>
        <m:r>
          <w:rPr>
            <w:rFonts w:ascii="Cambria Math" w:hAnsi="Cambria Math"/>
          </w:rPr>
          <m:t>n</m:t>
        </m:r>
      </m:oMath>
      <w:r>
        <w:t xml:space="preserve"> y </w:t>
      </w:r>
      <m:oMath>
        <m:r>
          <w:rPr>
            <w:rFonts w:ascii="Cambria Math" w:hAnsi="Cambria Math"/>
          </w:rPr>
          <m:t>k</m:t>
        </m:r>
      </m:oMath>
      <w:r>
        <w:t>. Las diferencias en rangos medios confirmadas como significativas son:</w:t>
      </w:r>
    </w:p>
    <w:p w14:paraId="0B44A3AE" w14:textId="77777777" w:rsidR="00D075F6" w:rsidRDefault="00734411" w:rsidP="00734411">
      <w:pPr>
        <w:numPr>
          <w:ilvl w:val="0"/>
          <w:numId w:val="13"/>
        </w:numPr>
      </w:pPr>
      <w:r>
        <w:t xml:space="preserve">SHAP vs. LIME: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2.400</m:t>
        </m:r>
        <m:r>
          <m:rPr>
            <m:sty m:val="p"/>
          </m:rPr>
          <w:rPr>
            <w:rFonts w:ascii="Cambria Math" w:hAnsi="Cambria Math"/>
          </w:rPr>
          <m:t>&gt;</m:t>
        </m:r>
        <m:r>
          <w:rPr>
            <w:rFonts w:ascii="Cambria Math" w:hAnsi="Cambria Math"/>
          </w:rPr>
          <m:t>1.211</m:t>
        </m:r>
      </m:oMath>
      <w:r>
        <w:t xml:space="preserve"> (Sí)</w:t>
      </w:r>
    </w:p>
    <w:p w14:paraId="6347F4EB" w14:textId="77777777" w:rsidR="00D075F6" w:rsidRDefault="00734411" w:rsidP="00734411">
      <w:pPr>
        <w:numPr>
          <w:ilvl w:val="0"/>
          <w:numId w:val="13"/>
        </w:numPr>
      </w:pPr>
      <w:r>
        <w:t xml:space="preserve">SHAP vs. Anchors: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2.600</m:t>
        </m:r>
        <m:r>
          <m:rPr>
            <m:sty m:val="p"/>
          </m:rPr>
          <w:rPr>
            <w:rFonts w:ascii="Cambria Math" w:hAnsi="Cambria Math"/>
          </w:rPr>
          <m:t>&gt;</m:t>
        </m:r>
        <m:r>
          <w:rPr>
            <w:rFonts w:ascii="Cambria Math" w:hAnsi="Cambria Math"/>
          </w:rPr>
          <m:t>1.211</m:t>
        </m:r>
      </m:oMath>
      <w:r>
        <w:t xml:space="preserve"> (Sí)</w:t>
      </w:r>
    </w:p>
    <w:p w14:paraId="5A8BC9BD" w14:textId="77777777" w:rsidR="00D075F6" w:rsidRDefault="00734411" w:rsidP="00734411">
      <w:pPr>
        <w:numPr>
          <w:ilvl w:val="0"/>
          <w:numId w:val="13"/>
        </w:numPr>
      </w:pPr>
      <w:r>
        <w:t xml:space="preserve">DiCE vs. LIME: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1.400</m:t>
        </m:r>
        <m:r>
          <m:rPr>
            <m:sty m:val="p"/>
          </m:rPr>
          <w:rPr>
            <w:rFonts w:ascii="Cambria Math" w:hAnsi="Cambria Math"/>
          </w:rPr>
          <m:t>&gt;</m:t>
        </m:r>
        <m:r>
          <w:rPr>
            <w:rFonts w:ascii="Cambria Math" w:hAnsi="Cambria Math"/>
          </w:rPr>
          <m:t>1.211</m:t>
        </m:r>
      </m:oMath>
      <w:r>
        <w:t xml:space="preserve"> (Sí)</w:t>
      </w:r>
    </w:p>
    <w:p w14:paraId="3FC746DB" w14:textId="77777777" w:rsidR="00D075F6" w:rsidRDefault="00734411" w:rsidP="00734411">
      <w:pPr>
        <w:numPr>
          <w:ilvl w:val="0"/>
          <w:numId w:val="13"/>
        </w:numPr>
      </w:pPr>
      <w:r>
        <w:t xml:space="preserve">DiCE vs. Anchors: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1.600</m:t>
        </m:r>
        <m:r>
          <m:rPr>
            <m:sty m:val="p"/>
          </m:rPr>
          <w:rPr>
            <w:rFonts w:ascii="Cambria Math" w:hAnsi="Cambria Math"/>
          </w:rPr>
          <m:t>&gt;</m:t>
        </m:r>
        <m:r>
          <w:rPr>
            <w:rFonts w:ascii="Cambria Math" w:hAnsi="Cambria Math"/>
          </w:rPr>
          <m:t>1.211</m:t>
        </m:r>
      </m:oMath>
      <w:r>
        <w:t xml:space="preserve"> (Sí)</w:t>
      </w:r>
    </w:p>
    <w:p w14:paraId="5AF60850" w14:textId="77777777" w:rsidR="00D075F6" w:rsidRDefault="00734411" w:rsidP="00734411">
      <w:pPr>
        <w:numPr>
          <w:ilvl w:val="0"/>
          <w:numId w:val="13"/>
        </w:numPr>
      </w:pPr>
      <w:r>
        <w:t xml:space="preserve">LIME vs. Anchors: </w:t>
      </w:r>
      <m:oMath>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0.200</m:t>
        </m:r>
        <m:r>
          <m:rPr>
            <m:sty m:val="p"/>
          </m:rPr>
          <w:rPr>
            <w:rFonts w:ascii="Cambria Math" w:hAnsi="Cambria Math"/>
          </w:rPr>
          <m:t>&lt;</m:t>
        </m:r>
        <m:r>
          <w:rPr>
            <w:rFonts w:ascii="Cambria Math" w:hAnsi="Cambria Math"/>
          </w:rPr>
          <m:t>1.211</m:t>
        </m:r>
      </m:oMath>
      <w:r>
        <w:t xml:space="preserve"> (No)</w:t>
      </w:r>
    </w:p>
    <w:p w14:paraId="2BA9CD37" w14:textId="77777777" w:rsidR="00D075F6" w:rsidRDefault="00734411" w:rsidP="00734411">
      <w:pPr>
        <w:numPr>
          <w:ilvl w:val="0"/>
          <w:numId w:val="13"/>
        </w:numPr>
      </w:pPr>
      <w:r>
        <w:t xml:space="preserve">SHAP vs. DiCE: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1.000</m:t>
        </m:r>
        <m:r>
          <m:rPr>
            <m:sty m:val="p"/>
          </m:rPr>
          <w:rPr>
            <w:rFonts w:ascii="Cambria Math" w:hAnsi="Cambria Math"/>
          </w:rPr>
          <m:t>&lt;</m:t>
        </m:r>
        <m:r>
          <w:rPr>
            <w:rFonts w:ascii="Cambria Math" w:hAnsi="Cambria Math"/>
          </w:rPr>
          <m:t>1.211</m:t>
        </m:r>
      </m:oMath>
      <w:r>
        <w:t xml:space="preserve"> (No)</w:t>
      </w:r>
    </w:p>
    <w:p w14:paraId="2C327CE4" w14:textId="77777777" w:rsidR="00D075F6" w:rsidRDefault="00734411">
      <w:r>
        <w:t xml:space="preserve">LIME y Anchors forman un grupo indistinguible en estabilidad (ambos con valores cercanos a cero), mientras que SHAP y DiCE conforman el grupo estable. La interpretación práctica debe acotarse al criterio evaluado: en despliegues que requieren consistencia explicativa ante pequeñas variaciones de entrada, SHAP ofrece el perfil más sólido en este benchmark y DiCE ofrece estabilidad </w:t>
      </w:r>
      <w:r>
        <w:t>intermedia; LIME y Anchors requieren cautela si la estabilidad local es un criterio de selección.</w:t>
      </w:r>
    </w:p>
    <w:p w14:paraId="27EDFC5D" w14:textId="77777777" w:rsidR="00D075F6" w:rsidRDefault="00734411">
      <w:pPr>
        <w:pStyle w:val="Heading2"/>
      </w:pPr>
      <w:bookmarkStart w:id="168" w:name="sec-estudio-b"/>
      <w:bookmarkStart w:id="169" w:name="_Toc241413304"/>
      <w:bookmarkEnd w:id="159"/>
      <w:bookmarkEnd w:id="165"/>
      <w:r>
        <w:t>4.3 Estudio Pareado LIME–SHAP: relación calidad-coste (H3)</w:t>
      </w:r>
      <w:bookmarkEnd w:id="169"/>
    </w:p>
    <w:p w14:paraId="6FF744D6" w14:textId="77777777" w:rsidR="00D075F6" w:rsidRDefault="00734411">
      <w:r>
        <w:t xml:space="preserve">El análisis pareado opera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para las cuales ambos métodos disponen de artefactos calificados. La superposición de recuperación documentada en el Capítulo 3 garantiza cobertura completa de SHAP y LIME en el conjunto pareado (75/75).</w:t>
      </w:r>
    </w:p>
    <w:p w14:paraId="7C18C9C3" w14:textId="77777777" w:rsidR="00D075F6" w:rsidRDefault="00734411">
      <w:pPr>
        <w:pStyle w:val="Heading3"/>
      </w:pPr>
      <w:bookmarkStart w:id="170" w:name="diferencias-en-métricas-de-calidad"/>
      <w:bookmarkStart w:id="171" w:name="_Toc241413305"/>
      <w:r>
        <w:t>4.3.1 Diferencias en métricas de calidad</w:t>
      </w:r>
      <w:bookmarkEnd w:id="171"/>
    </w:p>
    <w:p w14:paraId="5E014023" w14:textId="77777777" w:rsidR="00D075F6" w:rsidRDefault="00734411">
      <w:r>
        <w:t xml:space="preserve">Para cada métrica se calcula la diferencia pareada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SHAP</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LIME</m:t>
            </m:r>
          </m:sup>
        </m:sSubSup>
      </m:oMath>
      <w:r>
        <w:t xml:space="preserve">, donde un valor positivo indica ventaja de SHAP. El estadístico de efecto de Cohen es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donde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es la desviación estándar de las diferencias.</w:t>
      </w:r>
    </w:p>
    <w:tbl>
      <w:tblPr>
        <w:tblW w:w="5000" w:type="pct"/>
        <w:jc w:val="center"/>
        <w:tblLayout w:type="fixed"/>
        <w:tblLook w:val="0000" w:firstRow="0" w:lastRow="0" w:firstColumn="0" w:lastColumn="0" w:noHBand="0" w:noVBand="0"/>
      </w:tblPr>
      <w:tblGrid>
        <w:gridCol w:w="9576"/>
      </w:tblGrid>
      <w:tr w:rsidR="00D075F6" w14:paraId="15E8E25C" w14:textId="77777777">
        <w:trPr>
          <w:jc w:val="center"/>
        </w:trPr>
        <w:tc>
          <w:tcPr>
            <w:tcW w:w="7920" w:type="dxa"/>
          </w:tcPr>
          <w:p w14:paraId="71067A1E" w14:textId="77777777" w:rsidR="00D075F6" w:rsidRDefault="00734411">
            <w:pPr>
              <w:spacing w:before="200"/>
              <w:jc w:val="center"/>
            </w:pPr>
            <w:bookmarkStart w:id="172" w:name="tbl-paired-shap-lime"/>
            <w:r>
              <w:t>Tabla 4.5: Diferencias pareadas SHAP − LIME (</w:t>
            </w:r>
            <m:oMath>
              <m:r>
                <w:rPr>
                  <w:rFonts w:ascii="Cambria Math" w:hAnsi="Cambria Math"/>
                </w:rPr>
                <m:t>n</m:t>
              </m:r>
              <m:r>
                <m:rPr>
                  <m:sty m:val="p"/>
                </m:rPr>
                <w:rPr>
                  <w:rFonts w:ascii="Cambria Math" w:hAnsi="Cambria Math"/>
                </w:rPr>
                <m:t>=</m:t>
              </m:r>
              <m:r>
                <w:rPr>
                  <w:rFonts w:ascii="Cambria Math" w:hAnsi="Cambria Math"/>
                </w:rPr>
                <m:t>75</m:t>
              </m:r>
            </m:oMath>
            <w:r>
              <w:t xml:space="preserve"> celdas). Se reporta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fidelidad/estabilidad/brecha, </w:t>
            </w:r>
            <m:oMath>
              <m:r>
                <w:rPr>
                  <w:rFonts w:ascii="Cambria Math" w:hAnsi="Cambria Math"/>
                </w:rPr>
                <m:t>d</m:t>
              </m:r>
              <m:r>
                <m:rPr>
                  <m:sty m:val="p"/>
                </m:rPr>
                <w:rPr>
                  <w:rFonts w:ascii="Cambria Math" w:hAnsi="Cambria Math"/>
                </w:rPr>
                <m:t>&gt;</m:t>
              </m:r>
              <m:r>
                <w:rPr>
                  <w:rFonts w:ascii="Cambria Math" w:hAnsi="Cambria Math"/>
                </w:rPr>
                <m:t>0</m:t>
              </m:r>
            </m:oMath>
            <w:r>
              <w:t xml:space="preserve"> favorece SHAP; para parsimonia y coste, </w:t>
            </w:r>
            <m:oMath>
              <m:r>
                <w:rPr>
                  <w:rFonts w:ascii="Cambria Math" w:hAnsi="Cambria Math"/>
                </w:rPr>
                <m:t>d</m:t>
              </m:r>
              <m:r>
                <m:rPr>
                  <m:sty m:val="p"/>
                </m:rPr>
                <w:rPr>
                  <w:rFonts w:ascii="Cambria Math" w:hAnsi="Cambria Math"/>
                </w:rPr>
                <m:t>&gt;</m:t>
              </m:r>
              <m:r>
                <w:rPr>
                  <w:rFonts w:ascii="Cambria Math" w:hAnsi="Cambria Math"/>
                </w:rPr>
                <m:t>0</m:t>
              </m:r>
            </m:oMath>
            <w:r>
              <w:t xml:space="preserve"> indica explicaciones más densas y/o mayor coste de SHAP.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31"/>
              <w:gridCol w:w="1131"/>
              <w:gridCol w:w="1131"/>
              <w:gridCol w:w="1131"/>
              <w:gridCol w:w="1131"/>
              <w:gridCol w:w="1131"/>
              <w:gridCol w:w="1131"/>
            </w:tblGrid>
            <w:tr w:rsidR="00D075F6" w14:paraId="75263BBD" w14:textId="77777777">
              <w:trPr>
                <w:tblHeader/>
                <w:jc w:val="center"/>
              </w:trPr>
              <w:tc>
                <w:tcPr>
                  <w:tcW w:w="1131" w:type="dxa"/>
                </w:tcPr>
                <w:p w14:paraId="2087D752" w14:textId="77777777" w:rsidR="00D075F6" w:rsidRDefault="00734411">
                  <w:r>
                    <w:rPr>
                      <w:b/>
                      <w:bCs/>
                    </w:rPr>
                    <w:t>Métrica</w:t>
                  </w:r>
                </w:p>
              </w:tc>
              <w:tc>
                <w:tcPr>
                  <w:tcW w:w="1131" w:type="dxa"/>
                </w:tcPr>
                <w:p w14:paraId="165C3989" w14:textId="77777777" w:rsidR="00D075F6" w:rsidRDefault="00734411">
                  <m:oMathPara>
                    <m:oMath>
                      <m:acc>
                        <m:accPr>
                          <m:chr m:val="‾"/>
                          <m:ctrlPr>
                            <w:rPr>
                              <w:rFonts w:ascii="Cambria Math" w:hAnsi="Cambria Math"/>
                            </w:rPr>
                          </m:ctrlPr>
                        </m:accPr>
                        <m:e>
                          <m:r>
                            <w:rPr>
                              <w:rFonts w:ascii="Cambria Math" w:hAnsi="Cambria Math"/>
                            </w:rPr>
                            <m:t>d</m:t>
                          </m:r>
                        </m:e>
                      </m:acc>
                    </m:oMath>
                  </m:oMathPara>
                </w:p>
              </w:tc>
              <w:tc>
                <w:tcPr>
                  <w:tcW w:w="1131" w:type="dxa"/>
                </w:tcPr>
                <w:p w14:paraId="6B1800F4" w14:textId="77777777" w:rsidR="00D075F6" w:rsidRDefault="00734411">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1131" w:type="dxa"/>
                </w:tcPr>
                <w:p w14:paraId="12E975B9" w14:textId="77777777" w:rsidR="00D075F6" w:rsidRDefault="00734411">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1131" w:type="dxa"/>
                </w:tcPr>
                <w:p w14:paraId="2155EF09" w14:textId="77777777" w:rsidR="00D075F6" w:rsidRDefault="00734411">
                  <w:r>
                    <w:rPr>
                      <w:b/>
                      <w:bCs/>
                    </w:rPr>
                    <w:t>Pos.</w:t>
                  </w:r>
                </w:p>
              </w:tc>
              <w:tc>
                <w:tcPr>
                  <w:tcW w:w="1131" w:type="dxa"/>
                </w:tcPr>
                <w:p w14:paraId="78BFE1EA" w14:textId="77777777" w:rsidR="00D075F6" w:rsidRDefault="00734411">
                  <w:r>
                    <w:rPr>
                      <w:b/>
                      <w:bCs/>
                    </w:rPr>
                    <w:t>Neg.</w:t>
                  </w:r>
                </w:p>
              </w:tc>
              <w:tc>
                <w:tcPr>
                  <w:tcW w:w="1131" w:type="dxa"/>
                </w:tcPr>
                <w:p w14:paraId="744AD04E" w14:textId="77777777" w:rsidR="00D075F6" w:rsidRDefault="00734411">
                  <m:oMathPara>
                    <m:oMath>
                      <m:r>
                        <w:rPr>
                          <w:rFonts w:ascii="Cambria Math" w:hAnsi="Cambria Math"/>
                        </w:rPr>
                        <m:t>n</m:t>
                      </m:r>
                    </m:oMath>
                  </m:oMathPara>
                </w:p>
              </w:tc>
            </w:tr>
            <w:tr w:rsidR="00D075F6" w14:paraId="3672C53B" w14:textId="77777777">
              <w:trPr>
                <w:jc w:val="center"/>
              </w:trPr>
              <w:tc>
                <w:tcPr>
                  <w:tcW w:w="1131" w:type="dxa"/>
                </w:tcPr>
                <w:p w14:paraId="56CEC828" w14:textId="77777777" w:rsidR="00D075F6" w:rsidRDefault="00734411">
                  <w:r>
                    <w:t>Fidelidad</w:t>
                  </w:r>
                </w:p>
              </w:tc>
              <w:tc>
                <w:tcPr>
                  <w:tcW w:w="1131" w:type="dxa"/>
                </w:tcPr>
                <w:p w14:paraId="55E1822B" w14:textId="77777777" w:rsidR="00D075F6" w:rsidRDefault="00734411">
                  <w:r>
                    <w:t>+0.2479</w:t>
                  </w:r>
                </w:p>
              </w:tc>
              <w:tc>
                <w:tcPr>
                  <w:tcW w:w="1131" w:type="dxa"/>
                </w:tcPr>
                <w:p w14:paraId="474B8B14" w14:textId="77777777" w:rsidR="00D075F6" w:rsidRDefault="00734411">
                  <w:r>
                    <w:t>0.0514</w:t>
                  </w:r>
                </w:p>
              </w:tc>
              <w:tc>
                <w:tcPr>
                  <w:tcW w:w="1131" w:type="dxa"/>
                </w:tcPr>
                <w:p w14:paraId="382367D7" w14:textId="77777777" w:rsidR="00D075F6" w:rsidRDefault="00734411">
                  <w:r>
                    <w:t>+4.820</w:t>
                  </w:r>
                </w:p>
              </w:tc>
              <w:tc>
                <w:tcPr>
                  <w:tcW w:w="1131" w:type="dxa"/>
                </w:tcPr>
                <w:p w14:paraId="41537A52" w14:textId="77777777" w:rsidR="00D075F6" w:rsidRDefault="00734411">
                  <w:r>
                    <w:t>75</w:t>
                  </w:r>
                </w:p>
              </w:tc>
              <w:tc>
                <w:tcPr>
                  <w:tcW w:w="1131" w:type="dxa"/>
                </w:tcPr>
                <w:p w14:paraId="3A88861D" w14:textId="77777777" w:rsidR="00D075F6" w:rsidRDefault="00734411">
                  <w:r>
                    <w:t>0</w:t>
                  </w:r>
                </w:p>
              </w:tc>
              <w:tc>
                <w:tcPr>
                  <w:tcW w:w="1131" w:type="dxa"/>
                </w:tcPr>
                <w:p w14:paraId="228DD6B6" w14:textId="77777777" w:rsidR="00D075F6" w:rsidRDefault="00734411">
                  <w:r>
                    <w:t>75</w:t>
                  </w:r>
                </w:p>
              </w:tc>
            </w:tr>
            <w:tr w:rsidR="00D075F6" w14:paraId="3BA88705" w14:textId="77777777">
              <w:trPr>
                <w:jc w:val="center"/>
              </w:trPr>
              <w:tc>
                <w:tcPr>
                  <w:tcW w:w="1131" w:type="dxa"/>
                </w:tcPr>
                <w:p w14:paraId="6C053C5A" w14:textId="77777777" w:rsidR="00D075F6" w:rsidRDefault="00734411">
                  <w:r>
                    <w:t>Estabilidad</w:t>
                  </w:r>
                </w:p>
              </w:tc>
              <w:tc>
                <w:tcPr>
                  <w:tcW w:w="1131" w:type="dxa"/>
                </w:tcPr>
                <w:p w14:paraId="1FE93352" w14:textId="77777777" w:rsidR="00D075F6" w:rsidRDefault="00734411">
                  <w:r>
                    <w:t>+0.7176</w:t>
                  </w:r>
                </w:p>
              </w:tc>
              <w:tc>
                <w:tcPr>
                  <w:tcW w:w="1131" w:type="dxa"/>
                </w:tcPr>
                <w:p w14:paraId="5062968C" w14:textId="77777777" w:rsidR="00D075F6" w:rsidRDefault="00734411">
                  <w:r>
                    <w:t>0.2390</w:t>
                  </w:r>
                </w:p>
              </w:tc>
              <w:tc>
                <w:tcPr>
                  <w:tcW w:w="1131" w:type="dxa"/>
                </w:tcPr>
                <w:p w14:paraId="713656D1" w14:textId="77777777" w:rsidR="00D075F6" w:rsidRDefault="00734411">
                  <w:r>
                    <w:t>+3.002</w:t>
                  </w:r>
                </w:p>
              </w:tc>
              <w:tc>
                <w:tcPr>
                  <w:tcW w:w="1131" w:type="dxa"/>
                </w:tcPr>
                <w:p w14:paraId="4CAD8796" w14:textId="77777777" w:rsidR="00D075F6" w:rsidRDefault="00734411">
                  <w:r>
                    <w:t>75</w:t>
                  </w:r>
                </w:p>
              </w:tc>
              <w:tc>
                <w:tcPr>
                  <w:tcW w:w="1131" w:type="dxa"/>
                </w:tcPr>
                <w:p w14:paraId="3837627B" w14:textId="77777777" w:rsidR="00D075F6" w:rsidRDefault="00734411">
                  <w:r>
                    <w:t>0</w:t>
                  </w:r>
                </w:p>
              </w:tc>
              <w:tc>
                <w:tcPr>
                  <w:tcW w:w="1131" w:type="dxa"/>
                </w:tcPr>
                <w:p w14:paraId="3FC9CC1F" w14:textId="77777777" w:rsidR="00D075F6" w:rsidRDefault="00734411">
                  <w:r>
                    <w:t>75</w:t>
                  </w:r>
                </w:p>
              </w:tc>
            </w:tr>
            <w:tr w:rsidR="00D075F6" w14:paraId="46BBADF5" w14:textId="77777777">
              <w:trPr>
                <w:jc w:val="center"/>
              </w:trPr>
              <w:tc>
                <w:tcPr>
                  <w:tcW w:w="1131" w:type="dxa"/>
                </w:tcPr>
                <w:p w14:paraId="4B50A8C7" w14:textId="77777777" w:rsidR="00D075F6" w:rsidRDefault="00734411">
                  <w:r>
                    <w:t>Parsimonia</w:t>
                  </w:r>
                </w:p>
              </w:tc>
              <w:tc>
                <w:tcPr>
                  <w:tcW w:w="1131" w:type="dxa"/>
                </w:tcPr>
                <w:p w14:paraId="7067AB96" w14:textId="77777777" w:rsidR="00D075F6" w:rsidRDefault="00734411">
                  <w:r>
                    <w:t>+0.1418</w:t>
                  </w:r>
                </w:p>
              </w:tc>
              <w:tc>
                <w:tcPr>
                  <w:tcW w:w="1131" w:type="dxa"/>
                </w:tcPr>
                <w:p w14:paraId="542E9CC4" w14:textId="77777777" w:rsidR="00D075F6" w:rsidRDefault="00734411">
                  <w:r>
                    <w:t>0.1690</w:t>
                  </w:r>
                </w:p>
              </w:tc>
              <w:tc>
                <w:tcPr>
                  <w:tcW w:w="1131" w:type="dxa"/>
                </w:tcPr>
                <w:p w14:paraId="1B40EE09" w14:textId="77777777" w:rsidR="00D075F6" w:rsidRDefault="00734411">
                  <w:r>
                    <w:t>+0.839</w:t>
                  </w:r>
                </w:p>
              </w:tc>
              <w:tc>
                <w:tcPr>
                  <w:tcW w:w="1131" w:type="dxa"/>
                </w:tcPr>
                <w:p w14:paraId="24F89927" w14:textId="77777777" w:rsidR="00D075F6" w:rsidRDefault="00734411">
                  <w:r>
                    <w:t>75</w:t>
                  </w:r>
                </w:p>
              </w:tc>
              <w:tc>
                <w:tcPr>
                  <w:tcW w:w="1131" w:type="dxa"/>
                </w:tcPr>
                <w:p w14:paraId="70182463" w14:textId="77777777" w:rsidR="00D075F6" w:rsidRDefault="00734411">
                  <w:r>
                    <w:t>0</w:t>
                  </w:r>
                </w:p>
              </w:tc>
              <w:tc>
                <w:tcPr>
                  <w:tcW w:w="1131" w:type="dxa"/>
                </w:tcPr>
                <w:p w14:paraId="6938E525" w14:textId="77777777" w:rsidR="00D075F6" w:rsidRDefault="00734411">
                  <w:r>
                    <w:t>75</w:t>
                  </w:r>
                </w:p>
              </w:tc>
            </w:tr>
            <w:tr w:rsidR="00D075F6" w14:paraId="3A84AFD2" w14:textId="77777777">
              <w:trPr>
                <w:jc w:val="center"/>
              </w:trPr>
              <w:tc>
                <w:tcPr>
                  <w:tcW w:w="1131" w:type="dxa"/>
                </w:tcPr>
                <w:p w14:paraId="290D70F6" w14:textId="77777777" w:rsidR="00D075F6" w:rsidRDefault="00734411">
                  <w:r>
                    <w:t>Brecha fidelidad</w:t>
                  </w:r>
                </w:p>
              </w:tc>
              <w:tc>
                <w:tcPr>
                  <w:tcW w:w="1131" w:type="dxa"/>
                </w:tcPr>
                <w:p w14:paraId="03B368DC" w14:textId="77777777" w:rsidR="00D075F6" w:rsidRDefault="00734411">
                  <w:r>
                    <w:t>+0.0453</w:t>
                  </w:r>
                </w:p>
              </w:tc>
              <w:tc>
                <w:tcPr>
                  <w:tcW w:w="1131" w:type="dxa"/>
                </w:tcPr>
                <w:p w14:paraId="14CA6B15" w14:textId="77777777" w:rsidR="00D075F6" w:rsidRDefault="00734411">
                  <w:r>
                    <w:t>0.0173</w:t>
                  </w:r>
                </w:p>
              </w:tc>
              <w:tc>
                <w:tcPr>
                  <w:tcW w:w="1131" w:type="dxa"/>
                </w:tcPr>
                <w:p w14:paraId="347AD015" w14:textId="77777777" w:rsidR="00D075F6" w:rsidRDefault="00734411">
                  <w:r>
                    <w:t>+2.626</w:t>
                  </w:r>
                </w:p>
              </w:tc>
              <w:tc>
                <w:tcPr>
                  <w:tcW w:w="1131" w:type="dxa"/>
                </w:tcPr>
                <w:p w14:paraId="668D8C18" w14:textId="77777777" w:rsidR="00D075F6" w:rsidRDefault="00734411">
                  <w:r>
                    <w:t>74</w:t>
                  </w:r>
                </w:p>
              </w:tc>
              <w:tc>
                <w:tcPr>
                  <w:tcW w:w="1131" w:type="dxa"/>
                </w:tcPr>
                <w:p w14:paraId="5F446615" w14:textId="77777777" w:rsidR="00D075F6" w:rsidRDefault="00734411">
                  <w:r>
                    <w:t>1</w:t>
                  </w:r>
                </w:p>
              </w:tc>
              <w:tc>
                <w:tcPr>
                  <w:tcW w:w="1131" w:type="dxa"/>
                </w:tcPr>
                <w:p w14:paraId="5E0D2D03" w14:textId="77777777" w:rsidR="00D075F6" w:rsidRDefault="00734411">
                  <w:r>
                    <w:t>75</w:t>
                  </w:r>
                </w:p>
              </w:tc>
            </w:tr>
            <w:tr w:rsidR="00D075F6" w14:paraId="391F4C5D" w14:textId="77777777">
              <w:trPr>
                <w:jc w:val="center"/>
              </w:trPr>
              <w:tc>
                <w:tcPr>
                  <w:tcW w:w="1131" w:type="dxa"/>
                </w:tcPr>
                <w:p w14:paraId="0F59DC11" w14:textId="77777777" w:rsidR="00D075F6" w:rsidRDefault="00734411">
                  <w:r>
                    <w:t>Coste (ms)</w:t>
                  </w:r>
                </w:p>
              </w:tc>
              <w:tc>
                <w:tcPr>
                  <w:tcW w:w="1131" w:type="dxa"/>
                </w:tcPr>
                <w:p w14:paraId="055C2450" w14:textId="77777777" w:rsidR="00D075F6" w:rsidRDefault="00734411">
                  <w:r>
                    <w:t>+8047.6</w:t>
                  </w:r>
                </w:p>
              </w:tc>
              <w:tc>
                <w:tcPr>
                  <w:tcW w:w="1131" w:type="dxa"/>
                </w:tcPr>
                <w:p w14:paraId="3AE9C404" w14:textId="77777777" w:rsidR="00D075F6" w:rsidRDefault="00734411">
                  <w:r>
                    <w:t>17856.6</w:t>
                  </w:r>
                </w:p>
              </w:tc>
              <w:tc>
                <w:tcPr>
                  <w:tcW w:w="1131" w:type="dxa"/>
                </w:tcPr>
                <w:p w14:paraId="351194B6" w14:textId="77777777" w:rsidR="00D075F6" w:rsidRDefault="00734411">
                  <w:r>
                    <w:t>+0.451</w:t>
                  </w:r>
                </w:p>
              </w:tc>
              <w:tc>
                <w:tcPr>
                  <w:tcW w:w="1131" w:type="dxa"/>
                </w:tcPr>
                <w:p w14:paraId="7E82D9FD" w14:textId="77777777" w:rsidR="00D075F6" w:rsidRDefault="00734411">
                  <w:r>
                    <w:t>59</w:t>
                  </w:r>
                </w:p>
              </w:tc>
              <w:tc>
                <w:tcPr>
                  <w:tcW w:w="1131" w:type="dxa"/>
                </w:tcPr>
                <w:p w14:paraId="7CF1B0DF" w14:textId="77777777" w:rsidR="00D075F6" w:rsidRDefault="00734411">
                  <w:r>
                    <w:t>16</w:t>
                  </w:r>
                </w:p>
              </w:tc>
              <w:tc>
                <w:tcPr>
                  <w:tcW w:w="1131" w:type="dxa"/>
                </w:tcPr>
                <w:p w14:paraId="5F1B65DA" w14:textId="77777777" w:rsidR="00D075F6" w:rsidRDefault="00734411">
                  <w:r>
                    <w:t>75</w:t>
                  </w:r>
                </w:p>
              </w:tc>
            </w:tr>
            <w:bookmarkEnd w:id="172"/>
          </w:tbl>
          <w:p w14:paraId="00C16268" w14:textId="77777777" w:rsidR="00D075F6" w:rsidRDefault="00D075F6"/>
        </w:tc>
      </w:tr>
    </w:tbl>
    <w:p w14:paraId="2240AE34" w14:textId="77777777" w:rsidR="00D075F6" w:rsidRDefault="00734411">
      <w:pPr>
        <w:pStyle w:val="BodyText"/>
      </w:pPr>
      <w:r>
        <w:t xml:space="preserve">Los resultados ofrecen evidencia consistente para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bajo las condiciones del diseño pareado:</w:t>
      </w:r>
    </w:p>
    <w:p w14:paraId="2667CA82" w14:textId="77777777" w:rsidR="00D075F6" w:rsidRDefault="00734411">
      <w:pPr>
        <w:pStyle w:val="BodyText"/>
      </w:pPr>
      <w:r>
        <w:rPr>
          <w:b/>
          <w:bCs/>
        </w:rPr>
        <w:t>Fidelidad:</w:t>
      </w:r>
      <w:r>
        <w:t xml:space="preserve"> SHAP supera a LIME en el 100% de las 75 celdas pareadas (75/75 diferencias positivas) con un tamaño del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Bajo el criterio de Lakens (2013),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w:t>
      </w:r>
      <w:r>
        <w:t xml:space="preserve">constituye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se clasifica comúnmente como efecto muy grande. La diferencia media de +0.248 unidades de fidelidad representa una ventaja sustancial en términos de representatividad de las atribuciones de importancia.</w:t>
      </w:r>
    </w:p>
    <w:p w14:paraId="76D0B59A" w14:textId="77777777" w:rsidR="00D075F6" w:rsidRDefault="00734411">
      <w:pPr>
        <w:pStyle w:val="BodyText"/>
      </w:pPr>
      <w:r>
        <w:rPr>
          <w:b/>
          <w:bCs/>
        </w:rPr>
        <w:t>Estabilidad:</w:t>
      </w:r>
      <w:r>
        <w:t xml:space="preserve"> La ventaja de SHAP es aún más pronunciada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75/75 positivas). La diferencia media de +0.718 en similitud coseno es prácticamente equivalente a la diferencia entre explicaciones </w:t>
      </w:r>
      <w:r>
        <w:t>completamente incoherentes (LIME, media ≈ 0.014) y casi perfectamente estables (SHAP, media ≈ 0.732). Este resultado refleja que la inestabilidad de LIME no es un artefacto de escenarios extremos sino una propiedad sistemática del método.</w:t>
      </w:r>
    </w:p>
    <w:p w14:paraId="3FD3CB5F" w14:textId="77777777" w:rsidR="00D075F6" w:rsidRDefault="00734411">
      <w:pPr>
        <w:pStyle w:val="BodyText"/>
      </w:pPr>
      <w:r>
        <w:rPr>
          <w:b/>
          <w:bCs/>
        </w:rPr>
        <w:t>Parsimonia y brecha de fidelidad:</w:t>
      </w:r>
      <w:r>
        <w:t xml:space="preserve"> Ambas métricas presentan efectos sustantivos. En parsimonia (ratio activo), SHAP es consistentemente más denso que LIME (+0.142, 75/75 positivas;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0.839</m:t>
        </m:r>
      </m:oMath>
      <w:r>
        <w:t xml:space="preserve">), por lo que LIME es el método </w:t>
      </w:r>
      <w:r>
        <w:t xml:space="preserve">más parsimonioso en este benchmark. En brecha de fidelidad, SHAP supera a LIME en 74 de 75 celdas (+0.045;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2.626</m:t>
        </m:r>
      </m:oMath>
      <w:r>
        <w:t>), lo que confirma que las características que SHAP identifica como relevantes tienen un efecto mayor cuando se enmascaran, lo que es coherente con la superioridad en fidelidad.</w:t>
      </w:r>
    </w:p>
    <w:p w14:paraId="3B2DC577" w14:textId="77777777" w:rsidR="00D075F6" w:rsidRDefault="00734411">
      <w:pPr>
        <w:pStyle w:val="BodyText"/>
      </w:pPr>
      <w:r>
        <w:rPr>
          <w:b/>
          <w:bCs/>
        </w:rPr>
        <w:t>Coste computacional:</w:t>
      </w:r>
      <w:r>
        <w:t xml:space="preserve"> El patrón se invierte para el coste. SHAP es en promedio más costoso (+8,048 ms), pero con varianza alta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857</m:t>
        </m:r>
      </m:oMath>
      <w:r>
        <w:t xml:space="preserve"> ms) por </w:t>
      </w:r>
      <w:r>
        <w:t>colas pesadas asociadas a KernelSHAP. El signo de las diferencias no es unánime: SHAP resulta más costoso en 59 de 75 celdas, pero en 16 celdas (principalmente XGBoost) LIME es más lento. El efecto moderado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confirma que la superioridad en calidad de SHAP se acompaña de una penalización de coste en la mayoría de los contextos, pero no en todos.</w:t>
      </w:r>
    </w:p>
    <w:p w14:paraId="65FD4AC8" w14:textId="77777777" w:rsidR="00D075F6" w:rsidRDefault="00734411">
      <w:pPr>
        <w:pStyle w:val="Heading3"/>
      </w:pPr>
      <w:bookmarkStart w:id="173" w:name="X2c15e0a178907c68bf437d0d85cae845d1c590b"/>
      <w:bookmarkStart w:id="174" w:name="_Toc241413306"/>
      <w:bookmarkEnd w:id="170"/>
      <w:r>
        <w:t>4.3.2 Verificación del requisito de multiplicidad</w:t>
      </w:r>
      <w:bookmarkEnd w:id="174"/>
    </w:p>
    <w:p w14:paraId="412AD1B8" w14:textId="77777777" w:rsidR="00D075F6" w:rsidRDefault="00734411">
      <w:r>
        <w:t xml:space="preserve">La hipótesis H3 involucra cinco comparaciones pareadas simultáneas. Aplicando </w:t>
      </w:r>
      <w:r>
        <w:t xml:space="preserve">la corrección de Holm-Bonferroni sobre los cinco test de Wilcoxon, los umbrales de rechazo ajustados para las estadísticas ordenadas son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m:t>
        </m:r>
      </m:oMath>
      <w:r>
        <w:t xml:space="preserve">. Dado que las diferencias en fidelidad y estabilidad presentan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2.6</m:t>
        </m:r>
      </m:oMath>
      <w:r>
        <w:t xml:space="preserve"> con </w:t>
      </w:r>
      <m:oMath>
        <m:r>
          <w:rPr>
            <w:rFonts w:ascii="Cambria Math" w:hAnsi="Cambria Math"/>
          </w:rPr>
          <m:t>n</m:t>
        </m:r>
        <m:r>
          <m:rPr>
            <m:sty m:val="p"/>
          </m:rPr>
          <w:rPr>
            <w:rFonts w:ascii="Cambria Math" w:hAnsi="Cambria Math"/>
          </w:rPr>
          <m:t>=</m:t>
        </m:r>
        <m:r>
          <w:rPr>
            <w:rFonts w:ascii="Cambria Math" w:hAnsi="Cambria Math"/>
          </w:rPr>
          <m:t>75</m:t>
        </m:r>
      </m:oMath>
      <w:r>
        <w:t xml:space="preserve"> y consistencia direccional casi perfecta, los p-valores bilaterales permanecen muy por debajo de los umbrales ajustados. En particular, las métricas de calidad conservan significancia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y el coste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Por tanto,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se acepta para las cinco métricas bajo control de multiplicidad.</w:t>
      </w:r>
    </w:p>
    <w:p w14:paraId="22BC4B60" w14:textId="77777777" w:rsidR="00D075F6" w:rsidRDefault="00734411">
      <w:pPr>
        <w:pStyle w:val="Heading2"/>
      </w:pPr>
      <w:bookmarkStart w:id="175" w:name="sec-p1"/>
      <w:bookmarkStart w:id="176" w:name="_Toc241413307"/>
      <w:bookmarkEnd w:id="168"/>
      <w:bookmarkEnd w:id="173"/>
      <w:r>
        <w:t>4.4 Proposición P1: Reproducibilidad del protocolo FOM-7</w:t>
      </w:r>
      <w:bookmarkEnd w:id="176"/>
    </w:p>
    <w:p w14:paraId="2CA458F3" w14:textId="77777777" w:rsidR="00D075F6" w:rsidRDefault="00734411">
      <w:r>
        <w:t>La proposición P1 establece que el protocolo FOM-7 debe producir un coeficiente de variación (CV) inferior al 15% en las métricas primarias bajo ejecuciones repetidas con semillas distintas en condiciones de configuración idéntica.</w:t>
      </w:r>
    </w:p>
    <w:p w14:paraId="37F52929" w14:textId="77777777" w:rsidR="00D075F6" w:rsidRDefault="00734411">
      <w:pPr>
        <w:pStyle w:val="BodyText"/>
      </w:pPr>
      <w:r>
        <w:t xml:space="preserve">Para su evaluación se calculó el CV de cada métrica primaria para SHAP y LIME </w:t>
      </w:r>
      <w:r>
        <w:t xml:space="preserve">sobre el subconjunto del modelo RF con </w:t>
      </w:r>
      <m:oMath>
        <m:r>
          <w:rPr>
            <w:rFonts w:ascii="Cambria Math" w:hAnsi="Cambria Math"/>
          </w:rPr>
          <m:t>N</m:t>
        </m:r>
        <m:r>
          <m:rPr>
            <m:sty m:val="p"/>
          </m:rPr>
          <w:rPr>
            <w:rFonts w:ascii="Cambria Math" w:hAnsi="Cambria Math"/>
          </w:rPr>
          <m:t>=</m:t>
        </m:r>
        <m:r>
          <w:rPr>
            <w:rFonts w:ascii="Cambria Math" w:hAnsi="Cambria Math"/>
          </w:rPr>
          <m:t>100</m:t>
        </m:r>
      </m:oMath>
      <w:r>
        <w:t xml:space="preserve">, tomando las cinco semillas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como réplicas independientes:</w:t>
      </w:r>
    </w:p>
    <w:tbl>
      <w:tblPr>
        <w:tblW w:w="5000" w:type="pct"/>
        <w:jc w:val="center"/>
        <w:tblLayout w:type="fixed"/>
        <w:tblLook w:val="0000" w:firstRow="0" w:lastRow="0" w:firstColumn="0" w:lastColumn="0" w:noHBand="0" w:noVBand="0"/>
      </w:tblPr>
      <w:tblGrid>
        <w:gridCol w:w="9576"/>
      </w:tblGrid>
      <w:tr w:rsidR="00D075F6" w14:paraId="3CECA2ED" w14:textId="77777777">
        <w:trPr>
          <w:jc w:val="center"/>
        </w:trPr>
        <w:tc>
          <w:tcPr>
            <w:tcW w:w="7920" w:type="dxa"/>
          </w:tcPr>
          <w:p w14:paraId="5338DD4A" w14:textId="77777777" w:rsidR="00D075F6" w:rsidRDefault="00734411">
            <w:pPr>
              <w:spacing w:before="200"/>
              <w:jc w:val="center"/>
            </w:pPr>
            <w:bookmarkStart w:id="177" w:name="tbl-cv-p1"/>
            <w:r>
              <w:t xml:space="preserve">Tabla 4.6: Coeficiente de variación de métricas primarias bajo 5 semillas distintas (RF,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0"/>
              <w:gridCol w:w="1320"/>
              <w:gridCol w:w="1320"/>
              <w:gridCol w:w="1320"/>
              <w:gridCol w:w="1320"/>
              <w:gridCol w:w="1320"/>
            </w:tblGrid>
            <w:tr w:rsidR="00D075F6" w14:paraId="7E9DC870" w14:textId="77777777">
              <w:trPr>
                <w:tblHeader/>
                <w:jc w:val="center"/>
              </w:trPr>
              <w:tc>
                <w:tcPr>
                  <w:tcW w:w="1320" w:type="dxa"/>
                </w:tcPr>
                <w:p w14:paraId="478E4017" w14:textId="77777777" w:rsidR="00D075F6" w:rsidRDefault="00734411">
                  <w:r>
                    <w:rPr>
                      <w:b/>
                      <w:bCs/>
                    </w:rPr>
                    <w:t>Método</w:t>
                  </w:r>
                </w:p>
              </w:tc>
              <w:tc>
                <w:tcPr>
                  <w:tcW w:w="1320" w:type="dxa"/>
                </w:tcPr>
                <w:p w14:paraId="373D94E3" w14:textId="77777777" w:rsidR="00D075F6" w:rsidRDefault="00734411">
                  <w:r>
                    <w:rPr>
                      <w:b/>
                      <w:bCs/>
                    </w:rPr>
                    <w:t>Métrica</w:t>
                  </w:r>
                </w:p>
              </w:tc>
              <w:tc>
                <w:tcPr>
                  <w:tcW w:w="1320" w:type="dxa"/>
                </w:tcPr>
                <w:p w14:paraId="50859CD5" w14:textId="77777777" w:rsidR="00D075F6" w:rsidRDefault="00734411">
                  <w:r>
                    <w:rPr>
                      <w:b/>
                      <w:bCs/>
                    </w:rPr>
                    <w:t>Media</w:t>
                  </w:r>
                </w:p>
              </w:tc>
              <w:tc>
                <w:tcPr>
                  <w:tcW w:w="1320" w:type="dxa"/>
                </w:tcPr>
                <w:p w14:paraId="30DE8573" w14:textId="77777777" w:rsidR="00D075F6" w:rsidRDefault="00734411">
                  <w:r>
                    <w:rPr>
                      <w:b/>
                      <w:bCs/>
                    </w:rPr>
                    <w:t>Desv. típica</w:t>
                  </w:r>
                </w:p>
              </w:tc>
              <w:tc>
                <w:tcPr>
                  <w:tcW w:w="1320" w:type="dxa"/>
                </w:tcPr>
                <w:p w14:paraId="63B26019" w14:textId="77777777" w:rsidR="00D075F6" w:rsidRDefault="00734411">
                  <w:r>
                    <w:rPr>
                      <w:b/>
                      <w:bCs/>
                    </w:rPr>
                    <w:t>CV (%)</w:t>
                  </w:r>
                </w:p>
              </w:tc>
              <w:tc>
                <w:tcPr>
                  <w:tcW w:w="1320" w:type="dxa"/>
                </w:tcPr>
                <w:p w14:paraId="4D1D7852" w14:textId="77777777" w:rsidR="00D075F6" w:rsidRDefault="00734411">
                  <w:r>
                    <w:rPr>
                      <w:b/>
                      <w:bCs/>
                    </w:rPr>
                    <w:t>Criterio P1</w:t>
                  </w:r>
                </w:p>
              </w:tc>
            </w:tr>
            <w:tr w:rsidR="00D075F6" w14:paraId="5D6C6F42" w14:textId="77777777">
              <w:trPr>
                <w:jc w:val="center"/>
              </w:trPr>
              <w:tc>
                <w:tcPr>
                  <w:tcW w:w="1320" w:type="dxa"/>
                </w:tcPr>
                <w:p w14:paraId="061F6B0D" w14:textId="77777777" w:rsidR="00D075F6" w:rsidRDefault="00734411">
                  <w:r>
                    <w:t>SHAP</w:t>
                  </w:r>
                </w:p>
              </w:tc>
              <w:tc>
                <w:tcPr>
                  <w:tcW w:w="1320" w:type="dxa"/>
                </w:tcPr>
                <w:p w14:paraId="7E5A76A9" w14:textId="77777777" w:rsidR="00D075F6" w:rsidRDefault="00734411">
                  <w:r>
                    <w:t>Fidelidad</w:t>
                  </w:r>
                </w:p>
              </w:tc>
              <w:tc>
                <w:tcPr>
                  <w:tcW w:w="1320" w:type="dxa"/>
                </w:tcPr>
                <w:p w14:paraId="6F872049" w14:textId="77777777" w:rsidR="00D075F6" w:rsidRDefault="00734411">
                  <w:r>
                    <w:t>0.732</w:t>
                  </w:r>
                </w:p>
              </w:tc>
              <w:tc>
                <w:tcPr>
                  <w:tcW w:w="1320" w:type="dxa"/>
                </w:tcPr>
                <w:p w14:paraId="2DEE8A21" w14:textId="77777777" w:rsidR="00D075F6" w:rsidRDefault="00734411">
                  <w:r>
                    <w:t>0.006</w:t>
                  </w:r>
                </w:p>
              </w:tc>
              <w:tc>
                <w:tcPr>
                  <w:tcW w:w="1320" w:type="dxa"/>
                </w:tcPr>
                <w:p w14:paraId="3335E656" w14:textId="77777777" w:rsidR="00D075F6" w:rsidRDefault="00734411">
                  <w:r>
                    <w:rPr>
                      <w:b/>
                      <w:bCs/>
                    </w:rPr>
                    <w:t>0.8</w:t>
                  </w:r>
                </w:p>
              </w:tc>
              <w:tc>
                <w:tcPr>
                  <w:tcW w:w="1320" w:type="dxa"/>
                </w:tcPr>
                <w:p w14:paraId="35D23C9F" w14:textId="77777777" w:rsidR="00D075F6" w:rsidRDefault="00734411">
                  <w:r>
                    <w:t>✓</w:t>
                  </w:r>
                  <w:r>
                    <w:t xml:space="preserve"> Cumple</w:t>
                  </w:r>
                </w:p>
              </w:tc>
            </w:tr>
            <w:tr w:rsidR="00D075F6" w14:paraId="7DE975A6" w14:textId="77777777">
              <w:trPr>
                <w:jc w:val="center"/>
              </w:trPr>
              <w:tc>
                <w:tcPr>
                  <w:tcW w:w="1320" w:type="dxa"/>
                </w:tcPr>
                <w:p w14:paraId="23F52C77" w14:textId="77777777" w:rsidR="00D075F6" w:rsidRDefault="00734411">
                  <w:r>
                    <w:t>SHAP</w:t>
                  </w:r>
                </w:p>
              </w:tc>
              <w:tc>
                <w:tcPr>
                  <w:tcW w:w="1320" w:type="dxa"/>
                </w:tcPr>
                <w:p w14:paraId="0FB7A3E1" w14:textId="77777777" w:rsidR="00D075F6" w:rsidRDefault="00734411">
                  <w:r>
                    <w:t>Estabilidad</w:t>
                  </w:r>
                </w:p>
              </w:tc>
              <w:tc>
                <w:tcPr>
                  <w:tcW w:w="1320" w:type="dxa"/>
                </w:tcPr>
                <w:p w14:paraId="1316AFA1" w14:textId="77777777" w:rsidR="00D075F6" w:rsidRDefault="00734411">
                  <w:r>
                    <w:t>0.948</w:t>
                  </w:r>
                </w:p>
              </w:tc>
              <w:tc>
                <w:tcPr>
                  <w:tcW w:w="1320" w:type="dxa"/>
                </w:tcPr>
                <w:p w14:paraId="685C7280" w14:textId="77777777" w:rsidR="00D075F6" w:rsidRDefault="00734411">
                  <w:r>
                    <w:t>0.007</w:t>
                  </w:r>
                </w:p>
              </w:tc>
              <w:tc>
                <w:tcPr>
                  <w:tcW w:w="1320" w:type="dxa"/>
                </w:tcPr>
                <w:p w14:paraId="3DA18F7D" w14:textId="77777777" w:rsidR="00D075F6" w:rsidRDefault="00734411">
                  <w:r>
                    <w:rPr>
                      <w:b/>
                      <w:bCs/>
                    </w:rPr>
                    <w:t>0.7</w:t>
                  </w:r>
                </w:p>
              </w:tc>
              <w:tc>
                <w:tcPr>
                  <w:tcW w:w="1320" w:type="dxa"/>
                </w:tcPr>
                <w:p w14:paraId="7A0A72F7" w14:textId="77777777" w:rsidR="00D075F6" w:rsidRDefault="00734411">
                  <w:r>
                    <w:t>✓</w:t>
                  </w:r>
                  <w:r>
                    <w:t xml:space="preserve"> Cumple</w:t>
                  </w:r>
                </w:p>
              </w:tc>
            </w:tr>
            <w:tr w:rsidR="00D075F6" w14:paraId="5B5BF6A8" w14:textId="77777777">
              <w:trPr>
                <w:jc w:val="center"/>
              </w:trPr>
              <w:tc>
                <w:tcPr>
                  <w:tcW w:w="1320" w:type="dxa"/>
                </w:tcPr>
                <w:p w14:paraId="00534E54" w14:textId="77777777" w:rsidR="00D075F6" w:rsidRDefault="00734411">
                  <w:r>
                    <w:t>LIME</w:t>
                  </w:r>
                </w:p>
              </w:tc>
              <w:tc>
                <w:tcPr>
                  <w:tcW w:w="1320" w:type="dxa"/>
                </w:tcPr>
                <w:p w14:paraId="16F0AB15" w14:textId="77777777" w:rsidR="00D075F6" w:rsidRDefault="00734411">
                  <w:r>
                    <w:t>Fidelidad</w:t>
                  </w:r>
                </w:p>
              </w:tc>
              <w:tc>
                <w:tcPr>
                  <w:tcW w:w="1320" w:type="dxa"/>
                </w:tcPr>
                <w:p w14:paraId="29E011CF" w14:textId="77777777" w:rsidR="00D075F6" w:rsidRDefault="00734411">
                  <w:r>
                    <w:t>0.461</w:t>
                  </w:r>
                </w:p>
              </w:tc>
              <w:tc>
                <w:tcPr>
                  <w:tcW w:w="1320" w:type="dxa"/>
                </w:tcPr>
                <w:p w14:paraId="1417F77E" w14:textId="77777777" w:rsidR="00D075F6" w:rsidRDefault="00734411">
                  <w:r>
                    <w:t>0.012</w:t>
                  </w:r>
                </w:p>
              </w:tc>
              <w:tc>
                <w:tcPr>
                  <w:tcW w:w="1320" w:type="dxa"/>
                </w:tcPr>
                <w:p w14:paraId="767E58CA" w14:textId="77777777" w:rsidR="00D075F6" w:rsidRDefault="00734411">
                  <w:r>
                    <w:rPr>
                      <w:b/>
                      <w:bCs/>
                    </w:rPr>
                    <w:t>2.6</w:t>
                  </w:r>
                </w:p>
              </w:tc>
              <w:tc>
                <w:tcPr>
                  <w:tcW w:w="1320" w:type="dxa"/>
                </w:tcPr>
                <w:p w14:paraId="68212A2D" w14:textId="77777777" w:rsidR="00D075F6" w:rsidRDefault="00734411">
                  <w:r>
                    <w:t>✓</w:t>
                  </w:r>
                  <w:r>
                    <w:t xml:space="preserve"> Cumple</w:t>
                  </w:r>
                </w:p>
              </w:tc>
            </w:tr>
            <w:tr w:rsidR="00D075F6" w14:paraId="6AB3697D" w14:textId="77777777">
              <w:trPr>
                <w:jc w:val="center"/>
              </w:trPr>
              <w:tc>
                <w:tcPr>
                  <w:tcW w:w="1320" w:type="dxa"/>
                </w:tcPr>
                <w:p w14:paraId="721283F6" w14:textId="77777777" w:rsidR="00D075F6" w:rsidRDefault="00734411">
                  <w:r>
                    <w:t>LIME</w:t>
                  </w:r>
                </w:p>
              </w:tc>
              <w:tc>
                <w:tcPr>
                  <w:tcW w:w="1320" w:type="dxa"/>
                </w:tcPr>
                <w:p w14:paraId="4B5D7B03" w14:textId="77777777" w:rsidR="00D075F6" w:rsidRDefault="00734411">
                  <w:r>
                    <w:t>Estabilidad</w:t>
                  </w:r>
                </w:p>
              </w:tc>
              <w:tc>
                <w:tcPr>
                  <w:tcW w:w="1320" w:type="dxa"/>
                </w:tcPr>
                <w:p w14:paraId="5C450BAA" w14:textId="77777777" w:rsidR="00D075F6" w:rsidRDefault="00734411">
                  <w:r>
                    <w:t>0.018</w:t>
                  </w:r>
                </w:p>
              </w:tc>
              <w:tc>
                <w:tcPr>
                  <w:tcW w:w="1320" w:type="dxa"/>
                </w:tcPr>
                <w:p w14:paraId="5FDD4FF9" w14:textId="77777777" w:rsidR="00D075F6" w:rsidRDefault="00734411">
                  <w:r>
                    <w:t>0.015</w:t>
                  </w:r>
                </w:p>
              </w:tc>
              <w:tc>
                <w:tcPr>
                  <w:tcW w:w="1320" w:type="dxa"/>
                </w:tcPr>
                <w:p w14:paraId="4851EDC8" w14:textId="77777777" w:rsidR="00D075F6" w:rsidRDefault="00734411">
                  <w:r>
                    <w:rPr>
                      <w:b/>
                      <w:bCs/>
                    </w:rPr>
                    <w:t>86.2</w:t>
                  </w:r>
                </w:p>
              </w:tc>
              <w:tc>
                <w:tcPr>
                  <w:tcW w:w="1320" w:type="dxa"/>
                </w:tcPr>
                <w:p w14:paraId="0A1BE1D5" w14:textId="77777777" w:rsidR="00D075F6" w:rsidRDefault="00734411">
                  <w:r>
                    <w:t>✗</w:t>
                  </w:r>
                  <w:r>
                    <w:t xml:space="preserve"> No cumple</w:t>
                  </w:r>
                </w:p>
              </w:tc>
            </w:tr>
            <w:bookmarkEnd w:id="177"/>
          </w:tbl>
          <w:p w14:paraId="7FE2DAB1" w14:textId="77777777" w:rsidR="00D075F6" w:rsidRDefault="00D075F6"/>
        </w:tc>
      </w:tr>
    </w:tbl>
    <w:p w14:paraId="5D3323DB" w14:textId="77777777" w:rsidR="00D075F6" w:rsidRDefault="00734411">
      <w:pPr>
        <w:pStyle w:val="BodyText"/>
      </w:pPr>
      <w:r>
        <w:rPr>
          <w:i/>
          <w:iCs/>
        </w:rPr>
        <w:t>Nota de alcance:</w:t>
      </w:r>
      <w:r>
        <w:t xml:space="preserve"> </w:t>
      </w:r>
      <w:r>
        <w:t>El valor de estabilidad de SHAP (0.948) corresponde exclusivamente al subgrupo RF/</w:t>
      </w:r>
      <m:oMath>
        <m:r>
          <w:rPr>
            <w:rFonts w:ascii="Cambria Math" w:hAnsi="Cambria Math"/>
          </w:rPr>
          <m:t>N</m:t>
        </m:r>
        <m:r>
          <m:rPr>
            <m:sty m:val="p"/>
          </m:rPr>
          <w:rPr>
            <w:rFonts w:ascii="Cambria Math" w:hAnsi="Cambria Math"/>
          </w:rPr>
          <m:t>=</m:t>
        </m:r>
        <m:r>
          <w:rPr>
            <w:rFonts w:ascii="Cambria Math" w:hAnsi="Cambria Math"/>
          </w:rPr>
          <m:t>100</m:t>
        </m:r>
      </m:oMath>
      <w:r>
        <w:t xml:space="preserve"> 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14:paraId="0DF36686" w14:textId="77777777" w:rsidR="00D075F6" w:rsidRDefault="00734411">
      <w:pPr>
        <w:pStyle w:val="BodyText"/>
      </w:pPr>
      <w:r>
        <w:t xml:space="preserve">Los resultados confirman P1 parcialmente. Para las métricas en las que el </w:t>
      </w:r>
      <w:r>
        <w:t>método produce señales de magnitud apreciable, el CV es inferior al 15%: SHAP-fidelidad (0.8%), SHAP-estabilidad (0.7%) y LIME-fidelidad (2.6%) cumplen ampliamente el criterio. La excepción es LIME-estabilidad, con CV = 86.2%, que viola el umbral del 15%.</w:t>
      </w:r>
    </w:p>
    <w:p w14:paraId="4DB0CD9D" w14:textId="77777777" w:rsidR="00D075F6" w:rsidRDefault="00734411">
      <w:pPr>
        <w:pStyle w:val="BodyText"/>
      </w:pPr>
      <w:r>
        <w:t xml:space="preserve">Sin embargo, este incumplimiento es interpretable como un hallazgo sustantivo más que como un defecto del protocolo. LIME-estabilidad tiene media 0.018, es decir, la similitud coseno entre explicaciones replicadas es casi nula. En este </w:t>
      </w:r>
      <w:r>
        <w:t xml:space="preserve">régimen, la desviación absoluta entre réplicas (~0.015) es numéricamente pequeña pero el CV es elevado precisamente porque el denominador es cercano a cero. Un CV del 86% sobre una media de 0.018 equivale a una incertidumbre absoluta de </w:t>
      </w:r>
      <m:oMath>
        <m:r>
          <m:rPr>
            <m:sty m:val="p"/>
          </m:rPr>
          <w:rPr>
            <w:rFonts w:ascii="Cambria Math" w:hAnsi="Cambria Math"/>
          </w:rPr>
          <m:t>±</m:t>
        </m:r>
        <m:r>
          <w:rPr>
            <w:rFonts w:ascii="Cambria Math" w:hAnsi="Cambria Math"/>
          </w:rPr>
          <m:t>0.015</m:t>
        </m:r>
      </m:oMath>
      <w:r>
        <w:t xml:space="preserve">, que en la escala de similitud coseno es trivial. La proposición P1 se satisface para las métricas con señal sustantiva; la excepción de LIME- estabilidad es una consecuencia de la inestabilidad del método bajo esta </w:t>
      </w:r>
      <w:r>
        <w:t>configuración, no de la irreproducibilidad del protocolo.</w:t>
      </w:r>
    </w:p>
    <w:p w14:paraId="12CCDCF3" w14:textId="77777777" w:rsidR="00D075F6" w:rsidRDefault="00734411">
      <w:pPr>
        <w:pStyle w:val="BodyText"/>
      </w:pPr>
      <w:r>
        <w:t xml:space="preserve">Para la generalización global, el CV en fidelidad agrupando todas las ejecuciones calificadas de cada método es de 11.4% (SHAP) y 12.0% (LIME) —es decir, SHAP es además el más reproducible de los dos, no el más disperso—, confirmando que la variabilidad métrica debida a la aleatoriedad de la semilla es controlada y uniforme, y que ambos valores quedan por debajo del umbral del </w:t>
      </w:r>
      <w:r>
        <w:t>15% fijado en P1. Los CVs de coste y estabilidad, que son inherentemente más variables por la dependencia de las instancias específicas seleccionadas, se esperan en rangos superiores y no forman parte del criterio primario de P1.</w:t>
      </w:r>
    </w:p>
    <w:p w14:paraId="584512BE" w14:textId="77777777" w:rsidR="00D075F6" w:rsidRDefault="00734411">
      <w:pPr>
        <w:pStyle w:val="Heading2"/>
      </w:pPr>
      <w:bookmarkStart w:id="178" w:name="sec-perfiles"/>
      <w:bookmarkStart w:id="179" w:name="_Toc241413308"/>
      <w:bookmarkEnd w:id="175"/>
      <w:r>
        <w:t>4.5 Perfil multidimensional por método</w:t>
      </w:r>
      <w:bookmarkEnd w:id="179"/>
    </w:p>
    <w:p w14:paraId="6CECF343" w14:textId="77777777" w:rsidR="00D075F6" w:rsidRDefault="00734411">
      <w:r>
        <w:t>El análisis omnibus y pareado establece las diferencias confirmativas; esta sección describe el perfil multidimensional completo de cada método, integrando las cinco métricas y el comportamiento específico por modelo.</w:t>
      </w:r>
    </w:p>
    <w:p w14:paraId="593D554A" w14:textId="77777777" w:rsidR="00D075F6" w:rsidRDefault="00734411">
      <w:pPr>
        <w:pStyle w:val="Heading3"/>
      </w:pPr>
      <w:bookmarkStart w:id="180" w:name="shap"/>
      <w:bookmarkStart w:id="181" w:name="_Toc241413309"/>
      <w:r>
        <w:t>4.5.1 SHAP</w:t>
      </w:r>
      <w:bookmarkEnd w:id="181"/>
    </w:p>
    <w:p w14:paraId="20FDCCC7" w14:textId="77777777" w:rsidR="00D075F6" w:rsidRDefault="00734411">
      <w:r>
        <w:t xml:space="preserve">SHAP presenta el perfil más equilibrado y favorable de los cuatro métodos. Sus medias consolidadas sobre las 75 ejecuciones calificadas son: fidelidad = 0.808, estabilidad = 0.732, parsimonia = 0.226, brecha de fidelidad = 0.380, coste = 11,708 ms. El ratio activo más alto de todos los métodos (0.226 frente a 0.085 de LIME) refleja que SHAP puede distribuir importancias entre un mayor número de características cuando el modelo así lo </w:t>
      </w:r>
      <w:r>
        <w:t>requiere, lo que es un reflejo adecuado de la complejidad real del modelo; por la dirección de la métrica (§</w:t>
      </w:r>
      <w:hyperlink w:anchor="sec-metricas">
        <w:r>
          <w:rPr>
            <w:rStyle w:val="Hyperlink"/>
          </w:rPr>
          <w:t>3.5</w:t>
        </w:r>
      </w:hyperlink>
      <w:r>
        <w:t xml:space="preserve">), esto significa que SHAP es el método </w:t>
      </w:r>
      <w:r>
        <w:rPr>
          <w:i/>
          <w:iCs/>
        </w:rPr>
        <w:t>menos</w:t>
      </w:r>
      <w:r>
        <w:t xml:space="preserve"> parsimonioso del benchmark.</w:t>
      </w:r>
    </w:p>
    <w:p w14:paraId="43A5C06A" w14:textId="77777777" w:rsidR="00D075F6" w:rsidRDefault="00734411">
      <w:pPr>
        <w:pStyle w:val="BodyText"/>
      </w:pPr>
      <w:r>
        <w:t xml:space="preserve">El coste es la dimensión adversa de SHAP. Todas las cifras de coste de esta sección son medias por instancia agregadas a nivel de ejecución (instancia → ejecución), la misma unidad usada en los contrastes pareados. La </w:t>
      </w:r>
      <w:r>
        <w:t>media de 11,708 ms esconde una distribución fuertemente asimétrica: la mediana por ejecución es de solo 684 ms, y la heterogeneidad entre familias de modelos alcanza tres órdenes de magnitud —para XGBoost, TreeSHAP opera en ~21 ms de media (mediana 18 ms), mientras que KernelSHAP sobre SVM requiere ~54,231 ms. Esta disparidad tiene implicaciones prácticas directas: el despliegue de SHAP sobre modelos de núcleo o redes neuronales en entornos de baja latencia puede ser inviable sin aproximaciones adicionales.</w:t>
      </w:r>
    </w:p>
    <w:p w14:paraId="48D37F58" w14:textId="77777777" w:rsidR="00D075F6" w:rsidRDefault="00734411">
      <w:pPr>
        <w:pStyle w:val="BodyText"/>
      </w:pPr>
      <w:r>
        <w:t>Por modelo, los picos de fidelidad se observan en logreg (0.946) y SVM (0.882), donde la linealidad o la estructura de margen del modelo facilita la aproximación local por valores de Shapley. Las fidelidades más bajas se registran en MLP (0.725) y RF (0.729), coherente con la complejidad de sus superficies de decisión. XGBoost presenta el balance óptimo calidad-coste: fidelidad 0.759 con un coste medio de 21 ms.</w:t>
      </w:r>
    </w:p>
    <w:p w14:paraId="74C92ED4" w14:textId="77777777" w:rsidR="00D075F6" w:rsidRDefault="00734411">
      <w:pPr>
        <w:pStyle w:val="Heading3"/>
      </w:pPr>
      <w:bookmarkStart w:id="182" w:name="lime"/>
      <w:bookmarkStart w:id="183" w:name="_Toc241413310"/>
      <w:bookmarkEnd w:id="180"/>
      <w:r>
        <w:t>4.5.2 LIME</w:t>
      </w:r>
      <w:bookmarkEnd w:id="183"/>
    </w:p>
    <w:p w14:paraId="65166F61" w14:textId="77777777" w:rsidR="00D075F6" w:rsidRDefault="00734411">
      <w:r>
        <w:t xml:space="preserve">LIME es el método más económico en coste (media 3,661 ms, mediana por ejecución </w:t>
      </w:r>
      <w:r>
        <w:t>65.7 ms, con medias por familia de modelo de 52 ms en MLP a 17,620 ms en SVM), con una fidelidad media moderada (0.560) y ratio activo bajo y consistente (0.085 en todos los modelos, por diseño), es decir, el método más parsimonioso del benchmark. Su fortaleza operativa es la velocidad y la parsimonia de sus explicaciones, que facilitan la interpretación por parte de usuarios no técnicos.</w:t>
      </w:r>
    </w:p>
    <w:p w14:paraId="28BBB987" w14:textId="77777777" w:rsidR="00D075F6" w:rsidRDefault="00734411">
      <w:pPr>
        <w:pStyle w:val="BodyText"/>
      </w:pPr>
      <w:r>
        <w:t xml:space="preserve">La limitación principal de LIME en este benchmark es su estabilidad casi nula </w:t>
      </w:r>
      <w:r>
        <w:t xml:space="preserve">(0.014) bajo la configuración de referencia. La hipótesis explicativa es conocida en la literatura: la perturbación por muestreo local genera distribuciones que difieren sustancialmente de instancia a instancia, haciendo que los coeficientes del modelo lineal local sean altamente sensibles al conjunto de puntos de la vecindad (Ribeiro 2016; Bhattacharya y Verbert 2024). En los datos de este benchmark, esta inestabilidad se documentó cuantitativamente: el CV de estabilidad bajo semillas distintas es </w:t>
      </w:r>
      <w:r>
        <w:t>del 86.2%, y la similitud coseno media de 0.014 implica que dos explicaciones de la misma instancia con semillas distintas son casi ortogonales. Este hallazgo limita el uso de LIME como método de referencia en contextos donde se requiere consistencia explicativa, como auditoría, decisiones de alto riesgo o comparación entre instancias.</w:t>
      </w:r>
    </w:p>
    <w:p w14:paraId="44C928FD" w14:textId="77777777" w:rsidR="00D075F6" w:rsidRDefault="00734411">
      <w:pPr>
        <w:pStyle w:val="Heading3"/>
      </w:pPr>
      <w:bookmarkStart w:id="184" w:name="anchors"/>
      <w:bookmarkStart w:id="185" w:name="_Toc241413311"/>
      <w:bookmarkEnd w:id="182"/>
      <w:r>
        <w:t>4.5.3 Anchors</w:t>
      </w:r>
      <w:bookmarkEnd w:id="185"/>
    </w:p>
    <w:p w14:paraId="74364D8B" w14:textId="77777777" w:rsidR="00D075F6" w:rsidRDefault="00734411">
      <w:r>
        <w:t xml:space="preserve">Anchors tiene una cobertura de solo 57 celdas calificadas (76.0%), lo que refleja que en los estratos de mayor incertidumbre el algoritmo de búsqueda de </w:t>
      </w:r>
      <w:r>
        <w:t xml:space="preserve">reglas no converge a una regla con la precisión mínima exigida. Sobre las 57 ejecuciones calificadas, la fidelidad media es 0.388 y la estabilidad 0.052, ambas inferiores a las de SHAP y LIME. Estos valores son medias a nivel de ejecución; las medias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que alimentan el test de Friedman son 0.389 y 0.043 (</w:t>
      </w:r>
      <w:hyperlink w:anchor="tbl-friedman-fidelity">
        <w:r>
          <w:rPr>
            <w:rStyle w:val="Hyperlink"/>
          </w:rPr>
          <w:t>Tabla 4.2</w:t>
        </w:r>
      </w:hyperlink>
      <w:r>
        <w:t xml:space="preserve">, </w:t>
      </w:r>
      <w:hyperlink w:anchor="tbl-friedman-stability">
        <w:r>
          <w:rPr>
            <w:rStyle w:val="Hyperlink"/>
          </w:rPr>
          <w:t>Tabla 4.4</w:t>
        </w:r>
      </w:hyperlink>
      <w:r>
        <w:t xml:space="preserve">). La </w:t>
      </w:r>
      <w:r>
        <w:t xml:space="preserve">discrepancia en estabilidad —0.052 frente a 0.043— es específica de Anchors y refleja que su cobertura se distribuye de forma desigual entre bloques, de modo que promediar ejecuciones y promediar bloques no son operaciones equivalentes; para SHAP y LIME, con cobertura completa, ambas agregaciones coinciden. El coste es el más elevado del benchmark y muy variable: media global de 38,159 ms, con medias por familia de modelo desde </w:t>
      </w:r>
      <w:r>
        <w:t>2,918 ms para logreg hasta 48,955 ms para RF y 57,705 ms para XGBoost. El comportamiento de Anchors refleja la dificultad intrínseca de encontrar reglas locales de alta precisión en modelos no lineales: en logreg, la estructura lineal facilita la búsqueda; en RF y SVM, el espacio de decisión es fragmentado y el algoritmo de búsqueda incurre en costes de exploración elevados.</w:t>
      </w:r>
    </w:p>
    <w:p w14:paraId="6249D351" w14:textId="77777777" w:rsidR="00D075F6" w:rsidRDefault="00734411">
      <w:pPr>
        <w:pStyle w:val="BodyText"/>
      </w:pPr>
      <w:r>
        <w:t xml:space="preserve">La parsimonia de Anchors es comparable a la de LIME (0.085), pero con mayor </w:t>
      </w:r>
      <w:r>
        <w:t>variabilidad (0.059 de desviación típica). Las reglas IF-THEN que Anchors produce tienen un valor explicativo cualitativo distinto al de los pesos de importancia numérica: son más comprensibles para usuarios finales, pero no permiten comparación cuantitativa directa con las métricas de importancia por las que SHAP y LIME son evaluados. Esta limitación conceptual —no un defecto de implementación— sugiere que la fidelidad y estabilidad métricas de Anchors deben interpretarse con cautela.</w:t>
      </w:r>
    </w:p>
    <w:p w14:paraId="453CB426" w14:textId="77777777" w:rsidR="00D075F6" w:rsidRDefault="00734411">
      <w:pPr>
        <w:pStyle w:val="Heading3"/>
      </w:pPr>
      <w:bookmarkStart w:id="186" w:name="dice"/>
      <w:bookmarkStart w:id="187" w:name="_Toc241413312"/>
      <w:bookmarkEnd w:id="184"/>
      <w:r>
        <w:t>4.5.4 DiCE</w:t>
      </w:r>
      <w:bookmarkEnd w:id="187"/>
    </w:p>
    <w:p w14:paraId="44D7FAF5" w14:textId="77777777" w:rsidR="00D075F6" w:rsidRDefault="00734411">
      <w:r>
        <w:t xml:space="preserve">DiCE ocupa el último lugar en fidelidad (0.172) y una posición intermedia en estabilidad (0.366). Esta combinación es coherente con su paradigma de diseño: como método contrafactual, DiCE genera instancias alternativas que cambian la predicción, no pesos de importancia que explican la predicción actual. La baja fidelidad refleja que las características más modificadas en los contrafactuales no son necesariamente las que más influyen en la </w:t>
      </w:r>
      <w:r>
        <w:t>predicción local, lo que no es un fallo sino una consecuencia de su objetivo optimizado.</w:t>
      </w:r>
    </w:p>
    <w:p w14:paraId="2CC36B16" w14:textId="77777777" w:rsidR="00D075F6" w:rsidRDefault="00734411">
      <w:pPr>
        <w:pStyle w:val="BodyText"/>
      </w:pPr>
      <w:r>
        <w:t xml:space="preserve">La estabilidad moderada de DiCE (0.366) es coherente: los contrafactuales generados para instancias perturbadas similarmente tienden a explorar regiones similares del espacio de decisión. La parsimonia es la más baja de todos los métodos (0.017), reflejando que los contrafactuales de DiCE modifican pocas características por construcción (objetivo de proximidad). Su coste medio </w:t>
      </w:r>
      <w:r>
        <w:t>(28,209 ms; mediana por ejecución 11,880 ms) lo sitúa por debajo de Anchors (38,159 ms) pero muy por encima de SHAP y LIME.</w:t>
      </w:r>
    </w:p>
    <w:p w14:paraId="5FEFFBEA" w14:textId="77777777" w:rsidR="00D075F6" w:rsidRDefault="00734411">
      <w:pPr>
        <w:pStyle w:val="Heading2"/>
      </w:pPr>
      <w:bookmarkStart w:id="188" w:name="sec-transversal"/>
      <w:bookmarkStart w:id="189" w:name="_Toc241413313"/>
      <w:bookmarkEnd w:id="178"/>
      <w:bookmarkEnd w:id="186"/>
      <w:r>
        <w:t>4.6 Análisis transversal: efecto del modelo base y del tamaño de muestra</w:t>
      </w:r>
      <w:bookmarkEnd w:id="189"/>
    </w:p>
    <w:p w14:paraId="14A02072" w14:textId="77777777" w:rsidR="00D075F6" w:rsidRDefault="00734411">
      <w:pPr>
        <w:pStyle w:val="Heading3"/>
      </w:pPr>
      <w:bookmarkStart w:id="190" w:name="Xd0dc4cebb30e80d859f681a41b6366a7a2cd5a6"/>
      <w:bookmarkStart w:id="191" w:name="_Toc241413314"/>
      <w:r>
        <w:t>4.6.1 Efecto del modelo base sobre las métricas</w:t>
      </w:r>
      <w:bookmarkEnd w:id="191"/>
    </w:p>
    <w:p w14:paraId="5E09601F" w14:textId="77777777" w:rsidR="00D075F6" w:rsidRDefault="00734411">
      <w:r>
        <w:t xml:space="preserve">El modelo base influye significativamente sobre los valores absolutos de las métricas, aunque el ordenamiento entre métodos se mantiene constante. Todas las cifras de este apartado son medias por familia de modelo sobre las ejecuciones </w:t>
      </w:r>
      <w:r>
        <w:t>calificadas (semillas y tamaños de muestra agregados); los valores de celda única correspondientes a los estudios de sensibilidad se reportan por separado en el Apéndice C y no deben leerse como resúmenes por modelo. Las diferencias más notables son:</w:t>
      </w:r>
    </w:p>
    <w:p w14:paraId="28B973A2" w14:textId="77777777" w:rsidR="00D075F6" w:rsidRDefault="00734411">
      <w:pPr>
        <w:pStyle w:val="BodyText"/>
      </w:pPr>
      <w:r>
        <w:rPr>
          <w:b/>
          <w:bCs/>
        </w:rPr>
        <w:t>XGBoost</w:t>
      </w:r>
      <w:r>
        <w:t xml:space="preserve"> presenta el perfil calidad-coste más favorable para SHAP: fidelidad 0.759 con un coste medio de 21 ms (mediana 18 ms). Esto se debe al uso de TreeSHAP (Lundberg 2017), que calcula valores exactos de Shapley aprovechando la </w:t>
      </w:r>
      <w:r>
        <w:t>estructura de árbol y no requiere muestreo ni perturbación. Es la única familia de modelo donde SHAP tiene un coste computacional inferior al de LIME (122 ms de media, mediana 62 ms).</w:t>
      </w:r>
    </w:p>
    <w:p w14:paraId="6D95D6AE" w14:textId="77777777" w:rsidR="00D075F6" w:rsidRDefault="00734411">
      <w:pPr>
        <w:pStyle w:val="BodyText"/>
      </w:pPr>
      <w:r>
        <w:rPr>
          <w:b/>
          <w:bCs/>
        </w:rPr>
        <w:t>SVM</w:t>
      </w:r>
      <w:r>
        <w:t xml:space="preserve"> es el modelo con el coste SHAP más elevado (54,231 ms de media). KernelSHAP requiere resolver un problema de optimización cuadrática por instancia, que escala con el número de muestras de referencia; el Apéndice C (</w:t>
      </w:r>
      <w:hyperlink w:anchor="tbl-appendix-shap-sensitivity">
        <w:r>
          <w:rPr>
            <w:rStyle w:val="Hyperlink"/>
          </w:rPr>
          <w:t>Tabla 6.9</w:t>
        </w:r>
      </w:hyperlink>
      <w:r>
        <w:t xml:space="preserve">) cuantifica ese escalado en una celda concreta </w:t>
      </w:r>
      <w:r>
        <w:t xml:space="preserve">(SVM,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donde el coste pasa de 41,233 ms con </w:t>
      </w:r>
      <m:oMath>
        <m:r>
          <w:rPr>
            <w:rFonts w:ascii="Cambria Math" w:hAnsi="Cambria Math"/>
          </w:rPr>
          <m:t>k</m:t>
        </m:r>
        <m:r>
          <m:rPr>
            <m:sty m:val="p"/>
          </m:rPr>
          <w:rPr>
            <w:rFonts w:ascii="Cambria Math" w:hAnsi="Cambria Math"/>
          </w:rPr>
          <m:t>=</m:t>
        </m:r>
        <m:r>
          <w:rPr>
            <w:rFonts w:ascii="Cambria Math" w:hAnsi="Cambria Math"/>
          </w:rPr>
          <m:t>25</m:t>
        </m:r>
      </m:oMath>
      <w:r>
        <w:t xml:space="preserve"> a 614,820 ms con </w:t>
      </w:r>
      <m:oMath>
        <m:r>
          <w:rPr>
            <w:rFonts w:ascii="Cambria Math" w:hAnsi="Cambria Math"/>
          </w:rPr>
          <m:t>k</m:t>
        </m:r>
        <m:r>
          <m:rPr>
            <m:sty m:val="p"/>
          </m:rPr>
          <w:rPr>
            <w:rFonts w:ascii="Cambria Math" w:hAnsi="Cambria Math"/>
          </w:rPr>
          <m:t>=</m:t>
        </m:r>
        <m:r>
          <w:rPr>
            <w:rFonts w:ascii="Cambria Math" w:hAnsi="Cambria Math"/>
          </w:rPr>
          <m:t>100</m:t>
        </m:r>
      </m:oMath>
      <w:r>
        <w:t>. La fidelidad media de SHAP sobre SVM (0.882) es la segunda más alta del benchmark. Para SVM, Anchors también es costoso (37,415 ms de media) debido al espacio de búsqueda fragmentado.</w:t>
      </w:r>
    </w:p>
    <w:p w14:paraId="2859C055" w14:textId="77777777" w:rsidR="00D075F6" w:rsidRDefault="00734411">
      <w:pPr>
        <w:pStyle w:val="BodyText"/>
      </w:pPr>
      <w:r>
        <w:rPr>
          <w:b/>
          <w:bCs/>
        </w:rPr>
        <w:t>Regresión logística (logreg)</w:t>
      </w:r>
      <w:r>
        <w:t xml:space="preserve"> produce la fidelidad SHAP más alta (0.946) y, entre los modelos no basados en árboles, un coste SHAP bajo (936 ms de media). La linealidad de logreg garantiza que las aproximaciones locales de Shapley son</w:t>
      </w:r>
      <w:r>
        <w:t xml:space="preserve"> globalmente coherentes.</w:t>
      </w:r>
    </w:p>
    <w:p w14:paraId="16343EBE" w14:textId="77777777" w:rsidR="00D075F6" w:rsidRDefault="00734411">
      <w:pPr>
        <w:pStyle w:val="BodyText"/>
      </w:pPr>
      <w:r>
        <w:rPr>
          <w:b/>
          <w:bCs/>
        </w:rPr>
        <w:t>MLP</w:t>
      </w:r>
      <w:r>
        <w:t xml:space="preserve"> es el modelo con fidelidades más bajas en todos los métodos: SHAP=0.725, LIME=0.541, Anchors=0.299, DiCE=0.026. La complejidad del espacio de gradientes de redes profundas dificulta la aproximación local de cualquier explicador post-hoc. El coste de Anchors sobre MLP (15,564 ms de media) es intermedio dentro de ese método, pero la baja fidelidad restringe su uso como evidencia primaria en auditoría.</w:t>
      </w:r>
    </w:p>
    <w:p w14:paraId="6D57CBE6" w14:textId="77777777" w:rsidR="00D075F6" w:rsidRDefault="00734411">
      <w:pPr>
        <w:pStyle w:val="Heading3"/>
      </w:pPr>
      <w:bookmarkStart w:id="192" w:name="X4b1cce5291d3b83ee4e2fe33ac88be27315f5a8"/>
      <w:bookmarkStart w:id="193" w:name="_Toc241413315"/>
      <w:bookmarkEnd w:id="190"/>
      <w:r>
        <w:t>4.6.2 Efecto del tamaño de muestra estratificado</w:t>
      </w:r>
      <w:bookmarkEnd w:id="193"/>
    </w:p>
    <w:p w14:paraId="5C361E54" w14:textId="77777777" w:rsidR="00D075F6" w:rsidRDefault="00734411">
      <w:r>
        <w:t xml:space="preserve">El análisis del efecto de </w:t>
      </w:r>
      <m:oMath>
        <m:r>
          <w:rPr>
            <w:rFonts w:ascii="Cambria Math" w:hAnsi="Cambria Math"/>
          </w:rPr>
          <m:t>N</m:t>
        </m:r>
      </m:oMath>
      <w:r>
        <w:t xml:space="preserve"> </w:t>
      </w:r>
      <w:r>
        <w:t xml:space="preserve">(50, 100, 200 instancias por estrato) sobre las métricas primarias revela una estabilidad notable. Para SHAP, las medias de fidelidad según </w:t>
      </w:r>
      <m:oMath>
        <m:r>
          <w:rPr>
            <w:rFonts w:ascii="Cambria Math" w:hAnsi="Cambria Math"/>
          </w:rPr>
          <m:t>N</m:t>
        </m:r>
      </m:oMath>
      <w:r>
        <w:t xml:space="preserve"> son: </w:t>
      </w:r>
      <m:oMath>
        <m:r>
          <w:rPr>
            <w:rFonts w:ascii="Cambria Math" w:hAnsi="Cambria Math"/>
          </w:rPr>
          <m:t>N</m:t>
        </m:r>
        <m:r>
          <m:rPr>
            <m:sty m:val="p"/>
          </m:rPr>
          <w:rPr>
            <w:rFonts w:ascii="Cambria Math" w:hAnsi="Cambria Math"/>
          </w:rPr>
          <m:t>=</m:t>
        </m:r>
        <m:r>
          <w:rPr>
            <w:rFonts w:ascii="Cambria Math" w:hAnsi="Cambria Math"/>
          </w:rPr>
          <m:t>50</m:t>
        </m:r>
      </m:oMath>
      <w:r>
        <w:t xml:space="preserve">: 0.809, </w:t>
      </w:r>
      <m:oMath>
        <m:r>
          <w:rPr>
            <w:rFonts w:ascii="Cambria Math" w:hAnsi="Cambria Math"/>
          </w:rPr>
          <m:t>N</m:t>
        </m:r>
        <m:r>
          <m:rPr>
            <m:sty m:val="p"/>
          </m:rPr>
          <w:rPr>
            <w:rFonts w:ascii="Cambria Math" w:hAnsi="Cambria Math"/>
          </w:rPr>
          <m:t>=</m:t>
        </m:r>
        <m:r>
          <w:rPr>
            <w:rFonts w:ascii="Cambria Math" w:hAnsi="Cambria Math"/>
          </w:rPr>
          <m:t>100</m:t>
        </m:r>
      </m:oMath>
      <w:r>
        <w:t xml:space="preserve">: 0.809, </w:t>
      </w:r>
      <m:oMath>
        <m:r>
          <w:rPr>
            <w:rFonts w:ascii="Cambria Math" w:hAnsi="Cambria Math"/>
          </w:rPr>
          <m:t>N</m:t>
        </m:r>
        <m:r>
          <m:rPr>
            <m:sty m:val="p"/>
          </m:rPr>
          <w:rPr>
            <w:rFonts w:ascii="Cambria Math" w:hAnsi="Cambria Math"/>
          </w:rPr>
          <m:t>=</m:t>
        </m:r>
        <m:r>
          <w:rPr>
            <w:rFonts w:ascii="Cambria Math" w:hAnsi="Cambria Math"/>
          </w:rPr>
          <m:t>200</m:t>
        </m:r>
      </m:oMath>
      <w:r>
        <w:t xml:space="preserve">: 0.807, con diferencias absolutas inferiores a 0.002. Para LIME: </w:t>
      </w:r>
      <m:oMath>
        <m:r>
          <w:rPr>
            <w:rFonts w:ascii="Cambria Math" w:hAnsi="Cambria Math"/>
          </w:rPr>
          <m:t>N</m:t>
        </m:r>
        <m:r>
          <m:rPr>
            <m:sty m:val="p"/>
          </m:rPr>
          <w:rPr>
            <w:rFonts w:ascii="Cambria Math" w:hAnsi="Cambria Math"/>
          </w:rPr>
          <m:t>=</m:t>
        </m:r>
        <m:r>
          <w:rPr>
            <w:rFonts w:ascii="Cambria Math" w:hAnsi="Cambria Math"/>
          </w:rPr>
          <m:t>50</m:t>
        </m:r>
      </m:oMath>
      <w:r>
        <w:t xml:space="preserve">: 0.559, </w:t>
      </w:r>
      <m:oMath>
        <m:r>
          <w:rPr>
            <w:rFonts w:ascii="Cambria Math" w:hAnsi="Cambria Math"/>
          </w:rPr>
          <m:t>N</m:t>
        </m:r>
        <m:r>
          <m:rPr>
            <m:sty m:val="p"/>
          </m:rPr>
          <w:rPr>
            <w:rFonts w:ascii="Cambria Math" w:hAnsi="Cambria Math"/>
          </w:rPr>
          <m:t>=</m:t>
        </m:r>
        <m:r>
          <w:rPr>
            <w:rFonts w:ascii="Cambria Math" w:hAnsi="Cambria Math"/>
          </w:rPr>
          <m:t>100</m:t>
        </m:r>
      </m:oMath>
      <w:r>
        <w:t xml:space="preserve">: 0.561, </w:t>
      </w:r>
      <m:oMath>
        <m:r>
          <w:rPr>
            <w:rFonts w:ascii="Cambria Math" w:hAnsi="Cambria Math"/>
          </w:rPr>
          <m:t>N</m:t>
        </m:r>
        <m:r>
          <m:rPr>
            <m:sty m:val="p"/>
          </m:rPr>
          <w:rPr>
            <w:rFonts w:ascii="Cambria Math" w:hAnsi="Cambria Math"/>
          </w:rPr>
          <m:t>=</m:t>
        </m:r>
        <m:r>
          <w:rPr>
            <w:rFonts w:ascii="Cambria Math" w:hAnsi="Cambria Math"/>
          </w:rPr>
          <m:t>200</m:t>
        </m:r>
      </m:oMath>
      <w:r>
        <w:t>: 0.562. Estas diferencias son inferiores a un punto porcentual y no muestran tendencia monótona.</w:t>
      </w:r>
    </w:p>
    <w:p w14:paraId="23366C63" w14:textId="77777777" w:rsidR="00D075F6" w:rsidRDefault="00734411">
      <w:pPr>
        <w:pStyle w:val="BodyText"/>
      </w:pPr>
      <w:r>
        <w:t xml:space="preserve">La invarianza de las métricas ante el tamaño de muestra tiene dos implicaciones: </w:t>
      </w:r>
      <w:r>
        <w:t xml:space="preserve">(1) la estimación por estrato converge rápidamente, de modo que </w:t>
      </w:r>
      <m:oMath>
        <m:r>
          <w:rPr>
            <w:rFonts w:ascii="Cambria Math" w:hAnsi="Cambria Math"/>
          </w:rPr>
          <m:t>N</m:t>
        </m:r>
        <m:r>
          <m:rPr>
            <m:sty m:val="p"/>
          </m:rPr>
          <w:rPr>
            <w:rFonts w:ascii="Cambria Math" w:hAnsi="Cambria Math"/>
          </w:rPr>
          <m:t>=</m:t>
        </m:r>
        <m:r>
          <w:rPr>
            <w:rFonts w:ascii="Cambria Math" w:hAnsi="Cambria Math"/>
          </w:rPr>
          <m:t>50</m:t>
        </m:r>
      </m:oMath>
      <w:r>
        <w:t xml:space="preserve"> es suficiente para obtener medias representativas; (2) el diseño con tres tamaños de muestra aporta replicación estadística útil sin añadir variabilidad sistemática, lo que confirma la elección de niveles del Capítulo 3. Los costes computacionales crecen proporcionalmente con </w:t>
      </w:r>
      <m:oMath>
        <m:r>
          <w:rPr>
            <w:rFonts w:ascii="Cambria Math" w:hAnsi="Cambria Math"/>
          </w:rPr>
          <m:t>N</m:t>
        </m:r>
      </m:oMath>
      <w:r>
        <w:t xml:space="preserve"> en LIME (estructura lineal) pero no en SHAP para modelos de árbol (TreeSHAP escala logarítmicamente).</w:t>
      </w:r>
    </w:p>
    <w:p w14:paraId="79E8CCB5" w14:textId="77777777" w:rsidR="00D075F6" w:rsidRDefault="00734411">
      <w:pPr>
        <w:pStyle w:val="Heading2"/>
      </w:pPr>
      <w:bookmarkStart w:id="194" w:name="sec-trazabilidad-resultados"/>
      <w:bookmarkStart w:id="195" w:name="_Toc241413316"/>
      <w:bookmarkEnd w:id="188"/>
      <w:bookmarkEnd w:id="192"/>
      <w:r>
        <w:t>4.7 Trazabilidad de claims principales</w:t>
      </w:r>
      <w:bookmarkEnd w:id="195"/>
    </w:p>
    <w:p w14:paraId="7302252D" w14:textId="77777777" w:rsidR="00D075F6" w:rsidRDefault="00734411">
      <w:r>
        <w:t xml:space="preserve">La Tabla </w:t>
      </w:r>
      <w:hyperlink w:anchor="tbl-claim-traceability">
        <w:r>
          <w:rPr>
            <w:rStyle w:val="Hyperlink"/>
          </w:rPr>
          <w:t>4.7</w:t>
        </w:r>
      </w:hyperlink>
      <w:r>
        <w:t xml:space="preserve"> vincula las afirmaciones principales con los artefactos que las sostienen. Esta tabla implementa la puerta 7 de FOM-7 dentro del capítulo de resultados.</w:t>
      </w:r>
    </w:p>
    <w:tbl>
      <w:tblPr>
        <w:tblW w:w="5000" w:type="pct"/>
        <w:jc w:val="center"/>
        <w:tblLayout w:type="fixed"/>
        <w:tblLook w:val="0000" w:firstRow="0" w:lastRow="0" w:firstColumn="0" w:lastColumn="0" w:noHBand="0" w:noVBand="0"/>
      </w:tblPr>
      <w:tblGrid>
        <w:gridCol w:w="9576"/>
      </w:tblGrid>
      <w:tr w:rsidR="00D075F6" w14:paraId="7F41BA92" w14:textId="77777777">
        <w:trPr>
          <w:jc w:val="center"/>
        </w:trPr>
        <w:tc>
          <w:tcPr>
            <w:tcW w:w="7920" w:type="dxa"/>
          </w:tcPr>
          <w:p w14:paraId="34591F11" w14:textId="77777777" w:rsidR="00D075F6" w:rsidRDefault="00734411">
            <w:pPr>
              <w:spacing w:before="200"/>
              <w:jc w:val="center"/>
            </w:pPr>
            <w:bookmarkStart w:id="196" w:name="tbl-claim-traceability"/>
            <w:r>
              <w:t>Tabla 4.7: Trazabilidad de claims, artefactos y alcance inferencial.</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D075F6" w14:paraId="51FD5DF1" w14:textId="77777777">
              <w:trPr>
                <w:tblHeader/>
                <w:jc w:val="center"/>
              </w:trPr>
              <w:tc>
                <w:tcPr>
                  <w:tcW w:w="1584" w:type="dxa"/>
                </w:tcPr>
                <w:p w14:paraId="5A09A26B" w14:textId="77777777" w:rsidR="00D075F6" w:rsidRDefault="00734411">
                  <w:pPr>
                    <w:jc w:val="center"/>
                  </w:pPr>
                  <w:r>
                    <w:rPr>
                      <w:b/>
                      <w:bCs/>
                    </w:rPr>
                    <w:t>Claim</w:t>
                  </w:r>
                </w:p>
              </w:tc>
              <w:tc>
                <w:tcPr>
                  <w:tcW w:w="1584" w:type="dxa"/>
                </w:tcPr>
                <w:p w14:paraId="3EA8DB82" w14:textId="77777777" w:rsidR="00D075F6" w:rsidRDefault="00734411">
                  <w:pPr>
                    <w:jc w:val="center"/>
                  </w:pPr>
                  <w:r>
                    <w:rPr>
                      <w:b/>
                      <w:bCs/>
                    </w:rPr>
                    <w:t>Evidencia en tesis</w:t>
                  </w:r>
                </w:p>
              </w:tc>
              <w:tc>
                <w:tcPr>
                  <w:tcW w:w="1584" w:type="dxa"/>
                </w:tcPr>
                <w:p w14:paraId="6EF9CEA2" w14:textId="77777777" w:rsidR="00D075F6" w:rsidRDefault="00734411">
                  <w:pPr>
                    <w:jc w:val="center"/>
                  </w:pPr>
                  <w:r>
                    <w:rPr>
                      <w:b/>
                      <w:bCs/>
                    </w:rPr>
                    <w:t>Artefacto fuente</w:t>
                  </w:r>
                </w:p>
              </w:tc>
              <w:tc>
                <w:tcPr>
                  <w:tcW w:w="1584" w:type="dxa"/>
                </w:tcPr>
                <w:p w14:paraId="007916D7" w14:textId="77777777" w:rsidR="00D075F6" w:rsidRDefault="00734411">
                  <w:pPr>
                    <w:jc w:val="center"/>
                  </w:pPr>
                  <w:r>
                    <w:rPr>
                      <w:b/>
                      <w:bCs/>
                    </w:rPr>
                    <w:t>Script / proceso</w:t>
                  </w:r>
                </w:p>
              </w:tc>
              <w:tc>
                <w:tcPr>
                  <w:tcW w:w="1584" w:type="dxa"/>
                </w:tcPr>
                <w:p w14:paraId="406DDE7E" w14:textId="77777777" w:rsidR="00D075F6" w:rsidRDefault="00734411">
                  <w:pPr>
                    <w:jc w:val="center"/>
                  </w:pPr>
                  <w:r>
                    <w:rPr>
                      <w:b/>
                      <w:bCs/>
                    </w:rPr>
                    <w:t>Alcance</w:t>
                  </w:r>
                </w:p>
              </w:tc>
            </w:tr>
            <w:tr w:rsidR="00D075F6" w14:paraId="173D401F" w14:textId="77777777">
              <w:trPr>
                <w:jc w:val="center"/>
              </w:trPr>
              <w:tc>
                <w:tcPr>
                  <w:tcW w:w="1584" w:type="dxa"/>
                </w:tcPr>
                <w:p w14:paraId="0009C783" w14:textId="77777777" w:rsidR="00D075F6" w:rsidRDefault="00734411">
                  <w:pPr>
                    <w:jc w:val="center"/>
                  </w:pPr>
                  <w:r>
                    <w:t>Existen diferencias globales entre métodos en fidelidad</w:t>
                  </w:r>
                </w:p>
              </w:tc>
              <w:tc>
                <w:tcPr>
                  <w:tcW w:w="1584" w:type="dxa"/>
                </w:tcPr>
                <w:p w14:paraId="1237A1B8" w14:textId="77777777" w:rsidR="00D075F6" w:rsidRDefault="00734411">
                  <w:pPr>
                    <w:jc w:val="center"/>
                  </w:pPr>
                  <w:r>
                    <w:t xml:space="preserve">Tablas </w:t>
                  </w:r>
                  <w:hyperlink w:anchor="tbl-friedman-fidelity">
                    <w:r>
                      <w:rPr>
                        <w:rStyle w:val="Hyperlink"/>
                      </w:rPr>
                      <w:t>4.2</w:t>
                    </w:r>
                  </w:hyperlink>
                  <w:r>
                    <w:t xml:space="preserve"> y </w:t>
                  </w:r>
                  <w:hyperlink w:anchor="tbl-nemenyi-fidelity">
                    <w:r>
                      <w:rPr>
                        <w:rStyle w:val="Hyperlink"/>
                      </w:rPr>
                      <w:t>4.3</w:t>
                    </w:r>
                  </w:hyperlink>
                </w:p>
              </w:tc>
              <w:tc>
                <w:tcPr>
                  <w:tcW w:w="1584" w:type="dxa"/>
                </w:tcPr>
                <w:p w14:paraId="7B43BB00" w14:textId="77777777" w:rsidR="00D075F6" w:rsidRDefault="00734411">
                  <w:pPr>
                    <w:jc w:val="center"/>
                  </w:pPr>
                  <w:r>
                    <w:t>outputs/analysis/paper_a_exp2_stats/friedman_results.csv, nemenyi_fidelity.csv</w:t>
                  </w:r>
                </w:p>
              </w:tc>
              <w:tc>
                <w:tcPr>
                  <w:tcW w:w="1584" w:type="dxa"/>
                </w:tcPr>
                <w:p w14:paraId="7069EE78" w14:textId="77777777" w:rsidR="00D075F6" w:rsidRDefault="00734411">
                  <w:pPr>
                    <w:jc w:val="center"/>
                  </w:pPr>
                  <w:r>
                    <w:t>scripts/run_exp2_statistical_analysis.py</w:t>
                  </w:r>
                </w:p>
              </w:tc>
              <w:tc>
                <w:tcPr>
                  <w:tcW w:w="1584" w:type="dxa"/>
                </w:tcPr>
                <w:p w14:paraId="2AEE68F5" w14:textId="77777777" w:rsidR="00D075F6" w:rsidRDefault="00734411">
                  <w:pPr>
                    <w:jc w:val="center"/>
                  </w:pPr>
                  <w:r>
                    <w:t>15 bloques Adult Income, cuatro métodos, cinco modelos</w:t>
                  </w:r>
                </w:p>
              </w:tc>
            </w:tr>
            <w:tr w:rsidR="00D075F6" w14:paraId="6878825E" w14:textId="77777777">
              <w:trPr>
                <w:jc w:val="center"/>
              </w:trPr>
              <w:tc>
                <w:tcPr>
                  <w:tcW w:w="1584" w:type="dxa"/>
                </w:tcPr>
                <w:p w14:paraId="23D192D2" w14:textId="77777777" w:rsidR="00D075F6" w:rsidRDefault="00734411">
                  <w:pPr>
                    <w:jc w:val="center"/>
                  </w:pPr>
                  <w:r>
                    <w:t>SHAP supera a LIME en fidelidad en la agregación del análisis global</w:t>
                  </w:r>
                </w:p>
              </w:tc>
              <w:tc>
                <w:tcPr>
                  <w:tcW w:w="1584" w:type="dxa"/>
                </w:tcPr>
                <w:p w14:paraId="39FA468D" w14:textId="77777777" w:rsidR="00D075F6" w:rsidRDefault="00734411">
                  <w:pPr>
                    <w:jc w:val="center"/>
                  </w:pPr>
                  <w:r>
                    <w:t xml:space="preserve">Seguimiento dirigido tras la Tabla </w:t>
                  </w:r>
                  <w:hyperlink w:anchor="tbl-nemenyi-fidelity">
                    <w:r>
                      <w:rPr>
                        <w:rStyle w:val="Hyperlink"/>
                      </w:rPr>
                      <w:t>4.3</w:t>
                    </w:r>
                  </w:hyperlink>
                </w:p>
              </w:tc>
              <w:tc>
                <w:tcPr>
                  <w:tcW w:w="1584" w:type="dxa"/>
                </w:tcPr>
                <w:p w14:paraId="517154E8" w14:textId="77777777" w:rsidR="00D075F6" w:rsidRDefault="00734411">
                  <w:pPr>
                    <w:jc w:val="center"/>
                  </w:pPr>
                  <w:r>
                    <w:t>paired_blocks_shap_lime.csv, wilcoxon_shap_lime_blocks.csv, sign_test_shap_lime_blocks.csv</w:t>
                  </w:r>
                </w:p>
              </w:tc>
              <w:tc>
                <w:tcPr>
                  <w:tcW w:w="1584" w:type="dxa"/>
                </w:tcPr>
                <w:p w14:paraId="03D31F47" w14:textId="77777777" w:rsidR="00D075F6" w:rsidRDefault="00734411">
                  <w:pPr>
                    <w:jc w:val="center"/>
                  </w:pPr>
                  <w:r>
                    <w:t>scripts/run_exp2_block_paired_analysis.py</w:t>
                  </w:r>
                </w:p>
              </w:tc>
              <w:tc>
                <w:tcPr>
                  <w:tcW w:w="1584" w:type="dxa"/>
                </w:tcPr>
                <w:p w14:paraId="556395D9" w14:textId="77777777" w:rsidR="00D075F6" w:rsidRDefault="00734411">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análisis motivado por revisión, distinto del H3 de 75 celdas</w:t>
                  </w:r>
                </w:p>
              </w:tc>
            </w:tr>
            <w:tr w:rsidR="00D075F6" w14:paraId="6C2CFFB2" w14:textId="77777777">
              <w:trPr>
                <w:jc w:val="center"/>
              </w:trPr>
              <w:tc>
                <w:tcPr>
                  <w:tcW w:w="1584" w:type="dxa"/>
                </w:tcPr>
                <w:p w14:paraId="722E367F" w14:textId="77777777" w:rsidR="00D075F6" w:rsidRDefault="00734411">
                  <w:pPr>
                    <w:jc w:val="center"/>
                  </w:pPr>
                  <w:r>
                    <w:t>Existen diferencias globales entre métodos en estabilidad</w:t>
                  </w:r>
                </w:p>
              </w:tc>
              <w:tc>
                <w:tcPr>
                  <w:tcW w:w="1584" w:type="dxa"/>
                </w:tcPr>
                <w:p w14:paraId="71EDAAFB" w14:textId="77777777" w:rsidR="00D075F6" w:rsidRDefault="00734411">
                  <w:pPr>
                    <w:jc w:val="center"/>
                  </w:pPr>
                  <w:r>
                    <w:t xml:space="preserve">Tabla </w:t>
                  </w:r>
                  <w:hyperlink w:anchor="tbl-friedman-stability">
                    <w:r>
                      <w:rPr>
                        <w:rStyle w:val="Hyperlink"/>
                      </w:rPr>
                      <w:t>4.4</w:t>
                    </w:r>
                  </w:hyperlink>
                  <w:r>
                    <w:t xml:space="preserve"> y localización Nemenyi en texto</w:t>
                  </w:r>
                </w:p>
              </w:tc>
              <w:tc>
                <w:tcPr>
                  <w:tcW w:w="1584" w:type="dxa"/>
                </w:tcPr>
                <w:p w14:paraId="45C56156" w14:textId="77777777" w:rsidR="00D075F6" w:rsidRDefault="00734411">
                  <w:pPr>
                    <w:jc w:val="center"/>
                  </w:pPr>
                  <w:r>
                    <w:t>friedman_results.csv, nemenyi_stability.csv</w:t>
                  </w:r>
                </w:p>
              </w:tc>
              <w:tc>
                <w:tcPr>
                  <w:tcW w:w="1584" w:type="dxa"/>
                </w:tcPr>
                <w:p w14:paraId="4033E759" w14:textId="77777777" w:rsidR="00D075F6" w:rsidRDefault="00734411">
                  <w:pPr>
                    <w:jc w:val="center"/>
                  </w:pPr>
                  <w:r>
                    <w:t>scripts/run_exp2_statistical_analysis.py</w:t>
                  </w:r>
                </w:p>
              </w:tc>
              <w:tc>
                <w:tcPr>
                  <w:tcW w:w="1584" w:type="dxa"/>
                </w:tcPr>
                <w:p w14:paraId="223F29A2" w14:textId="77777777" w:rsidR="00D075F6" w:rsidRDefault="00734411">
                  <w:pPr>
                    <w:jc w:val="center"/>
                  </w:pPr>
                  <w:r>
                    <w:t>Mismo diseño de bloques; estabilidad como similitud coseno</w:t>
                  </w:r>
                </w:p>
              </w:tc>
            </w:tr>
            <w:tr w:rsidR="00D075F6" w14:paraId="689308E9" w14:textId="77777777">
              <w:trPr>
                <w:jc w:val="center"/>
              </w:trPr>
              <w:tc>
                <w:tcPr>
                  <w:tcW w:w="1584" w:type="dxa"/>
                </w:tcPr>
                <w:p w14:paraId="155A3352" w14:textId="77777777" w:rsidR="00D075F6" w:rsidRDefault="00734411">
                  <w:pPr>
                    <w:jc w:val="center"/>
                  </w:pPr>
                  <w:r>
                    <w:t>SHAP supera a LIME en fidelidad y estabilidad pero aumenta el coste medio</w:t>
                  </w:r>
                </w:p>
              </w:tc>
              <w:tc>
                <w:tcPr>
                  <w:tcW w:w="1584" w:type="dxa"/>
                </w:tcPr>
                <w:p w14:paraId="406F9ABE" w14:textId="77777777" w:rsidR="00D075F6" w:rsidRDefault="00734411">
                  <w:pPr>
                    <w:jc w:val="center"/>
                  </w:pPr>
                  <w:r>
                    <w:t xml:space="preserve">Tabla </w:t>
                  </w:r>
                  <w:hyperlink w:anchor="tbl-paired-shap-lime">
                    <w:r>
                      <w:rPr>
                        <w:rStyle w:val="Hyperlink"/>
                      </w:rPr>
                      <w:t>4.5</w:t>
                    </w:r>
                  </w:hyperlink>
                </w:p>
              </w:tc>
              <w:tc>
                <w:tcPr>
                  <w:tcW w:w="1584" w:type="dxa"/>
                </w:tcPr>
                <w:p w14:paraId="14904F95" w14:textId="77777777" w:rsidR="00D075F6" w:rsidRDefault="00734411">
                  <w:pPr>
                    <w:jc w:val="center"/>
                  </w:pPr>
                  <w:r>
                    <w:t>wilcoxon_shap_lime_all_models.csv, paired_cells_shap_lime_all_models.csv</w:t>
                  </w:r>
                </w:p>
              </w:tc>
              <w:tc>
                <w:tcPr>
                  <w:tcW w:w="1584" w:type="dxa"/>
                </w:tcPr>
                <w:p w14:paraId="7F49B176" w14:textId="77777777" w:rsidR="00D075F6" w:rsidRDefault="00734411">
                  <w:pPr>
                    <w:jc w:val="center"/>
                  </w:pPr>
                  <w:r>
                    <w:t>scripts/run_exp2_statistical_analysis.py</w:t>
                  </w:r>
                </w:p>
              </w:tc>
              <w:tc>
                <w:tcPr>
                  <w:tcW w:w="1584" w:type="dxa"/>
                </w:tcPr>
                <w:p w14:paraId="4929EDC2" w14:textId="77777777" w:rsidR="00D075F6" w:rsidRDefault="00734411">
                  <w:pPr>
                    <w:jc w:val="center"/>
                  </w:pPr>
                  <w:r>
                    <w:t xml:space="preserve">75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no generaliza fuera de Adult/tabular</w:t>
                  </w:r>
                </w:p>
              </w:tc>
            </w:tr>
            <w:tr w:rsidR="00D075F6" w14:paraId="3CC5B4C6" w14:textId="77777777">
              <w:trPr>
                <w:jc w:val="center"/>
              </w:trPr>
              <w:tc>
                <w:tcPr>
                  <w:tcW w:w="1584" w:type="dxa"/>
                </w:tcPr>
                <w:p w14:paraId="6BC9BFE3" w14:textId="77777777" w:rsidR="00D075F6" w:rsidRDefault="00734411">
                  <w:pPr>
                    <w:jc w:val="center"/>
                  </w:pPr>
                  <w:r>
                    <w:t>FOM-7 produce señales reproducibles para métricas principales</w:t>
                  </w:r>
                </w:p>
              </w:tc>
              <w:tc>
                <w:tcPr>
                  <w:tcW w:w="1584" w:type="dxa"/>
                </w:tcPr>
                <w:p w14:paraId="35D36139" w14:textId="77777777" w:rsidR="00D075F6" w:rsidRDefault="00734411">
                  <w:pPr>
                    <w:jc w:val="center"/>
                  </w:pPr>
                  <w:r>
                    <w:t xml:space="preserve">Tabla </w:t>
                  </w:r>
                  <w:hyperlink w:anchor="tbl-cv-p1">
                    <w:r>
                      <w:rPr>
                        <w:rStyle w:val="Hyperlink"/>
                      </w:rPr>
                      <w:t>4.6</w:t>
                    </w:r>
                  </w:hyperlink>
                </w:p>
              </w:tc>
              <w:tc>
                <w:tcPr>
                  <w:tcW w:w="1584" w:type="dxa"/>
                </w:tcPr>
                <w:p w14:paraId="0945A7FE" w14:textId="77777777" w:rsidR="00D075F6" w:rsidRDefault="00734411">
                  <w:pPr>
                    <w:jc w:val="center"/>
                  </w:pPr>
                  <w:r>
                    <w:t>outputs/analysis/paper_a_exp2_stats/exp2_run_level_metrics.csv (estrato RF/</w:t>
                  </w:r>
                  <m:oMath>
                    <m:r>
                      <w:rPr>
                        <w:rFonts w:ascii="Cambria Math" w:hAnsi="Cambria Math"/>
                      </w:rPr>
                      <m:t>N</m:t>
                    </m:r>
                    <m:r>
                      <m:rPr>
                        <m:sty m:val="p"/>
                      </m:rPr>
                      <w:rPr>
                        <w:rFonts w:ascii="Cambria Math" w:hAnsi="Cambria Math"/>
                      </w:rPr>
                      <m:t>=</m:t>
                    </m:r>
                    <m:r>
                      <w:rPr>
                        <w:rFonts w:ascii="Cambria Math" w:hAnsi="Cambria Math"/>
                      </w:rPr>
                      <m:t>100</m:t>
                    </m:r>
                  </m:oMath>
                  <w:r>
                    <w:t>, cinco semillas); perfil complementario en experiments/exp1_adult/reproducibility/reproducibility_report.csv</w:t>
                  </w:r>
                </w:p>
              </w:tc>
              <w:tc>
                <w:tcPr>
                  <w:tcW w:w="1584" w:type="dxa"/>
                </w:tcPr>
                <w:p w14:paraId="504A7E69" w14:textId="77777777" w:rsidR="00D075F6" w:rsidRDefault="00734411">
                  <w:pPr>
                    <w:jc w:val="center"/>
                  </w:pPr>
                  <w:r>
                    <w:t>Agregación por celda desde el nivel de ejecución</w:t>
                  </w:r>
                </w:p>
              </w:tc>
              <w:tc>
                <w:tcPr>
                  <w:tcW w:w="1584" w:type="dxa"/>
                </w:tcPr>
                <w:p w14:paraId="54E05264" w14:textId="77777777" w:rsidR="00D075F6" w:rsidRDefault="00734411">
                  <w:pPr>
                    <w:jc w:val="center"/>
                  </w:pPr>
                  <w:r>
                    <w:t>Confirmación parcial; LIME-estabilidad queda limitada por media cercana a cero</w:t>
                  </w:r>
                </w:p>
              </w:tc>
            </w:tr>
            <w:tr w:rsidR="00D075F6" w14:paraId="5EE9C6AA" w14:textId="77777777">
              <w:trPr>
                <w:jc w:val="center"/>
              </w:trPr>
              <w:tc>
                <w:tcPr>
                  <w:tcW w:w="1584" w:type="dxa"/>
                </w:tcPr>
                <w:p w14:paraId="07B4DFBB" w14:textId="77777777" w:rsidR="00D075F6" w:rsidRDefault="00734411">
                  <w:pPr>
                    <w:jc w:val="center"/>
                  </w:pPr>
                  <w:r>
                    <w:t>La cobertura faltante no invalida las pruebas confirmativas principales</w:t>
                  </w:r>
                </w:p>
              </w:tc>
              <w:tc>
                <w:tcPr>
                  <w:tcW w:w="1584" w:type="dxa"/>
                </w:tcPr>
                <w:p w14:paraId="40F7CD91" w14:textId="77777777" w:rsidR="00D075F6" w:rsidRDefault="00734411">
                  <w:pPr>
                    <w:jc w:val="center"/>
                  </w:pPr>
                  <w:r>
                    <w:t>Capítulo 3, tablas de cobertura</w:t>
                  </w:r>
                </w:p>
              </w:tc>
              <w:tc>
                <w:tcPr>
                  <w:tcW w:w="1584" w:type="dxa"/>
                </w:tcPr>
                <w:p w14:paraId="7D961C33" w14:textId="77777777" w:rsidR="00D075F6" w:rsidRDefault="00734411">
                  <w:pPr>
                    <w:jc w:val="center"/>
                  </w:pPr>
                  <w:r>
                    <w:t>exp2_run_inventory.csv, árbol experiments/exp2_scaled/results/</w:t>
                  </w:r>
                </w:p>
              </w:tc>
              <w:tc>
                <w:tcPr>
                  <w:tcW w:w="1584" w:type="dxa"/>
                </w:tcPr>
                <w:p w14:paraId="02C4B948" w14:textId="77777777" w:rsidR="00D075F6" w:rsidRDefault="00734411">
                  <w:pPr>
                    <w:jc w:val="center"/>
                  </w:pPr>
                  <w:r>
                    <w:t>Auditoría FOM-7 puerta 3</w:t>
                  </w:r>
                </w:p>
              </w:tc>
              <w:tc>
                <w:tcPr>
                  <w:tcW w:w="1584" w:type="dxa"/>
                </w:tcPr>
                <w:p w14:paraId="5004B03C" w14:textId="77777777" w:rsidR="00D075F6" w:rsidRDefault="00734411">
                  <w:pPr>
                    <w:jc w:val="center"/>
                  </w:pPr>
                  <w:r>
                    <w:t>Afecta precisión de Anchors/DiCE; no afecta SHAP-LIME pareado</w:t>
                  </w:r>
                </w:p>
              </w:tc>
            </w:tr>
            <w:bookmarkEnd w:id="196"/>
          </w:tbl>
          <w:p w14:paraId="49774292" w14:textId="77777777" w:rsidR="00D075F6" w:rsidRDefault="00D075F6"/>
        </w:tc>
      </w:tr>
    </w:tbl>
    <w:p w14:paraId="179F6396" w14:textId="77777777" w:rsidR="00D075F6" w:rsidRDefault="00734411">
      <w:pPr>
        <w:pStyle w:val="Heading2"/>
      </w:pPr>
      <w:bookmarkStart w:id="197" w:name="sec-visualizaciones-resultados"/>
      <w:bookmarkStart w:id="198" w:name="_Toc241413317"/>
      <w:bookmarkEnd w:id="194"/>
      <w:r>
        <w:t>4.8 Visualizaciones complementarias</w:t>
      </w:r>
      <w:bookmarkEnd w:id="198"/>
    </w:p>
    <w:p w14:paraId="58BC1E60" w14:textId="77777777" w:rsidR="00D075F6" w:rsidRDefault="00734411">
      <w:r>
        <w:t xml:space="preserve">Las tablas inferenciales son la evidencia primaria del capítulo. Las figuras </w:t>
      </w:r>
      <w:r>
        <w:t>siguientes se incluyen como apoyo visual para inspeccionar patrones multimétricos y relaciones entre constructos. No sustituyen las pruebas estadísticas, pero ayudan a detectar si los resultados tabulares son coherentes con la estructura global de los datos.</w:t>
      </w:r>
    </w:p>
    <w:tbl>
      <w:tblPr>
        <w:tblW w:w="5000" w:type="pct"/>
        <w:jc w:val="center"/>
        <w:tblLayout w:type="fixed"/>
        <w:tblLook w:val="0000" w:firstRow="0" w:lastRow="0" w:firstColumn="0" w:lastColumn="0" w:noHBand="0" w:noVBand="0"/>
      </w:tblPr>
      <w:tblGrid>
        <w:gridCol w:w="9576"/>
      </w:tblGrid>
      <w:tr w:rsidR="00D075F6" w14:paraId="04E8229B" w14:textId="77777777">
        <w:trPr>
          <w:jc w:val="center"/>
        </w:trPr>
        <w:tc>
          <w:tcPr>
            <w:tcW w:w="7920" w:type="dxa"/>
          </w:tcPr>
          <w:p w14:paraId="43E61B25" w14:textId="77777777" w:rsidR="00D075F6" w:rsidRDefault="00734411">
            <w:pPr>
              <w:jc w:val="center"/>
            </w:pPr>
            <w:bookmarkStart w:id="199" w:name="fig-estabilidad-coste"/>
            <w:r>
              <w:rPr>
                <w:noProof/>
              </w:rPr>
              <w:drawing>
                <wp:inline distT="0" distB="0" distL="0" distR="0" wp14:anchorId="3AB801B0" wp14:editId="4025944E">
                  <wp:extent cx="5052060" cy="3154709"/>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assets/figures/fig_estabilidad_coste_es.png"/>
                          <pic:cNvPicPr>
                            <a:picLocks noChangeAspect="1" noChangeArrowheads="1"/>
                          </pic:cNvPicPr>
                        </pic:nvPicPr>
                        <pic:blipFill>
                          <a:blip r:embed="rId7"/>
                          <a:stretch>
                            <a:fillRect/>
                          </a:stretch>
                        </pic:blipFill>
                        <pic:spPr bwMode="auto">
                          <a:xfrm>
                            <a:off x="0" y="0"/>
                            <a:ext cx="5052060" cy="3154709"/>
                          </a:xfrm>
                          <a:prstGeom prst="rect">
                            <a:avLst/>
                          </a:prstGeom>
                          <a:noFill/>
                          <a:ln w="9525">
                            <a:noFill/>
                            <a:headEnd/>
                            <a:tailEnd/>
                          </a:ln>
                        </pic:spPr>
                      </pic:pic>
                    </a:graphicData>
                  </a:graphic>
                </wp:inline>
              </w:drawing>
            </w:r>
          </w:p>
          <w:p w14:paraId="6DAC4536" w14:textId="77777777" w:rsidR="00D075F6" w:rsidRDefault="00734411">
            <w:pPr>
              <w:spacing w:before="200"/>
              <w:jc w:val="center"/>
            </w:pPr>
            <w:r>
              <w:t>Figura 4.1: Relación entre estabilidad y coste por método. La figura muestra la relación entre consistencia explicativa y coste computacional bajo las condiciones del banco de pruebas.</w:t>
            </w:r>
          </w:p>
        </w:tc>
        <w:bookmarkEnd w:id="199"/>
      </w:tr>
    </w:tbl>
    <w:p w14:paraId="58843CB2"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17644C85" w14:textId="77777777">
        <w:trPr>
          <w:jc w:val="center"/>
        </w:trPr>
        <w:tc>
          <w:tcPr>
            <w:tcW w:w="7920" w:type="dxa"/>
          </w:tcPr>
          <w:p w14:paraId="64194ED4" w14:textId="77777777" w:rsidR="00D075F6" w:rsidRDefault="00734411">
            <w:pPr>
              <w:jc w:val="center"/>
            </w:pPr>
            <w:bookmarkStart w:id="200" w:name="fig-correlacion-metricas"/>
            <w:r>
              <w:rPr>
                <w:noProof/>
              </w:rPr>
              <w:drawing>
                <wp:inline distT="0" distB="0" distL="0" distR="0" wp14:anchorId="7CB7463B" wp14:editId="1E0E33BB">
                  <wp:extent cx="5052060" cy="3860951"/>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assets/figures/fig_correlacion_metricas_es.png"/>
                          <pic:cNvPicPr>
                            <a:picLocks noChangeAspect="1" noChangeArrowheads="1"/>
                          </pic:cNvPicPr>
                        </pic:nvPicPr>
                        <pic:blipFill>
                          <a:blip r:embed="rId8"/>
                          <a:stretch>
                            <a:fillRect/>
                          </a:stretch>
                        </pic:blipFill>
                        <pic:spPr bwMode="auto">
                          <a:xfrm>
                            <a:off x="0" y="0"/>
                            <a:ext cx="5052060" cy="3860951"/>
                          </a:xfrm>
                          <a:prstGeom prst="rect">
                            <a:avLst/>
                          </a:prstGeom>
                          <a:noFill/>
                          <a:ln w="9525">
                            <a:noFill/>
                            <a:headEnd/>
                            <a:tailEnd/>
                          </a:ln>
                        </pic:spPr>
                      </pic:pic>
                    </a:graphicData>
                  </a:graphic>
                </wp:inline>
              </w:drawing>
            </w:r>
          </w:p>
          <w:p w14:paraId="39F216DF" w14:textId="77777777" w:rsidR="00D075F6" w:rsidRDefault="00734411">
            <w:pPr>
              <w:spacing w:before="200"/>
              <w:jc w:val="center"/>
            </w:pPr>
            <w:r>
              <w:t>Figura 4.2: Correlación entre métricas del banco de pruebas. La matriz permite inspeccionar relaciones empíricas entre constructos y refuerza la necesidad de evitar una lectura mono-métrica de la calidad explicativa.</w:t>
            </w:r>
          </w:p>
        </w:tc>
        <w:bookmarkEnd w:id="200"/>
      </w:tr>
    </w:tbl>
    <w:p w14:paraId="7DD8462E"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1F66DF18" w14:textId="77777777">
        <w:trPr>
          <w:jc w:val="center"/>
        </w:trPr>
        <w:tc>
          <w:tcPr>
            <w:tcW w:w="7920" w:type="dxa"/>
          </w:tcPr>
          <w:p w14:paraId="6D0957EE" w14:textId="77777777" w:rsidR="00D075F6" w:rsidRDefault="00734411">
            <w:pPr>
              <w:jc w:val="center"/>
            </w:pPr>
            <w:bookmarkStart w:id="201" w:name="fig-cobertura-exp2"/>
            <w:r>
              <w:rPr>
                <w:noProof/>
              </w:rPr>
              <w:drawing>
                <wp:inline distT="0" distB="0" distL="0" distR="0" wp14:anchorId="21E34ECC" wp14:editId="2852B4FD">
                  <wp:extent cx="5052060" cy="3412866"/>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assets/figures/fig_cobertura_exp2_es.png"/>
                          <pic:cNvPicPr>
                            <a:picLocks noChangeAspect="1" noChangeArrowheads="1"/>
                          </pic:cNvPicPr>
                        </pic:nvPicPr>
                        <pic:blipFill>
                          <a:blip r:embed="rId9"/>
                          <a:stretch>
                            <a:fillRect/>
                          </a:stretch>
                        </pic:blipFill>
                        <pic:spPr bwMode="auto">
                          <a:xfrm>
                            <a:off x="0" y="0"/>
                            <a:ext cx="5052060" cy="3412866"/>
                          </a:xfrm>
                          <a:prstGeom prst="rect">
                            <a:avLst/>
                          </a:prstGeom>
                          <a:noFill/>
                          <a:ln w="9525">
                            <a:noFill/>
                            <a:headEnd/>
                            <a:tailEnd/>
                          </a:ln>
                        </pic:spPr>
                      </pic:pic>
                    </a:graphicData>
                  </a:graphic>
                </wp:inline>
              </w:drawing>
            </w:r>
          </w:p>
          <w:p w14:paraId="1A7F442B" w14:textId="77777777" w:rsidR="00D075F6" w:rsidRDefault="00734411">
            <w:pPr>
              <w:spacing w:before="200"/>
              <w:jc w:val="center"/>
            </w:pPr>
            <w:r>
              <w:t>Figura 4.3: Cobertura analítica EXP2 por modelo y método. La figura muestra cuántas de las 15 celdas planificadas por combinación superan la auditoría de integridad FOM-7.</w:t>
            </w:r>
          </w:p>
        </w:tc>
        <w:bookmarkEnd w:id="201"/>
      </w:tr>
    </w:tbl>
    <w:p w14:paraId="48895B68"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3E87E8A1" w14:textId="77777777">
        <w:trPr>
          <w:jc w:val="center"/>
        </w:trPr>
        <w:tc>
          <w:tcPr>
            <w:tcW w:w="7920" w:type="dxa"/>
          </w:tcPr>
          <w:p w14:paraId="58848DC1" w14:textId="77777777" w:rsidR="00D075F6" w:rsidRDefault="00734411">
            <w:pPr>
              <w:jc w:val="center"/>
            </w:pPr>
            <w:bookmarkStart w:id="202" w:name="fig-cd-diagram"/>
            <w:r>
              <w:rPr>
                <w:noProof/>
              </w:rPr>
              <w:drawing>
                <wp:inline distT="0" distB="0" distL="0" distR="0" wp14:anchorId="07F60F54" wp14:editId="05B6AC96">
                  <wp:extent cx="5646420" cy="1801452"/>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assets/figures/fig_cd_diagram_es.png"/>
                          <pic:cNvPicPr>
                            <a:picLocks noChangeAspect="1" noChangeArrowheads="1"/>
                          </pic:cNvPicPr>
                        </pic:nvPicPr>
                        <pic:blipFill>
                          <a:blip r:embed="rId10"/>
                          <a:stretch>
                            <a:fillRect/>
                          </a:stretch>
                        </pic:blipFill>
                        <pic:spPr bwMode="auto">
                          <a:xfrm>
                            <a:off x="0" y="0"/>
                            <a:ext cx="5646420" cy="1801452"/>
                          </a:xfrm>
                          <a:prstGeom prst="rect">
                            <a:avLst/>
                          </a:prstGeom>
                          <a:noFill/>
                          <a:ln w="9525">
                            <a:noFill/>
                            <a:headEnd/>
                            <a:tailEnd/>
                          </a:ln>
                        </pic:spPr>
                      </pic:pic>
                    </a:graphicData>
                  </a:graphic>
                </wp:inline>
              </w:drawing>
            </w:r>
          </w:p>
          <w:p w14:paraId="703F114F" w14:textId="77777777" w:rsidR="00D075F6" w:rsidRDefault="00734411">
            <w:pPr>
              <w:spacing w:before="200"/>
              <w:jc w:val="center"/>
            </w:pPr>
            <w:r>
              <w:t xml:space="preserve">Figura 4.4: Diagrama de diferencia crítica de Nemenyi para fidelidad (izquierda) y </w:t>
            </w:r>
            <w:r>
              <w:t>estabilidad (derecha). El eje horizontal muestra los rangos medios; las barras horizontales gruesas conectan métodos no significativamente distintos (diferencia &lt; DC = 1.211, k=4, n=15, α=0.05). En fidelidad, SHAP y LIME forman un grupo indistinguible entre sí, al igual que Anchors y DiCE; ambos grupos son mutuamente distintos. En estabilidad, el reordenamiento es notable: SHAP y DiCE forman el grupo estable, mientras LIME y Anchors son indistinguibles entre sí pero claramente inferiores.</w:t>
            </w:r>
          </w:p>
        </w:tc>
        <w:bookmarkEnd w:id="202"/>
      </w:tr>
    </w:tbl>
    <w:p w14:paraId="7EF435BC"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15F144FF" w14:textId="77777777">
        <w:trPr>
          <w:jc w:val="center"/>
        </w:trPr>
        <w:tc>
          <w:tcPr>
            <w:tcW w:w="7920" w:type="dxa"/>
          </w:tcPr>
          <w:p w14:paraId="79BE77E9" w14:textId="77777777" w:rsidR="00D075F6" w:rsidRDefault="00734411">
            <w:pPr>
              <w:jc w:val="center"/>
            </w:pPr>
            <w:bookmarkStart w:id="203" w:name="fig-boxplots-metricas"/>
            <w:r>
              <w:rPr>
                <w:noProof/>
              </w:rPr>
              <w:drawing>
                <wp:inline distT="0" distB="0" distL="0" distR="0" wp14:anchorId="4C07AA44" wp14:editId="5D1BE03F">
                  <wp:extent cx="5646420" cy="2662237"/>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assets/figures/fig_boxplots_metricas_es.png"/>
                          <pic:cNvPicPr>
                            <a:picLocks noChangeAspect="1" noChangeArrowheads="1"/>
                          </pic:cNvPicPr>
                        </pic:nvPicPr>
                        <pic:blipFill>
                          <a:blip r:embed="rId11"/>
                          <a:stretch>
                            <a:fillRect/>
                          </a:stretch>
                        </pic:blipFill>
                        <pic:spPr bwMode="auto">
                          <a:xfrm>
                            <a:off x="0" y="0"/>
                            <a:ext cx="5646420" cy="2662237"/>
                          </a:xfrm>
                          <a:prstGeom prst="rect">
                            <a:avLst/>
                          </a:prstGeom>
                          <a:noFill/>
                          <a:ln w="9525">
                            <a:noFill/>
                            <a:headEnd/>
                            <a:tailEnd/>
                          </a:ln>
                        </pic:spPr>
                      </pic:pic>
                    </a:graphicData>
                  </a:graphic>
                </wp:inline>
              </w:drawing>
            </w:r>
          </w:p>
          <w:p w14:paraId="1B0B2759" w14:textId="77777777" w:rsidR="00D075F6" w:rsidRDefault="00734411">
            <w:pPr>
              <w:spacing w:before="200"/>
              <w:jc w:val="center"/>
            </w:pPr>
            <w:r>
              <w:t xml:space="preserve">Figura 4.5: Distribución de fidelidad (izquierda) y estabilidad (derecha) por método sobre los 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diseño factorial. Cada punto representa un bloque; la caja muestra el rango intercuartílico; la línea interna, la mediana. Para fidelidad, las cajas de SHAP y LIME no se solapan con las de Anchors y DiCE. Para estabilidad, la caja de LIME colapsa casi en cero (mediana ≈ 0.014), confirmando que la inestabilidad afecta a todos los bloques del benchmark y no a un subconjunto de modelos.</w:t>
            </w:r>
          </w:p>
        </w:tc>
        <w:bookmarkEnd w:id="203"/>
      </w:tr>
    </w:tbl>
    <w:p w14:paraId="63F09EEF"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17956C66" w14:textId="77777777">
        <w:trPr>
          <w:jc w:val="center"/>
        </w:trPr>
        <w:tc>
          <w:tcPr>
            <w:tcW w:w="7920" w:type="dxa"/>
          </w:tcPr>
          <w:p w14:paraId="210E2EC9" w14:textId="77777777" w:rsidR="00D075F6" w:rsidRDefault="00734411">
            <w:pPr>
              <w:jc w:val="center"/>
            </w:pPr>
            <w:bookmarkStart w:id="204" w:name="fig-diferencias-pareadas"/>
            <w:r>
              <w:rPr>
                <w:noProof/>
              </w:rPr>
              <w:drawing>
                <wp:inline distT="0" distB="0" distL="0" distR="0" wp14:anchorId="1176C029" wp14:editId="13B68E42">
                  <wp:extent cx="5646420" cy="2357586"/>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assets/figures/fig_diferencias_pareadas_es.png"/>
                          <pic:cNvPicPr>
                            <a:picLocks noChangeAspect="1" noChangeArrowheads="1"/>
                          </pic:cNvPicPr>
                        </pic:nvPicPr>
                        <pic:blipFill>
                          <a:blip r:embed="rId12"/>
                          <a:stretch>
                            <a:fillRect/>
                          </a:stretch>
                        </pic:blipFill>
                        <pic:spPr bwMode="auto">
                          <a:xfrm>
                            <a:off x="0" y="0"/>
                            <a:ext cx="5646420" cy="2357586"/>
                          </a:xfrm>
                          <a:prstGeom prst="rect">
                            <a:avLst/>
                          </a:prstGeom>
                          <a:noFill/>
                          <a:ln w="9525">
                            <a:noFill/>
                            <a:headEnd/>
                            <a:tailEnd/>
                          </a:ln>
                        </pic:spPr>
                      </pic:pic>
                    </a:graphicData>
                  </a:graphic>
                </wp:inline>
              </w:drawing>
            </w:r>
          </w:p>
          <w:p w14:paraId="3825A771" w14:textId="77777777" w:rsidR="00D075F6" w:rsidRDefault="00734411">
            <w:pPr>
              <w:spacing w:before="200"/>
              <w:jc w:val="center"/>
            </w:pPr>
            <w:r>
              <w:t xml:space="preserve">Figura 4.6: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 (izquierda) y estabilidad (derecha)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análisis pareado. Las barras azules indican ventaja de SHAP; las rojas, ventaja de LIME. Para fidelidad, las 75/75 diferencias son positivas (media = +0.248;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para estabilidad, las 75/75 diferencias también son positivas (media = +0.718;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La ausencia de barras rojas confirma que la ventaja de SHAP no es un artefacto de valores atípicos.</w:t>
            </w:r>
          </w:p>
        </w:tc>
        <w:bookmarkEnd w:id="204"/>
      </w:tr>
    </w:tbl>
    <w:p w14:paraId="5A6C506E"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3AA486F1" w14:textId="77777777">
        <w:trPr>
          <w:jc w:val="center"/>
        </w:trPr>
        <w:tc>
          <w:tcPr>
            <w:tcW w:w="7920" w:type="dxa"/>
          </w:tcPr>
          <w:p w14:paraId="085681D4" w14:textId="77777777" w:rsidR="00D075F6" w:rsidRDefault="00734411">
            <w:pPr>
              <w:jc w:val="center"/>
            </w:pPr>
            <w:bookmarkStart w:id="205" w:name="fig-radar-metodos"/>
            <w:r>
              <w:rPr>
                <w:noProof/>
              </w:rPr>
              <w:drawing>
                <wp:inline distT="0" distB="0" distL="0" distR="0" wp14:anchorId="5D7C37A4" wp14:editId="016F7B3A">
                  <wp:extent cx="4160520" cy="358274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assets/figures/fig_radar_metodos_es.png"/>
                          <pic:cNvPicPr>
                            <a:picLocks noChangeAspect="1" noChangeArrowheads="1"/>
                          </pic:cNvPicPr>
                        </pic:nvPicPr>
                        <pic:blipFill>
                          <a:blip r:embed="rId13"/>
                          <a:stretch>
                            <a:fillRect/>
                          </a:stretch>
                        </pic:blipFill>
                        <pic:spPr bwMode="auto">
                          <a:xfrm>
                            <a:off x="0" y="0"/>
                            <a:ext cx="4160520" cy="3582746"/>
                          </a:xfrm>
                          <a:prstGeom prst="rect">
                            <a:avLst/>
                          </a:prstGeom>
                          <a:noFill/>
                          <a:ln w="9525">
                            <a:noFill/>
                            <a:headEnd/>
                            <a:tailEnd/>
                          </a:ln>
                        </pic:spPr>
                      </pic:pic>
                    </a:graphicData>
                  </a:graphic>
                </wp:inline>
              </w:drawing>
            </w:r>
          </w:p>
          <w:p w14:paraId="79BF4AC6" w14:textId="77777777" w:rsidR="00D075F6" w:rsidRDefault="00734411">
            <w:pPr>
              <w:spacing w:before="200"/>
              <w:jc w:val="center"/>
            </w:pPr>
            <w:r>
              <w:t xml:space="preserve">Figura 4.7: Perfil multidimensional normalizado por método en cinco ejes (radio mayor = mejor desempeño). Fidelidad y estabilidad se normalizan directamente; parsimonia y eficiencia de coste se invierten para que el exterior represente en todos los ejes la posición más favorable. Ningún método domina en todos los ejes simultáneamente: SHAP lidera en fidelidad, estabilidad y brecha de fidelidad; LIME en parsimonia y eficiencia de coste; DiCE es intermedio en estabilidad </w:t>
            </w:r>
            <w:r>
              <w:t>pero muy bajo en fidelidad. Este patrón valida la necesidad del enfoque multi-métrico de FOM-7.</w:t>
            </w:r>
          </w:p>
        </w:tc>
        <w:bookmarkEnd w:id="205"/>
      </w:tr>
    </w:tbl>
    <w:p w14:paraId="54D98C83" w14:textId="77777777" w:rsidR="00D075F6" w:rsidRDefault="00734411">
      <w:pPr>
        <w:pStyle w:val="Heading2"/>
      </w:pPr>
      <w:bookmarkStart w:id="206" w:name="sec-discusion"/>
      <w:bookmarkStart w:id="207" w:name="_Toc241413318"/>
      <w:bookmarkEnd w:id="197"/>
      <w:r>
        <w:t>4.9 Discusión</w:t>
      </w:r>
      <w:bookmarkEnd w:id="207"/>
    </w:p>
    <w:p w14:paraId="38F069F0" w14:textId="77777777" w:rsidR="00D075F6" w:rsidRDefault="00734411">
      <w:pPr>
        <w:pStyle w:val="Heading3"/>
      </w:pPr>
      <w:bookmarkStart w:id="208" w:name="interpretación-conjunta-de-h1-h2-y-h3"/>
      <w:bookmarkStart w:id="209" w:name="_Toc241413319"/>
      <w:r>
        <w:t>4.9.1 Interpretación conjunta de H1, H2 y H3</w:t>
      </w:r>
      <w:bookmarkEnd w:id="209"/>
    </w:p>
    <w:p w14:paraId="7A1CE8B0" w14:textId="77777777" w:rsidR="00D075F6" w:rsidRDefault="00734411">
      <w:r>
        <w:t xml:space="preserve">Los tres ejes confirmatorios convergen en una imagen coherente: SHAP es el método más fiable bajo un criterio multidimensional que incluye fidelidad, estabilidad y reproducibilidad, al precio de un coste computacional heterogéneo que puede ser prohibitivo para ciertos pares modelo-despliegue. </w:t>
      </w:r>
      <w:r>
        <w:t>LIME es la alternativa viable en entornos donde el coste es crítico, con la caveat explícita de que sus explicaciones son inestables y no deben usarse para comparación entre instancias ni para auditoría. Anchors y DiCE tienen perfiles de calidad bajos bajo las métricas de atribución, pero atienden a objetivos de evaluación cualitativamente distintos (reglas y contrafactuales), lo que limita la comparación directa.</w:t>
      </w:r>
    </w:p>
    <w:p w14:paraId="4217933C" w14:textId="77777777" w:rsidR="00D075F6" w:rsidRDefault="00734411">
      <w:pPr>
        <w:pStyle w:val="BodyText"/>
      </w:pPr>
      <w:r>
        <w:t xml:space="preserve">El hallazgo quizás más relevante para el campo es la disociación entre </w:t>
      </w:r>
      <w:r>
        <w:t>fidelidad y estabilidad en los distintos métodos. Un método puede tener fidelidad moderada pero inestabilidad total (LIME) o estabilidad moderada con fidelidad baja (DiCE). Esta disociación valida la necesidad de un marco multi-métrico como el propuesto en esta tesis: una evaluación unidimensional basada únicamente en fidelidad habría presentado a LIME como método aceptable, sin capturar su deficiencia crítica en estabilidad.</w:t>
      </w:r>
    </w:p>
    <w:p w14:paraId="1D7842D6" w14:textId="77777777" w:rsidR="00D075F6" w:rsidRDefault="00734411">
      <w:pPr>
        <w:pStyle w:val="BodyText"/>
      </w:pPr>
      <w:r>
        <w:t>Los tamaños de efecto en las comparaciones SHAP-LIME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para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para estabilidad) son notables en el contexto de experimentos de benchmarking XAI. Trabajos de referencia en el campo (Hedström et al. 2023; Agarwal et al. 2022) reportan diferencias entre métodos, aunque con diseños y métricas que no siempre permiten comparación directa. La consistencia direccional en los 75 pares de fidelidad y estabilidad refuerza la conclusión operacional: bajo este diseño y estas condiciones experimentales, la ventaja </w:t>
      </w:r>
      <w:r>
        <w:t>de SHAP responde a un patrón sistemático en las celdas pareadas, no a una fluctuación estadística marginal.</w:t>
      </w:r>
    </w:p>
    <w:p w14:paraId="29A8BDA5" w14:textId="77777777" w:rsidR="00D075F6" w:rsidRDefault="00734411">
      <w:pPr>
        <w:pStyle w:val="Heading3"/>
      </w:pPr>
      <w:bookmarkStart w:id="210" w:name="Xbd024e4a7bd7bf8de011157bde8f5cf667c76a0"/>
      <w:bookmarkStart w:id="211" w:name="_Toc241413320"/>
      <w:bookmarkEnd w:id="208"/>
      <w:r>
        <w:t>4.9.2 Relación calidad-coste y criterios de selección operativa</w:t>
      </w:r>
      <w:bookmarkEnd w:id="211"/>
    </w:p>
    <w:p w14:paraId="49803BBB" w14:textId="77777777" w:rsidR="00D075F6" w:rsidRDefault="00734411">
      <w:r>
        <w:t>Los resultados permiten derivar criterios técnicos de selección de método XAI en función del contexto operativo. Se propone la siguiente taxonomía de decisión:</w:t>
      </w:r>
    </w:p>
    <w:p w14:paraId="57805823" w14:textId="77777777" w:rsidR="00D075F6" w:rsidRDefault="00734411">
      <w:pPr>
        <w:pStyle w:val="BodyText"/>
      </w:pPr>
      <w:r>
        <w:rPr>
          <w:b/>
          <w:bCs/>
        </w:rPr>
        <w:t>Contexto A — Alta fidelidad, sin restricción de latencia</w:t>
      </w:r>
      <w:r>
        <w:t xml:space="preserve"> (p. ej., auditoría regulatoria, análisis forense de decisiones): SHAP es la opción con mejor </w:t>
      </w:r>
      <w:r>
        <w:t xml:space="preserve">evidencia empírica en ambas dimensiones, pero el umbral operativo debe verificarse por familia de modelo y no sobre la media global. La media de fidelidad de SHAP (0.808) supera 0.80, y la de estabilidad (0.732) supera 0.70; por familia, sin embargo, solo logreg (0.946) y SVM (0.882) alcanzan fidelidad ≥ 0.80, y solo logreg (0.880), RF (0.949) y SVM (0.925) alcanzan estabilidad ≥ 0.70. En XGBoost la estabilidad desciende a 0.575 y en MLP a </w:t>
      </w:r>
      <w:r>
        <w:t>0.331, de modo que un requisito de consistencia explicativa no queda garantizado en esas dos familias por el mero hecho de elegir SHAP. Para modelos basados en árboles, el coste de TreeSHAP hace esta elección también eficiente. Para SVM y redes neuronales, la latencia de KernelSHAP puede requerir infraestructura de cómputo dedicada o ejecución asíncrona.</w:t>
      </w:r>
    </w:p>
    <w:p w14:paraId="71C2236F" w14:textId="77777777" w:rsidR="00D075F6" w:rsidRDefault="00734411">
      <w:pPr>
        <w:pStyle w:val="BodyText"/>
      </w:pPr>
      <w:r>
        <w:rPr>
          <w:b/>
          <w:bCs/>
        </w:rPr>
        <w:t>Contexto B — Velocidad crítica, consistencia explicativa no requerida</w:t>
      </w:r>
      <w:r>
        <w:t xml:space="preserve"> (p. ej., sistemas de recomendación con retroalimentación explicativa en tiempo real):</w:t>
      </w:r>
      <w:r>
        <w:t xml:space="preserve"> LIME es viable para modelos logreg/xgb/mlp, cuyas medias por familia de modelo —52 ms (mlp), 73 ms (logreg) y 122 ms (xgb) por instancia, agregadas a nivel de ejecución— se mantienen dos órdenes de magnitud por debajo de las de SVM (17,620 ms), aceptando que la explicación de una misma instancia puede variar entre ejecuciones. Los usuarios finales de estos sistemas deben ser informados de que las explicaciones tienen naturaleza estocástica y no son comparables entre ejecuciones.</w:t>
      </w:r>
    </w:p>
    <w:p w14:paraId="3FD648AB" w14:textId="77777777" w:rsidR="00D075F6" w:rsidRDefault="00734411">
      <w:pPr>
        <w:pStyle w:val="BodyText"/>
      </w:pPr>
      <w:r>
        <w:rPr>
          <w:b/>
          <w:bCs/>
        </w:rPr>
        <w:t>Contexto C — Explicaciones comprensibles para usuarios no técnicos sin requisito cuantitativo</w:t>
      </w:r>
      <w:r>
        <w:t>: Anchors ofrece reglas IF-THEN semánticamente comprensibles, pero solo en modelos con frontera de decisión suficientemente regular (logreg, xgb); para RF y SVM, el coste y la baja tasa de cobertura lo hacen impracticable.</w:t>
      </w:r>
    </w:p>
    <w:p w14:paraId="1AAE9EF7" w14:textId="77777777" w:rsidR="00D075F6" w:rsidRDefault="00734411">
      <w:pPr>
        <w:pStyle w:val="BodyText"/>
      </w:pPr>
      <w:r>
        <w:rPr>
          <w:b/>
          <w:bCs/>
        </w:rPr>
        <w:t>Contexto D — Análisis de acciones correctivas</w:t>
      </w:r>
      <w:r>
        <w:t xml:space="preserve"> (p. ej., ¿qué debe cambiar una instancia para obtener otro resultado?): DiCE es el único método de los </w:t>
      </w:r>
      <w:r>
        <w:t>cuatro evaluados diseñado para responder esta pregunta. Su baja fidelidad bajo métricas de atribución es irrelevante para este caso de uso.</w:t>
      </w:r>
    </w:p>
    <w:p w14:paraId="38153136" w14:textId="77777777" w:rsidR="00D075F6" w:rsidRDefault="00734411">
      <w:pPr>
        <w:pStyle w:val="Heading3"/>
      </w:pPr>
      <w:bookmarkStart w:id="212" w:name="X99626a17a471bd5fb48825a2c4d4fcdcb69bcee"/>
      <w:bookmarkStart w:id="213" w:name="_Toc241413321"/>
      <w:bookmarkEnd w:id="210"/>
      <w:r>
        <w:t>4.9.3 Contribuciones, limitaciones y extensiones</w:t>
      </w:r>
      <w:bookmarkEnd w:id="213"/>
    </w:p>
    <w:p w14:paraId="200DC966" w14:textId="77777777" w:rsidR="00D075F6" w:rsidRDefault="00734411">
      <w:r>
        <w:t xml:space="preserve">Los hallazgos de este benchmark contribuyen al campo en tres dimensiones. En primer lugar, confirman empíricamente sobre datos tabulares reales y con una batería multidimensional de métricas la jerarquía SHAP &gt; LIME &gt; Anchors en fidelidad, que ha sido asumida teóricamente pero rara vez demostrada bajo un </w:t>
      </w:r>
      <w:r>
        <w:t>diseño estadístico riguroso (Pawlicki et al. 2024; Altukhi 2025). En segundo lugar, documentan cuantitativamente la inestabilidad de LIME bajo la configuración de referencia, un hallazgo que los estudios basados en fidelidad exclusiva sistemáticamente omiten (Bhattacharya y Verbert 2024). En tercer lugar, demuestran que el protocolo FOM-7 produce resultados reproducibles (CV &lt; 3% en fidelidad para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para SHAP y 12.0% para LIME sobre </w:t>
      </w:r>
      <w:r>
        <w:t>el conjunto completo de ejecuciones, todos dentro del umbral del 15% fijado en P1) y que los criterios de cobertura y exclusión de artefactos del benchmark son implementables sin pérdida sustancial de potencia estadística.</w:t>
      </w:r>
    </w:p>
    <w:p w14:paraId="4BF40D4B" w14:textId="77777777" w:rsidR="00D075F6" w:rsidRDefault="00734411">
      <w:pPr>
        <w:pStyle w:val="BodyText"/>
      </w:pPr>
      <w:r>
        <w:t xml:space="preserve">Las limitaciones principales del estudio son las siguientes. Primero, el universo experimental se acota al conjunto de datos UCI Adult Income y a problemas de clasificación tabular binaria; la extensión a otros dominios </w:t>
      </w:r>
      <w:r>
        <w:t xml:space="preserve">(imágenes, texto, series temporales) requiere rediseño de las métricas de fidelidad y estabilidad. Segundo, las métricas utilizadas son operacionalizaciones específicas de los constructos de calidad. La fidelidad sustituye cada característica de forma independiente por su media de entrenamiento; este enmascaramiento puede romper dependencias, producir instancias OOD y sesgar diferencialmente la comparación entre explicadores (Hooker et al. 2019; Rong et al. 2022). El uso de un operador común </w:t>
      </w:r>
      <w:r>
        <w:t xml:space="preserve">asegura comparabilidad procedimental, no validez distribucional. Otras operacionalizaciones, como </w:t>
      </w:r>
      <w:r>
        <w:rPr>
          <w:i/>
          <w:iCs/>
        </w:rPr>
        <w:t>remove-and-retrain</w:t>
      </w:r>
      <w:r>
        <w:t xml:space="preserve"> o perturbaciones condicionadas, pueden producir ordenamientos distintos; el alcance se desarrolla en §</w:t>
      </w:r>
      <w:hyperlink w:anchor="sec-limitaciones">
        <w:r>
          <w:rPr>
            <w:rStyle w:val="Hyperlink"/>
          </w:rPr>
          <w:t>6.4</w:t>
        </w:r>
      </w:hyperlink>
      <w:r>
        <w:t xml:space="preserve">. Tercero, el diseño no contempla la dimensión del usuario (comprensibilidad percibida, utilidad para la toma de decisiones), que es una dimensión de calidad no capturable por métricas automáticas. Estos aspectos </w:t>
      </w:r>
      <w:r>
        <w:t>constituyen extensiones naturales para investigación futura que el protocolo FOM-7 está diseñado para acomodar mediante la adición de puertas adicionales.</w:t>
      </w:r>
    </w:p>
    <w:p w14:paraId="6CAEDBC6" w14:textId="77777777" w:rsidR="00D075F6" w:rsidRDefault="00734411">
      <w:pPr>
        <w:pStyle w:val="BodyText"/>
      </w:pPr>
      <w:r>
        <w:t xml:space="preserve">Este capítulo ha presentado la evidencia empírica del benchmark con trazabilidad completa de afirmaciones: los resultados de H1, H2 y H3 son estadísticamente robustos con márgenes de seguridad que superan el umbral crítico en más de cuatro veces, y los perfiles de método revelan que ningún método domina en </w:t>
      </w:r>
      <w:r>
        <w:t>todas las dimensiones simultáneamente. El Capítulo 5 construye sobre esta base en dos planos: desarrolla la taxonomía de cuatro ejes que organiza el espacio de métricas de evaluación XAI y hace explícitos los cuadrantes cubiertos y los que quedan como agenda; e incorpora los resultados del Estudio EXP4 como fundamento empírico de la brecha de evaluación semántica que la taxonomía identifica como la más urgente de resolver.</w:t>
      </w:r>
    </w:p>
    <w:p w14:paraId="0B32197E" w14:textId="77777777" w:rsidR="00D075F6" w:rsidRDefault="00734411">
      <w:pPr>
        <w:pStyle w:val="Heading1"/>
      </w:pPr>
      <w:bookmarkStart w:id="214" w:name="Xa967782ce714a135dc69dc69099ccfe835ec70b"/>
      <w:bookmarkStart w:id="215" w:name="_Toc241413322"/>
      <w:bookmarkEnd w:id="154"/>
      <w:bookmarkEnd w:id="206"/>
      <w:bookmarkEnd w:id="212"/>
      <w:r>
        <w:t>Capítulo 5. Taxonomía de métricas y síntesis conceptual</w:t>
      </w:r>
      <w:bookmarkEnd w:id="215"/>
    </w:p>
    <w:p w14:paraId="1C08B33E" w14:textId="77777777" w:rsidR="00D075F6" w:rsidRDefault="00734411">
      <w:r>
        <w:t xml:space="preserve">El Capítulo 4 produjo un resultado que no era predecible a priori y que tiene consecuencias metodológicas directas sobre cómo debe organizarse el espacio de métricas XAI. LIME obtuvo una fidelidad media de 0.560 —por encima del umbral de uso en producción para muchos equipos de datos— y al mismo tiempo una estabilidad prácticamente nula bajo la configuración de referencia del benchmark: similitud coseno media de 0.014 y coeficiente de variación del 86.2% </w:t>
      </w:r>
      <w:r>
        <w:t>entre explicaciones generadas para la misma instancia con distintas semillas (el Capítulo 6 delimita el alcance de este resultado, que depende del espacio de características y del ancho del kernel). SHAP, en cambio, mantuvo fidelidad de 0.808 y estabilidad de 0.732, con d</w:t>
      </w:r>
      <w:r>
        <w:rPr>
          <w:vertAlign w:val="subscript"/>
        </w:rPr>
        <w:t>z</w:t>
      </w:r>
      <w:r>
        <w:t>=4.82 y d</w:t>
      </w:r>
      <w:r>
        <w:rPr>
          <w:vertAlign w:val="subscript"/>
        </w:rPr>
        <w:t>z</w:t>
      </w:r>
      <w:r>
        <w:t xml:space="preserve">=3.00 respectivamente. La correlación empírica entre fidelidad y estabilidad —visible en la </w:t>
      </w:r>
      <w:hyperlink w:anchor="fig-correlacion-metricas">
        <w:r>
          <w:rPr>
            <w:rStyle w:val="Hyperlink"/>
          </w:rPr>
          <w:t>Figura 4.2</w:t>
        </w:r>
      </w:hyperlink>
      <w:r>
        <w:t xml:space="preserve">— es baja, lo que significa que ambas dimensiones </w:t>
      </w:r>
      <w:r>
        <w:t>aportan información no redundante sobre la calidad de una explicación. Un benchmark que solo reportara fidelidad habría concluido que LIME es aceptable para uso en auditoría. Un benchmark que solo reportara estabilidad habría eliminado LIME sin valorar su ventaja en coste y parsimonia. Ningún escalar único captura el perfil completo.</w:t>
      </w:r>
    </w:p>
    <w:p w14:paraId="14D11B68" w14:textId="77777777" w:rsidR="00D075F6" w:rsidRDefault="00734411">
      <w:pPr>
        <w:pStyle w:val="BodyText"/>
      </w:pPr>
      <w:r>
        <w:t xml:space="preserve">Esta disociación no es un artefacto del diseño. La parsimonia media de DiCE (0.017 de ratio activo, la más concisa del benchmark) y su fidelidad baja </w:t>
      </w:r>
      <w:r>
        <w:t xml:space="preserve">(0.172) responden a una lógica distinta a la de SHAP o LIME: DiCE minimiza la perturbación del contrafactual, no la aproximación local al modelo. Que DiCE tenga perfil óptimo en parsimonia —aunque no en coste, donde su media de 28,209 ms solo mejora a la de Anchors— pero deficiente en fidelidad técnica, indica que los ejes de calidad no colapsan sobre un único factor latente. La </w:t>
      </w:r>
      <w:hyperlink w:anchor="fig-radar-metodos">
        <w:r>
          <w:rPr>
            <w:rStyle w:val="Hyperlink"/>
          </w:rPr>
          <w:t>Figura 4.7</w:t>
        </w:r>
      </w:hyperlink>
      <w:r>
        <w:t xml:space="preserve"> hace visible esta estructura: ningún método domina simultáneamente en todas las </w:t>
      </w:r>
      <w:r>
        <w:t>dimensiones, y los cuellos de botella difieren por método. Este patrón solo es observable si las métricas están conceptualmente separadas antes de la medición, no consolidadas post-hoc en un índice compuesto.</w:t>
      </w:r>
    </w:p>
    <w:p w14:paraId="35151C01" w14:textId="77777777" w:rsidR="00D075F6" w:rsidRDefault="00734411">
      <w:pPr>
        <w:pStyle w:val="BodyText"/>
      </w:pPr>
      <w:r>
        <w:t xml:space="preserve">La pregunta que emerge de esos resultados no es cuál método gana, sino </w:t>
      </w:r>
      <w:r>
        <w:rPr>
          <w:i/>
          <w:iCs/>
        </w:rPr>
        <w:t>qué dimensiones de calidad son genuinamente ortogonales, cuál fuente de evidencia mide cada una, y para qué contexto de tarea resulta relevante cada perfil</w:t>
      </w:r>
      <w:r>
        <w:t xml:space="preserve">. Sin </w:t>
      </w:r>
      <w:r>
        <w:t xml:space="preserve">un marco conceptual que responda esas tres preguntas de forma articulada, el benchmark produce números correctos pero no produce orientación. Un evaluador que conozca solo los rangos de fidelidad (SHAP: 0.808, LIME: 0.560, Anchors: 0.388, DiCE: 0.172) no sabe si una diferencia de 0.05 puntos en parsimonia es sustantiva o trivial, ni si la brecha de fidelidad justifica el coste adicional de SHAP en un sistema de tiempo real. La taxonomía de este </w:t>
      </w:r>
      <w:r>
        <w:t>capítulo es, por tanto, una respuesta necesaria a lo que el benchmark demostró empíricamente: que el espacio de métricas es multidimensional, que las dimensiones son operativamente independientes, y que la selección de método requiere un lenguaje conceptual que articule cuál dimensión importa según el contexto de uso.</w:t>
      </w:r>
    </w:p>
    <w:p w14:paraId="05E02730" w14:textId="77777777" w:rsidR="00D075F6" w:rsidRDefault="00734411">
      <w:pPr>
        <w:pStyle w:val="BodyText"/>
      </w:pPr>
      <w:r>
        <w:t xml:space="preserve">Este capítulo desarrolla el Estudio Taxonómico de la tesis: una taxonomía estructurada del espacio de métricas de evaluación XAI. Su función es dar peso </w:t>
      </w:r>
      <w:r>
        <w:t>conceptual propio a la tercera contribución doctoral. Los capítulos anteriores mostraron que FOM-7 necesita distinguir objetos explicativos, constructos de calidad, fuentes de evidencia y contextos de uso. Este capítulo convierte esa necesidad en una matriz de clasificación que permite interpretar el benchmark y, al mismo tiempo, orientar evaluaciones futuras.</w:t>
      </w:r>
    </w:p>
    <w:p w14:paraId="034C013B" w14:textId="77777777" w:rsidR="00D075F6" w:rsidRDefault="00734411">
      <w:pPr>
        <w:pStyle w:val="BodyText"/>
      </w:pPr>
      <w:r>
        <w:t xml:space="preserve">La taxonomía se presenta como una </w:t>
      </w:r>
      <w:r>
        <w:rPr>
          <w:b/>
          <w:bCs/>
        </w:rPr>
        <w:t>síntesis integradora y operacional</w:t>
      </w:r>
      <w:r>
        <w:t xml:space="preserve">, no </w:t>
      </w:r>
      <w:r>
        <w:t xml:space="preserve">como una taxonomía completamente nueva en sentido fuerte. Integra distinciones ya presentes en la literatura —por ejemplo, evaluación functionally-grounded, human-grounded y application-grounded; fidelidad, robustez, plausibilidad, complejidad y utilidad— y las reorganiza en una estructura práctica para benchmarks comparativos de XAI (Doshi-Velez 2017; Schwalbe 2023; Abdul Kadir et al. 2023; Pawlicki et al. 2024; Nauta et al. 2023). Su contribución específica es </w:t>
      </w:r>
      <w:r>
        <w:t>hacer explícita la conexión entre métrica, fuente de evidencia, propiedad de calidad, contexto de tarea y claim admisible dentro del protocolo FOM-7.</w:t>
      </w:r>
    </w:p>
    <w:p w14:paraId="15D7EF08" w14:textId="77777777" w:rsidR="00D075F6" w:rsidRDefault="00734411">
      <w:pPr>
        <w:pStyle w:val="Heading2"/>
      </w:pPr>
      <w:bookmarkStart w:id="216" w:name="sec-taxonomia-metodo"/>
      <w:bookmarkStart w:id="217" w:name="_Toc241413323"/>
      <w:r>
        <w:t>5.1 Método de construcción de la taxonomía</w:t>
      </w:r>
      <w:bookmarkEnd w:id="217"/>
    </w:p>
    <w:p w14:paraId="17F9BB09" w14:textId="77777777" w:rsidR="00D075F6" w:rsidRDefault="00734411">
      <w:r>
        <w:t xml:space="preserve">La construcción siguió una revisión estructurada de alcance narrativo. No se presenta como revisión sistemática PRISMA, porque su objetivo no fue estimar prevalencias bibliométricas ni agotar todo el universo de publicaciones, sino organizar constructos recurrentes que ya estaban documentados en encuestas, </w:t>
      </w:r>
      <w:r>
        <w:t xml:space="preserve">toolkits, benchmarks y trabajos metodológicos relevantes para la evaluación XAI. La taxonomía resultante se clasifica como una </w:t>
      </w:r>
      <w:r>
        <w:rPr>
          <w:b/>
          <w:bCs/>
        </w:rPr>
        <w:t>operacionalización doctoral integradora</w:t>
      </w:r>
      <w:r>
        <w:t xml:space="preserve">: integra y reorganiza distinciones ya presentes en la literatura en una estructura práctica, y añade el eje de contexto de tarea como dimensión operativa no explícita en los marcos previos. No es una taxonomía completamente nueva en sentido fuerte (no propone dimensiones sin antecedentes </w:t>
      </w:r>
      <w:r>
        <w:t>en la literatura) ni una mera síntesis descriptiva (la estructura de cuatro ejes y su mapeo al benchmark es una contribución propia).</w:t>
      </w:r>
    </w:p>
    <w:p w14:paraId="62890A6E" w14:textId="77777777" w:rsidR="00D075F6" w:rsidRDefault="00734411">
      <w:pPr>
        <w:pStyle w:val="BodyText"/>
      </w:pPr>
      <w:r>
        <w:t>El corpus de apoyo combina cuatro tipos de fuentes. Primero, revisiones y taxonomías de interpretabilidad y XAI que establecen el vocabulario conceptual del campo, incluyendo las revisiones fundacionales de Arrieta (2019), Lipton (2018), Linardatos (2020), la historia breve del campo de Molnar et al. (2020) y la taxonomía sistemática de Schwalbe (2023)</w:t>
      </w:r>
      <w:r>
        <w:t xml:space="preserve">. Segundo, trabajos sobre evaluación y benchmarking que distinguen niveles de evidencia, métricas functionally-grounded y reproducibilidad, incluyendo la taxonomía de niveles de Doshi-Velez (2017), el toolkit Quantus (Hedström et al. 2023), la plataforma OpenXAI (Agarwal et al. 2022), el banco de pruebas de Sithakoul et al. (2024) y la revisión de propiedades de evaluación de Nauta et al. (2023). Tercero, artículos metodológicos sobre </w:t>
      </w:r>
      <w:r>
        <w:t xml:space="preserve">los cuatro explicadores evaluados, necesarios para ubicar qué objeto produce cada método y qué métricas le son adecuadas (Ribeiro 2016, 2018; Lundberg 2017; Mothilal 2020; Guidotti et al. 2018; Carvalho et al. 2019; Karimi et al. 2022; Poyiadzi et al. 2020). Cuarto, revisiones recientes centradas en métricas, robustez, reproducibilidad y evaluación human-centered, incluyendo las revisiones de métricas de Abdul Kadir et al. (2023) y Pawlicki et al. (2024), el estudio de comprehensibilidad de </w:t>
      </w:r>
      <w:r>
        <w:t>Bhattacharya y Verbert (2024), la agenda de Ehsan et al. (2023) y trabajos sobre utilidad y confianza (Rong et al. 2024; Miller 2019; Hoffman et al. 2023; Mohseni et al. 2021).</w:t>
      </w:r>
    </w:p>
    <w:p w14:paraId="3E6206B6" w14:textId="77777777" w:rsidR="00D075F6" w:rsidRDefault="00734411">
      <w:pPr>
        <w:pStyle w:val="BodyText"/>
      </w:pPr>
      <w:r>
        <w:t xml:space="preserve">El corpus se amplió durante la revisión hasta las </w:t>
      </w:r>
      <w:r>
        <w:rPr>
          <w:b/>
          <w:bCs/>
        </w:rPr>
        <w:t>127 referencias de contenido XAI</w:t>
      </w:r>
      <w:r>
        <w:t xml:space="preserve"> que sostienen esta tesis —la bibliografía completa suma 140 entradas, de las cuales 13 corresponden a infraestructura estadística, conjuntos de datos y familias de modelo, no al objeto de la taxonomía—. De ese corpus, </w:t>
      </w:r>
      <w:r>
        <w:rPr>
          <w:b/>
          <w:bCs/>
        </w:rPr>
        <w:t xml:space="preserve">107 </w:t>
      </w:r>
      <w:r>
        <w:rPr>
          <w:b/>
          <w:bCs/>
        </w:rPr>
        <w:t>documentos se conservan a texto completo</w:t>
      </w:r>
      <w:r>
        <w:t xml:space="preserve"> en el repositorio público de la tesis (thesis/papers/), de modo que la base documental de la taxonomía es auditable y no solamente declarada: cada entrada de la bibliografía está citada en el cuerpo del texto, y no existen referencias registradas sin uso.</w:t>
      </w:r>
    </w:p>
    <w:p w14:paraId="51A84B68" w14:textId="77777777" w:rsidR="00D075F6" w:rsidRDefault="00734411">
      <w:pPr>
        <w:pStyle w:val="BodyText"/>
      </w:pPr>
      <w:r>
        <w:t xml:space="preserve">Los criterios de inclusión fueron: (i) fuentes con relación directa con interpretabilidad, explicabilidad o evaluación XAI; (ii) trabajos que definieran </w:t>
      </w:r>
      <w:r>
        <w:t>o usaran métricas de calidad explicativa; (iii) artículos que permitieran clasificar métricas por fuente de evidencia o contexto de uso; y (iv) fuentes con metadatos bibliográficos verificados en references.bib. Se excluyeron fuentes meramente divulgativas, trabajos sin relación con evaluación de explicaciones y referencias no verificadas.</w:t>
      </w:r>
    </w:p>
    <w:p w14:paraId="4061C613" w14:textId="77777777" w:rsidR="00D075F6" w:rsidRDefault="00734411">
      <w:pPr>
        <w:pStyle w:val="BodyText"/>
      </w:pPr>
      <w:r>
        <w:t xml:space="preserve">La codificación se realizó sobre cuatro dimensiones: objetivo de evaluación, fuente de evidencia, propiedad de calidad y contexto de tarea. Cuando una </w:t>
      </w:r>
      <w:r>
        <w:t xml:space="preserve">métrica admitía múltiples lecturas, se codificó según su uso dominante en la literatura y se registró la ambigüedad como riesgo de constructo. Por ejemplo, </w:t>
      </w:r>
      <w:r>
        <w:rPr>
          <w:i/>
          <w:iCs/>
        </w:rPr>
        <w:t>fidelity</w:t>
      </w:r>
      <w:r>
        <w:t xml:space="preserve"> puede funcionar como acuerdo local entre modelo y sustituto, como cambio de predicción ante enmascaramiento o como proxy de faithfulness; la taxonomía separa esas lecturas para evitar que una misma palabra sostenga claims no equivalentes. Los 15 constructos métricos de la Tabla </w:t>
      </w:r>
      <w:hyperlink w:anchor="tbl-taxonomia-ampliada">
        <w:r>
          <w:rPr>
            <w:rStyle w:val="Hyperlink"/>
          </w:rPr>
          <w:t>5.1</w:t>
        </w:r>
      </w:hyperlink>
      <w:r>
        <w:t xml:space="preserve"> </w:t>
      </w:r>
      <w:r>
        <w:t>son el resultado de consolidar y desambiguar los constructos identificados en el corpus descrito; se reportan como una selección representativa, no como un catálogo exhaustivo.</w:t>
      </w:r>
    </w:p>
    <w:p w14:paraId="01F892F5" w14:textId="77777777" w:rsidR="00D075F6" w:rsidRDefault="00734411">
      <w:pPr>
        <w:pStyle w:val="Heading2"/>
      </w:pPr>
      <w:bookmarkStart w:id="218" w:name="sec-taxonomia-motivacion"/>
      <w:bookmarkStart w:id="219" w:name="_Toc241413324"/>
      <w:bookmarkEnd w:id="216"/>
      <w:r>
        <w:t>5.2 Motivación y posicionamiento</w:t>
      </w:r>
      <w:bookmarkEnd w:id="219"/>
    </w:p>
    <w:p w14:paraId="382A827E" w14:textId="77777777" w:rsidR="00D075F6" w:rsidRDefault="00734411">
      <w:r>
        <w:t>El estado del arte en evaluación XAI muestra un patrón claro: los estudios proponen métricas de forma proliferante pero sin un marco conceptual integrador que permita comparar, seleccionar o acumular evidencia entre ellas (Pawlicki et al. 2024; Abdul Kadir et al. 2023; Bhattacharya y Verbert 2024)</w:t>
      </w:r>
      <w:r>
        <w:t>. La revisión sistemática de Pawlicki et al. (2024) identificó casi noventa métricas distintas en la literatura, con solapes conceptuales notorios; un mismo constructo puede aparecer bajo nombres distintos, y un mismo nombre puede aplicarse a operacionalizaciones diferentes.</w:t>
      </w:r>
    </w:p>
    <w:p w14:paraId="51DCEC2C" w14:textId="77777777" w:rsidR="00D075F6" w:rsidRDefault="00734411">
      <w:pPr>
        <w:pStyle w:val="BodyText"/>
      </w:pPr>
      <w:r>
        <w:t xml:space="preserve">Canha et al. (2025) y Bhattacharya y Verbert (2024) convergen en señalar la necesidad de distinguir métricas calculadas sin participantes humanos de métricas basadas en estudios de usuario. Esta distinción </w:t>
      </w:r>
      <w:r>
        <w:t>es central para la tesis porque los dos estudios empíricos producen evidencia functionally-grounded: cuantifican propiedades computacionales de artefactos explicativos, pero no miden directamente utilidad humana, satisfacción, calibración de confianza o calidad de decisión.</w:t>
      </w:r>
    </w:p>
    <w:p w14:paraId="235D4102" w14:textId="77777777" w:rsidR="00D075F6" w:rsidRDefault="00734411">
      <w:pPr>
        <w:pStyle w:val="BodyText"/>
      </w:pPr>
      <w:r>
        <w:t xml:space="preserve">La taxonomía propuesta organiza el espacio en cuatro ejes ortogonales. Los ejes responden a preguntas distintas y complementarias: qué se evalúa, con qué evidencia, qué propiedad de calidad se operacionaliza y para qué tarea es </w:t>
      </w:r>
      <w:r>
        <w:t>relevante. La ortogonalidad evita que una métrica se interprete como evaluación total de una explicación. Una métrica puede ser válida para medir estabilidad, pero débil para inferir utilidad humana; puede ser adecuada para auditoría técnica, pero insuficiente para soporte a usuario final.</w:t>
      </w:r>
    </w:p>
    <w:p w14:paraId="4B93A837" w14:textId="77777777" w:rsidR="00D075F6" w:rsidRDefault="00734411">
      <w:pPr>
        <w:pStyle w:val="Heading2"/>
      </w:pPr>
      <w:bookmarkStart w:id="220" w:name="sec-taxonomia-ejes"/>
      <w:bookmarkStart w:id="221" w:name="_Toc241413325"/>
      <w:bookmarkEnd w:id="218"/>
      <w:r>
        <w:t>5.3 Los cuatro ejes de la taxonomía</w:t>
      </w:r>
      <w:bookmarkEnd w:id="221"/>
    </w:p>
    <w:p w14:paraId="7AA9328C" w14:textId="77777777" w:rsidR="00D075F6" w:rsidRDefault="00734411">
      <w:r>
        <w:rPr>
          <w:b/>
          <w:bCs/>
        </w:rPr>
        <w:t>Eje 1 — Objetivo de evaluación.</w:t>
      </w:r>
      <w:r>
        <w:t xml:space="preserve"> Este eje clasifica la dimensión de la explicación que la métrica interroga. Se identifican cinco objetivos primarios:</w:t>
      </w:r>
    </w:p>
    <w:p w14:paraId="48052CA1" w14:textId="77777777" w:rsidR="00D075F6" w:rsidRDefault="00734411" w:rsidP="00734411">
      <w:pPr>
        <w:numPr>
          <w:ilvl w:val="0"/>
          <w:numId w:val="14"/>
        </w:numPr>
      </w:pPr>
      <w:r>
        <w:rPr>
          <w:i/>
          <w:iCs/>
        </w:rPr>
        <w:t>Representatividad local</w:t>
      </w:r>
      <w:r>
        <w:t>: en qué medida la explicación captura la función del modelo en la vecindad de la instancia. Las métricas de fidelidad e infidelidad operan en este objetivo (Abdul Kadir et al. 2023).</w:t>
      </w:r>
    </w:p>
    <w:p w14:paraId="098DFB6D" w14:textId="77777777" w:rsidR="00D075F6" w:rsidRDefault="00734411" w:rsidP="00734411">
      <w:pPr>
        <w:numPr>
          <w:ilvl w:val="0"/>
          <w:numId w:val="14"/>
        </w:numPr>
      </w:pPr>
      <w:r>
        <w:rPr>
          <w:i/>
          <w:iCs/>
        </w:rPr>
        <w:t>Consistencia bajo perturbación</w:t>
      </w:r>
      <w:r>
        <w:t>: en qué medida la explicación es estable ante pequeñas variaciones de la instancia de entrada. Las métricas de estabilidad y robustez operan en este objetivo (Schwalbe 2023; Pawlicki et al. 2024).</w:t>
      </w:r>
    </w:p>
    <w:p w14:paraId="26F33D65" w14:textId="77777777" w:rsidR="00D075F6" w:rsidRDefault="00734411" w:rsidP="00734411">
      <w:pPr>
        <w:numPr>
          <w:ilvl w:val="0"/>
          <w:numId w:val="14"/>
        </w:numPr>
      </w:pPr>
      <w:r>
        <w:rPr>
          <w:i/>
          <w:iCs/>
        </w:rPr>
        <w:t>Compacidad explicativa</w:t>
      </w:r>
      <w:r>
        <w:t xml:space="preserve">: en qué medida la explicación es concisa y no </w:t>
      </w:r>
      <w:r>
        <w:t>redundante. Parsimonia, sparsity y complejidad efectiva pertenecen a este objetivo (Pawlicki et al. 2024).</w:t>
      </w:r>
    </w:p>
    <w:p w14:paraId="5C871964" w14:textId="77777777" w:rsidR="00D075F6" w:rsidRDefault="00734411" w:rsidP="00734411">
      <w:pPr>
        <w:numPr>
          <w:ilvl w:val="0"/>
          <w:numId w:val="14"/>
        </w:numPr>
      </w:pPr>
      <w:r>
        <w:rPr>
          <w:i/>
          <w:iCs/>
        </w:rPr>
        <w:t>Relevancia causal local</w:t>
      </w:r>
      <w:r>
        <w:t>: en qué medida actuar sobre las características explicadas produce los efectos predichos por la explicación. La brecha de fidelidad y métricas de eliminación/perturbación top-k operan aquí (Abdul Kadir et al. 2023; Zheng et al. 2025).</w:t>
      </w:r>
    </w:p>
    <w:p w14:paraId="45E5F907" w14:textId="77777777" w:rsidR="00D075F6" w:rsidRDefault="00734411" w:rsidP="00734411">
      <w:pPr>
        <w:numPr>
          <w:ilvl w:val="0"/>
          <w:numId w:val="14"/>
        </w:numPr>
      </w:pPr>
      <w:r>
        <w:rPr>
          <w:i/>
          <w:iCs/>
        </w:rPr>
        <w:t>Eficiencia operativa</w:t>
      </w:r>
      <w:r>
        <w:t>: tiempo y coste computacional de producir la explicación, relevante para despliegues de baja latencia (Canha et al. 2025).</w:t>
      </w:r>
    </w:p>
    <w:p w14:paraId="228F6A5F" w14:textId="77777777" w:rsidR="00D075F6" w:rsidRDefault="00734411">
      <w:r>
        <w:rPr>
          <w:b/>
          <w:bCs/>
        </w:rPr>
        <w:t>Eje 2 — Fuente de evidencia.</w:t>
      </w:r>
      <w:r>
        <w:t xml:space="preserve"> Las métricas también se diferencian por la operación que genera la señal de evaluación:</w:t>
      </w:r>
    </w:p>
    <w:p w14:paraId="72F07668" w14:textId="77777777" w:rsidR="00D075F6" w:rsidRDefault="00734411" w:rsidP="00734411">
      <w:pPr>
        <w:numPr>
          <w:ilvl w:val="0"/>
          <w:numId w:val="15"/>
        </w:numPr>
      </w:pPr>
      <w:r>
        <w:rPr>
          <w:i/>
          <w:iCs/>
        </w:rPr>
        <w:t>Enmascaramiento de características</w:t>
      </w:r>
      <w:r>
        <w:t>: se eliminan o reemplazan características del input y se mide el cambio en la salida del modelo. Incluye fidelidad por correlación de importancias, faithfulness gap, ROAR o MoRF (Zheng et al. 2025; Abdul Kadir et al. 2023).</w:t>
      </w:r>
    </w:p>
    <w:p w14:paraId="0DFB60F5" w14:textId="77777777" w:rsidR="00D075F6" w:rsidRDefault="00734411" w:rsidP="00734411">
      <w:pPr>
        <w:numPr>
          <w:ilvl w:val="0"/>
          <w:numId w:val="15"/>
        </w:numPr>
      </w:pPr>
      <w:r>
        <w:rPr>
          <w:i/>
          <w:iCs/>
        </w:rPr>
        <w:t>Perturbación del input</w:t>
      </w:r>
      <w:r>
        <w:t xml:space="preserve">: se añade ruido o transformación a la instancia y se </w:t>
      </w:r>
      <w:r>
        <w:t>mide la similitud entre las explicaciones resultantes. Incluye estabilidad como similitud coseno y estimaciones locales tipo Lipschitz (Pawlicki et al. 2024; Canha et al. 2025).</w:t>
      </w:r>
    </w:p>
    <w:p w14:paraId="7FC33D24" w14:textId="77777777" w:rsidR="00D075F6" w:rsidRDefault="00734411" w:rsidP="00734411">
      <w:pPr>
        <w:numPr>
          <w:ilvl w:val="0"/>
          <w:numId w:val="15"/>
        </w:numPr>
      </w:pPr>
      <w:r>
        <w:rPr>
          <w:i/>
          <w:iCs/>
        </w:rPr>
        <w:t>Comparación con verdad-terreno</w:t>
      </w:r>
      <w:r>
        <w:t>: la explicación se compara con explicaciones de referencia conocidas, disponibles en benchmarks sintéticos o anotaciones especializadas (Pawlicki et al. 2024).</w:t>
      </w:r>
    </w:p>
    <w:p w14:paraId="000D7961" w14:textId="77777777" w:rsidR="00D075F6" w:rsidRDefault="00734411" w:rsidP="00734411">
      <w:pPr>
        <w:numPr>
          <w:ilvl w:val="0"/>
          <w:numId w:val="15"/>
        </w:numPr>
      </w:pPr>
      <w:r>
        <w:rPr>
          <w:i/>
          <w:iCs/>
        </w:rPr>
        <w:t>Estudio con usuario</w:t>
      </w:r>
      <w:r>
        <w:t xml:space="preserve">: la explicación se evalúa mediante comprensión, confianza, satisfacción, utilidad percibida o desempeño humano </w:t>
      </w:r>
      <w:r>
        <w:t>(Bhattacharya y Verbert 2024; Arrieta 2019; Rong et al. 2024).</w:t>
      </w:r>
    </w:p>
    <w:p w14:paraId="1FF635EA" w14:textId="77777777" w:rsidR="00D075F6" w:rsidRDefault="00734411">
      <w:r>
        <w:rPr>
          <w:b/>
          <w:bCs/>
        </w:rPr>
        <w:t>Eje 3 — Propiedad de calidad.</w:t>
      </w:r>
      <w:r>
        <w:t xml:space="preserve"> Siguiendo las sistematizaciones recientes, se identifican seis propiedades primarias:</w:t>
      </w:r>
    </w:p>
    <w:p w14:paraId="437F03E9" w14:textId="77777777" w:rsidR="00D075F6" w:rsidRDefault="00734411" w:rsidP="00734411">
      <w:pPr>
        <w:numPr>
          <w:ilvl w:val="0"/>
          <w:numId w:val="16"/>
        </w:numPr>
      </w:pPr>
      <w:r>
        <w:rPr>
          <w:i/>
          <w:iCs/>
        </w:rPr>
        <w:t>Faithfulness / fidelidad</w:t>
      </w:r>
      <w:r>
        <w:t>: correspondencia entre la importancia asignada por el explicador y el efecto real sobre la salida del modelo (Pawlicki et al. 2024).</w:t>
      </w:r>
    </w:p>
    <w:p w14:paraId="7AC5E811" w14:textId="77777777" w:rsidR="00D075F6" w:rsidRDefault="00734411" w:rsidP="00734411">
      <w:pPr>
        <w:numPr>
          <w:ilvl w:val="0"/>
          <w:numId w:val="16"/>
        </w:numPr>
      </w:pPr>
      <w:r>
        <w:rPr>
          <w:i/>
          <w:iCs/>
        </w:rPr>
        <w:t>Robustness / estabilidad</w:t>
      </w:r>
      <w:r>
        <w:t>: consistencia de las explicaciones bajo perturbaciones del input.</w:t>
      </w:r>
    </w:p>
    <w:p w14:paraId="1564DFFF" w14:textId="77777777" w:rsidR="00D075F6" w:rsidRDefault="00734411" w:rsidP="00734411">
      <w:pPr>
        <w:numPr>
          <w:ilvl w:val="0"/>
          <w:numId w:val="16"/>
        </w:numPr>
      </w:pPr>
      <w:r>
        <w:rPr>
          <w:i/>
          <w:iCs/>
        </w:rPr>
        <w:t>Simplicity / parsimonia</w:t>
      </w:r>
      <w:r>
        <w:t xml:space="preserve">: compacidad de la representación explicativa, </w:t>
      </w:r>
      <w:r>
        <w:t>inversamente relacionada con complejidad (Schwalbe 2023).</w:t>
      </w:r>
    </w:p>
    <w:p w14:paraId="59F1EB03" w14:textId="77777777" w:rsidR="00D075F6" w:rsidRDefault="00734411" w:rsidP="00734411">
      <w:pPr>
        <w:numPr>
          <w:ilvl w:val="0"/>
          <w:numId w:val="16"/>
        </w:numPr>
      </w:pPr>
      <w:r>
        <w:rPr>
          <w:i/>
          <w:iCs/>
        </w:rPr>
        <w:t>Completeness</w:t>
      </w:r>
      <w:r>
        <w:t>: cobertura de factores relevantes del modelo por la explicación.</w:t>
      </w:r>
    </w:p>
    <w:p w14:paraId="30D1C6D4" w14:textId="77777777" w:rsidR="00D075F6" w:rsidRDefault="00734411" w:rsidP="00734411">
      <w:pPr>
        <w:numPr>
          <w:ilvl w:val="0"/>
          <w:numId w:val="16"/>
        </w:numPr>
      </w:pPr>
      <w:r>
        <w:rPr>
          <w:i/>
          <w:iCs/>
        </w:rPr>
        <w:t>Efficiency</w:t>
      </w:r>
      <w:r>
        <w:t>: coste computacional de generar la explicación.</w:t>
      </w:r>
    </w:p>
    <w:p w14:paraId="7AC58CB4" w14:textId="77777777" w:rsidR="00D075F6" w:rsidRDefault="00734411" w:rsidP="00734411">
      <w:pPr>
        <w:numPr>
          <w:ilvl w:val="0"/>
          <w:numId w:val="16"/>
        </w:numPr>
      </w:pPr>
      <w:r>
        <w:rPr>
          <w:i/>
          <w:iCs/>
        </w:rPr>
        <w:t>Fairness</w:t>
      </w:r>
      <w:r>
        <w:t>: equidad en la calidad explicativa entre subgrupos, dimensión transversal identificada en benchmarks como OpenXAI (Agarwal et al. 2022).</w:t>
      </w:r>
    </w:p>
    <w:p w14:paraId="07B3BF7E" w14:textId="77777777" w:rsidR="00D075F6" w:rsidRDefault="00734411">
      <w:r>
        <w:rPr>
          <w:b/>
          <w:bCs/>
        </w:rPr>
        <w:t>Eje 4 — Contexto de tarea.</w:t>
      </w:r>
      <w:r>
        <w:t xml:space="preserve"> El contexto determina qué propiedades son prioritarias y qué nivel de coste es aceptable (Arrieta 2019; Bhattacharya y Verbert 2024):</w:t>
      </w:r>
    </w:p>
    <w:p w14:paraId="15C6000B" w14:textId="77777777" w:rsidR="00D075F6" w:rsidRDefault="00734411" w:rsidP="00734411">
      <w:pPr>
        <w:numPr>
          <w:ilvl w:val="0"/>
          <w:numId w:val="17"/>
        </w:numPr>
      </w:pPr>
      <w:r>
        <w:rPr>
          <w:i/>
          <w:iCs/>
        </w:rPr>
        <w:t>Auditoría y cumplimiento regulatorio</w:t>
      </w:r>
      <w:r>
        <w:t>: requiere alta fidelidad, estabilidad y trazabilidad; el coste computacional puede ser secundario.</w:t>
      </w:r>
    </w:p>
    <w:p w14:paraId="67FC7378" w14:textId="77777777" w:rsidR="00D075F6" w:rsidRDefault="00734411" w:rsidP="00734411">
      <w:pPr>
        <w:numPr>
          <w:ilvl w:val="0"/>
          <w:numId w:val="17"/>
        </w:numPr>
      </w:pPr>
      <w:r>
        <w:rPr>
          <w:i/>
          <w:iCs/>
        </w:rPr>
        <w:t>Inferencia en tiempo real</w:t>
      </w:r>
      <w:r>
        <w:t>: requiere baja latencia; puede aceptar fidelidad moderada si el objetivo es respuesta inmediata.</w:t>
      </w:r>
    </w:p>
    <w:p w14:paraId="5AE6BBC0" w14:textId="77777777" w:rsidR="00D075F6" w:rsidRDefault="00734411" w:rsidP="00734411">
      <w:pPr>
        <w:numPr>
          <w:ilvl w:val="0"/>
          <w:numId w:val="17"/>
        </w:numPr>
      </w:pPr>
      <w:r>
        <w:rPr>
          <w:i/>
          <w:iCs/>
        </w:rPr>
        <w:t>Soporte a usuario final</w:t>
      </w:r>
      <w:r>
        <w:t>: requiere parsimonia, comprensibilidad y comunicación; la métrica automática no basta para demostrar utilidad.</w:t>
      </w:r>
    </w:p>
    <w:p w14:paraId="60BDA9F0" w14:textId="77777777" w:rsidR="00D075F6" w:rsidRDefault="00734411" w:rsidP="00734411">
      <w:pPr>
        <w:numPr>
          <w:ilvl w:val="0"/>
          <w:numId w:val="17"/>
        </w:numPr>
      </w:pPr>
      <w:r>
        <w:rPr>
          <w:i/>
          <w:iCs/>
        </w:rPr>
        <w:t>Diagnóstico de modelos y depuración</w:t>
      </w:r>
      <w:r>
        <w:t xml:space="preserve">: requiere fidelidad local, cobertura y </w:t>
      </w:r>
      <w:r>
        <w:t>sensibilidad a errores del modelo; la eficiencia es secundaria.</w:t>
      </w:r>
    </w:p>
    <w:p w14:paraId="672D3952" w14:textId="77777777" w:rsidR="00D075F6" w:rsidRDefault="00734411">
      <w:pPr>
        <w:pStyle w:val="Heading2"/>
      </w:pPr>
      <w:bookmarkStart w:id="222" w:name="sec-taxonomia-matriz"/>
      <w:bookmarkStart w:id="223" w:name="_Toc241413326"/>
      <w:bookmarkEnd w:id="220"/>
      <w:r>
        <w:t>5.4 Matriz taxonómica de métricas XAI</w:t>
      </w:r>
      <w:bookmarkEnd w:id="223"/>
    </w:p>
    <w:p w14:paraId="4CFCF686" w14:textId="77777777" w:rsidR="00D075F6" w:rsidRDefault="00734411">
      <w:r>
        <w:t xml:space="preserve">La Tabla </w:t>
      </w:r>
      <w:hyperlink w:anchor="tbl-taxonomia-ampliada">
        <w:r>
          <w:rPr>
            <w:rStyle w:val="Hyperlink"/>
          </w:rPr>
          <w:t>5.1</w:t>
        </w:r>
      </w:hyperlink>
      <w:r>
        <w:t xml:space="preserve"> resume métricas frecuentes y su ubicación dentro de la taxonomía. La columna de alcance inferencial indica qué puede sostenerse razonablemente cuando la métrica se usa en un benchmark técnico.</w:t>
      </w:r>
    </w:p>
    <w:tbl>
      <w:tblPr>
        <w:tblW w:w="5000" w:type="pct"/>
        <w:jc w:val="center"/>
        <w:tblLayout w:type="fixed"/>
        <w:tblLook w:val="0000" w:firstRow="0" w:lastRow="0" w:firstColumn="0" w:lastColumn="0" w:noHBand="0" w:noVBand="0"/>
      </w:tblPr>
      <w:tblGrid>
        <w:gridCol w:w="9576"/>
      </w:tblGrid>
      <w:tr w:rsidR="00D075F6" w14:paraId="364FBEE2" w14:textId="77777777">
        <w:trPr>
          <w:jc w:val="center"/>
        </w:trPr>
        <w:tc>
          <w:tcPr>
            <w:tcW w:w="7920" w:type="dxa"/>
          </w:tcPr>
          <w:p w14:paraId="1F8A5690" w14:textId="77777777" w:rsidR="00D075F6" w:rsidRDefault="00734411">
            <w:pPr>
              <w:spacing w:before="200"/>
              <w:jc w:val="center"/>
            </w:pPr>
            <w:bookmarkStart w:id="224" w:name="tbl-taxonomia-ampliada"/>
            <w:r>
              <w:t>Tabla 5.1: Taxonomía ampliada de métricas y constructos de evaluación XAI.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D075F6" w14:paraId="779A0302" w14:textId="77777777">
              <w:trPr>
                <w:tblHeader/>
                <w:jc w:val="center"/>
              </w:trPr>
              <w:tc>
                <w:tcPr>
                  <w:tcW w:w="1320" w:type="dxa"/>
                </w:tcPr>
                <w:p w14:paraId="19278AA9" w14:textId="77777777" w:rsidR="00D075F6" w:rsidRDefault="00734411">
                  <w:pPr>
                    <w:jc w:val="center"/>
                  </w:pPr>
                  <w:r>
                    <w:rPr>
                      <w:b/>
                      <w:bCs/>
                    </w:rPr>
                    <w:t>Métrica / constructo</w:t>
                  </w:r>
                </w:p>
              </w:tc>
              <w:tc>
                <w:tcPr>
                  <w:tcW w:w="1320" w:type="dxa"/>
                </w:tcPr>
                <w:p w14:paraId="1CFF3FA7" w14:textId="77777777" w:rsidR="00D075F6" w:rsidRDefault="00734411">
                  <w:pPr>
                    <w:jc w:val="center"/>
                  </w:pPr>
                  <w:r>
                    <w:rPr>
                      <w:b/>
                      <w:bCs/>
                    </w:rPr>
                    <w:t>Objetivo</w:t>
                  </w:r>
                </w:p>
              </w:tc>
              <w:tc>
                <w:tcPr>
                  <w:tcW w:w="1320" w:type="dxa"/>
                </w:tcPr>
                <w:p w14:paraId="07399D5F" w14:textId="77777777" w:rsidR="00D075F6" w:rsidRDefault="00734411">
                  <w:pPr>
                    <w:jc w:val="center"/>
                  </w:pPr>
                  <w:r>
                    <w:rPr>
                      <w:b/>
                      <w:bCs/>
                    </w:rPr>
                    <w:t>Fuente de evidencia</w:t>
                  </w:r>
                </w:p>
              </w:tc>
              <w:tc>
                <w:tcPr>
                  <w:tcW w:w="1320" w:type="dxa"/>
                </w:tcPr>
                <w:p w14:paraId="485705BA" w14:textId="77777777" w:rsidR="00D075F6" w:rsidRDefault="00734411">
                  <w:pPr>
                    <w:jc w:val="center"/>
                  </w:pPr>
                  <w:r>
                    <w:rPr>
                      <w:b/>
                      <w:bCs/>
                    </w:rPr>
                    <w:t>Propiedad</w:t>
                  </w:r>
                </w:p>
              </w:tc>
              <w:tc>
                <w:tcPr>
                  <w:tcW w:w="1320" w:type="dxa"/>
                </w:tcPr>
                <w:p w14:paraId="4D837D99" w14:textId="77777777" w:rsidR="00D075F6" w:rsidRDefault="00734411">
                  <w:pPr>
                    <w:jc w:val="center"/>
                  </w:pPr>
                  <w:r>
                    <w:rPr>
                      <w:b/>
                      <w:bCs/>
                    </w:rPr>
                    <w:t>Contexto típico</w:t>
                  </w:r>
                </w:p>
              </w:tc>
              <w:tc>
                <w:tcPr>
                  <w:tcW w:w="1320" w:type="dxa"/>
                </w:tcPr>
                <w:p w14:paraId="487625EE" w14:textId="77777777" w:rsidR="00D075F6" w:rsidRDefault="00734411">
                  <w:pPr>
                    <w:jc w:val="center"/>
                  </w:pPr>
                  <w:r>
                    <w:rPr>
                      <w:b/>
                      <w:bCs/>
                    </w:rPr>
                    <w:t>Alcance inferencial</w:t>
                  </w:r>
                </w:p>
              </w:tc>
            </w:tr>
            <w:tr w:rsidR="00D075F6" w14:paraId="185EEF8F" w14:textId="77777777">
              <w:trPr>
                <w:jc w:val="center"/>
              </w:trPr>
              <w:tc>
                <w:tcPr>
                  <w:tcW w:w="1320" w:type="dxa"/>
                </w:tcPr>
                <w:p w14:paraId="6A7264FA" w14:textId="77777777" w:rsidR="00D075F6" w:rsidRDefault="00734411">
                  <w:pPr>
                    <w:jc w:val="center"/>
                  </w:pPr>
                  <w:r>
                    <w:t>Fidelidad local</w:t>
                  </w:r>
                </w:p>
              </w:tc>
              <w:tc>
                <w:tcPr>
                  <w:tcW w:w="1320" w:type="dxa"/>
                </w:tcPr>
                <w:p w14:paraId="4198B166" w14:textId="77777777" w:rsidR="00D075F6" w:rsidRDefault="00734411">
                  <w:pPr>
                    <w:jc w:val="center"/>
                  </w:pPr>
                  <w:r>
                    <w:t>Representatividad local</w:t>
                  </w:r>
                </w:p>
              </w:tc>
              <w:tc>
                <w:tcPr>
                  <w:tcW w:w="1320" w:type="dxa"/>
                </w:tcPr>
                <w:p w14:paraId="19DA6315" w14:textId="77777777" w:rsidR="00D075F6" w:rsidRDefault="00734411">
                  <w:pPr>
                    <w:jc w:val="center"/>
                  </w:pPr>
                  <w:r>
                    <w:t>Comparación modelo-explicador</w:t>
                  </w:r>
                </w:p>
              </w:tc>
              <w:tc>
                <w:tcPr>
                  <w:tcW w:w="1320" w:type="dxa"/>
                </w:tcPr>
                <w:p w14:paraId="6A17EBFA" w14:textId="77777777" w:rsidR="00D075F6" w:rsidRDefault="00734411">
                  <w:pPr>
                    <w:jc w:val="center"/>
                  </w:pPr>
                  <w:r>
                    <w:t>Faithfulness proxy</w:t>
                  </w:r>
                </w:p>
              </w:tc>
              <w:tc>
                <w:tcPr>
                  <w:tcW w:w="1320" w:type="dxa"/>
                </w:tcPr>
                <w:p w14:paraId="32C4BD5F" w14:textId="77777777" w:rsidR="00D075F6" w:rsidRDefault="00734411">
                  <w:pPr>
                    <w:jc w:val="center"/>
                  </w:pPr>
                  <w:r>
                    <w:t>Auditoría, diagnóstico</w:t>
                  </w:r>
                </w:p>
              </w:tc>
              <w:tc>
                <w:tcPr>
                  <w:tcW w:w="1320" w:type="dxa"/>
                </w:tcPr>
                <w:p w14:paraId="40A1C066" w14:textId="77777777" w:rsidR="00D075F6" w:rsidRDefault="00734411">
                  <w:pPr>
                    <w:jc w:val="center"/>
                  </w:pPr>
                  <w:r>
                    <w:t>Acuerdo bajo vecindario definido</w:t>
                  </w:r>
                </w:p>
              </w:tc>
            </w:tr>
            <w:tr w:rsidR="00D075F6" w14:paraId="4E969D32" w14:textId="77777777">
              <w:trPr>
                <w:jc w:val="center"/>
              </w:trPr>
              <w:tc>
                <w:tcPr>
                  <w:tcW w:w="1320" w:type="dxa"/>
                </w:tcPr>
                <w:p w14:paraId="0D190703" w14:textId="77777777" w:rsidR="00D075F6" w:rsidRDefault="00734411">
                  <w:pPr>
                    <w:jc w:val="center"/>
                  </w:pPr>
                  <w:r>
                    <w:t>Infidelity</w:t>
                  </w:r>
                </w:p>
              </w:tc>
              <w:tc>
                <w:tcPr>
                  <w:tcW w:w="1320" w:type="dxa"/>
                </w:tcPr>
                <w:p w14:paraId="142EAB33" w14:textId="77777777" w:rsidR="00D075F6" w:rsidRDefault="00734411">
                  <w:pPr>
                    <w:jc w:val="center"/>
                  </w:pPr>
                  <w:r>
                    <w:t>Representatividad local</w:t>
                  </w:r>
                </w:p>
              </w:tc>
              <w:tc>
                <w:tcPr>
                  <w:tcW w:w="1320" w:type="dxa"/>
                </w:tcPr>
                <w:p w14:paraId="5D6A8457" w14:textId="77777777" w:rsidR="00D075F6" w:rsidRDefault="00734411">
                  <w:pPr>
                    <w:jc w:val="center"/>
                  </w:pPr>
                  <w:r>
                    <w:t>Perturbación/enmascaramiento</w:t>
                  </w:r>
                </w:p>
              </w:tc>
              <w:tc>
                <w:tcPr>
                  <w:tcW w:w="1320" w:type="dxa"/>
                </w:tcPr>
                <w:p w14:paraId="5A63DC04" w14:textId="77777777" w:rsidR="00D075F6" w:rsidRDefault="00734411">
                  <w:pPr>
                    <w:jc w:val="center"/>
                  </w:pPr>
                  <w:r>
                    <w:t>Faithfulness proxy</w:t>
                  </w:r>
                </w:p>
              </w:tc>
              <w:tc>
                <w:tcPr>
                  <w:tcW w:w="1320" w:type="dxa"/>
                </w:tcPr>
                <w:p w14:paraId="43FC5A32" w14:textId="77777777" w:rsidR="00D075F6" w:rsidRDefault="00734411">
                  <w:pPr>
                    <w:jc w:val="center"/>
                  </w:pPr>
                  <w:r>
                    <w:t>Diagnóstico</w:t>
                  </w:r>
                </w:p>
              </w:tc>
              <w:tc>
                <w:tcPr>
                  <w:tcW w:w="1320" w:type="dxa"/>
                </w:tcPr>
                <w:p w14:paraId="431D1AB6" w14:textId="77777777" w:rsidR="00D075F6" w:rsidRDefault="00734411">
                  <w:pPr>
                    <w:jc w:val="center"/>
                  </w:pPr>
                  <w:r>
                    <w:t>Sensibilidad entre explicación y cambio de salida</w:t>
                  </w:r>
                </w:p>
              </w:tc>
            </w:tr>
            <w:tr w:rsidR="00D075F6" w14:paraId="6DD4926B" w14:textId="77777777">
              <w:trPr>
                <w:jc w:val="center"/>
              </w:trPr>
              <w:tc>
                <w:tcPr>
                  <w:tcW w:w="1320" w:type="dxa"/>
                </w:tcPr>
                <w:p w14:paraId="03196248" w14:textId="77777777" w:rsidR="00D075F6" w:rsidRDefault="00734411">
                  <w:pPr>
                    <w:jc w:val="center"/>
                  </w:pPr>
                  <w:r>
                    <w:t>Faithfulness gap / top-k</w:t>
                  </w:r>
                </w:p>
              </w:tc>
              <w:tc>
                <w:tcPr>
                  <w:tcW w:w="1320" w:type="dxa"/>
                </w:tcPr>
                <w:p w14:paraId="7FDC12D5" w14:textId="77777777" w:rsidR="00D075F6" w:rsidRDefault="00734411">
                  <w:pPr>
                    <w:jc w:val="center"/>
                  </w:pPr>
                  <w:r>
                    <w:t>Relevancia local</w:t>
                  </w:r>
                </w:p>
              </w:tc>
              <w:tc>
                <w:tcPr>
                  <w:tcW w:w="1320" w:type="dxa"/>
                </w:tcPr>
                <w:p w14:paraId="38CB7BCE" w14:textId="77777777" w:rsidR="00D075F6" w:rsidRDefault="00734411">
                  <w:pPr>
                    <w:jc w:val="center"/>
                  </w:pPr>
                  <w:r>
                    <w:t>Enmascaramiento top-k</w:t>
                  </w:r>
                </w:p>
              </w:tc>
              <w:tc>
                <w:tcPr>
                  <w:tcW w:w="1320" w:type="dxa"/>
                </w:tcPr>
                <w:p w14:paraId="71595324" w14:textId="77777777" w:rsidR="00D075F6" w:rsidRDefault="00734411">
                  <w:pPr>
                    <w:jc w:val="center"/>
                  </w:pPr>
                  <w:r>
                    <w:t>Relevancia causal local</w:t>
                  </w:r>
                </w:p>
              </w:tc>
              <w:tc>
                <w:tcPr>
                  <w:tcW w:w="1320" w:type="dxa"/>
                </w:tcPr>
                <w:p w14:paraId="0AD78CF5" w14:textId="77777777" w:rsidR="00D075F6" w:rsidRDefault="00734411">
                  <w:pPr>
                    <w:jc w:val="center"/>
                  </w:pPr>
                  <w:r>
                    <w:t>Diagnóstico</w:t>
                  </w:r>
                </w:p>
              </w:tc>
              <w:tc>
                <w:tcPr>
                  <w:tcW w:w="1320" w:type="dxa"/>
                </w:tcPr>
                <w:p w14:paraId="0A4756AB" w14:textId="77777777" w:rsidR="00D075F6" w:rsidRDefault="00734411">
                  <w:pPr>
                    <w:jc w:val="center"/>
                  </w:pPr>
                  <w:r>
                    <w:t>Cambio de predicción bajo intervención operacional</w:t>
                  </w:r>
                </w:p>
              </w:tc>
            </w:tr>
            <w:tr w:rsidR="00D075F6" w14:paraId="44E10704" w14:textId="77777777">
              <w:trPr>
                <w:jc w:val="center"/>
              </w:trPr>
              <w:tc>
                <w:tcPr>
                  <w:tcW w:w="1320" w:type="dxa"/>
                </w:tcPr>
                <w:p w14:paraId="0F020AD6" w14:textId="77777777" w:rsidR="00D075F6" w:rsidRDefault="00734411">
                  <w:pPr>
                    <w:jc w:val="center"/>
                  </w:pPr>
                  <w:r>
                    <w:t>Robustez</w:t>
                  </w:r>
                </w:p>
              </w:tc>
              <w:tc>
                <w:tcPr>
                  <w:tcW w:w="1320" w:type="dxa"/>
                </w:tcPr>
                <w:p w14:paraId="5C665FE0" w14:textId="77777777" w:rsidR="00D075F6" w:rsidRDefault="00734411">
                  <w:pPr>
                    <w:jc w:val="center"/>
                  </w:pPr>
                  <w:r>
                    <w:t>Consistencia</w:t>
                  </w:r>
                </w:p>
              </w:tc>
              <w:tc>
                <w:tcPr>
                  <w:tcW w:w="1320" w:type="dxa"/>
                </w:tcPr>
                <w:p w14:paraId="5E78EDB0" w14:textId="77777777" w:rsidR="00D075F6" w:rsidRDefault="00734411">
                  <w:pPr>
                    <w:jc w:val="center"/>
                  </w:pPr>
                  <w:r>
                    <w:t>Perturbación o estrés</w:t>
                  </w:r>
                </w:p>
              </w:tc>
              <w:tc>
                <w:tcPr>
                  <w:tcW w:w="1320" w:type="dxa"/>
                </w:tcPr>
                <w:p w14:paraId="6043668E" w14:textId="77777777" w:rsidR="00D075F6" w:rsidRDefault="00734411">
                  <w:pPr>
                    <w:jc w:val="center"/>
                  </w:pPr>
                  <w:r>
                    <w:t>Robustness</w:t>
                  </w:r>
                </w:p>
              </w:tc>
              <w:tc>
                <w:tcPr>
                  <w:tcW w:w="1320" w:type="dxa"/>
                </w:tcPr>
                <w:p w14:paraId="14C24BD3" w14:textId="77777777" w:rsidR="00D075F6" w:rsidRDefault="00734411">
                  <w:pPr>
                    <w:jc w:val="center"/>
                  </w:pPr>
                  <w:r>
                    <w:t>Alto riesgo</w:t>
                  </w:r>
                </w:p>
              </w:tc>
              <w:tc>
                <w:tcPr>
                  <w:tcW w:w="1320" w:type="dxa"/>
                </w:tcPr>
                <w:p w14:paraId="7CE3A940" w14:textId="77777777" w:rsidR="00D075F6" w:rsidRDefault="00734411">
                  <w:pPr>
                    <w:jc w:val="center"/>
                  </w:pPr>
                  <w:r>
                    <w:t>Resistencia bajo condiciones definidas</w:t>
                  </w:r>
                </w:p>
              </w:tc>
            </w:tr>
            <w:tr w:rsidR="00D075F6" w14:paraId="13EEED15" w14:textId="77777777">
              <w:trPr>
                <w:jc w:val="center"/>
              </w:trPr>
              <w:tc>
                <w:tcPr>
                  <w:tcW w:w="1320" w:type="dxa"/>
                </w:tcPr>
                <w:p w14:paraId="07D70D95" w14:textId="77777777" w:rsidR="00D075F6" w:rsidRDefault="00734411">
                  <w:pPr>
                    <w:jc w:val="center"/>
                  </w:pPr>
                  <w:r>
                    <w:t>Estabilidad</w:t>
                  </w:r>
                </w:p>
              </w:tc>
              <w:tc>
                <w:tcPr>
                  <w:tcW w:w="1320" w:type="dxa"/>
                </w:tcPr>
                <w:p w14:paraId="6030BA89" w14:textId="77777777" w:rsidR="00D075F6" w:rsidRDefault="00734411">
                  <w:pPr>
                    <w:jc w:val="center"/>
                  </w:pPr>
                  <w:r>
                    <w:t>Consistencia</w:t>
                  </w:r>
                </w:p>
              </w:tc>
              <w:tc>
                <w:tcPr>
                  <w:tcW w:w="1320" w:type="dxa"/>
                </w:tcPr>
                <w:p w14:paraId="4870F675" w14:textId="77777777" w:rsidR="00D075F6" w:rsidRDefault="00734411">
                  <w:pPr>
                    <w:jc w:val="center"/>
                  </w:pPr>
                  <w:r>
                    <w:t>Perturbación leve</w:t>
                  </w:r>
                </w:p>
              </w:tc>
              <w:tc>
                <w:tcPr>
                  <w:tcW w:w="1320" w:type="dxa"/>
                </w:tcPr>
                <w:p w14:paraId="30ABB46E" w14:textId="77777777" w:rsidR="00D075F6" w:rsidRDefault="00734411">
                  <w:pPr>
                    <w:jc w:val="center"/>
                  </w:pPr>
                  <w:r>
                    <w:t>Stability</w:t>
                  </w:r>
                </w:p>
              </w:tc>
              <w:tc>
                <w:tcPr>
                  <w:tcW w:w="1320" w:type="dxa"/>
                </w:tcPr>
                <w:p w14:paraId="4635B634" w14:textId="77777777" w:rsidR="00D075F6" w:rsidRDefault="00734411">
                  <w:pPr>
                    <w:jc w:val="center"/>
                  </w:pPr>
                  <w:r>
                    <w:t>Auditoría</w:t>
                  </w:r>
                </w:p>
              </w:tc>
              <w:tc>
                <w:tcPr>
                  <w:tcW w:w="1320" w:type="dxa"/>
                </w:tcPr>
                <w:p w14:paraId="159BC55B" w14:textId="77777777" w:rsidR="00D075F6" w:rsidRDefault="00734411">
                  <w:pPr>
                    <w:jc w:val="center"/>
                  </w:pPr>
                  <w:r>
                    <w:t>Consistencia ante variaciones pequeñas</w:t>
                  </w:r>
                </w:p>
              </w:tc>
            </w:tr>
            <w:tr w:rsidR="00D075F6" w14:paraId="1E046EF5" w14:textId="77777777">
              <w:trPr>
                <w:jc w:val="center"/>
              </w:trPr>
              <w:tc>
                <w:tcPr>
                  <w:tcW w:w="1320" w:type="dxa"/>
                </w:tcPr>
                <w:p w14:paraId="5009FADF" w14:textId="77777777" w:rsidR="00D075F6" w:rsidRDefault="00734411">
                  <w:pPr>
                    <w:jc w:val="center"/>
                  </w:pPr>
                  <w:r>
                    <w:t>Sparsity / parsimonia</w:t>
                  </w:r>
                </w:p>
              </w:tc>
              <w:tc>
                <w:tcPr>
                  <w:tcW w:w="1320" w:type="dxa"/>
                </w:tcPr>
                <w:p w14:paraId="29EA185A" w14:textId="77777777" w:rsidR="00D075F6" w:rsidRDefault="00734411">
                  <w:pPr>
                    <w:jc w:val="center"/>
                  </w:pPr>
                  <w:r>
                    <w:t>Compacidad</w:t>
                  </w:r>
                </w:p>
              </w:tc>
              <w:tc>
                <w:tcPr>
                  <w:tcW w:w="1320" w:type="dxa"/>
                </w:tcPr>
                <w:p w14:paraId="14B4F849" w14:textId="77777777" w:rsidR="00D075F6" w:rsidRDefault="00734411">
                  <w:pPr>
                    <w:jc w:val="center"/>
                  </w:pPr>
                  <w:r>
                    <w:t>Conteo de características activas</w:t>
                  </w:r>
                </w:p>
              </w:tc>
              <w:tc>
                <w:tcPr>
                  <w:tcW w:w="1320" w:type="dxa"/>
                </w:tcPr>
                <w:p w14:paraId="7DA5B5D9" w14:textId="77777777" w:rsidR="00D075F6" w:rsidRDefault="00734411">
                  <w:pPr>
                    <w:jc w:val="center"/>
                  </w:pPr>
                  <w:r>
                    <w:t>Simplicity</w:t>
                  </w:r>
                </w:p>
              </w:tc>
              <w:tc>
                <w:tcPr>
                  <w:tcW w:w="1320" w:type="dxa"/>
                </w:tcPr>
                <w:p w14:paraId="593E41E9" w14:textId="77777777" w:rsidR="00D075F6" w:rsidRDefault="00734411">
                  <w:pPr>
                    <w:jc w:val="center"/>
                  </w:pPr>
                  <w:r>
                    <w:t>Interfaces, usuario final</w:t>
                  </w:r>
                </w:p>
              </w:tc>
              <w:tc>
                <w:tcPr>
                  <w:tcW w:w="1320" w:type="dxa"/>
                </w:tcPr>
                <w:p w14:paraId="4473800E" w14:textId="77777777" w:rsidR="00D075F6" w:rsidRDefault="00734411">
                  <w:pPr>
                    <w:jc w:val="center"/>
                  </w:pPr>
                  <w:r>
                    <w:t>Tamaño cognitivo aproximado</w:t>
                  </w:r>
                </w:p>
              </w:tc>
            </w:tr>
            <w:tr w:rsidR="00D075F6" w14:paraId="1105F0ED" w14:textId="77777777">
              <w:trPr>
                <w:jc w:val="center"/>
              </w:trPr>
              <w:tc>
                <w:tcPr>
                  <w:tcW w:w="1320" w:type="dxa"/>
                </w:tcPr>
                <w:p w14:paraId="2B2166A0" w14:textId="77777777" w:rsidR="00D075F6" w:rsidRDefault="00734411">
                  <w:pPr>
                    <w:jc w:val="center"/>
                  </w:pPr>
                  <w:r>
                    <w:t>Complejidad</w:t>
                  </w:r>
                </w:p>
              </w:tc>
              <w:tc>
                <w:tcPr>
                  <w:tcW w:w="1320" w:type="dxa"/>
                </w:tcPr>
                <w:p w14:paraId="3B6AD5C0" w14:textId="77777777" w:rsidR="00D075F6" w:rsidRDefault="00734411">
                  <w:pPr>
                    <w:jc w:val="center"/>
                  </w:pPr>
                  <w:r>
                    <w:t>Compacidad</w:t>
                  </w:r>
                </w:p>
              </w:tc>
              <w:tc>
                <w:tcPr>
                  <w:tcW w:w="1320" w:type="dxa"/>
                </w:tcPr>
                <w:p w14:paraId="0C97077C" w14:textId="77777777" w:rsidR="00D075F6" w:rsidRDefault="00734411">
                  <w:pPr>
                    <w:jc w:val="center"/>
                  </w:pPr>
                  <w:r>
                    <w:t>Conteo, longitud, reglas</w:t>
                  </w:r>
                </w:p>
              </w:tc>
              <w:tc>
                <w:tcPr>
                  <w:tcW w:w="1320" w:type="dxa"/>
                </w:tcPr>
                <w:p w14:paraId="1906E6A2" w14:textId="77777777" w:rsidR="00D075F6" w:rsidRDefault="00734411">
                  <w:pPr>
                    <w:jc w:val="center"/>
                  </w:pPr>
                  <w:r>
                    <w:t>Simplicity/complejidad</w:t>
                  </w:r>
                </w:p>
              </w:tc>
              <w:tc>
                <w:tcPr>
                  <w:tcW w:w="1320" w:type="dxa"/>
                </w:tcPr>
                <w:p w14:paraId="38CA8C60" w14:textId="77777777" w:rsidR="00D075F6" w:rsidRDefault="00734411">
                  <w:pPr>
                    <w:jc w:val="center"/>
                  </w:pPr>
                  <w:r>
                    <w:t>Comunicación</w:t>
                  </w:r>
                </w:p>
              </w:tc>
              <w:tc>
                <w:tcPr>
                  <w:tcW w:w="1320" w:type="dxa"/>
                </w:tcPr>
                <w:p w14:paraId="4D780934" w14:textId="77777777" w:rsidR="00D075F6" w:rsidRDefault="00734411">
                  <w:pPr>
                    <w:jc w:val="center"/>
                  </w:pPr>
                  <w:r>
                    <w:t>Carga estructural del artefacto</w:t>
                  </w:r>
                </w:p>
              </w:tc>
            </w:tr>
            <w:tr w:rsidR="00D075F6" w14:paraId="77345FA3" w14:textId="77777777">
              <w:trPr>
                <w:jc w:val="center"/>
              </w:trPr>
              <w:tc>
                <w:tcPr>
                  <w:tcW w:w="1320" w:type="dxa"/>
                </w:tcPr>
                <w:p w14:paraId="2BF87031" w14:textId="77777777" w:rsidR="00D075F6" w:rsidRDefault="00734411">
                  <w:pPr>
                    <w:jc w:val="center"/>
                  </w:pPr>
                  <w:r>
                    <w:t>Plausibilidad</w:t>
                  </w:r>
                </w:p>
              </w:tc>
              <w:tc>
                <w:tcPr>
                  <w:tcW w:w="1320" w:type="dxa"/>
                </w:tcPr>
                <w:p w14:paraId="74F4D533" w14:textId="77777777" w:rsidR="00D075F6" w:rsidRDefault="00734411">
                  <w:pPr>
                    <w:jc w:val="center"/>
                  </w:pPr>
                  <w:r>
                    <w:t>Aceptabilidad humana</w:t>
                  </w:r>
                </w:p>
              </w:tc>
              <w:tc>
                <w:tcPr>
                  <w:tcW w:w="1320" w:type="dxa"/>
                </w:tcPr>
                <w:p w14:paraId="6FA3F7B7" w14:textId="77777777" w:rsidR="00D075F6" w:rsidRDefault="00734411">
                  <w:pPr>
                    <w:jc w:val="center"/>
                  </w:pPr>
                  <w:r>
                    <w:t>Estudio con usuario o experto</w:t>
                  </w:r>
                </w:p>
              </w:tc>
              <w:tc>
                <w:tcPr>
                  <w:tcW w:w="1320" w:type="dxa"/>
                </w:tcPr>
                <w:p w14:paraId="006320CB" w14:textId="77777777" w:rsidR="00D075F6" w:rsidRDefault="00734411">
                  <w:pPr>
                    <w:jc w:val="center"/>
                  </w:pPr>
                  <w:r>
                    <w:t>Plausibility</w:t>
                  </w:r>
                </w:p>
              </w:tc>
              <w:tc>
                <w:tcPr>
                  <w:tcW w:w="1320" w:type="dxa"/>
                </w:tcPr>
                <w:p w14:paraId="75EDC237" w14:textId="77777777" w:rsidR="00D075F6" w:rsidRDefault="00734411">
                  <w:pPr>
                    <w:jc w:val="center"/>
                  </w:pPr>
                  <w:r>
                    <w:t>Soporte a usuario</w:t>
                  </w:r>
                </w:p>
              </w:tc>
              <w:tc>
                <w:tcPr>
                  <w:tcW w:w="1320" w:type="dxa"/>
                </w:tcPr>
                <w:p w14:paraId="3D40BA35" w14:textId="77777777" w:rsidR="00D075F6" w:rsidRDefault="00734411">
                  <w:pPr>
                    <w:jc w:val="center"/>
                  </w:pPr>
                  <w:r>
                    <w:t>Coherencia percibida; no prueba verdad</w:t>
                  </w:r>
                </w:p>
              </w:tc>
            </w:tr>
            <w:tr w:rsidR="00D075F6" w14:paraId="260B2FC3" w14:textId="77777777">
              <w:trPr>
                <w:jc w:val="center"/>
              </w:trPr>
              <w:tc>
                <w:tcPr>
                  <w:tcW w:w="1320" w:type="dxa"/>
                </w:tcPr>
                <w:p w14:paraId="2F45EEFF" w14:textId="77777777" w:rsidR="00D075F6" w:rsidRDefault="00734411">
                  <w:pPr>
                    <w:jc w:val="center"/>
                  </w:pPr>
                  <w:r>
                    <w:t>Comprensibilidad</w:t>
                  </w:r>
                </w:p>
              </w:tc>
              <w:tc>
                <w:tcPr>
                  <w:tcW w:w="1320" w:type="dxa"/>
                </w:tcPr>
                <w:p w14:paraId="28EE6D00" w14:textId="77777777" w:rsidR="00D075F6" w:rsidRDefault="00734411">
                  <w:pPr>
                    <w:jc w:val="center"/>
                  </w:pPr>
                  <w:r>
                    <w:t>Soporte cognitivo</w:t>
                  </w:r>
                </w:p>
              </w:tc>
              <w:tc>
                <w:tcPr>
                  <w:tcW w:w="1320" w:type="dxa"/>
                </w:tcPr>
                <w:p w14:paraId="5DD873F6" w14:textId="77777777" w:rsidR="00D075F6" w:rsidRDefault="00734411">
                  <w:pPr>
                    <w:jc w:val="center"/>
                  </w:pPr>
                  <w:r>
                    <w:t>Estudio con usuario</w:t>
                  </w:r>
                </w:p>
              </w:tc>
              <w:tc>
                <w:tcPr>
                  <w:tcW w:w="1320" w:type="dxa"/>
                </w:tcPr>
                <w:p w14:paraId="53E591D6" w14:textId="77777777" w:rsidR="00D075F6" w:rsidRDefault="00734411">
                  <w:pPr>
                    <w:jc w:val="center"/>
                  </w:pPr>
                  <w:r>
                    <w:t>Comprehensibility</w:t>
                  </w:r>
                </w:p>
              </w:tc>
              <w:tc>
                <w:tcPr>
                  <w:tcW w:w="1320" w:type="dxa"/>
                </w:tcPr>
                <w:p w14:paraId="2918A70B" w14:textId="77777777" w:rsidR="00D075F6" w:rsidRDefault="00734411">
                  <w:pPr>
                    <w:jc w:val="center"/>
                  </w:pPr>
                  <w:r>
                    <w:t>Usuario final</w:t>
                  </w:r>
                </w:p>
              </w:tc>
              <w:tc>
                <w:tcPr>
                  <w:tcW w:w="1320" w:type="dxa"/>
                </w:tcPr>
                <w:p w14:paraId="31CD24D8" w14:textId="77777777" w:rsidR="00D075F6" w:rsidRDefault="00734411">
                  <w:pPr>
                    <w:jc w:val="center"/>
                  </w:pPr>
                  <w:r>
                    <w:t>Facilidad de comprensión observada</w:t>
                  </w:r>
                </w:p>
              </w:tc>
            </w:tr>
            <w:tr w:rsidR="00D075F6" w14:paraId="0D98550F" w14:textId="77777777">
              <w:trPr>
                <w:jc w:val="center"/>
              </w:trPr>
              <w:tc>
                <w:tcPr>
                  <w:tcW w:w="1320" w:type="dxa"/>
                </w:tcPr>
                <w:p w14:paraId="163415A6" w14:textId="77777777" w:rsidR="00D075F6" w:rsidRDefault="00734411">
                  <w:pPr>
                    <w:jc w:val="center"/>
                  </w:pPr>
                  <w:r>
                    <w:t>Satisfacción humana</w:t>
                  </w:r>
                </w:p>
              </w:tc>
              <w:tc>
                <w:tcPr>
                  <w:tcW w:w="1320" w:type="dxa"/>
                </w:tcPr>
                <w:p w14:paraId="672F318E" w14:textId="77777777" w:rsidR="00D075F6" w:rsidRDefault="00734411">
                  <w:pPr>
                    <w:jc w:val="center"/>
                  </w:pPr>
                  <w:r>
                    <w:t>Experiencia de uso</w:t>
                  </w:r>
                </w:p>
              </w:tc>
              <w:tc>
                <w:tcPr>
                  <w:tcW w:w="1320" w:type="dxa"/>
                </w:tcPr>
                <w:p w14:paraId="188D13E4" w14:textId="77777777" w:rsidR="00D075F6" w:rsidRDefault="00734411">
                  <w:pPr>
                    <w:jc w:val="center"/>
                  </w:pPr>
                  <w:r>
                    <w:t>Encuesta/experimento</w:t>
                  </w:r>
                </w:p>
              </w:tc>
              <w:tc>
                <w:tcPr>
                  <w:tcW w:w="1320" w:type="dxa"/>
                </w:tcPr>
                <w:p w14:paraId="7740DC9A" w14:textId="77777777" w:rsidR="00D075F6" w:rsidRDefault="00734411">
                  <w:pPr>
                    <w:jc w:val="center"/>
                  </w:pPr>
                  <w:r>
                    <w:t>Usefulness</w:t>
                  </w:r>
                </w:p>
              </w:tc>
              <w:tc>
                <w:tcPr>
                  <w:tcW w:w="1320" w:type="dxa"/>
                </w:tcPr>
                <w:p w14:paraId="0E5C0ACA" w14:textId="77777777" w:rsidR="00D075F6" w:rsidRDefault="00734411">
                  <w:pPr>
                    <w:jc w:val="center"/>
                  </w:pPr>
                  <w:r>
                    <w:t>Aplicación</w:t>
                  </w:r>
                </w:p>
              </w:tc>
              <w:tc>
                <w:tcPr>
                  <w:tcW w:w="1320" w:type="dxa"/>
                </w:tcPr>
                <w:p w14:paraId="7C16B12F" w14:textId="77777777" w:rsidR="00D075F6" w:rsidRDefault="00734411">
                  <w:pPr>
                    <w:jc w:val="center"/>
                  </w:pPr>
                  <w:r>
                    <w:t>Preferencia o utilidad percibida</w:t>
                  </w:r>
                </w:p>
              </w:tc>
            </w:tr>
            <w:tr w:rsidR="00D075F6" w14:paraId="618B4889" w14:textId="77777777">
              <w:trPr>
                <w:jc w:val="center"/>
              </w:trPr>
              <w:tc>
                <w:tcPr>
                  <w:tcW w:w="1320" w:type="dxa"/>
                </w:tcPr>
                <w:p w14:paraId="2803D307" w14:textId="77777777" w:rsidR="00D075F6" w:rsidRDefault="00734411">
                  <w:pPr>
                    <w:jc w:val="center"/>
                  </w:pPr>
                  <w:r>
                    <w:t>Validez contrafactual</w:t>
                  </w:r>
                </w:p>
              </w:tc>
              <w:tc>
                <w:tcPr>
                  <w:tcW w:w="1320" w:type="dxa"/>
                </w:tcPr>
                <w:p w14:paraId="35C37E53" w14:textId="77777777" w:rsidR="00D075F6" w:rsidRDefault="00734411">
                  <w:pPr>
                    <w:jc w:val="center"/>
                  </w:pPr>
                  <w:r>
                    <w:t>Cambio de resultado</w:t>
                  </w:r>
                </w:p>
              </w:tc>
              <w:tc>
                <w:tcPr>
                  <w:tcW w:w="1320" w:type="dxa"/>
                </w:tcPr>
                <w:p w14:paraId="27D1F445" w14:textId="77777777" w:rsidR="00D075F6" w:rsidRDefault="00734411">
                  <w:pPr>
                    <w:jc w:val="center"/>
                  </w:pPr>
                  <w:r>
                    <w:t>Evaluación de contrafactual</w:t>
                  </w:r>
                </w:p>
              </w:tc>
              <w:tc>
                <w:tcPr>
                  <w:tcW w:w="1320" w:type="dxa"/>
                </w:tcPr>
                <w:p w14:paraId="3C94C4CC" w14:textId="77777777" w:rsidR="00D075F6" w:rsidRDefault="00734411">
                  <w:pPr>
                    <w:jc w:val="center"/>
                  </w:pPr>
                  <w:r>
                    <w:t>Validity</w:t>
                  </w:r>
                </w:p>
              </w:tc>
              <w:tc>
                <w:tcPr>
                  <w:tcW w:w="1320" w:type="dxa"/>
                </w:tcPr>
                <w:p w14:paraId="324E95C2" w14:textId="77777777" w:rsidR="00D075F6" w:rsidRDefault="00734411">
                  <w:pPr>
                    <w:jc w:val="center"/>
                  </w:pPr>
                  <w:r>
                    <w:t>Recourse</w:t>
                  </w:r>
                </w:p>
              </w:tc>
              <w:tc>
                <w:tcPr>
                  <w:tcW w:w="1320" w:type="dxa"/>
                </w:tcPr>
                <w:p w14:paraId="0BD4108A" w14:textId="77777777" w:rsidR="00D075F6" w:rsidRDefault="00734411">
                  <w:pPr>
                    <w:jc w:val="center"/>
                  </w:pPr>
                  <w:r>
                    <w:t>La alternativa cambia la predicción</w:t>
                  </w:r>
                </w:p>
              </w:tc>
            </w:tr>
            <w:tr w:rsidR="00D075F6" w14:paraId="516715AC" w14:textId="77777777">
              <w:trPr>
                <w:jc w:val="center"/>
              </w:trPr>
              <w:tc>
                <w:tcPr>
                  <w:tcW w:w="1320" w:type="dxa"/>
                </w:tcPr>
                <w:p w14:paraId="376A97C5" w14:textId="77777777" w:rsidR="00D075F6" w:rsidRDefault="00734411">
                  <w:pPr>
                    <w:jc w:val="center"/>
                  </w:pPr>
                  <w:r>
                    <w:t>Actionability</w:t>
                  </w:r>
                </w:p>
              </w:tc>
              <w:tc>
                <w:tcPr>
                  <w:tcW w:w="1320" w:type="dxa"/>
                </w:tcPr>
                <w:p w14:paraId="0F4D3EE8" w14:textId="77777777" w:rsidR="00D075F6" w:rsidRDefault="00734411">
                  <w:pPr>
                    <w:jc w:val="center"/>
                  </w:pPr>
                  <w:r>
                    <w:t>Factibilidad de cambio</w:t>
                  </w:r>
                </w:p>
              </w:tc>
              <w:tc>
                <w:tcPr>
                  <w:tcW w:w="1320" w:type="dxa"/>
                </w:tcPr>
                <w:p w14:paraId="2172F1B2" w14:textId="77777777" w:rsidR="00D075F6" w:rsidRDefault="00734411">
                  <w:pPr>
                    <w:jc w:val="center"/>
                  </w:pPr>
                  <w:r>
                    <w:t>Reglas de dominio/usuario</w:t>
                  </w:r>
                </w:p>
              </w:tc>
              <w:tc>
                <w:tcPr>
                  <w:tcW w:w="1320" w:type="dxa"/>
                </w:tcPr>
                <w:p w14:paraId="51AF01F8" w14:textId="77777777" w:rsidR="00D075F6" w:rsidRDefault="00734411">
                  <w:pPr>
                    <w:jc w:val="center"/>
                  </w:pPr>
                  <w:r>
                    <w:t>Actionability</w:t>
                  </w:r>
                </w:p>
              </w:tc>
              <w:tc>
                <w:tcPr>
                  <w:tcW w:w="1320" w:type="dxa"/>
                </w:tcPr>
                <w:p w14:paraId="41EB6BCC" w14:textId="77777777" w:rsidR="00D075F6" w:rsidRDefault="00734411">
                  <w:pPr>
                    <w:jc w:val="center"/>
                  </w:pPr>
                  <w:r>
                    <w:t>Recourse</w:t>
                  </w:r>
                </w:p>
              </w:tc>
              <w:tc>
                <w:tcPr>
                  <w:tcW w:w="1320" w:type="dxa"/>
                </w:tcPr>
                <w:p w14:paraId="7F934FBE" w14:textId="77777777" w:rsidR="00D075F6" w:rsidRDefault="00734411">
                  <w:pPr>
                    <w:jc w:val="center"/>
                  </w:pPr>
                  <w:r>
                    <w:t>El cambio es ejecutable bajo restricciones</w:t>
                  </w:r>
                </w:p>
              </w:tc>
            </w:tr>
            <w:tr w:rsidR="00D075F6" w14:paraId="0709915C" w14:textId="77777777">
              <w:trPr>
                <w:jc w:val="center"/>
              </w:trPr>
              <w:tc>
                <w:tcPr>
                  <w:tcW w:w="1320" w:type="dxa"/>
                </w:tcPr>
                <w:p w14:paraId="7AB745D1" w14:textId="77777777" w:rsidR="00D075F6" w:rsidRDefault="00734411">
                  <w:pPr>
                    <w:jc w:val="center"/>
                  </w:pPr>
                  <w:r>
                    <w:t>Alineamiento causal</w:t>
                  </w:r>
                </w:p>
              </w:tc>
              <w:tc>
                <w:tcPr>
                  <w:tcW w:w="1320" w:type="dxa"/>
                </w:tcPr>
                <w:p w14:paraId="63FE5710" w14:textId="77777777" w:rsidR="00D075F6" w:rsidRDefault="00734411">
                  <w:pPr>
                    <w:jc w:val="center"/>
                  </w:pPr>
                  <w:r>
                    <w:t>Relación explicación-dominio</w:t>
                  </w:r>
                </w:p>
              </w:tc>
              <w:tc>
                <w:tcPr>
                  <w:tcW w:w="1320" w:type="dxa"/>
                </w:tcPr>
                <w:p w14:paraId="2F5EEFA2" w14:textId="77777777" w:rsidR="00D075F6" w:rsidRDefault="00734411">
                  <w:pPr>
                    <w:jc w:val="center"/>
                  </w:pPr>
                  <w:r>
                    <w:t>Modelo causal/experto</w:t>
                  </w:r>
                </w:p>
              </w:tc>
              <w:tc>
                <w:tcPr>
                  <w:tcW w:w="1320" w:type="dxa"/>
                </w:tcPr>
                <w:p w14:paraId="681BE620" w14:textId="77777777" w:rsidR="00D075F6" w:rsidRDefault="00734411">
                  <w:pPr>
                    <w:jc w:val="center"/>
                  </w:pPr>
                  <w:r>
                    <w:t>Causal alignment</w:t>
                  </w:r>
                </w:p>
              </w:tc>
              <w:tc>
                <w:tcPr>
                  <w:tcW w:w="1320" w:type="dxa"/>
                </w:tcPr>
                <w:p w14:paraId="11585662" w14:textId="77777777" w:rsidR="00D075F6" w:rsidRDefault="00734411">
                  <w:pPr>
                    <w:jc w:val="center"/>
                  </w:pPr>
                  <w:r>
                    <w:t>Alto riesgo</w:t>
                  </w:r>
                </w:p>
              </w:tc>
              <w:tc>
                <w:tcPr>
                  <w:tcW w:w="1320" w:type="dxa"/>
                </w:tcPr>
                <w:p w14:paraId="04F6B1A4" w14:textId="77777777" w:rsidR="00D075F6" w:rsidRDefault="00734411">
                  <w:pPr>
                    <w:jc w:val="center"/>
                  </w:pPr>
                  <w:r>
                    <w:t>Requiere evidencia causal externa</w:t>
                  </w:r>
                </w:p>
              </w:tc>
            </w:tr>
            <w:tr w:rsidR="00D075F6" w14:paraId="19355366" w14:textId="77777777">
              <w:trPr>
                <w:jc w:val="center"/>
              </w:trPr>
              <w:tc>
                <w:tcPr>
                  <w:tcW w:w="1320" w:type="dxa"/>
                </w:tcPr>
                <w:p w14:paraId="151A336B" w14:textId="77777777" w:rsidR="00D075F6" w:rsidRDefault="00734411">
                  <w:pPr>
                    <w:jc w:val="center"/>
                  </w:pPr>
                  <w:r>
                    <w:t>Coste computacional</w:t>
                  </w:r>
                </w:p>
              </w:tc>
              <w:tc>
                <w:tcPr>
                  <w:tcW w:w="1320" w:type="dxa"/>
                </w:tcPr>
                <w:p w14:paraId="29333DCE" w14:textId="77777777" w:rsidR="00D075F6" w:rsidRDefault="00734411">
                  <w:pPr>
                    <w:jc w:val="center"/>
                  </w:pPr>
                  <w:r>
                    <w:t>Eficiencia</w:t>
                  </w:r>
                </w:p>
              </w:tc>
              <w:tc>
                <w:tcPr>
                  <w:tcW w:w="1320" w:type="dxa"/>
                </w:tcPr>
                <w:p w14:paraId="2DD6C893" w14:textId="77777777" w:rsidR="00D075F6" w:rsidRDefault="00734411">
                  <w:pPr>
                    <w:jc w:val="center"/>
                  </w:pPr>
                  <w:r>
                    <w:t>Tiempo/recurso</w:t>
                  </w:r>
                </w:p>
              </w:tc>
              <w:tc>
                <w:tcPr>
                  <w:tcW w:w="1320" w:type="dxa"/>
                </w:tcPr>
                <w:p w14:paraId="23D986D9" w14:textId="77777777" w:rsidR="00D075F6" w:rsidRDefault="00734411">
                  <w:pPr>
                    <w:jc w:val="center"/>
                  </w:pPr>
                  <w:r>
                    <w:t>Efficiency</w:t>
                  </w:r>
                </w:p>
              </w:tc>
              <w:tc>
                <w:tcPr>
                  <w:tcW w:w="1320" w:type="dxa"/>
                </w:tcPr>
                <w:p w14:paraId="6B16E555" w14:textId="77777777" w:rsidR="00D075F6" w:rsidRDefault="00734411">
                  <w:pPr>
                    <w:jc w:val="center"/>
                  </w:pPr>
                  <w:r>
                    <w:t>Producción</w:t>
                  </w:r>
                </w:p>
              </w:tc>
              <w:tc>
                <w:tcPr>
                  <w:tcW w:w="1320" w:type="dxa"/>
                </w:tcPr>
                <w:p w14:paraId="6868D80D" w14:textId="77777777" w:rsidR="00D075F6" w:rsidRDefault="00734411">
                  <w:pPr>
                    <w:jc w:val="center"/>
                  </w:pPr>
                  <w:r>
                    <w:t>Factibilidad operacional</w:t>
                  </w:r>
                </w:p>
              </w:tc>
            </w:tr>
            <w:tr w:rsidR="00D075F6" w14:paraId="4196FC11" w14:textId="77777777">
              <w:trPr>
                <w:jc w:val="center"/>
              </w:trPr>
              <w:tc>
                <w:tcPr>
                  <w:tcW w:w="1320" w:type="dxa"/>
                </w:tcPr>
                <w:p w14:paraId="2DCD4061" w14:textId="77777777" w:rsidR="00D075F6" w:rsidRDefault="00734411">
                  <w:pPr>
                    <w:jc w:val="center"/>
                  </w:pPr>
                  <w:r>
                    <w:t>Equidad explicativa</w:t>
                  </w:r>
                </w:p>
              </w:tc>
              <w:tc>
                <w:tcPr>
                  <w:tcW w:w="1320" w:type="dxa"/>
                </w:tcPr>
                <w:p w14:paraId="362B984A" w14:textId="77777777" w:rsidR="00D075F6" w:rsidRDefault="00734411">
                  <w:pPr>
                    <w:jc w:val="center"/>
                  </w:pPr>
                  <w:r>
                    <w:t>Comparación entre subgrupos</w:t>
                  </w:r>
                </w:p>
              </w:tc>
              <w:tc>
                <w:tcPr>
                  <w:tcW w:w="1320" w:type="dxa"/>
                </w:tcPr>
                <w:p w14:paraId="417E1A90" w14:textId="77777777" w:rsidR="00D075F6" w:rsidRDefault="00734411">
                  <w:pPr>
                    <w:jc w:val="center"/>
                  </w:pPr>
                  <w:r>
                    <w:t>Métrica estratificada</w:t>
                  </w:r>
                </w:p>
              </w:tc>
              <w:tc>
                <w:tcPr>
                  <w:tcW w:w="1320" w:type="dxa"/>
                </w:tcPr>
                <w:p w14:paraId="1DCDCB53" w14:textId="77777777" w:rsidR="00D075F6" w:rsidRDefault="00734411">
                  <w:pPr>
                    <w:jc w:val="center"/>
                  </w:pPr>
                  <w:r>
                    <w:t>Fairness</w:t>
                  </w:r>
                </w:p>
              </w:tc>
              <w:tc>
                <w:tcPr>
                  <w:tcW w:w="1320" w:type="dxa"/>
                </w:tcPr>
                <w:p w14:paraId="7AFDEDCA" w14:textId="77777777" w:rsidR="00D075F6" w:rsidRDefault="00734411">
                  <w:pPr>
                    <w:jc w:val="center"/>
                  </w:pPr>
                  <w:r>
                    <w:t>Auditoría</w:t>
                  </w:r>
                </w:p>
              </w:tc>
              <w:tc>
                <w:tcPr>
                  <w:tcW w:w="1320" w:type="dxa"/>
                </w:tcPr>
                <w:p w14:paraId="7A9858E3" w14:textId="77777777" w:rsidR="00D075F6" w:rsidRDefault="00734411">
                  <w:pPr>
                    <w:jc w:val="center"/>
                  </w:pPr>
                  <w:r>
                    <w:t>Diferencias de calidad explicativa por grupo</w:t>
                  </w:r>
                </w:p>
              </w:tc>
            </w:tr>
            <w:bookmarkEnd w:id="224"/>
          </w:tbl>
          <w:p w14:paraId="5850FEE7" w14:textId="77777777" w:rsidR="00D075F6" w:rsidRDefault="00D075F6"/>
        </w:tc>
      </w:tr>
    </w:tbl>
    <w:p w14:paraId="2C5AAB36" w14:textId="77777777" w:rsidR="00D075F6" w:rsidRDefault="00734411">
      <w:pPr>
        <w:pStyle w:val="Heading2"/>
      </w:pPr>
      <w:bookmarkStart w:id="225" w:name="sec-taxonomia-benchmark"/>
      <w:bookmarkStart w:id="226" w:name="_Toc241413327"/>
      <w:bookmarkEnd w:id="222"/>
      <w:r>
        <w:t xml:space="preserve">5.5 </w:t>
      </w:r>
      <w:r>
        <w:t>Mapeo del benchmark a la taxonomía</w:t>
      </w:r>
      <w:bookmarkEnd w:id="226"/>
    </w:p>
    <w:p w14:paraId="2D66F88E" w14:textId="77777777" w:rsidR="00D075F6" w:rsidRDefault="00734411">
      <w:r>
        <w:t>Las cinco métricas operacionalizadas en el Estudio Omnibus Multimétrico y el Estudio Pareado LIME–SHAP se localizan en la taxonomía de la siguiente manera:</w:t>
      </w:r>
    </w:p>
    <w:tbl>
      <w:tblPr>
        <w:tblW w:w="5000" w:type="pct"/>
        <w:jc w:val="center"/>
        <w:tblLayout w:type="fixed"/>
        <w:tblLook w:val="0000" w:firstRow="0" w:lastRow="0" w:firstColumn="0" w:lastColumn="0" w:noHBand="0" w:noVBand="0"/>
      </w:tblPr>
      <w:tblGrid>
        <w:gridCol w:w="9576"/>
      </w:tblGrid>
      <w:tr w:rsidR="00D075F6" w14:paraId="52C3CF9E" w14:textId="77777777">
        <w:trPr>
          <w:jc w:val="center"/>
        </w:trPr>
        <w:tc>
          <w:tcPr>
            <w:tcW w:w="7920" w:type="dxa"/>
          </w:tcPr>
          <w:p w14:paraId="625A336E" w14:textId="77777777" w:rsidR="00D075F6" w:rsidRDefault="00734411">
            <w:pPr>
              <w:spacing w:before="200"/>
              <w:jc w:val="center"/>
            </w:pPr>
            <w:bookmarkStart w:id="227" w:name="tbl-taxonomia-benchmark"/>
            <w:r>
              <w:t>Tabla 5.2: Mapeo de las métricas del benchmark a los cuatro ejes de la taxonomía.</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D075F6" w14:paraId="50702788" w14:textId="77777777">
              <w:trPr>
                <w:tblHeader/>
                <w:jc w:val="center"/>
              </w:trPr>
              <w:tc>
                <w:tcPr>
                  <w:tcW w:w="1584" w:type="dxa"/>
                </w:tcPr>
                <w:p w14:paraId="3973E69E" w14:textId="77777777" w:rsidR="00D075F6" w:rsidRDefault="00734411">
                  <w:pPr>
                    <w:jc w:val="center"/>
                  </w:pPr>
                  <w:r>
                    <w:rPr>
                      <w:b/>
                      <w:bCs/>
                    </w:rPr>
                    <w:t>Métrica</w:t>
                  </w:r>
                </w:p>
              </w:tc>
              <w:tc>
                <w:tcPr>
                  <w:tcW w:w="1584" w:type="dxa"/>
                </w:tcPr>
                <w:p w14:paraId="2E630534" w14:textId="77777777" w:rsidR="00D075F6" w:rsidRDefault="00734411">
                  <w:pPr>
                    <w:jc w:val="center"/>
                  </w:pPr>
                  <w:r>
                    <w:rPr>
                      <w:b/>
                      <w:bCs/>
                    </w:rPr>
                    <w:t>Eje 1: objetivo</w:t>
                  </w:r>
                </w:p>
              </w:tc>
              <w:tc>
                <w:tcPr>
                  <w:tcW w:w="1584" w:type="dxa"/>
                </w:tcPr>
                <w:p w14:paraId="27CB7282" w14:textId="77777777" w:rsidR="00D075F6" w:rsidRDefault="00734411">
                  <w:pPr>
                    <w:jc w:val="center"/>
                  </w:pPr>
                  <w:r>
                    <w:rPr>
                      <w:b/>
                      <w:bCs/>
                    </w:rPr>
                    <w:t>Eje 2: fuente de evidencia</w:t>
                  </w:r>
                </w:p>
              </w:tc>
              <w:tc>
                <w:tcPr>
                  <w:tcW w:w="1584" w:type="dxa"/>
                </w:tcPr>
                <w:p w14:paraId="42F4BE2B" w14:textId="77777777" w:rsidR="00D075F6" w:rsidRDefault="00734411">
                  <w:pPr>
                    <w:jc w:val="center"/>
                  </w:pPr>
                  <w:r>
                    <w:rPr>
                      <w:b/>
                      <w:bCs/>
                    </w:rPr>
                    <w:t>Eje 3: propiedad</w:t>
                  </w:r>
                </w:p>
              </w:tc>
              <w:tc>
                <w:tcPr>
                  <w:tcW w:w="1584" w:type="dxa"/>
                </w:tcPr>
                <w:p w14:paraId="42304266" w14:textId="77777777" w:rsidR="00D075F6" w:rsidRDefault="00734411">
                  <w:pPr>
                    <w:jc w:val="center"/>
                  </w:pPr>
                  <w:r>
                    <w:rPr>
                      <w:b/>
                      <w:bCs/>
                    </w:rPr>
                    <w:t>Eje 4: contexto prioritario</w:t>
                  </w:r>
                </w:p>
              </w:tc>
            </w:tr>
            <w:tr w:rsidR="00D075F6" w14:paraId="544E3AA2" w14:textId="77777777">
              <w:trPr>
                <w:jc w:val="center"/>
              </w:trPr>
              <w:tc>
                <w:tcPr>
                  <w:tcW w:w="1584" w:type="dxa"/>
                </w:tcPr>
                <w:p w14:paraId="79A97C7F" w14:textId="77777777" w:rsidR="00D075F6" w:rsidRDefault="00734411">
                  <w:pPr>
                    <w:jc w:val="center"/>
                  </w:pPr>
                  <w:r>
                    <w:t>Fidelidad (</w:t>
                  </w:r>
                  <m:oMath>
                    <m:r>
                      <w:rPr>
                        <w:rFonts w:ascii="Cambria Math" w:hAnsi="Cambria Math"/>
                      </w:rPr>
                      <m:t>F</m:t>
                    </m:r>
                  </m:oMath>
                  <w:r>
                    <w:t>)</w:t>
                  </w:r>
                </w:p>
              </w:tc>
              <w:tc>
                <w:tcPr>
                  <w:tcW w:w="1584" w:type="dxa"/>
                </w:tcPr>
                <w:p w14:paraId="761A0A25" w14:textId="77777777" w:rsidR="00D075F6" w:rsidRDefault="00734411">
                  <w:pPr>
                    <w:jc w:val="center"/>
                  </w:pPr>
                  <w:r>
                    <w:t>Representatividad local</w:t>
                  </w:r>
                </w:p>
              </w:tc>
              <w:tc>
                <w:tcPr>
                  <w:tcW w:w="1584" w:type="dxa"/>
                </w:tcPr>
                <w:p w14:paraId="600430F0" w14:textId="77777777" w:rsidR="00D075F6" w:rsidRDefault="00734411">
                  <w:pPr>
                    <w:jc w:val="center"/>
                  </w:pPr>
                  <w:r>
                    <w:t>Enmascaramiento de características</w:t>
                  </w:r>
                </w:p>
              </w:tc>
              <w:tc>
                <w:tcPr>
                  <w:tcW w:w="1584" w:type="dxa"/>
                </w:tcPr>
                <w:p w14:paraId="1BD65F00" w14:textId="77777777" w:rsidR="00D075F6" w:rsidRDefault="00734411">
                  <w:pPr>
                    <w:jc w:val="center"/>
                  </w:pPr>
                  <w:r>
                    <w:t>Faithfulness proxy</w:t>
                  </w:r>
                </w:p>
              </w:tc>
              <w:tc>
                <w:tcPr>
                  <w:tcW w:w="1584" w:type="dxa"/>
                </w:tcPr>
                <w:p w14:paraId="0A07477D" w14:textId="77777777" w:rsidR="00D075F6" w:rsidRDefault="00734411">
                  <w:pPr>
                    <w:jc w:val="center"/>
                  </w:pPr>
                  <w:r>
                    <w:t>Auditoría, diagnóstico</w:t>
                  </w:r>
                </w:p>
              </w:tc>
            </w:tr>
            <w:tr w:rsidR="00D075F6" w14:paraId="3C3DA0F5" w14:textId="77777777">
              <w:trPr>
                <w:jc w:val="center"/>
              </w:trPr>
              <w:tc>
                <w:tcPr>
                  <w:tcW w:w="1584" w:type="dxa"/>
                </w:tcPr>
                <w:p w14:paraId="582C49D8" w14:textId="77777777" w:rsidR="00D075F6" w:rsidRDefault="00734411">
                  <w:pPr>
                    <w:jc w:val="center"/>
                  </w:pPr>
                  <w:r>
                    <w:t>Estabilidad (</w:t>
                  </w:r>
                  <m:oMath>
                    <m:r>
                      <w:rPr>
                        <w:rFonts w:ascii="Cambria Math" w:hAnsi="Cambria Math"/>
                      </w:rPr>
                      <m:t>S</m:t>
                    </m:r>
                  </m:oMath>
                  <w:r>
                    <w:t>)</w:t>
                  </w:r>
                </w:p>
              </w:tc>
              <w:tc>
                <w:tcPr>
                  <w:tcW w:w="1584" w:type="dxa"/>
                </w:tcPr>
                <w:p w14:paraId="3619BA03" w14:textId="77777777" w:rsidR="00D075F6" w:rsidRDefault="00734411">
                  <w:pPr>
                    <w:jc w:val="center"/>
                  </w:pPr>
                  <w:r>
                    <w:t>Consistencia bajo perturbación</w:t>
                  </w:r>
                </w:p>
              </w:tc>
              <w:tc>
                <w:tcPr>
                  <w:tcW w:w="1584" w:type="dxa"/>
                </w:tcPr>
                <w:p w14:paraId="1401D710" w14:textId="77777777" w:rsidR="00D075F6" w:rsidRDefault="00734411">
                  <w:pPr>
                    <w:jc w:val="center"/>
                  </w:pPr>
                  <w:r>
                    <w:t>Perturbación gaussiana del input</w:t>
                  </w:r>
                </w:p>
              </w:tc>
              <w:tc>
                <w:tcPr>
                  <w:tcW w:w="1584" w:type="dxa"/>
                </w:tcPr>
                <w:p w14:paraId="25A44FB7" w14:textId="77777777" w:rsidR="00D075F6" w:rsidRDefault="00734411">
                  <w:pPr>
                    <w:jc w:val="center"/>
                  </w:pPr>
                  <w:r>
                    <w:t>Stability / robustness</w:t>
                  </w:r>
                </w:p>
              </w:tc>
              <w:tc>
                <w:tcPr>
                  <w:tcW w:w="1584" w:type="dxa"/>
                </w:tcPr>
                <w:p w14:paraId="2B92DD39" w14:textId="77777777" w:rsidR="00D075F6" w:rsidRDefault="00734411">
                  <w:pPr>
                    <w:jc w:val="center"/>
                  </w:pPr>
                  <w:r>
                    <w:t>Auditoría, alto riesgo</w:t>
                  </w:r>
                </w:p>
              </w:tc>
            </w:tr>
            <w:tr w:rsidR="00D075F6" w14:paraId="1EF8A0F9" w14:textId="77777777">
              <w:trPr>
                <w:jc w:val="center"/>
              </w:trPr>
              <w:tc>
                <w:tcPr>
                  <w:tcW w:w="1584" w:type="dxa"/>
                </w:tcPr>
                <w:p w14:paraId="2354BB43" w14:textId="77777777" w:rsidR="00D075F6" w:rsidRDefault="00734411">
                  <w:pPr>
                    <w:jc w:val="center"/>
                  </w:pPr>
                  <w:r>
                    <w:t>Parsimonia (</w:t>
                  </w:r>
                  <m:oMath>
                    <m:r>
                      <w:rPr>
                        <w:rFonts w:ascii="Cambria Math" w:hAnsi="Cambria Math"/>
                      </w:rPr>
                      <m:t>P</m:t>
                    </m:r>
                  </m:oMath>
                  <w:r>
                    <w:t>)</w:t>
                  </w:r>
                </w:p>
              </w:tc>
              <w:tc>
                <w:tcPr>
                  <w:tcW w:w="1584" w:type="dxa"/>
                </w:tcPr>
                <w:p w14:paraId="04A0AE2B" w14:textId="77777777" w:rsidR="00D075F6" w:rsidRDefault="00734411">
                  <w:pPr>
                    <w:jc w:val="center"/>
                  </w:pPr>
                  <w:r>
                    <w:t>Compacidad explicativa</w:t>
                  </w:r>
                </w:p>
              </w:tc>
              <w:tc>
                <w:tcPr>
                  <w:tcW w:w="1584" w:type="dxa"/>
                </w:tcPr>
                <w:p w14:paraId="23465D46" w14:textId="77777777" w:rsidR="00D075F6" w:rsidRDefault="00734411">
                  <w:pPr>
                    <w:jc w:val="center"/>
                  </w:pPr>
                  <w:r>
                    <w:t>Conteo de atribuciones activas</w:t>
                  </w:r>
                </w:p>
              </w:tc>
              <w:tc>
                <w:tcPr>
                  <w:tcW w:w="1584" w:type="dxa"/>
                </w:tcPr>
                <w:p w14:paraId="5D74FC00" w14:textId="77777777" w:rsidR="00D075F6" w:rsidRDefault="00734411">
                  <w:pPr>
                    <w:jc w:val="center"/>
                  </w:pPr>
                  <w:r>
                    <w:t>Simplicity</w:t>
                  </w:r>
                </w:p>
              </w:tc>
              <w:tc>
                <w:tcPr>
                  <w:tcW w:w="1584" w:type="dxa"/>
                </w:tcPr>
                <w:p w14:paraId="6BF48754" w14:textId="77777777" w:rsidR="00D075F6" w:rsidRDefault="00734411">
                  <w:pPr>
                    <w:jc w:val="center"/>
                  </w:pPr>
                  <w:r>
                    <w:t>Usuario final, interfaces</w:t>
                  </w:r>
                </w:p>
              </w:tc>
            </w:tr>
            <w:tr w:rsidR="00D075F6" w14:paraId="53AF1493" w14:textId="77777777">
              <w:trPr>
                <w:jc w:val="center"/>
              </w:trPr>
              <w:tc>
                <w:tcPr>
                  <w:tcW w:w="1584" w:type="dxa"/>
                </w:tcPr>
                <w:p w14:paraId="434422E2" w14:textId="77777777" w:rsidR="00D075F6" w:rsidRDefault="00734411">
                  <w:pPr>
                    <w:jc w:val="center"/>
                  </w:pPr>
                  <w:r>
                    <w:t>Brecha de fidelidad (</w:t>
                  </w: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w:r>
                    <w:t>)</w:t>
                  </w:r>
                </w:p>
              </w:tc>
              <w:tc>
                <w:tcPr>
                  <w:tcW w:w="1584" w:type="dxa"/>
                </w:tcPr>
                <w:p w14:paraId="27FB1B4F" w14:textId="77777777" w:rsidR="00D075F6" w:rsidRDefault="00734411">
                  <w:pPr>
                    <w:jc w:val="center"/>
                  </w:pPr>
                  <w:r>
                    <w:t>Relevancia causal local</w:t>
                  </w:r>
                </w:p>
              </w:tc>
              <w:tc>
                <w:tcPr>
                  <w:tcW w:w="1584" w:type="dxa"/>
                </w:tcPr>
                <w:p w14:paraId="67536C0E" w14:textId="77777777" w:rsidR="00D075F6" w:rsidRDefault="00734411">
                  <w:pPr>
                    <w:jc w:val="center"/>
                  </w:pPr>
                  <w:r>
                    <w:t>Enmascaramiento top-k</w:t>
                  </w:r>
                </w:p>
              </w:tc>
              <w:tc>
                <w:tcPr>
                  <w:tcW w:w="1584" w:type="dxa"/>
                </w:tcPr>
                <w:p w14:paraId="0665446F" w14:textId="77777777" w:rsidR="00D075F6" w:rsidRDefault="00734411">
                  <w:pPr>
                    <w:jc w:val="center"/>
                  </w:pPr>
                  <w:r>
                    <w:t>Faithfulness operacional</w:t>
                  </w:r>
                </w:p>
              </w:tc>
              <w:tc>
                <w:tcPr>
                  <w:tcW w:w="1584" w:type="dxa"/>
                </w:tcPr>
                <w:p w14:paraId="75FF06A6" w14:textId="77777777" w:rsidR="00D075F6" w:rsidRDefault="00734411">
                  <w:pPr>
                    <w:jc w:val="center"/>
                  </w:pPr>
                  <w:r>
                    <w:t>Diagnóstico, responsabilidad</w:t>
                  </w:r>
                </w:p>
              </w:tc>
            </w:tr>
            <w:tr w:rsidR="00D075F6" w14:paraId="2D687FDC" w14:textId="77777777">
              <w:trPr>
                <w:jc w:val="center"/>
              </w:trPr>
              <w:tc>
                <w:tcPr>
                  <w:tcW w:w="1584" w:type="dxa"/>
                </w:tcPr>
                <w:p w14:paraId="7EB5386B" w14:textId="77777777" w:rsidR="00D075F6" w:rsidRDefault="00734411">
                  <w:pPr>
                    <w:jc w:val="center"/>
                  </w:pPr>
                  <w:r>
                    <w:t>Coste (</w:t>
                  </w:r>
                  <m:oMath>
                    <m:r>
                      <w:rPr>
                        <w:rFonts w:ascii="Cambria Math" w:hAnsi="Cambria Math"/>
                      </w:rPr>
                      <m:t>C</m:t>
                    </m:r>
                  </m:oMath>
                  <w:r>
                    <w:t>)</w:t>
                  </w:r>
                </w:p>
              </w:tc>
              <w:tc>
                <w:tcPr>
                  <w:tcW w:w="1584" w:type="dxa"/>
                </w:tcPr>
                <w:p w14:paraId="09426C17" w14:textId="77777777" w:rsidR="00D075F6" w:rsidRDefault="00734411">
                  <w:pPr>
                    <w:jc w:val="center"/>
                  </w:pPr>
                  <w:r>
                    <w:t>Eficiencia operativa</w:t>
                  </w:r>
                </w:p>
              </w:tc>
              <w:tc>
                <w:tcPr>
                  <w:tcW w:w="1584" w:type="dxa"/>
                </w:tcPr>
                <w:p w14:paraId="543974B6" w14:textId="77777777" w:rsidR="00D075F6" w:rsidRDefault="00734411">
                  <w:pPr>
                    <w:jc w:val="center"/>
                  </w:pPr>
                  <w:r>
                    <w:t>Tiempo de pared por instancia</w:t>
                  </w:r>
                </w:p>
              </w:tc>
              <w:tc>
                <w:tcPr>
                  <w:tcW w:w="1584" w:type="dxa"/>
                </w:tcPr>
                <w:p w14:paraId="3B3F5976" w14:textId="77777777" w:rsidR="00D075F6" w:rsidRDefault="00734411">
                  <w:pPr>
                    <w:jc w:val="center"/>
                  </w:pPr>
                  <w:r>
                    <w:t>Efficiency</w:t>
                  </w:r>
                </w:p>
              </w:tc>
              <w:tc>
                <w:tcPr>
                  <w:tcW w:w="1584" w:type="dxa"/>
                </w:tcPr>
                <w:p w14:paraId="0857DA90" w14:textId="77777777" w:rsidR="00D075F6" w:rsidRDefault="00734411">
                  <w:pPr>
                    <w:jc w:val="center"/>
                  </w:pPr>
                  <w:r>
                    <w:t>Despliegue en tiempo real</w:t>
                  </w:r>
                </w:p>
              </w:tc>
            </w:tr>
            <w:bookmarkEnd w:id="227"/>
          </w:tbl>
          <w:p w14:paraId="1CFDE195" w14:textId="77777777" w:rsidR="00D075F6" w:rsidRDefault="00D075F6"/>
        </w:tc>
      </w:tr>
    </w:tbl>
    <w:p w14:paraId="3D00CCF8" w14:textId="77777777" w:rsidR="00D075F6" w:rsidRDefault="00734411">
      <w:pPr>
        <w:pStyle w:val="BodyText"/>
      </w:pPr>
      <w:r>
        <w:t>Este mapeo muestra que el benchmark cubre de forma fuerte la evaluación functionally-grounded, pero no cubre directamente los cuadrantes human-centered: plausibilidad, satisfacción, comprehensibilidad y utilidad en tarea humana. Esa ausencia no es una falla del estudio; es una delimitación. La taxonomía permite nombrar el límite con precisión y evita que el resultado estadístico se use para claimar propiedades no medidas.</w:t>
      </w:r>
    </w:p>
    <w:p w14:paraId="62C42780" w14:textId="77777777" w:rsidR="00D075F6" w:rsidRDefault="00734411">
      <w:pPr>
        <w:pStyle w:val="Heading2"/>
      </w:pPr>
      <w:bookmarkStart w:id="228" w:name="sec-taxonomia-brechas"/>
      <w:bookmarkStart w:id="229" w:name="_Toc241413328"/>
      <w:bookmarkEnd w:id="225"/>
      <w:r>
        <w:t>5.6 Brechas de constructo que la taxonomía hace explícitas</w:t>
      </w:r>
      <w:bookmarkEnd w:id="229"/>
    </w:p>
    <w:p w14:paraId="1A2C3870" w14:textId="77777777" w:rsidR="00D075F6" w:rsidRDefault="00734411">
      <w:r>
        <w:t>El mapeo anterior no solo localiza lo que el benchmark mide: delimita lo que no mide y por qué. Las tres brechas siguientes se derivan de esa delimitación y se numeran aquí porque el resto de la tesis se refiere a ellas de forma abreviada. No son defectos del diseño experimental, sino distancias estructurales entre lo que una métrica computa y lo que un claim pretende afirmar.</w:t>
      </w:r>
    </w:p>
    <w:p w14:paraId="2D7DD97C" w14:textId="77777777" w:rsidR="00D075F6" w:rsidRDefault="00734411">
      <w:pPr>
        <w:pStyle w:val="BodyText"/>
      </w:pPr>
      <w:r>
        <w:rPr>
          <w:b/>
          <w:bCs/>
        </w:rPr>
        <w:t>Brecha 1 — Distancia entre proxy y constructo.</w:t>
      </w:r>
      <w:r>
        <w:t xml:space="preserve"> Ninguna de las cinco métricas </w:t>
      </w:r>
      <w:r>
        <w:t xml:space="preserve">del benchmark mide el constructo que su nombre sugiere en sentido pleno: la fidelidad por correlación de importancias no autoriza a afirmar utilidad humana, la estabilidad bajo perturbación no prueba causalidad, una regla Anchor de alta precisión no garantiza cobertura amplia y un contrafactual válido para el modelo no es necesariamente accionable para la persona (Capítulo 2). La brecha se agrava cuando la métrica produce una cifra fácil de tabular, porque la forma </w:t>
      </w:r>
      <w:r>
        <w:t xml:space="preserve">tabular sugiere una objetividad mayor que la disponible. La taxonomía la gestiona obligando a que cada métrica declare su alcance inferencial admisible en la columna correspondiente de la Tabla </w:t>
      </w:r>
      <w:hyperlink w:anchor="tbl-taxonomia-ampliada">
        <w:r>
          <w:rPr>
            <w:rStyle w:val="Hyperlink"/>
          </w:rPr>
          <w:t>5.1</w:t>
        </w:r>
      </w:hyperlink>
      <w:r>
        <w:t>.</w:t>
      </w:r>
    </w:p>
    <w:p w14:paraId="500D37BF" w14:textId="77777777" w:rsidR="00D075F6" w:rsidRDefault="00734411">
      <w:pPr>
        <w:pStyle w:val="BodyText"/>
      </w:pPr>
      <w:r>
        <w:rPr>
          <w:b/>
          <w:bCs/>
        </w:rPr>
        <w:t>Brecha 2 — Ausencia de evidencia human-grounded y application-grounded.</w:t>
      </w:r>
      <w:r>
        <w:t xml:space="preserve"> El mapeo de la Tabla </w:t>
      </w:r>
      <w:hyperlink w:anchor="tbl-taxonomia-benchmark">
        <w:r>
          <w:rPr>
            <w:rStyle w:val="Hyperlink"/>
          </w:rPr>
          <w:t>5.2</w:t>
        </w:r>
      </w:hyperlink>
      <w:r>
        <w:t xml:space="preserve"> muestra que las cinco métricas se concentran en dos fuentes de evidencia —enmascaramiento y perturbación— y dejan </w:t>
      </w:r>
      <w:r>
        <w:t xml:space="preserve">vacías las celdas de </w:t>
      </w:r>
      <w:r>
        <w:rPr>
          <w:i/>
          <w:iCs/>
        </w:rPr>
        <w:t>estudio con usuario</w:t>
      </w:r>
      <w:r>
        <w:t xml:space="preserve"> y </w:t>
      </w:r>
      <w:r>
        <w:rPr>
          <w:i/>
          <w:iCs/>
        </w:rPr>
        <w:t>comparación con verdad-terreno</w:t>
      </w:r>
      <w:r>
        <w:t>. En consecuencia, plausibilidad, comprensibilidad, satisfacción y utilidad en tarea quedan fuera del alcance de los dos estudios empíricos. Esta brecha es de cobertura, no de validez: se cierra añadiendo estudios con participantes humanos, no reinterpretando las métricas existentes.</w:t>
      </w:r>
    </w:p>
    <w:p w14:paraId="26208217" w14:textId="77777777" w:rsidR="00D075F6" w:rsidRDefault="00734411">
      <w:pPr>
        <w:pStyle w:val="BodyText"/>
      </w:pPr>
      <w:r>
        <w:rPr>
          <w:b/>
          <w:bCs/>
        </w:rPr>
        <w:t>Brecha 3 — La evaluación semántica crece más rápido que su base de validación empírica.</w:t>
      </w:r>
      <w:r>
        <w:t xml:space="preserve"> La respuesta natural a la Brecha 2 ha sido delegar el juicio </w:t>
      </w:r>
      <w:r>
        <w:t xml:space="preserve">semántico en evaluadores automáticos —crecientemente, jueces LLM— que prometen aproximar el criterio humano sin el coste de un estudio con participantes. El problema es que esos evaluadores se adoptan como instrumento de medida antes de que su fiabilidad haya sido establecida: se usan para puntuar explicaciones sin que exista evidencia de que dos jueces independientes puntúan igual la misma explicación. La brecha, por tanto, no es de cobertura sino de calibración del </w:t>
      </w:r>
      <w:r>
        <w:t>instrumento, y es contrastable empíricamente. EXP4 la contrasta y la confirma en §</w:t>
      </w:r>
      <w:hyperlink w:anchor="sec-exp4-fiabilidad">
        <w:r>
          <w:rPr>
            <w:rStyle w:val="Hyperlink"/>
          </w:rPr>
          <w:t>5.8</w:t>
        </w:r>
      </w:hyperlink>
      <w:r>
        <w:t>.</w:t>
      </w:r>
    </w:p>
    <w:p w14:paraId="482B6ED1" w14:textId="77777777" w:rsidR="00D075F6" w:rsidRDefault="00734411">
      <w:pPr>
        <w:pStyle w:val="Heading2"/>
      </w:pPr>
      <w:bookmarkStart w:id="230" w:name="sec-taxonomia-contribucion"/>
      <w:bookmarkStart w:id="231" w:name="_Toc241413329"/>
      <w:bookmarkEnd w:id="228"/>
      <w:r>
        <w:t>5.7 Contribución teórica de la taxonomía</w:t>
      </w:r>
      <w:bookmarkEnd w:id="231"/>
    </w:p>
    <w:p w14:paraId="45472630" w14:textId="77777777" w:rsidR="00D075F6" w:rsidRDefault="00734411">
      <w:r>
        <w:t>El valor de la taxonomía no es meramente descriptivo. Permite derivar dos afirmaciones con implicaciones directas para el diseño de futuros benchmarks.</w:t>
      </w:r>
    </w:p>
    <w:p w14:paraId="5590C63E" w14:textId="77777777" w:rsidR="00D075F6" w:rsidRDefault="00734411">
      <w:pPr>
        <w:pStyle w:val="BodyText"/>
      </w:pPr>
      <w:r>
        <w:t xml:space="preserve">Primero, las propiedades del eje de calidad no son redundantes. La evidencia empírica de esta tesis muestra que fidelidad y estabilidad son disociables: </w:t>
      </w:r>
      <w:r>
        <w:t>LIME obtiene una fidelidad media moderada y una estabilidad prácticamente nula. Esta disociación habría sido invisible en un benchmark mono-métrico de fidelidad, lo que confirma que la evaluación multi-métrica organizada por constructos es necesaria para detectar perfiles de riesgo ocultos (Bhattacharya y Verbert 2024; Pawlicki et al. 2024).</w:t>
      </w:r>
    </w:p>
    <w:p w14:paraId="2E122B51" w14:textId="77777777" w:rsidR="00D075F6" w:rsidRDefault="00734411">
      <w:pPr>
        <w:pStyle w:val="BodyText"/>
      </w:pPr>
      <w:r>
        <w:t xml:space="preserve">Segundo, la taxonomía convierte las limitaciones en información científica. Al mostrar que el benchmark no incluye estudios con usuario ni validación causal </w:t>
      </w:r>
      <w:r>
        <w:t>externa, evita sobreinterpretar los resultados y define qué evidencia sería necesaria para ampliar los claims. Así, FOM-7 y la taxonomía se refuerzan mutuamente: FOM-7 gobierna el flujo de evidencia; la taxonomía gobierna el significado de esa evidencia.</w:t>
      </w:r>
    </w:p>
    <w:p w14:paraId="0A148065" w14:textId="77777777" w:rsidR="00D075F6" w:rsidRDefault="00734411">
      <w:pPr>
        <w:pStyle w:val="BodyText"/>
      </w:pPr>
      <w:r>
        <w:t xml:space="preserve">En consecuencia, la taxonomía debe entenderse como una operacionalización doctoral del espacio de evaluación XAI. No reemplaza los marcos existentes; los integra para que cada métrica usada en la tesis tenga una ubicación conceptual, </w:t>
      </w:r>
      <w:r>
        <w:t>un alcance inferencial y una relación explícita con los resultados empíricos.</w:t>
      </w:r>
    </w:p>
    <w:p w14:paraId="4F8E5E7C" w14:textId="77777777" w:rsidR="00D075F6" w:rsidRDefault="00734411">
      <w:pPr>
        <w:pStyle w:val="Heading2"/>
      </w:pPr>
      <w:bookmarkStart w:id="232" w:name="sec-exp4-fiabilidad"/>
      <w:bookmarkStart w:id="233" w:name="_Toc241413330"/>
      <w:bookmarkEnd w:id="230"/>
      <w:r>
        <w:t>5.8 Estudio de Fiabilidad Inter-juez (EXP4)</w:t>
      </w:r>
      <w:bookmarkEnd w:id="233"/>
    </w:p>
    <w:p w14:paraId="23CB92F1" w14:textId="77777777" w:rsidR="00D075F6" w:rsidRDefault="00734411">
      <w:r>
        <w:t>La Brecha 3 (§</w:t>
      </w:r>
      <w:hyperlink w:anchor="sec-taxonomia-brechas">
        <w:r>
          <w:rPr>
            <w:rStyle w:val="Hyperlink"/>
          </w:rPr>
          <w:t>5.6</w:t>
        </w:r>
      </w:hyperlink>
      <w:r>
        <w:t>) identifica que la evaluación semántica crece más rápido que su base de validación empírica. EXP4 (diseñado en §</w:t>
      </w:r>
      <w:hyperlink w:anchor="sec-exp4-diseno">
        <w:r>
          <w:rPr>
            <w:rStyle w:val="Hyperlink"/>
          </w:rPr>
          <w:t>3.11.2</w:t>
        </w:r>
      </w:hyperlink>
      <w:r>
        <w:t>, Capítulo 3) cuantifica directamente esa brecha: mide si los jueces LLM actuales alcanzan la convergencia inter-juez necesaria para operar como evidencia confirmativa.</w:t>
      </w:r>
    </w:p>
    <w:p w14:paraId="53D0DD80" w14:textId="77777777" w:rsidR="00D075F6" w:rsidRDefault="00734411">
      <w:pPr>
        <w:pStyle w:val="BodyText"/>
      </w:pPr>
      <w:r>
        <w:rPr>
          <w:b/>
          <w:bCs/>
        </w:rPr>
        <w:t>Resultados.</w:t>
      </w:r>
      <w:r>
        <w:t xml:space="preserve"> La Tabla </w:t>
      </w:r>
      <w:hyperlink w:anchor="tbl-exp4-icc">
        <w:r>
          <w:rPr>
            <w:rStyle w:val="Hyperlink"/>
          </w:rPr>
          <w:t>5.3</w:t>
        </w:r>
      </w:hyperlink>
      <w:r>
        <w:t xml:space="preserve"> reporta ICC(1,1) y </w:t>
      </w:r>
      <m:oMath>
        <m:r>
          <w:rPr>
            <w:rFonts w:ascii="Cambria Math" w:hAnsi="Cambria Math"/>
          </w:rPr>
          <m:t>α</m:t>
        </m:r>
      </m:oMath>
      <w:r>
        <w:t xml:space="preserve"> de Krippendorff por dimensión para los tres jueces LLM. Los dos estadísticos se calculan sobre conjuntos de casos distintos: el ICC se obtiene de una descomposición unidireccional de efectos aleatorios, que exige una matriz completa de casos </w:t>
      </w:r>
      <m:oMath>
        <m:r>
          <m:rPr>
            <m:sty m:val="p"/>
          </m:rPr>
          <w:rPr>
            <w:rFonts w:ascii="Cambria Math" w:hAnsi="Cambria Math"/>
          </w:rPr>
          <m:t>×</m:t>
        </m:r>
      </m:oMath>
      <w:r>
        <w:t xml:space="preserve"> jueces y se restringe por tanto a los </w:t>
      </w:r>
      <m:oMath>
        <m:r>
          <w:rPr>
            <w:rFonts w:ascii="Cambria Math" w:hAnsi="Cambria Math"/>
          </w:rPr>
          <m:t>n</m:t>
        </m:r>
        <m:r>
          <m:rPr>
            <m:sty m:val="p"/>
          </m:rPr>
          <w:rPr>
            <w:rFonts w:ascii="Cambria Math" w:hAnsi="Cambria Math"/>
          </w:rPr>
          <m:t>=</m:t>
        </m:r>
        <m:r>
          <w:rPr>
            <w:rFonts w:ascii="Cambria Math" w:hAnsi="Cambria Math"/>
          </w:rPr>
          <m:t>147</m:t>
        </m:r>
      </m:oMath>
      <w:r>
        <w:t xml:space="preserve"> casos puntuados por los tres jueces, mientras que </w:t>
      </w:r>
      <m:oMath>
        <m:r>
          <w:rPr>
            <w:rFonts w:ascii="Cambria Math" w:hAnsi="Cambria Math"/>
          </w:rPr>
          <m:t>α</m:t>
        </m:r>
      </m:oMath>
      <w:r>
        <w:t xml:space="preserve"> de Krippendorff tolera puntuaciones ausentes y se calcula sobre el conjunto más amplio de</w:t>
      </w:r>
      <w:r>
        <w:t xml:space="preserve"> </w:t>
      </w:r>
      <m:oMath>
        <m:r>
          <w:rPr>
            <w:rFonts w:ascii="Cambria Math" w:hAnsi="Cambria Math"/>
          </w:rPr>
          <m:t>n</m:t>
        </m:r>
        <m:r>
          <m:rPr>
            <m:sty m:val="p"/>
          </m:rPr>
          <w:rPr>
            <w:rFonts w:ascii="Cambria Math" w:hAnsi="Cambria Math"/>
          </w:rPr>
          <m:t>=</m:t>
        </m:r>
        <m:r>
          <w:rPr>
            <w:rFonts w:ascii="Cambria Math" w:hAnsi="Cambria Math"/>
          </w:rPr>
          <m:t>192</m:t>
        </m:r>
      </m:oMath>
      <w:r>
        <w:t xml:space="preserve"> casos, que incluye aquellos con al menos una puntuación de juez faltante. Ninguna dimensión alcanza el umbral de fiabilidad aceptable (</w:t>
      </w:r>
      <m:oMath>
        <m:r>
          <m:rPr>
            <m:sty m:val="p"/>
          </m:rPr>
          <w:rPr>
            <w:rFonts w:ascii="Cambria Math" w:hAnsi="Cambria Math"/>
          </w:rPr>
          <m:t>≥</m:t>
        </m:r>
        <m:r>
          <w:rPr>
            <w:rFonts w:ascii="Cambria Math" w:hAnsi="Cambria Math"/>
          </w:rPr>
          <m:t>0.75</m:t>
        </m:r>
      </m:oMath>
      <w:r>
        <w:t>) (Koo y Li 2016).</w:t>
      </w:r>
    </w:p>
    <w:tbl>
      <w:tblPr>
        <w:tblW w:w="5000" w:type="pct"/>
        <w:jc w:val="center"/>
        <w:tblLayout w:type="fixed"/>
        <w:tblLook w:val="0000" w:firstRow="0" w:lastRow="0" w:firstColumn="0" w:lastColumn="0" w:noHBand="0" w:noVBand="0"/>
      </w:tblPr>
      <w:tblGrid>
        <w:gridCol w:w="9576"/>
      </w:tblGrid>
      <w:tr w:rsidR="00D075F6" w14:paraId="4586B9F0" w14:textId="77777777">
        <w:trPr>
          <w:jc w:val="center"/>
        </w:trPr>
        <w:tc>
          <w:tcPr>
            <w:tcW w:w="7920" w:type="dxa"/>
          </w:tcPr>
          <w:p w14:paraId="0ECE48F3" w14:textId="77777777" w:rsidR="00D075F6" w:rsidRDefault="00734411">
            <w:pPr>
              <w:spacing w:before="200"/>
              <w:jc w:val="center"/>
            </w:pPr>
            <w:bookmarkStart w:id="234" w:name="tbl-exp4-icc"/>
            <w:r>
              <w:t xml:space="preserve">Tabla 5.3: Fiabilidad inter-juez LLM en siete dimensiones semánticas (EXP4; ICC sobre </w:t>
            </w:r>
            <m:oMath>
              <m:r>
                <w:rPr>
                  <w:rFonts w:ascii="Cambria Math" w:hAnsi="Cambria Math"/>
                </w:rPr>
                <m:t>n</m:t>
              </m:r>
              <m:r>
                <m:rPr>
                  <m:sty m:val="p"/>
                </m:rPr>
                <w:rPr>
                  <w:rFonts w:ascii="Cambria Math" w:hAnsi="Cambria Math"/>
                </w:rPr>
                <m:t>=</m:t>
              </m:r>
              <m:r>
                <w:rPr>
                  <w:rFonts w:ascii="Cambria Math" w:hAnsi="Cambria Math"/>
                </w:rPr>
                <m:t>147</m:t>
              </m:r>
            </m:oMath>
            <w:r>
              <w:t xml:space="preserve"> casos con puntuación completa, </w:t>
            </w:r>
            <m:oMath>
              <m:r>
                <w:rPr>
                  <w:rFonts w:ascii="Cambria Math" w:hAnsi="Cambria Math"/>
                </w:rPr>
                <m:t>α</m:t>
              </m:r>
            </m:oMath>
            <w:r>
              <w:t xml:space="preserve"> de Krippendorff sobre </w:t>
            </w:r>
            <m:oMath>
              <m:r>
                <w:rPr>
                  <w:rFonts w:ascii="Cambria Math" w:hAnsi="Cambria Math"/>
                </w:rPr>
                <m:t>n</m:t>
              </m:r>
              <m:r>
                <m:rPr>
                  <m:sty m:val="p"/>
                </m:rPr>
                <w:rPr>
                  <w:rFonts w:ascii="Cambria Math" w:hAnsi="Cambria Math"/>
                </w:rPr>
                <m:t>=</m:t>
              </m:r>
              <m:r>
                <w:rPr>
                  <w:rFonts w:ascii="Cambria Math" w:hAnsi="Cambria Math"/>
                </w:rPr>
                <m:t>192</m:t>
              </m:r>
            </m:oMath>
            <w:r>
              <w:t xml:space="preserve"> casos —véase el texto—; 3 jueces LLM). ICC(1,1): modelo unidireccional de efectos aleatorios, evaluador único. Un modelo unidireccional trata los </w:t>
            </w:r>
            <w:r>
              <w:t xml:space="preserve">sesgos sistemáticos entre jueces como error y no como efecto separable, por lo que estos valores son conservadores respecto de ICC(2,1). Ninguna dimensión alcanza el umbral aceptable </w:t>
            </w:r>
            <m:oMath>
              <m:r>
                <m:rPr>
                  <m:sty m:val="p"/>
                </m:rPr>
                <w:rPr>
                  <w:rFonts w:ascii="Cambria Math" w:hAnsi="Cambria Math"/>
                </w:rPr>
                <m:t>≥</m:t>
              </m:r>
              <m:r>
                <w:rPr>
                  <w:rFonts w:ascii="Cambria Math" w:hAnsi="Cambria Math"/>
                </w:rPr>
                <m:t>0.75</m:t>
              </m:r>
            </m:oMath>
            <w:r>
              <w:t xml:space="preserve"> (Koo y Li 2016).</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640"/>
              <w:gridCol w:w="2640"/>
              <w:gridCol w:w="2640"/>
            </w:tblGrid>
            <w:tr w:rsidR="00D075F6" w14:paraId="51807E66" w14:textId="77777777">
              <w:trPr>
                <w:tblHeader/>
                <w:jc w:val="center"/>
              </w:trPr>
              <w:tc>
                <w:tcPr>
                  <w:tcW w:w="2640" w:type="dxa"/>
                </w:tcPr>
                <w:p w14:paraId="1AD156C4" w14:textId="77777777" w:rsidR="00D075F6" w:rsidRDefault="00734411">
                  <w:pPr>
                    <w:jc w:val="center"/>
                  </w:pPr>
                  <w:r>
                    <w:rPr>
                      <w:b/>
                      <w:bCs/>
                    </w:rPr>
                    <w:t>Dimensión</w:t>
                  </w:r>
                </w:p>
              </w:tc>
              <w:tc>
                <w:tcPr>
                  <w:tcW w:w="2640" w:type="dxa"/>
                </w:tcPr>
                <w:p w14:paraId="6BFA516D" w14:textId="77777777" w:rsidR="00D075F6" w:rsidRDefault="00734411">
                  <w:pPr>
                    <w:jc w:val="center"/>
                  </w:pPr>
                  <w:r>
                    <w:rPr>
                      <w:b/>
                      <w:bCs/>
                    </w:rPr>
                    <w:t>ICC(1,1)</w:t>
                  </w:r>
                </w:p>
              </w:tc>
              <w:tc>
                <w:tcPr>
                  <w:tcW w:w="2640" w:type="dxa"/>
                </w:tcPr>
                <w:p w14:paraId="7D12B396" w14:textId="77777777" w:rsidR="00D075F6" w:rsidRDefault="00734411">
                  <w:pPr>
                    <w:jc w:val="center"/>
                  </w:pPr>
                  <w:r>
                    <w:rPr>
                      <w:b/>
                      <w:bCs/>
                    </w:rPr>
                    <w:t xml:space="preserve">Krippendorff </w:t>
                  </w:r>
                  <m:oMath>
                    <m:r>
                      <w:rPr>
                        <w:rFonts w:ascii="Cambria Math" w:hAnsi="Cambria Math"/>
                      </w:rPr>
                      <m:t>α</m:t>
                    </m:r>
                  </m:oMath>
                </w:p>
              </w:tc>
            </w:tr>
            <w:tr w:rsidR="00D075F6" w14:paraId="7D541B0E" w14:textId="77777777">
              <w:trPr>
                <w:jc w:val="center"/>
              </w:trPr>
              <w:tc>
                <w:tcPr>
                  <w:tcW w:w="2640" w:type="dxa"/>
                </w:tcPr>
                <w:p w14:paraId="497DE11A" w14:textId="77777777" w:rsidR="00D075F6" w:rsidRDefault="00734411">
                  <w:pPr>
                    <w:jc w:val="center"/>
                  </w:pPr>
                  <w:r>
                    <w:t>Claridad</w:t>
                  </w:r>
                </w:p>
              </w:tc>
              <w:tc>
                <w:tcPr>
                  <w:tcW w:w="2640" w:type="dxa"/>
                </w:tcPr>
                <w:p w14:paraId="7D31784F" w14:textId="77777777" w:rsidR="00D075F6" w:rsidRDefault="00734411">
                  <w:pPr>
                    <w:jc w:val="center"/>
                  </w:pPr>
                  <w:r>
                    <w:t>0.321</w:t>
                  </w:r>
                </w:p>
              </w:tc>
              <w:tc>
                <w:tcPr>
                  <w:tcW w:w="2640" w:type="dxa"/>
                </w:tcPr>
                <w:p w14:paraId="6DE1750B" w14:textId="77777777" w:rsidR="00D075F6" w:rsidRDefault="00734411">
                  <w:pPr>
                    <w:jc w:val="center"/>
                  </w:pPr>
                  <w:r>
                    <w:t>0.278</w:t>
                  </w:r>
                </w:p>
              </w:tc>
            </w:tr>
            <w:tr w:rsidR="00D075F6" w14:paraId="557844A6" w14:textId="77777777">
              <w:trPr>
                <w:jc w:val="center"/>
              </w:trPr>
              <w:tc>
                <w:tcPr>
                  <w:tcW w:w="2640" w:type="dxa"/>
                </w:tcPr>
                <w:p w14:paraId="1E9EF63A" w14:textId="77777777" w:rsidR="00D075F6" w:rsidRDefault="00734411">
                  <w:pPr>
                    <w:jc w:val="center"/>
                  </w:pPr>
                  <w:r>
                    <w:t>Concisión</w:t>
                  </w:r>
                </w:p>
              </w:tc>
              <w:tc>
                <w:tcPr>
                  <w:tcW w:w="2640" w:type="dxa"/>
                </w:tcPr>
                <w:p w14:paraId="5358D893" w14:textId="77777777" w:rsidR="00D075F6" w:rsidRDefault="00734411">
                  <w:pPr>
                    <w:jc w:val="center"/>
                  </w:pPr>
                  <w:r>
                    <w:t>0.453</w:t>
                  </w:r>
                </w:p>
              </w:tc>
              <w:tc>
                <w:tcPr>
                  <w:tcW w:w="2640" w:type="dxa"/>
                </w:tcPr>
                <w:p w14:paraId="12796083" w14:textId="77777777" w:rsidR="00D075F6" w:rsidRDefault="00734411">
                  <w:pPr>
                    <w:jc w:val="center"/>
                  </w:pPr>
                  <w:r>
                    <w:t>0.409</w:t>
                  </w:r>
                </w:p>
              </w:tc>
            </w:tr>
            <w:tr w:rsidR="00D075F6" w14:paraId="6A208C54" w14:textId="77777777">
              <w:trPr>
                <w:jc w:val="center"/>
              </w:trPr>
              <w:tc>
                <w:tcPr>
                  <w:tcW w:w="2640" w:type="dxa"/>
                </w:tcPr>
                <w:p w14:paraId="01EE83F4" w14:textId="77777777" w:rsidR="00D075F6" w:rsidRDefault="00734411">
                  <w:pPr>
                    <w:jc w:val="center"/>
                  </w:pPr>
                  <w:r>
                    <w:t>Accionabilidad</w:t>
                  </w:r>
                </w:p>
              </w:tc>
              <w:tc>
                <w:tcPr>
                  <w:tcW w:w="2640" w:type="dxa"/>
                </w:tcPr>
                <w:p w14:paraId="3648CD7B" w14:textId="77777777" w:rsidR="00D075F6" w:rsidRDefault="00734411">
                  <w:pPr>
                    <w:jc w:val="center"/>
                  </w:pPr>
                  <w:r>
                    <w:t>0.400</w:t>
                  </w:r>
                </w:p>
              </w:tc>
              <w:tc>
                <w:tcPr>
                  <w:tcW w:w="2640" w:type="dxa"/>
                </w:tcPr>
                <w:p w14:paraId="21FFB71D" w14:textId="77777777" w:rsidR="00D075F6" w:rsidRDefault="00734411">
                  <w:pPr>
                    <w:jc w:val="center"/>
                  </w:pPr>
                  <w:r>
                    <w:t>0.362</w:t>
                  </w:r>
                </w:p>
              </w:tc>
            </w:tr>
            <w:tr w:rsidR="00D075F6" w14:paraId="5BB07858" w14:textId="77777777">
              <w:trPr>
                <w:jc w:val="center"/>
              </w:trPr>
              <w:tc>
                <w:tcPr>
                  <w:tcW w:w="2640" w:type="dxa"/>
                </w:tcPr>
                <w:p w14:paraId="7DB46693" w14:textId="77777777" w:rsidR="00D075F6" w:rsidRDefault="00734411">
                  <w:pPr>
                    <w:jc w:val="center"/>
                  </w:pPr>
                  <w:r>
                    <w:t>Utilidad para auditoría</w:t>
                  </w:r>
                </w:p>
              </w:tc>
              <w:tc>
                <w:tcPr>
                  <w:tcW w:w="2640" w:type="dxa"/>
                </w:tcPr>
                <w:p w14:paraId="0CD02378" w14:textId="77777777" w:rsidR="00D075F6" w:rsidRDefault="00734411">
                  <w:pPr>
                    <w:jc w:val="center"/>
                  </w:pPr>
                  <w:r>
                    <w:t>0.376</w:t>
                  </w:r>
                </w:p>
              </w:tc>
              <w:tc>
                <w:tcPr>
                  <w:tcW w:w="2640" w:type="dxa"/>
                </w:tcPr>
                <w:p w14:paraId="27ED750F" w14:textId="77777777" w:rsidR="00D075F6" w:rsidRDefault="00734411">
                  <w:pPr>
                    <w:jc w:val="center"/>
                  </w:pPr>
                  <w:r>
                    <w:t>0.340</w:t>
                  </w:r>
                </w:p>
              </w:tc>
            </w:tr>
            <w:tr w:rsidR="00D075F6" w14:paraId="2D38F0F5" w14:textId="77777777">
              <w:trPr>
                <w:jc w:val="center"/>
              </w:trPr>
              <w:tc>
                <w:tcPr>
                  <w:tcW w:w="2640" w:type="dxa"/>
                </w:tcPr>
                <w:p w14:paraId="1C05B524" w14:textId="77777777" w:rsidR="00D075F6" w:rsidRDefault="00734411">
                  <w:pPr>
                    <w:jc w:val="center"/>
                  </w:pPr>
                  <w:r>
                    <w:t>Completitud</w:t>
                  </w:r>
                </w:p>
              </w:tc>
              <w:tc>
                <w:tcPr>
                  <w:tcW w:w="2640" w:type="dxa"/>
                </w:tcPr>
                <w:p w14:paraId="2202F282" w14:textId="77777777" w:rsidR="00D075F6" w:rsidRDefault="00734411">
                  <w:pPr>
                    <w:jc w:val="center"/>
                  </w:pPr>
                  <w:r>
                    <w:t>0.585</w:t>
                  </w:r>
                </w:p>
              </w:tc>
              <w:tc>
                <w:tcPr>
                  <w:tcW w:w="2640" w:type="dxa"/>
                </w:tcPr>
                <w:p w14:paraId="661E2331" w14:textId="77777777" w:rsidR="00D075F6" w:rsidRDefault="00734411">
                  <w:pPr>
                    <w:jc w:val="center"/>
                  </w:pPr>
                  <w:r>
                    <w:t>0.566</w:t>
                  </w:r>
                </w:p>
              </w:tc>
            </w:tr>
            <w:tr w:rsidR="00D075F6" w14:paraId="17A19AA0" w14:textId="77777777">
              <w:trPr>
                <w:jc w:val="center"/>
              </w:trPr>
              <w:tc>
                <w:tcPr>
                  <w:tcW w:w="2640" w:type="dxa"/>
                </w:tcPr>
                <w:p w14:paraId="7C80BEE4" w14:textId="77777777" w:rsidR="00D075F6" w:rsidRDefault="00734411">
                  <w:pPr>
                    <w:jc w:val="center"/>
                  </w:pPr>
                  <w:r>
                    <w:t>Plausibilidad semántica</w:t>
                  </w:r>
                </w:p>
              </w:tc>
              <w:tc>
                <w:tcPr>
                  <w:tcW w:w="2640" w:type="dxa"/>
                </w:tcPr>
                <w:p w14:paraId="72283380" w14:textId="77777777" w:rsidR="00D075F6" w:rsidRDefault="00734411">
                  <w:pPr>
                    <w:jc w:val="center"/>
                  </w:pPr>
                  <w:r>
                    <w:t>0.601</w:t>
                  </w:r>
                </w:p>
              </w:tc>
              <w:tc>
                <w:tcPr>
                  <w:tcW w:w="2640" w:type="dxa"/>
                </w:tcPr>
                <w:p w14:paraId="0B4CAD50" w14:textId="77777777" w:rsidR="00D075F6" w:rsidRDefault="00734411">
                  <w:pPr>
                    <w:jc w:val="center"/>
                  </w:pPr>
                  <w:r>
                    <w:t>0.573</w:t>
                  </w:r>
                </w:p>
              </w:tc>
            </w:tr>
            <w:tr w:rsidR="00D075F6" w14:paraId="370BEE7E" w14:textId="77777777">
              <w:trPr>
                <w:jc w:val="center"/>
              </w:trPr>
              <w:tc>
                <w:tcPr>
                  <w:tcW w:w="2640" w:type="dxa"/>
                </w:tcPr>
                <w:p w14:paraId="2DB5A752" w14:textId="77777777" w:rsidR="00D075F6" w:rsidRDefault="00734411">
                  <w:pPr>
                    <w:jc w:val="center"/>
                  </w:pPr>
                  <w:r>
                    <w:t>Calidad global</w:t>
                  </w:r>
                </w:p>
              </w:tc>
              <w:tc>
                <w:tcPr>
                  <w:tcW w:w="2640" w:type="dxa"/>
                </w:tcPr>
                <w:p w14:paraId="2CE0BB4C" w14:textId="77777777" w:rsidR="00D075F6" w:rsidRDefault="00734411">
                  <w:pPr>
                    <w:jc w:val="center"/>
                  </w:pPr>
                  <w:r>
                    <w:t>0.431</w:t>
                  </w:r>
                </w:p>
              </w:tc>
              <w:tc>
                <w:tcPr>
                  <w:tcW w:w="2640" w:type="dxa"/>
                </w:tcPr>
                <w:p w14:paraId="447E2987" w14:textId="77777777" w:rsidR="00D075F6" w:rsidRDefault="00734411">
                  <w:pPr>
                    <w:jc w:val="center"/>
                  </w:pPr>
                  <w:r>
                    <w:t>0.394</w:t>
                  </w:r>
                </w:p>
              </w:tc>
            </w:tr>
            <w:bookmarkEnd w:id="234"/>
          </w:tbl>
          <w:p w14:paraId="5FC9386E" w14:textId="77777777" w:rsidR="00D075F6" w:rsidRDefault="00D075F6"/>
        </w:tc>
      </w:tr>
    </w:tbl>
    <w:p w14:paraId="5C980E31" w14:textId="77777777" w:rsidR="00D075F6" w:rsidRDefault="00734411">
      <w:pPr>
        <w:pStyle w:val="BodyText"/>
      </w:pPr>
      <w:r>
        <w:t>Las dimensiones con mayor consistencia relativa son Completitud (</w:t>
      </w:r>
      <m:oMath>
        <m:r>
          <w:rPr>
            <w:rFonts w:ascii="Cambria Math" w:hAnsi="Cambria Math"/>
          </w:rPr>
          <m:t>α</m:t>
        </m:r>
        <m:r>
          <m:rPr>
            <m:sty m:val="p"/>
          </m:rPr>
          <w:rPr>
            <w:rFonts w:ascii="Cambria Math" w:hAnsi="Cambria Math"/>
          </w:rPr>
          <m:t>=</m:t>
        </m:r>
        <m:r>
          <w:rPr>
            <w:rFonts w:ascii="Cambria Math" w:hAnsi="Cambria Math"/>
          </w:rPr>
          <m:t>0.566</m:t>
        </m:r>
      </m:oMath>
      <w:r>
        <w:t>) y Plausibilidad Semántica (</w:t>
      </w:r>
      <m:oMath>
        <m:r>
          <w:rPr>
            <w:rFonts w:ascii="Cambria Math" w:hAnsi="Cambria Math"/>
          </w:rPr>
          <m:t>α</m:t>
        </m:r>
        <m:r>
          <m:rPr>
            <m:sty m:val="p"/>
          </m:rPr>
          <w:rPr>
            <w:rFonts w:ascii="Cambria Math" w:hAnsi="Cambria Math"/>
          </w:rPr>
          <m:t>=</m:t>
        </m:r>
        <m:r>
          <w:rPr>
            <w:rFonts w:ascii="Cambria Math" w:hAnsi="Cambria Math"/>
          </w:rPr>
          <m:t>0.573</m:t>
        </m:r>
      </m:oMath>
      <w:r>
        <w:t>); las de menor consistencia son Claridad (</w:t>
      </w:r>
      <m:oMath>
        <m:r>
          <w:rPr>
            <w:rFonts w:ascii="Cambria Math" w:hAnsi="Cambria Math"/>
          </w:rPr>
          <m:t>α</m:t>
        </m:r>
        <m:r>
          <m:rPr>
            <m:sty m:val="p"/>
          </m:rPr>
          <w:rPr>
            <w:rFonts w:ascii="Cambria Math" w:hAnsi="Cambria Math"/>
          </w:rPr>
          <m:t>=</m:t>
        </m:r>
        <m:r>
          <w:rPr>
            <w:rFonts w:ascii="Cambria Math" w:hAnsi="Cambria Math"/>
          </w:rPr>
          <m:t>0.278</m:t>
        </m:r>
      </m:oMath>
      <w:r>
        <w:t>) y Utilidad para auditoría (</w:t>
      </w:r>
      <m:oMath>
        <m:r>
          <w:rPr>
            <w:rFonts w:ascii="Cambria Math" w:hAnsi="Cambria Math"/>
          </w:rPr>
          <m:t>α</m:t>
        </m:r>
        <m:r>
          <m:rPr>
            <m:sty m:val="p"/>
          </m:rPr>
          <w:rPr>
            <w:rFonts w:ascii="Cambria Math" w:hAnsi="Cambria Math"/>
          </w:rPr>
          <m:t>=</m:t>
        </m:r>
        <m:r>
          <w:rPr>
            <w:rFonts w:ascii="Cambria Math" w:hAnsi="Cambria Math"/>
          </w:rPr>
          <m:t>0.340</m:t>
        </m:r>
      </m:oMath>
      <w:r>
        <w:t xml:space="preserve">). Los valores ICC(1,1) entre 0.321 y 0.601 se clasifican como fiabilidad </w:t>
      </w:r>
      <w:r>
        <w:rPr>
          <w:i/>
          <w:iCs/>
        </w:rPr>
        <w:t>poor</w:t>
      </w:r>
      <w:r>
        <w:t xml:space="preserve"> a </w:t>
      </w:r>
      <w:r>
        <w:rPr>
          <w:i/>
          <w:iCs/>
        </w:rPr>
        <w:t>moderate</w:t>
      </w:r>
      <w:r>
        <w:t xml:space="preserve"> según Koo y Li (2016), situándose en todos los casos por debajo de la categoría </w:t>
      </w:r>
      <w:r>
        <w:rPr>
          <w:i/>
          <w:iCs/>
        </w:rPr>
        <w:t>good</w:t>
      </w:r>
      <w:r>
        <w:t>.</w:t>
      </w:r>
    </w:p>
    <w:p w14:paraId="50655E1E" w14:textId="77777777" w:rsidR="00D075F6" w:rsidRDefault="00734411">
      <w:pPr>
        <w:pStyle w:val="BodyText"/>
      </w:pPr>
      <w:r>
        <w:rPr>
          <w:b/>
          <w:bCs/>
        </w:rPr>
        <w:t>Interpretación.</w:t>
      </w:r>
      <w:r>
        <w:t xml:space="preserve"> El gradiente relativo es consistente con una mayor </w:t>
      </w:r>
      <w:r>
        <w:t>convergencia cuando la dimensión dispone de referentes semánticos verificables: Completitud y Plausibilidad Semántica preguntan si se cubren factores relevantes y si la explicación es coherente con el dominio. Claridad y Utilidad para auditoría dependen más del perfil del destinatario y del contexto de uso, que la rúbrica no especificó. El patrón es generador de hipótesis, no una demostración causal de que el tipo de criterio explique las diferencias de acuerdo.</w:t>
      </w:r>
    </w:p>
    <w:p w14:paraId="5BD88973" w14:textId="77777777" w:rsidR="00D075F6" w:rsidRDefault="00734411">
      <w:pPr>
        <w:pStyle w:val="BodyText"/>
      </w:pPr>
      <w:r>
        <w:rPr>
          <w:b/>
          <w:bCs/>
        </w:rPr>
        <w:t>Consecuencias para el diseño de evaluación semántica.</w:t>
      </w:r>
      <w:r>
        <w:t xml:space="preserve"> EXP4 confirma cuantitativamente la Brecha 3: los jueces LLM actuales, bajo rúbricas sin especificación de stakeholder ni criterio de corrección explícito, no alcanzan la convergencia necesaria para afirmaciones confirmativas. Esto no clausura la evaluación semántica; establece los requisitos que las rúbricas deben satisfacer: (i) especificación de la necesidad informativa del stakeholder, (ii) definición </w:t>
      </w:r>
      <w:r>
        <w:t xml:space="preserve">de un criterio de corrección o referencia verificable, (iii) separación de desiderata secundarios de la dimensión central, y (iv) calibración contra juicios humanos expertos antes del uso confirmativo. Estos requisitos son la operacionalización doctoral de la Brecha 3 y constituyen la agenda de investigación directamente derivada de esta taxonomía. La prioridad es calibrar por dimensión: formalizar primero criterios verificables y añadir información </w:t>
      </w:r>
      <w:r>
        <w:t>del stakeholder en las dimensiones dependientes del contexto. El gradiente no autoriza un uso confirmativo —ni siquiera restringido a las dimensiones con mayor acuerdo— porque todos los ICC(1,1) permanecen por debajo de 0.75.</w:t>
      </w:r>
    </w:p>
    <w:p w14:paraId="1D1DF7D7" w14:textId="77777777" w:rsidR="00D075F6" w:rsidRDefault="00734411">
      <w:pPr>
        <w:pStyle w:val="BodyText"/>
      </w:pPr>
      <w:r>
        <w:t xml:space="preserve">Este capítulo ha establecido la tercera contribución doctoral: una taxonomía de cuatro ejes que organiza el espacio de métricas XAI, localiza las cinco métricas del benchmark en su cuadrante correspondiente y hace explícito el alcance </w:t>
      </w:r>
      <w:r>
        <w:t xml:space="preserve">inferencial de cada una. La consecuencia teórica de esta revisión es que la evaluación XAI no puede reducirse a un único criterio ni generalizarse a dominios de usuario sin evidencia adicional: cada métrica responde a una pregunta específica sobre un tipo de objeto explicativo en un contexto de uso determinado. El Capítulo 6 cierra la tesis sintetizando las tres contribuciones, posicionándolas respecto a la literatura más cercana, reconociendo las </w:t>
      </w:r>
      <w:r>
        <w:t>limitaciones con precisión y trazando las líneas de investigación futura que emergen directamente de los hallazgos y las fronteras de la taxonomía.</w:t>
      </w:r>
    </w:p>
    <w:p w14:paraId="21B9BEA3" w14:textId="77777777" w:rsidR="00D075F6" w:rsidRDefault="00734411">
      <w:pPr>
        <w:pStyle w:val="Heading1"/>
      </w:pPr>
      <w:bookmarkStart w:id="235" w:name="conclusiones"/>
      <w:bookmarkStart w:id="236" w:name="_Toc241413331"/>
      <w:bookmarkEnd w:id="214"/>
      <w:bookmarkEnd w:id="232"/>
      <w:r>
        <w:t>Capítulo 6. Conclusiones</w:t>
      </w:r>
      <w:bookmarkEnd w:id="236"/>
    </w:p>
    <w:p w14:paraId="6DD32A49" w14:textId="77777777" w:rsidR="00D075F6" w:rsidRDefault="00734411">
      <w:r>
        <w:t xml:space="preserve">Esta tesis parte de una constatación empírica recurrente en la literatura: el campo de la evaluación de métodos XAI carece de marcos operativos que conecten la ejecución experimental con la inferencia estadística admisible (Pawlicki et al. 2024; Abdul Kadir et al. 2023; Canha et al. 2025). El problema no es la ausencia de </w:t>
      </w:r>
      <w:r>
        <w:t>métricas —se han identificado más de noventa constructos distintos (Pawlicki et al. 2024)— sino la fragmentación conceptual y la falta de vinculación auditable entre diseño experimental, artefactos de resultado y afirmaciones inferenciales. Esta tesis responde a ese problema con tres contribuciones articuladas: la secuencia operativa FOM-7, un benchmark multi-métrico sobre datos tabulares reales y una taxonomía del espacio de métricas de evaluación XAI.</w:t>
      </w:r>
    </w:p>
    <w:p w14:paraId="590A1FC4" w14:textId="77777777" w:rsidR="00D075F6" w:rsidRDefault="00734411">
      <w:pPr>
        <w:pStyle w:val="Heading2"/>
      </w:pPr>
      <w:bookmarkStart w:id="237" w:name="sec-respuesta"/>
      <w:bookmarkStart w:id="238" w:name="_Toc241413332"/>
      <w:r>
        <w:t>6.1 Respuesta al problema de investigación e hipótesis</w:t>
      </w:r>
      <w:bookmarkEnd w:id="238"/>
    </w:p>
    <w:p w14:paraId="747175BF" w14:textId="77777777" w:rsidR="00D075F6" w:rsidRDefault="00734411">
      <w:r>
        <w:t xml:space="preserve">El problema de investigación formulado en el Capítulo 1 pregunta: </w:t>
      </w:r>
      <w:r>
        <w:rPr>
          <w:i/>
          <w:iCs/>
        </w:rPr>
        <w:t>¿En qué medida difieren los métodos de explicabilidad agnósticos al modelo en un conjunto multidimensional de métricas de calidad bajo condiciones de benchmarking controladas y reproducibles, y qué criterios técnicos permiten orientar su selección en función de los objetivos operativos?</w:t>
      </w:r>
    </w:p>
    <w:p w14:paraId="3FBF0E88" w14:textId="77777777" w:rsidR="00D075F6" w:rsidRDefault="00734411">
      <w:pPr>
        <w:pStyle w:val="BodyText"/>
      </w:pPr>
      <w:r>
        <w:t xml:space="preserve">Los resultados del benchmark responden esta pregunta con precisión cuantitativa. Las diferencias entre métodos son grandes, consistentes y </w:t>
      </w:r>
      <w:r>
        <w:t xml:space="preserve">estadísticamente robustas bajo el protocolo FOM-7. La respuesta directa es: </w:t>
      </w:r>
      <w:r>
        <w:rPr>
          <w:b/>
          <w:bCs/>
        </w:rPr>
        <w:t>SHAP presenta el mejor perfil de fidelidad y estabilidad en los contextos modelo-muestra evaluados; LIME es una alternativa cuando el coste computacional es crítico, con la condición de aceptar explicaciones inestables; Anchors y DiCE atienden objetivos explicativos cualitativamente distintos que las métricas de atribución no capturan plenamente.</w:t>
      </w:r>
      <w:r>
        <w:t xml:space="preserve"> Esta orientación es robusta: emerge de 275 artefactos calificados, </w:t>
      </w:r>
      <w:r>
        <w:t>se replica a través de cinco modelos, cinco semillas y tres tamaños de muestra, y es resistente al 8.3% de datos ausentes del diseño.</w:t>
      </w:r>
    </w:p>
    <w:p w14:paraId="1F9D51D9" w14:textId="77777777" w:rsidR="00D075F6" w:rsidRDefault="00734411">
      <w:pPr>
        <w:pStyle w:val="BodyText"/>
      </w:pPr>
      <w:r>
        <w:t>La resolución formal de las hipótesis y objetivos se sintetiza en la tabla siguiente:</w:t>
      </w:r>
    </w:p>
    <w:tbl>
      <w:tblPr>
        <w:tblW w:w="5000" w:type="pct"/>
        <w:jc w:val="center"/>
        <w:tblLayout w:type="fixed"/>
        <w:tblLook w:val="0000" w:firstRow="0" w:lastRow="0" w:firstColumn="0" w:lastColumn="0" w:noHBand="0" w:noVBand="0"/>
      </w:tblPr>
      <w:tblGrid>
        <w:gridCol w:w="9576"/>
      </w:tblGrid>
      <w:tr w:rsidR="00D075F6" w14:paraId="6F01CBE4" w14:textId="77777777">
        <w:trPr>
          <w:jc w:val="center"/>
        </w:trPr>
        <w:tc>
          <w:tcPr>
            <w:tcW w:w="7920" w:type="dxa"/>
          </w:tcPr>
          <w:p w14:paraId="7159AE85" w14:textId="77777777" w:rsidR="00D075F6" w:rsidRDefault="00734411">
            <w:pPr>
              <w:spacing w:before="200"/>
              <w:jc w:val="center"/>
            </w:pPr>
            <w:bookmarkStart w:id="239" w:name="tbl-hipotesis"/>
            <w:r>
              <w:t>Tabla 6.1: Síntesis de hipótesis y proposiciones de trabajo.</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250"/>
              <w:gridCol w:w="1870"/>
              <w:gridCol w:w="3230"/>
            </w:tblGrid>
            <w:tr w:rsidR="00D075F6" w14:paraId="12F4F179" w14:textId="77777777">
              <w:trPr>
                <w:tblHeader/>
                <w:jc w:val="center"/>
              </w:trPr>
              <w:tc>
                <w:tcPr>
                  <w:tcW w:w="3600" w:type="dxa"/>
                </w:tcPr>
                <w:p w14:paraId="18892977" w14:textId="77777777" w:rsidR="00D075F6" w:rsidRDefault="00734411">
                  <w:r>
                    <w:rPr>
                      <w:b/>
                      <w:bCs/>
                    </w:rPr>
                    <w:t>Hipótesis / Proposición</w:t>
                  </w:r>
                </w:p>
              </w:tc>
              <w:tc>
                <w:tcPr>
                  <w:tcW w:w="1584" w:type="dxa"/>
                </w:tcPr>
                <w:p w14:paraId="61088B87" w14:textId="77777777" w:rsidR="00D075F6" w:rsidRDefault="00734411">
                  <w:r>
                    <w:rPr>
                      <w:b/>
                      <w:bCs/>
                    </w:rPr>
                    <w:t>Resultado</w:t>
                  </w:r>
                </w:p>
              </w:tc>
              <w:tc>
                <w:tcPr>
                  <w:tcW w:w="2736" w:type="dxa"/>
                </w:tcPr>
                <w:p w14:paraId="1FDD96F5" w14:textId="77777777" w:rsidR="00D075F6" w:rsidRDefault="00734411">
                  <w:r>
                    <w:rPr>
                      <w:b/>
                      <w:bCs/>
                    </w:rPr>
                    <w:t>Estadístico clave</w:t>
                  </w:r>
                </w:p>
              </w:tc>
            </w:tr>
            <w:tr w:rsidR="00D075F6" w14:paraId="14148C66" w14:textId="77777777">
              <w:trPr>
                <w:jc w:val="center"/>
              </w:trPr>
              <w:tc>
                <w:tcPr>
                  <w:tcW w:w="3600" w:type="dxa"/>
                </w:tcPr>
                <w:p w14:paraId="59E078D6" w14:textId="77777777" w:rsidR="00D075F6" w:rsidRDefault="00734411">
                  <w:r>
                    <w:t>H1: diferencias en fidelidad</w:t>
                  </w:r>
                </w:p>
              </w:tc>
              <w:tc>
                <w:tcPr>
                  <w:tcW w:w="1584" w:type="dxa"/>
                </w:tcPr>
                <w:p w14:paraId="13888755" w14:textId="77777777" w:rsidR="00D075F6" w:rsidRDefault="00734411">
                  <w:r>
                    <w:rPr>
                      <w:b/>
                      <w:bCs/>
                    </w:rPr>
                    <w:t>Confirmada</w:t>
                  </w:r>
                </w:p>
              </w:tc>
              <w:tc>
                <w:tcPr>
                  <w:tcW w:w="2736" w:type="dxa"/>
                </w:tcPr>
                <w:p w14:paraId="77BC7655" w14:textId="77777777" w:rsidR="00D075F6" w:rsidRDefault="00734411">
                  <w:r>
                    <w:t xml:space="preserve">Friedman: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seguimiento dirigido SHAP–LIME: 15 de 15 bloques y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3.05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p>
              </w:tc>
            </w:tr>
            <w:tr w:rsidR="00D075F6" w14:paraId="24D98977" w14:textId="77777777">
              <w:trPr>
                <w:jc w:val="center"/>
              </w:trPr>
              <w:tc>
                <w:tcPr>
                  <w:tcW w:w="3600" w:type="dxa"/>
                </w:tcPr>
                <w:p w14:paraId="735ADFB9" w14:textId="77777777" w:rsidR="00D075F6" w:rsidRDefault="00734411">
                  <w:r>
                    <w:t>H2: diferencias en estabilidad</w:t>
                  </w:r>
                </w:p>
              </w:tc>
              <w:tc>
                <w:tcPr>
                  <w:tcW w:w="1584" w:type="dxa"/>
                </w:tcPr>
                <w:p w14:paraId="00459EAB" w14:textId="77777777" w:rsidR="00D075F6" w:rsidRDefault="00734411">
                  <w:r>
                    <w:rPr>
                      <w:b/>
                      <w:bCs/>
                    </w:rPr>
                    <w:t>Confirmada</w:t>
                  </w:r>
                </w:p>
              </w:tc>
              <w:tc>
                <w:tcPr>
                  <w:tcW w:w="2736" w:type="dxa"/>
                </w:tcPr>
                <w:p w14:paraId="09E4AD50" w14:textId="77777777" w:rsidR="00D075F6" w:rsidRDefault="00734411">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margen 421%</w:t>
                  </w:r>
                </w:p>
              </w:tc>
            </w:tr>
            <w:tr w:rsidR="00D075F6" w14:paraId="52802112" w14:textId="77777777">
              <w:trPr>
                <w:jc w:val="center"/>
              </w:trPr>
              <w:tc>
                <w:tcPr>
                  <w:tcW w:w="3600" w:type="dxa"/>
                </w:tcPr>
                <w:p w14:paraId="487B7350" w14:textId="77777777" w:rsidR="00D075F6" w:rsidRDefault="00734411">
                  <w:r>
                    <w:t>H3: SHAP-LIME difieren en calidad y coste</w:t>
                  </w:r>
                </w:p>
              </w:tc>
              <w:tc>
                <w:tcPr>
                  <w:tcW w:w="1584" w:type="dxa"/>
                </w:tcPr>
                <w:p w14:paraId="43038D88" w14:textId="77777777" w:rsidR="00D075F6" w:rsidRDefault="00734411">
                  <w:r>
                    <w:rPr>
                      <w:b/>
                      <w:bCs/>
                    </w:rPr>
                    <w:t>Confirmada</w:t>
                  </w:r>
                </w:p>
              </w:tc>
              <w:tc>
                <w:tcPr>
                  <w:tcW w:w="2736" w:type="dxa"/>
                </w:tcPr>
                <w:p w14:paraId="7A5964E2" w14:textId="77777777" w:rsidR="00D075F6" w:rsidRDefault="00734411">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(estabilidad); 75/75 positivas</w:t>
                  </w:r>
                </w:p>
              </w:tc>
            </w:tr>
            <w:tr w:rsidR="00D075F6" w14:paraId="5EC593B6" w14:textId="77777777">
              <w:trPr>
                <w:jc w:val="center"/>
              </w:trPr>
              <w:tc>
                <w:tcPr>
                  <w:tcW w:w="3600" w:type="dxa"/>
                </w:tcPr>
                <w:p w14:paraId="188189D5" w14:textId="77777777" w:rsidR="00D075F6" w:rsidRDefault="00734411">
                  <w:r>
                    <w:t>P1: CV &lt; 15% en métricas primarias</w:t>
                  </w:r>
                </w:p>
              </w:tc>
              <w:tc>
                <w:tcPr>
                  <w:tcW w:w="1584" w:type="dxa"/>
                </w:tcPr>
                <w:p w14:paraId="3C915F22" w14:textId="77777777" w:rsidR="00D075F6" w:rsidRDefault="00734411">
                  <w:r>
                    <w:rPr>
                      <w:b/>
                      <w:bCs/>
                    </w:rPr>
                    <w:t>Parcialmente confirmada</w:t>
                  </w:r>
                </w:p>
              </w:tc>
              <w:tc>
                <w:tcPr>
                  <w:tcW w:w="2736" w:type="dxa"/>
                </w:tcPr>
                <w:p w14:paraId="2FFB8261" w14:textId="77777777" w:rsidR="00D075F6" w:rsidRDefault="00734411">
                  <w:r>
                    <w:t>SHAP-fidelidad: CV=0.8%; LIME-estabilidad: CV=86.2% (incoherencia estructural, no ruido del protocolo)</w:t>
                  </w:r>
                </w:p>
              </w:tc>
            </w:tr>
            <w:tr w:rsidR="00D075F6" w14:paraId="51D36EE7" w14:textId="77777777">
              <w:trPr>
                <w:jc w:val="center"/>
              </w:trPr>
              <w:tc>
                <w:tcPr>
                  <w:tcW w:w="3600" w:type="dxa"/>
                </w:tcPr>
                <w:p w14:paraId="5CC08A1A" w14:textId="77777777" w:rsidR="00D075F6" w:rsidRDefault="00734411">
                  <w:r>
                    <w:t>P2 (exploratoria, declarada en el Capítulo 1): Jueces LLM alcanzan fiabilidad aceptable en evaluación semántica XAI</w:t>
                  </w:r>
                </w:p>
              </w:tc>
              <w:tc>
                <w:tcPr>
                  <w:tcW w:w="1584" w:type="dxa"/>
                </w:tcPr>
                <w:p w14:paraId="617EF13E" w14:textId="77777777" w:rsidR="00D075F6" w:rsidRDefault="00734411">
                  <w:r>
                    <w:rPr>
                      <w:b/>
                      <w:bCs/>
                    </w:rPr>
                    <w:t>No confirmada (resultado negativo)</w:t>
                  </w:r>
                </w:p>
              </w:tc>
              <w:tc>
                <w:tcPr>
                  <w:tcW w:w="2736" w:type="dxa"/>
                </w:tcPr>
                <w:p w14:paraId="5DF9C3A5" w14:textId="77777777" w:rsidR="00D075F6" w:rsidRDefault="00734411">
                  <w:r>
                    <w:t xml:space="preserve">ICC(1,1) entre 0.321 y 0.601; ninguna dimensión alcanza umbral </w:t>
                  </w:r>
                  <m:oMath>
                    <m:r>
                      <m:rPr>
                        <m:sty m:val="p"/>
                      </m:rPr>
                      <w:rPr>
                        <w:rFonts w:ascii="Cambria Math" w:hAnsi="Cambria Math"/>
                      </w:rPr>
                      <m:t>≥</m:t>
                    </m:r>
                    <m:r>
                      <w:rPr>
                        <w:rFonts w:ascii="Cambria Math" w:hAnsi="Cambria Math"/>
                      </w:rPr>
                      <m:t>0.75</m:t>
                    </m:r>
                  </m:oMath>
                  <w:r>
                    <w:t xml:space="preserve"> (EXP4, </w:t>
                  </w:r>
                  <m:oMath>
                    <m:r>
                      <w:rPr>
                        <w:rFonts w:ascii="Cambria Math" w:hAnsi="Cambria Math"/>
                      </w:rPr>
                      <m:t>n</m:t>
                    </m:r>
                    <m:r>
                      <m:rPr>
                        <m:sty m:val="p"/>
                      </m:rPr>
                      <w:rPr>
                        <w:rFonts w:ascii="Cambria Math" w:hAnsi="Cambria Math"/>
                      </w:rPr>
                      <m:t>=</m:t>
                    </m:r>
                    <m:r>
                      <w:rPr>
                        <w:rFonts w:ascii="Cambria Math" w:hAnsi="Cambria Math"/>
                      </w:rPr>
                      <m:t>147</m:t>
                    </m:r>
                  </m:oMath>
                  <w:r>
                    <w:t>, 3 jueces)</w:t>
                  </w:r>
                </w:p>
              </w:tc>
            </w:tr>
            <w:bookmarkEnd w:id="239"/>
          </w:tbl>
          <w:p w14:paraId="37526537" w14:textId="77777777" w:rsidR="00D075F6" w:rsidRDefault="00D075F6"/>
        </w:tc>
      </w:tr>
    </w:tbl>
    <w:p w14:paraId="32F7CCA9" w14:textId="77777777" w:rsidR="00D075F6" w:rsidRDefault="00734411">
      <w:pPr>
        <w:pStyle w:val="BodyText"/>
      </w:pPr>
      <w:r>
        <w:t xml:space="preserve"> </w:t>
      </w:r>
    </w:p>
    <w:tbl>
      <w:tblPr>
        <w:tblW w:w="5000" w:type="pct"/>
        <w:jc w:val="center"/>
        <w:tblLayout w:type="fixed"/>
        <w:tblLook w:val="0000" w:firstRow="0" w:lastRow="0" w:firstColumn="0" w:lastColumn="0" w:noHBand="0" w:noVBand="0"/>
      </w:tblPr>
      <w:tblGrid>
        <w:gridCol w:w="9576"/>
      </w:tblGrid>
      <w:tr w:rsidR="00D075F6" w14:paraId="3D95D730" w14:textId="77777777">
        <w:trPr>
          <w:jc w:val="center"/>
        </w:trPr>
        <w:tc>
          <w:tcPr>
            <w:tcW w:w="7920" w:type="dxa"/>
          </w:tcPr>
          <w:p w14:paraId="67733959" w14:textId="77777777" w:rsidR="00D075F6" w:rsidRDefault="00734411">
            <w:pPr>
              <w:spacing w:before="200"/>
              <w:jc w:val="center"/>
            </w:pPr>
            <w:bookmarkStart w:id="240" w:name="tbl-objetivos"/>
            <w:r>
              <w:t>Tabla 6.2: Cierre de objetivos específicos.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771"/>
              <w:gridCol w:w="2579"/>
            </w:tblGrid>
            <w:tr w:rsidR="00D075F6" w14:paraId="5DE61EC9" w14:textId="77777777">
              <w:trPr>
                <w:tblHeader/>
                <w:jc w:val="center"/>
              </w:trPr>
              <w:tc>
                <w:tcPr>
                  <w:tcW w:w="5735" w:type="dxa"/>
                </w:tcPr>
                <w:p w14:paraId="4A6BEFE3" w14:textId="77777777" w:rsidR="00D075F6" w:rsidRDefault="00734411">
                  <w:r>
                    <w:rPr>
                      <w:b/>
                      <w:bCs/>
                    </w:rPr>
                    <w:t>Objetivo específico</w:t>
                  </w:r>
                </w:p>
              </w:tc>
              <w:tc>
                <w:tcPr>
                  <w:tcW w:w="2184" w:type="dxa"/>
                </w:tcPr>
                <w:p w14:paraId="29DEA82A" w14:textId="77777777" w:rsidR="00D075F6" w:rsidRDefault="00734411">
                  <w:r>
                    <w:rPr>
                      <w:b/>
                      <w:bCs/>
                    </w:rPr>
                    <w:t>Estado</w:t>
                  </w:r>
                </w:p>
              </w:tc>
            </w:tr>
            <w:tr w:rsidR="00D075F6" w14:paraId="6092CE5C" w14:textId="77777777">
              <w:trPr>
                <w:jc w:val="center"/>
              </w:trPr>
              <w:tc>
                <w:tcPr>
                  <w:tcW w:w="5735" w:type="dxa"/>
                </w:tcPr>
                <w:p w14:paraId="6037E274" w14:textId="77777777" w:rsidR="00D075F6" w:rsidRDefault="00734411">
                  <w:r>
                    <w:t>OE1 — Formalizar protocolo FOM-7</w:t>
                  </w:r>
                </w:p>
              </w:tc>
              <w:tc>
                <w:tcPr>
                  <w:tcW w:w="2184" w:type="dxa"/>
                </w:tcPr>
                <w:p w14:paraId="5AF76962" w14:textId="77777777" w:rsidR="00D075F6" w:rsidRDefault="00734411">
                  <w:r>
                    <w:t>Completado. El protocolo opera como secuencia de 7 puertas y produjo 275 artefactos calificados con trazabilidad completa.</w:t>
                  </w:r>
                </w:p>
              </w:tc>
            </w:tr>
            <w:tr w:rsidR="00D075F6" w14:paraId="61736242" w14:textId="77777777">
              <w:trPr>
                <w:jc w:val="center"/>
              </w:trPr>
              <w:tc>
                <w:tcPr>
                  <w:tcW w:w="5735" w:type="dxa"/>
                </w:tcPr>
                <w:p w14:paraId="7B037FA0" w14:textId="77777777" w:rsidR="00D075F6" w:rsidRDefault="00734411">
                  <w:r>
                    <w:t>OE2 — Evaluar SHAP, LIME, Anchors, DiCE sobre 5 modelos</w:t>
                  </w:r>
                </w:p>
              </w:tc>
              <w:tc>
                <w:tcPr>
                  <w:tcW w:w="2184" w:type="dxa"/>
                </w:tcPr>
                <w:p w14:paraId="50442605" w14:textId="77777777" w:rsidR="00D075F6" w:rsidRDefault="00734411">
                  <w:r>
                    <w:t>Completado. Benchmark multi-métrico sobre UCI Adult Income con 5 métricas primarias.</w:t>
                  </w:r>
                </w:p>
              </w:tc>
            </w:tr>
            <w:tr w:rsidR="00D075F6" w14:paraId="486AF348" w14:textId="77777777">
              <w:trPr>
                <w:jc w:val="center"/>
              </w:trPr>
              <w:tc>
                <w:tcPr>
                  <w:tcW w:w="5735" w:type="dxa"/>
                </w:tcPr>
                <w:p w14:paraId="228D7304" w14:textId="77777777" w:rsidR="00D075F6" w:rsidRDefault="00734411">
                  <w:r>
                    <w:t>OE3 — Cuantificar la relación calidad-coste SHAP-LIME</w:t>
                  </w:r>
                </w:p>
              </w:tc>
              <w:tc>
                <w:tcPr>
                  <w:tcW w:w="2184" w:type="dxa"/>
                </w:tcPr>
                <w:p w14:paraId="27822FA7" w14:textId="77777777" w:rsidR="00D075F6" w:rsidRDefault="00734411">
                  <w:r>
                    <w:t>Completado. Análisis pareado sobre 75 celdas coincidentes con corrección de multiplicidad Holm-Bonferroni.</w:t>
                  </w:r>
                </w:p>
              </w:tc>
            </w:tr>
            <w:tr w:rsidR="00D075F6" w14:paraId="10C29C89" w14:textId="77777777">
              <w:trPr>
                <w:jc w:val="center"/>
              </w:trPr>
              <w:tc>
                <w:tcPr>
                  <w:tcW w:w="5735" w:type="dxa"/>
                </w:tcPr>
                <w:p w14:paraId="4A03F449" w14:textId="77777777" w:rsidR="00D075F6" w:rsidRDefault="00734411">
                  <w:r>
                    <w:t>OE4 — Caracterizar reproducibilidad del protocolo</w:t>
                  </w:r>
                </w:p>
              </w:tc>
              <w:tc>
                <w:tcPr>
                  <w:tcW w:w="2184" w:type="dxa"/>
                </w:tcPr>
                <w:p w14:paraId="14BF7A46" w14:textId="77777777" w:rsidR="00D075F6" w:rsidRDefault="00734411">
                  <w:r>
                    <w:t>Completado. CV &lt; 3% en fidelidad para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(SHAP) y 12.0% (LIME) sobre el conjunto completo de ejecuciones, todos por debajo del umbral del 15% de P1; variabilidad del coste inherente a la heterogeneidad del hardware.</w:t>
                  </w:r>
                </w:p>
              </w:tc>
            </w:tr>
            <w:tr w:rsidR="00D075F6" w14:paraId="4D6A2F7A" w14:textId="77777777">
              <w:trPr>
                <w:jc w:val="center"/>
              </w:trPr>
              <w:tc>
                <w:tcPr>
                  <w:tcW w:w="5735" w:type="dxa"/>
                </w:tcPr>
                <w:p w14:paraId="14FBE3BA" w14:textId="77777777" w:rsidR="00D075F6" w:rsidRDefault="00734411">
                  <w:r>
                    <w:t>OE5 — Construir taxonomía estructurada y explicitar brechas de constructo</w:t>
                  </w:r>
                </w:p>
              </w:tc>
              <w:tc>
                <w:tcPr>
                  <w:tcW w:w="2184" w:type="dxa"/>
                </w:tcPr>
                <w:p w14:paraId="1E5C13A4" w14:textId="77777777" w:rsidR="00D075F6" w:rsidRDefault="00734411">
                  <w:r>
                    <w:t>Completado. Taxonomía de cuatro ejes en el Capítulo 5; tres brechas enunciadas en §</w:t>
                  </w:r>
                  <w:hyperlink w:anchor="sec-taxonomia-brechas">
                    <w:r>
                      <w:rPr>
                        <w:rStyle w:val="Hyperlink"/>
                      </w:rPr>
                      <w:t>5.6</w:t>
                    </w:r>
                  </w:hyperlink>
                  <w:r>
                    <w:t>, de las que la Brecha 3 origina OE6.</w:t>
                  </w:r>
                </w:p>
              </w:tc>
            </w:tr>
            <w:tr w:rsidR="00D075F6" w14:paraId="296F05BA" w14:textId="77777777">
              <w:trPr>
                <w:jc w:val="center"/>
              </w:trPr>
              <w:tc>
                <w:tcPr>
                  <w:tcW w:w="5735" w:type="dxa"/>
                </w:tcPr>
                <w:p w14:paraId="7DAC3E4C" w14:textId="77777777" w:rsidR="00D075F6" w:rsidRDefault="00734411">
                  <w:r>
                    <w:t>OE6 — Cuantificar fiabilidad de evaluadores semánticos LLM (objetivo exploratorio, derivado de la Brecha 3)</w:t>
                  </w:r>
                </w:p>
              </w:tc>
              <w:tc>
                <w:tcPr>
                  <w:tcW w:w="2184" w:type="dxa"/>
                </w:tcPr>
                <w:p w14:paraId="53DEE7CA" w14:textId="77777777" w:rsidR="00D075F6" w:rsidRDefault="00734411">
                  <w:r>
                    <w:t xml:space="preserve">Completado (resultado negativo). EXP4: ICC(1,1) entre 0.321 y 0.601 en 7 dimensiones; ninguna alcanza umbral </w:t>
                  </w:r>
                  <m:oMath>
                    <m:r>
                      <m:rPr>
                        <m:sty m:val="p"/>
                      </m:rPr>
                      <w:rPr>
                        <w:rFonts w:ascii="Cambria Math" w:hAnsi="Cambria Math"/>
                      </w:rPr>
                      <m:t>≥</m:t>
                    </m:r>
                    <m:r>
                      <w:rPr>
                        <w:rFonts w:ascii="Cambria Math" w:hAnsi="Cambria Math"/>
                      </w:rPr>
                      <m:t>0.75</m:t>
                    </m:r>
                  </m:oMath>
                  <w:r>
                    <w:t>. Véase §</w:t>
                  </w:r>
                  <w:hyperlink w:anchor="sec-exp4-fiabilidad">
                    <w:r>
                      <w:rPr>
                        <w:rStyle w:val="Hyperlink"/>
                      </w:rPr>
                      <w:t>5.8</w:t>
                    </w:r>
                  </w:hyperlink>
                  <w:r>
                    <w:t>.</w:t>
                  </w:r>
                </w:p>
              </w:tc>
            </w:tr>
            <w:bookmarkEnd w:id="240"/>
          </w:tbl>
          <w:p w14:paraId="233B8624" w14:textId="77777777" w:rsidR="00D075F6" w:rsidRDefault="00D075F6"/>
        </w:tc>
      </w:tr>
    </w:tbl>
    <w:p w14:paraId="386D2A8C" w14:textId="77777777" w:rsidR="00D075F6" w:rsidRDefault="00734411">
      <w:pPr>
        <w:pStyle w:val="Heading2"/>
      </w:pPr>
      <w:bookmarkStart w:id="241" w:name="sec-contribuciones"/>
      <w:bookmarkStart w:id="242" w:name="_Toc241413333"/>
      <w:bookmarkEnd w:id="237"/>
      <w:r>
        <w:t>6.2 Contribuciones científicas</w:t>
      </w:r>
      <w:bookmarkEnd w:id="242"/>
    </w:p>
    <w:p w14:paraId="4F061C18" w14:textId="77777777" w:rsidR="00D075F6" w:rsidRDefault="00734411">
      <w:pPr>
        <w:pStyle w:val="Heading3"/>
      </w:pPr>
      <w:bookmarkStart w:id="243" w:name="X2e7af289f3df14f7e31f2445fc83a79cfc8b431"/>
      <w:bookmarkStart w:id="244" w:name="_Toc241413334"/>
      <w:r>
        <w:t>6.2.1 Contribución metodológica: protocolo FOM-7</w:t>
      </w:r>
      <w:bookmarkEnd w:id="244"/>
    </w:p>
    <w:p w14:paraId="38709963" w14:textId="77777777" w:rsidR="00D075F6" w:rsidRDefault="00734411">
      <w:r>
        <w:t>El protocolo FOM-7 (</w:t>
      </w:r>
      <w:r>
        <w:rPr>
          <w:i/>
          <w:iCs/>
        </w:rPr>
        <w:t>Framework Operation Method</w:t>
      </w:r>
      <w:r>
        <w:t xml:space="preserve">, siete puertas) formaliza los requisitos de benchmarking reproducible identificados en la literatura (Canha et al. 2025; Agarwal et al. 2022; Hedström et al. 2023) en una secuencia operativa implementable: (1) congelación del protocolo, (2) ejecución por lotes con semillas declarativas, (3) auditoría de integridad de artefactos, (4) </w:t>
      </w:r>
      <w:r>
        <w:t>armonización a tablas de análisis, (5) exportación inferencial determinista, (6) perfilado de reproducibilidad, (7) reporte con trazabilidad de afirmaciones.</w:t>
      </w:r>
    </w:p>
    <w:p w14:paraId="52B94E8B" w14:textId="77777777" w:rsidR="00D075F6" w:rsidRDefault="00734411">
      <w:pPr>
        <w:pStyle w:val="BodyText"/>
      </w:pPr>
      <w:r>
        <w:t xml:space="preserve">La contribución metodológica no es la lista de siete pasos —cada uno de ellos es un requisito conocido individualmente— sino su integración en una secuencia que garantiza que </w:t>
      </w:r>
      <w:r>
        <w:rPr>
          <w:i/>
          <w:iCs/>
        </w:rPr>
        <w:t>ninguna afirmación inferencial puede formularse sin que todas las puertas previas estén satisfechas</w:t>
      </w:r>
      <w:r>
        <w:t xml:space="preserve">. Esta propiedad de </w:t>
      </w:r>
      <w:r>
        <w:t>cierre secuencial elimina la categoría de estudios que reportan estadísticos significativos sobre artefactos contaminados (datos de calibración mezclados con datos confirmatorios, artefactos malformados no detectados, corrección de multiplicidad omitida). Es precisamente este tipo de contaminación el que, según Pawlicki et al. (2024), hace que los estudios publicados en evaluación XAI sean frecuentemente inconmensurables entre sí.</w:t>
      </w:r>
    </w:p>
    <w:p w14:paraId="2A0713B2" w14:textId="77777777" w:rsidR="00D075F6" w:rsidRDefault="00734411">
      <w:pPr>
        <w:pStyle w:val="BodyText"/>
      </w:pPr>
      <w:r>
        <w:t xml:space="preserve">FOM-7 está disponible como código fuente verificable con rastreabilidad completa de artefactos, satisfaciendo los criterios de la iniciativa </w:t>
      </w:r>
      <w:r>
        <w:rPr>
          <w:i/>
          <w:iCs/>
        </w:rPr>
        <w:t>Reproducible AI</w:t>
      </w:r>
      <w:r>
        <w:t xml:space="preserve"> discutidos en (Canha et al. 2025).</w:t>
      </w:r>
    </w:p>
    <w:p w14:paraId="6C8B6E66" w14:textId="77777777" w:rsidR="00D075F6" w:rsidRDefault="00734411">
      <w:pPr>
        <w:pStyle w:val="Heading3"/>
      </w:pPr>
      <w:bookmarkStart w:id="245" w:name="X93d1d918ce055ba24ba9e9f0b305f424c9a5ca8"/>
      <w:bookmarkStart w:id="246" w:name="_Toc241413335"/>
      <w:bookmarkEnd w:id="243"/>
      <w:r>
        <w:t>6.2.2 Contribución teórica: disociación fidelidad-estabilidad y taxonomía de métricas</w:t>
      </w:r>
      <w:bookmarkEnd w:id="246"/>
    </w:p>
    <w:p w14:paraId="3C173DFC" w14:textId="77777777" w:rsidR="00D075F6" w:rsidRDefault="00734411">
      <w:r>
        <w:t>La disociación empírica entre fidelidad y estabilidad, documentada con tamaños de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y sin excepciones en 75 pares, constituye evidencia cuantitativa de una propiedad que la literatura </w:t>
      </w:r>
      <w:r>
        <w:t>había asumido pero raramente demostrado: las dimensiones de calidad de las explicaciones XAI son parcialmente independientes y no sustituibles entre sí (Pawlicki et al. 2024; Bhattacharya y Verbert 2024; Burger et al. 2023). Específicamente, la inestabilidad de LIME no es un artefacto de escenarios extremos ni de un presupuesto de muestreo insuficiente, sino una propiedad reproducible del método bajo las condiciones controladas del benchmark —y, como delimitan §</w:t>
      </w:r>
      <w:hyperlink w:anchor="sec-limitaciones">
        <w:r>
          <w:rPr>
            <w:rStyle w:val="Hyperlink"/>
          </w:rPr>
          <w:t>6.4</w:t>
        </w:r>
      </w:hyperlink>
      <w:r>
        <w:t xml:space="preserve"> y §</w:t>
      </w:r>
      <w:hyperlink w:anchor="sec-exp3-nota">
        <w:r>
          <w:rPr>
            <w:rStyle w:val="Hyperlink"/>
          </w:rPr>
          <w:t>6.5.1</w:t>
        </w:r>
      </w:hyperlink>
      <w:r>
        <w:t>, una propiedad del par (configuración, espacio de características) más que del método en abstracto. Esta demostración cuantifica el riesgo de usar LIME en contextos donde se exija consistencia explicativa (auditoría, decisiones de alto riesgo) sin haber medido antes su estabilidad en el espacio de despliegue, un riesgo que los trabajos de referencia sobre LIME (Ribeiro 2016) no cuantifican en benchmarks multi-métricos.</w:t>
      </w:r>
    </w:p>
    <w:p w14:paraId="62B1BAFF" w14:textId="77777777" w:rsidR="00D075F6" w:rsidRDefault="00734411">
      <w:pPr>
        <w:pStyle w:val="BodyText"/>
      </w:pPr>
      <w:r>
        <w:t>La taxonomía desarrollada en el Capítulo 5 complementa este hallazgo empírico con un marco conceptual que organiza el espacio de métricas de evaluación en cuatro ejes y que localiza explícitamente las dimensiones no cubiertas por los benchmarks funcionally-grounded, incluyendo la comprehensibilidad percibida por el usuario (Bhattacharya y Verbert 2024; Arrieta 2019). La taxonomía integra y extiende los marcos previos de Schwalbe y Finzel (2023), Abdulkadir et al. (2023) y Canha et al. (2025)</w:t>
      </w:r>
      <w:r>
        <w:t>, alineándola explícitamente con el espacio experimental del benchmark.</w:t>
      </w:r>
    </w:p>
    <w:p w14:paraId="575FA94B" w14:textId="77777777" w:rsidR="00D075F6" w:rsidRDefault="00734411">
      <w:pPr>
        <w:pStyle w:val="Heading3"/>
      </w:pPr>
      <w:bookmarkStart w:id="247" w:name="X6583905c1b1630bf3acfdae91528ca52ef61481"/>
      <w:bookmarkStart w:id="248" w:name="_Toc241413336"/>
      <w:bookmarkEnd w:id="245"/>
      <w:r>
        <w:t>6.2.3 Contribución aplicada: criterios prescriptivos de selección de métodos XAI</w:t>
      </w:r>
      <w:bookmarkEnd w:id="248"/>
    </w:p>
    <w:p w14:paraId="0BEE883A" w14:textId="77777777" w:rsidR="00D075F6" w:rsidRDefault="00734411">
      <w:r>
        <w:t xml:space="preserve">Los resultados del benchmark son suficientemente consistentes para formular criterios de selección prescriptivos en lugar de simples “recomendaciones contextuales”. El carácter prescriptivo se refiere a la firmeza del criterio dada la evidencia, no a su alcance: cada criterio queda condicionado a las condiciones del benchmark especificadas en </w:t>
      </w:r>
      <w:hyperlink w:anchor="tbl-fronteras-generalizacion">
        <w:r>
          <w:rPr>
            <w:rStyle w:val="Hyperlink"/>
          </w:rPr>
          <w:t>Tabla 6.4</w:t>
        </w:r>
      </w:hyperlink>
      <w:r>
        <w:t xml:space="preserve"> —dataset Adult Income, clasificación tabular binaria, las cinco familias de modelo evaluadas y las operacionalizaciones métricas del Capítulo 3— y ninguno se extiende a preferencias de usuarios finales, dominios regulados con restricciones normativas propias ni criterios de comprehensibilidad. Con esa delimitación:</w:t>
      </w:r>
    </w:p>
    <w:p w14:paraId="58ECD4B6" w14:textId="77777777" w:rsidR="00D075F6" w:rsidRDefault="00734411">
      <w:pPr>
        <w:pStyle w:val="BodyText"/>
      </w:pPr>
      <w:r>
        <w:rPr>
          <w:b/>
          <w:bCs/>
        </w:rPr>
        <w:t>SHAP debe seleccionarse</w:t>
      </w:r>
      <w:r>
        <w:t xml:space="preserve"> como método primario en cualquier aplicación que </w:t>
      </w:r>
      <w:r>
        <w:t xml:space="preserve">requiera fidelidad o consistencia explicativa verificables, con la condición de comprobar el umbral en la familia de modelo concreta. Sobre la media global SHAP satisface </w:t>
      </w:r>
      <m:oMath>
        <m:acc>
          <m:accPr>
            <m:chr m:val="‾"/>
            <m:ctrlPr>
              <w:rPr>
                <w:rFonts w:ascii="Cambria Math" w:hAnsi="Cambria Math"/>
              </w:rPr>
            </m:ctrlPr>
          </m:accPr>
          <m:e>
            <m:r>
              <w:rPr>
                <w:rFonts w:ascii="Cambria Math" w:hAnsi="Cambria Math"/>
              </w:rPr>
              <m:t>F</m:t>
            </m:r>
          </m:e>
        </m:acc>
        <m:r>
          <m:rPr>
            <m:sty m:val="p"/>
          </m:rPr>
          <w:rPr>
            <w:rFonts w:ascii="Cambria Math" w:hAnsi="Cambria Math"/>
          </w:rPr>
          <m:t>=</m:t>
        </m:r>
        <m:r>
          <w:rPr>
            <w:rFonts w:ascii="Cambria Math" w:hAnsi="Cambria Math"/>
          </w:rPr>
          <m:t>0.808</m:t>
        </m:r>
        <m:r>
          <m:rPr>
            <m:sty m:val="p"/>
          </m:rPr>
          <w:rPr>
            <w:rFonts w:ascii="Cambria Math" w:hAnsi="Cambria Math"/>
          </w:rPr>
          <m:t>≥</m:t>
        </m:r>
        <m:r>
          <w:rPr>
            <w:rFonts w:ascii="Cambria Math" w:hAnsi="Cambria Math"/>
          </w:rPr>
          <m:t>0.80</m:t>
        </m:r>
      </m:oMath>
      <w:r>
        <w:t xml:space="preserve"> y </w:t>
      </w:r>
      <m:oMath>
        <m:acc>
          <m:accPr>
            <m:chr m:val="‾"/>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0.732</m:t>
        </m:r>
        <m:r>
          <m:rPr>
            <m:sty m:val="p"/>
          </m:rPr>
          <w:rPr>
            <w:rFonts w:ascii="Cambria Math" w:hAnsi="Cambria Math"/>
          </w:rPr>
          <m:t>≥</m:t>
        </m:r>
        <m:r>
          <w:rPr>
            <w:rFonts w:ascii="Cambria Math" w:hAnsi="Cambria Math"/>
          </w:rPr>
          <m:t>0.70</m:t>
        </m:r>
      </m:oMath>
      <w:r>
        <w:t xml:space="preserve">, pero la media global no es el criterio operativo: por familia, la fidelidad alcanza </w:t>
      </w:r>
      <m:oMath>
        <m:r>
          <m:rPr>
            <m:sty m:val="p"/>
          </m:rPr>
          <w:rPr>
            <w:rFonts w:ascii="Cambria Math" w:hAnsi="Cambria Math"/>
          </w:rPr>
          <m:t>≥</m:t>
        </m:r>
        <m:r>
          <w:rPr>
            <w:rFonts w:ascii="Cambria Math" w:hAnsi="Cambria Math"/>
          </w:rPr>
          <m:t>0.80</m:t>
        </m:r>
      </m:oMath>
      <w:r>
        <w:t xml:space="preserve"> solo en logreg (0.946) y SVM (0.882), y la estabilidad alcanza </w:t>
      </w:r>
      <m:oMath>
        <m:r>
          <m:rPr>
            <m:sty m:val="p"/>
          </m:rPr>
          <w:rPr>
            <w:rFonts w:ascii="Cambria Math" w:hAnsi="Cambria Math"/>
          </w:rPr>
          <m:t>≥</m:t>
        </m:r>
        <m:r>
          <w:rPr>
            <w:rFonts w:ascii="Cambria Math" w:hAnsi="Cambria Math"/>
          </w:rPr>
          <m:t>0.70</m:t>
        </m:r>
      </m:oMath>
      <w:r>
        <w:t xml:space="preserve"> solo en logreg (0.880), RF (0.949) y SVM (0.925), descendiendo a 0.575 en XGBoost y 0.331 en MLP. Para modelos basados en árboles, TreeSHAP </w:t>
      </w:r>
      <w:r>
        <w:t>reduce el coste en dos o tres órdenes de magnitud respecto a KernelSHAP —21 ms por instancia en XGBoost y 2,820 ms en Random Forest, frente a 54,231 ms en SVM— lo que hace esta elección también la más eficiente en XGBoost.</w:t>
      </w:r>
    </w:p>
    <w:p w14:paraId="10A93A70" w14:textId="77777777" w:rsidR="00D075F6" w:rsidRDefault="00734411">
      <w:pPr>
        <w:pStyle w:val="BodyText"/>
      </w:pPr>
      <w:r>
        <w:rPr>
          <w:b/>
          <w:bCs/>
        </w:rPr>
        <w:t>LIME puede seleccionarse</w:t>
      </w:r>
      <w:r>
        <w:t xml:space="preserve"> exclusivamente cuando el coste computacional es el criterio dominante y la aplicación no requiere comparación de explicaciones entre instancias ni auditoría de consistencia. Las medias por familia de modelo </w:t>
      </w:r>
      <w:r>
        <w:t>de LIME en logreg/xgb/mlp —73 ms, 122 ms y 52 ms por instancia respectivamente— hacen posible la explicación en tiempo real, con la condición explícita de que las explicaciones no sean comparadas entre ejecuciones. En SVM esa ventaja desaparece: LIME asciende a 17,620 ms de media.</w:t>
      </w:r>
    </w:p>
    <w:p w14:paraId="473398E1" w14:textId="77777777" w:rsidR="00D075F6" w:rsidRDefault="00734411">
      <w:pPr>
        <w:pStyle w:val="BodyText"/>
      </w:pPr>
      <w:r>
        <w:rPr>
          <w:b/>
          <w:bCs/>
        </w:rPr>
        <w:t>Anchors debe usarse con cautela</w:t>
      </w:r>
      <w:r>
        <w:t xml:space="preserve"> para modelos no-lineales (RF, SVM, MLP) en aplicaciones de latencia crítica: sus medias por familia de modelo —15,564 ms (MLP), 37,415 ms (SVM) y 48,955 ms (RF) por instancia— son inviables en </w:t>
      </w:r>
      <w:r>
        <w:t>producción, y su cobertura analítica cae al 76.0% por no convergencia. Su uso es justificable exclusivamente cuando la forma semántica IF-THEN es un requisito regulatorio o de usuario y el modelo es de complejidad baja (logreg, 2,918 ms).</w:t>
      </w:r>
    </w:p>
    <w:p w14:paraId="217CC070" w14:textId="77777777" w:rsidR="00D075F6" w:rsidRDefault="00734411">
      <w:pPr>
        <w:pStyle w:val="BodyText"/>
      </w:pPr>
      <w:r>
        <w:rPr>
          <w:b/>
          <w:bCs/>
        </w:rPr>
        <w:t>DiCE es la opción de esta comparación orientada a acciones correctivas</w:t>
      </w:r>
      <w:r>
        <w:t xml:space="preserve"> cuando el objetivo es generar acciones correctivas (</w:t>
      </w:r>
      <w:r>
        <w:rPr>
          <w:i/>
          <w:iCs/>
        </w:rPr>
        <w:t>algorithmic recourse</w:t>
      </w:r>
      <w:r>
        <w:t xml:space="preserve">) para cambiar la predicción. Sus métricas de fidelidad </w:t>
      </w:r>
      <w:r>
        <w:t>bajas son irrelevantes para este objetivo, puesto que la métrica de atribución no mide lo que DiCE optimiza. Su coste, en cambio, sí es una restricción real y no debe presentarse como moderado: con una media de 28,209 ms por instancia (mediana 11,880 ms) es el segundo más elevado del benchmark, solo por debajo de Anchors (38,159 ms), y varía entre 12,634 ms (MLP) y 66,266 ms (SVM) según la familia de modelo. DiCE se justifica cuando el recourse es el objetivo y no existe sustituto, no por eficiencia.</w:t>
      </w:r>
    </w:p>
    <w:p w14:paraId="49EF5437" w14:textId="77777777" w:rsidR="00D075F6" w:rsidRDefault="00734411">
      <w:pPr>
        <w:pStyle w:val="Heading2"/>
      </w:pPr>
      <w:bookmarkStart w:id="249" w:name="sec-posicionamiento"/>
      <w:bookmarkStart w:id="250" w:name="_Toc241413337"/>
      <w:bookmarkEnd w:id="241"/>
      <w:bookmarkEnd w:id="247"/>
      <w:r>
        <w:t xml:space="preserve">6.3 </w:t>
      </w:r>
      <w:r>
        <w:t>Posicionamiento respecto a la literatura y separación de contribuciones</w:t>
      </w:r>
      <w:bookmarkEnd w:id="250"/>
    </w:p>
    <w:p w14:paraId="7D7E9F6A" w14:textId="77777777" w:rsidR="00D075F6" w:rsidRDefault="00734411">
      <w:r>
        <w:t xml:space="preserve">Las tres contribuciones de esta tesis deben separarse con precisión de los trabajos más cercanos para que su originalidad sea evaluable. La Tabla </w:t>
      </w:r>
      <w:hyperlink w:anchor="tbl-contribucion-separacion">
        <w:r>
          <w:rPr>
            <w:rStyle w:val="Hyperlink"/>
          </w:rPr>
          <w:t>6.3</w:t>
        </w:r>
      </w:hyperlink>
      <w:r>
        <w:t xml:space="preserve"> realiza esta separación de forma explícita.</w:t>
      </w:r>
    </w:p>
    <w:tbl>
      <w:tblPr>
        <w:tblW w:w="5000" w:type="pct"/>
        <w:jc w:val="center"/>
        <w:tblLayout w:type="fixed"/>
        <w:tblLook w:val="0000" w:firstRow="0" w:lastRow="0" w:firstColumn="0" w:lastColumn="0" w:noHBand="0" w:noVBand="0"/>
      </w:tblPr>
      <w:tblGrid>
        <w:gridCol w:w="9576"/>
      </w:tblGrid>
      <w:tr w:rsidR="00D075F6" w14:paraId="106EF79A" w14:textId="77777777">
        <w:trPr>
          <w:jc w:val="center"/>
        </w:trPr>
        <w:tc>
          <w:tcPr>
            <w:tcW w:w="7920" w:type="dxa"/>
          </w:tcPr>
          <w:p w14:paraId="7DB692C0" w14:textId="77777777" w:rsidR="00D075F6" w:rsidRDefault="00734411">
            <w:pPr>
              <w:spacing w:before="200"/>
              <w:jc w:val="center"/>
            </w:pPr>
            <w:bookmarkStart w:id="251" w:name="tbl-contribucion-separacion"/>
            <w:r>
              <w:t>Tabla 6.3: Separación de contribuciones respecto a los trabajos más cercanos.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3C56E61C" w14:textId="77777777">
              <w:trPr>
                <w:tblHeader/>
                <w:jc w:val="center"/>
              </w:trPr>
              <w:tc>
                <w:tcPr>
                  <w:tcW w:w="1980" w:type="dxa"/>
                </w:tcPr>
                <w:p w14:paraId="6028C9A8" w14:textId="77777777" w:rsidR="00D075F6" w:rsidRDefault="00734411">
                  <w:pPr>
                    <w:jc w:val="center"/>
                  </w:pPr>
                  <w:r>
                    <w:rPr>
                      <w:b/>
                      <w:bCs/>
                    </w:rPr>
                    <w:t>Contribución</w:t>
                  </w:r>
                </w:p>
              </w:tc>
              <w:tc>
                <w:tcPr>
                  <w:tcW w:w="1980" w:type="dxa"/>
                </w:tcPr>
                <w:p w14:paraId="17CD2041" w14:textId="77777777" w:rsidR="00D075F6" w:rsidRDefault="00734411">
                  <w:pPr>
                    <w:jc w:val="center"/>
                  </w:pPr>
                  <w:r>
                    <w:rPr>
                      <w:b/>
                      <w:bCs/>
                    </w:rPr>
                    <w:t>Trabajos más cercanos</w:t>
                  </w:r>
                </w:p>
              </w:tc>
              <w:tc>
                <w:tcPr>
                  <w:tcW w:w="1980" w:type="dxa"/>
                </w:tcPr>
                <w:p w14:paraId="335B1882" w14:textId="77777777" w:rsidR="00D075F6" w:rsidRDefault="00734411">
                  <w:pPr>
                    <w:jc w:val="center"/>
                  </w:pPr>
                  <w:r>
                    <w:rPr>
                      <w:b/>
                      <w:bCs/>
                    </w:rPr>
                    <w:t>En qué se solapa</w:t>
                  </w:r>
                </w:p>
              </w:tc>
              <w:tc>
                <w:tcPr>
                  <w:tcW w:w="1980" w:type="dxa"/>
                </w:tcPr>
                <w:p w14:paraId="48C80439" w14:textId="77777777" w:rsidR="00D075F6" w:rsidRDefault="00734411">
                  <w:pPr>
                    <w:jc w:val="center"/>
                  </w:pPr>
                  <w:r>
                    <w:rPr>
                      <w:b/>
                      <w:bCs/>
                    </w:rPr>
                    <w:t>En qué difiere esta tesis</w:t>
                  </w:r>
                </w:p>
              </w:tc>
            </w:tr>
            <w:tr w:rsidR="00D075F6" w14:paraId="48CB6076" w14:textId="77777777">
              <w:trPr>
                <w:jc w:val="center"/>
              </w:trPr>
              <w:tc>
                <w:tcPr>
                  <w:tcW w:w="1980" w:type="dxa"/>
                </w:tcPr>
                <w:p w14:paraId="6CC68D1F" w14:textId="77777777" w:rsidR="00D075F6" w:rsidRDefault="00734411">
                  <w:pPr>
                    <w:jc w:val="center"/>
                  </w:pPr>
                  <w:r>
                    <w:rPr>
                      <w:b/>
                      <w:bCs/>
                    </w:rPr>
                    <w:t>FOM-7 — protocolo de benchmarking reproducible</w:t>
                  </w:r>
                </w:p>
              </w:tc>
              <w:tc>
                <w:tcPr>
                  <w:tcW w:w="1980" w:type="dxa"/>
                </w:tcPr>
                <w:p w14:paraId="1820CD02" w14:textId="77777777" w:rsidR="00D075F6" w:rsidRDefault="00734411">
                  <w:pPr>
                    <w:jc w:val="center"/>
                  </w:pPr>
                  <w:r>
                    <w:t>OpenXAI (Agarwal et al. 2022); Quantus (Hedström et al. 2023); Canha et al. (2025)</w:t>
                  </w:r>
                </w:p>
              </w:tc>
              <w:tc>
                <w:tcPr>
                  <w:tcW w:w="1980" w:type="dxa"/>
                </w:tcPr>
                <w:p w14:paraId="3D658B30" w14:textId="77777777" w:rsidR="00D075F6" w:rsidRDefault="00734411">
                  <w:pPr>
                    <w:jc w:val="center"/>
                  </w:pPr>
                  <w:r>
                    <w:t>Objetivo de estandarización, uso de métricas functionally-grounded, énfasis en reproducibilidad</w:t>
                  </w:r>
                </w:p>
              </w:tc>
              <w:tc>
                <w:tcPr>
                  <w:tcW w:w="1980" w:type="dxa"/>
                </w:tcPr>
                <w:p w14:paraId="7B997285" w14:textId="77777777" w:rsidR="00D075F6" w:rsidRDefault="00734411">
                  <w:pPr>
                    <w:jc w:val="center"/>
                  </w:pPr>
                  <w:r>
                    <w:t>FOM-7 añade siete puertas secuenciales con criterios de admisibilidad y falla explícitos; OpenXAI y Quantus no regulan la cadena diseño-artefacto-inferencia-claim; Canha et al. proponen principios sin implementación operativa completa</w:t>
                  </w:r>
                </w:p>
              </w:tc>
            </w:tr>
            <w:tr w:rsidR="00D075F6" w14:paraId="06FFFF76" w14:textId="77777777">
              <w:trPr>
                <w:jc w:val="center"/>
              </w:trPr>
              <w:tc>
                <w:tcPr>
                  <w:tcW w:w="1980" w:type="dxa"/>
                </w:tcPr>
                <w:p w14:paraId="3D406A5B" w14:textId="77777777" w:rsidR="00D075F6" w:rsidRDefault="00734411">
                  <w:pPr>
                    <w:jc w:val="center"/>
                  </w:pPr>
                  <w:r>
                    <w:rPr>
                      <w:b/>
                      <w:bCs/>
                    </w:rPr>
                    <w:t>Benchmark multi-métrico SHAP-LIME-Anchors-DiCE</w:t>
                  </w:r>
                </w:p>
              </w:tc>
              <w:tc>
                <w:tcPr>
                  <w:tcW w:w="1980" w:type="dxa"/>
                </w:tcPr>
                <w:p w14:paraId="6B3CF694" w14:textId="77777777" w:rsidR="00D075F6" w:rsidRDefault="00734411">
                  <w:pPr>
                    <w:jc w:val="center"/>
                  </w:pPr>
                  <w:r>
                    <w:t>Nauta et al. (2023) (revisión de 30 propiedades); Altukhi et al. (2025) (comparación de explicadores); Hedström et al. (2023) (Quantus evaluation)</w:t>
                  </w:r>
                </w:p>
              </w:tc>
              <w:tc>
                <w:tcPr>
                  <w:tcW w:w="1980" w:type="dxa"/>
                </w:tcPr>
                <w:p w14:paraId="1CCC7D96" w14:textId="77777777" w:rsidR="00D075F6" w:rsidRDefault="00734411">
                  <w:pPr>
                    <w:jc w:val="center"/>
                  </w:pPr>
                  <w:r>
                    <w:t>Comparación de métodos agnósticos; uso de fidelidad y estabilidad como métricas primarias</w:t>
                  </w:r>
                </w:p>
              </w:tc>
              <w:tc>
                <w:tcPr>
                  <w:tcW w:w="1980" w:type="dxa"/>
                </w:tcPr>
                <w:p w14:paraId="6BFA93AB" w14:textId="77777777" w:rsidR="00D075F6" w:rsidRDefault="00734411">
                  <w:pPr>
                    <w:jc w:val="center"/>
                  </w:pPr>
                  <w:r>
                    <w:t>Esta tesis usa diseño factorial con cinco modelos, cinco semillas y tres tamaños de muestra; reporta tamaños de efecto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y control de multiplicidad Holm-Bonferroni; cuantifica la disociación fidelidad-estabilidad con evidencia pareada en 75 celdas</w:t>
                  </w:r>
                </w:p>
              </w:tc>
            </w:tr>
            <w:tr w:rsidR="00D075F6" w14:paraId="467DEE68" w14:textId="77777777">
              <w:trPr>
                <w:jc w:val="center"/>
              </w:trPr>
              <w:tc>
                <w:tcPr>
                  <w:tcW w:w="1980" w:type="dxa"/>
                </w:tcPr>
                <w:p w14:paraId="25F7FA8E" w14:textId="77777777" w:rsidR="00D075F6" w:rsidRDefault="00734411">
                  <w:pPr>
                    <w:jc w:val="center"/>
                  </w:pPr>
                  <w:r>
                    <w:rPr>
                      <w:b/>
                      <w:bCs/>
                    </w:rPr>
                    <w:t>Taxonomía de cuatro ejes</w:t>
                  </w:r>
                </w:p>
              </w:tc>
              <w:tc>
                <w:tcPr>
                  <w:tcW w:w="1980" w:type="dxa"/>
                </w:tcPr>
                <w:p w14:paraId="3553E544" w14:textId="77777777" w:rsidR="00D075F6" w:rsidRDefault="00734411">
                  <w:pPr>
                    <w:jc w:val="center"/>
                  </w:pPr>
                  <w:r>
                    <w:t>Schwalbe y Finzel (2023) (taxonomía de conceptos XAI); Abdulkadir et al. (2023) (revisión de métricas); Doshi-Velez y Kim (2017) (tres tipos de evaluación)</w:t>
                  </w:r>
                </w:p>
              </w:tc>
              <w:tc>
                <w:tcPr>
                  <w:tcW w:w="1980" w:type="dxa"/>
                </w:tcPr>
                <w:p w14:paraId="6E8F26B6" w14:textId="77777777" w:rsidR="00D075F6" w:rsidRDefault="00734411">
                  <w:pPr>
                    <w:jc w:val="center"/>
                  </w:pPr>
                  <w:r>
                    <w:t>Uso de dimensiones de calidad (fidelidad, robustez, complejidad); distinción entre evaluación humana y computacional</w:t>
                  </w:r>
                </w:p>
              </w:tc>
              <w:tc>
                <w:tcPr>
                  <w:tcW w:w="1980" w:type="dxa"/>
                </w:tcPr>
                <w:p w14:paraId="04CCF920" w14:textId="77777777" w:rsidR="00D075F6" w:rsidRDefault="00734411">
                  <w:pPr>
                    <w:jc w:val="center"/>
                  </w:pPr>
                  <w:r>
                    <w:t>La taxonomía de esta tesis añade el eje de contexto de tarea como dimensión operativa; la ubica explícitamente en relación con el benchmark empírico; y proporciona el alcance inferencial admisible para cada cuadrante</w:t>
                  </w:r>
                </w:p>
              </w:tc>
            </w:tr>
            <w:bookmarkEnd w:id="251"/>
          </w:tbl>
          <w:p w14:paraId="682FE4F2" w14:textId="77777777" w:rsidR="00D075F6" w:rsidRDefault="00D075F6"/>
        </w:tc>
      </w:tr>
    </w:tbl>
    <w:p w14:paraId="0C1D80B4" w14:textId="77777777" w:rsidR="00D075F6" w:rsidRDefault="00734411">
      <w:pPr>
        <w:pStyle w:val="BodyText"/>
      </w:pPr>
      <w:r>
        <w:t xml:space="preserve">El posicionamiento más informativo se obtiene comparando la tesis con los dos trabajos más cercanos en alcance. OpenXAI (Agarwal et al. 2022) proporciona una plataforma con ground-truth sintético y permite comparar métodos bajo </w:t>
      </w:r>
      <w:r>
        <w:t xml:space="preserve">condiciones estandarizadas; sin embargo, no ofrece un protocolo de calificación de artefactos, no requiere separación EXP1/EXP2, y no contempla control de multiplicidad sobre familias de hipótesis. Nauta et al. (2023) proporcionan la revisión más amplia disponible de propiedades de evaluación XAI (30 propiedades, taxonomía propia), pero su contribución es conceptual: no producen un benchmark experimental con análisis inferencial. Esta tesis ocupa </w:t>
      </w:r>
      <w:r>
        <w:t>el espacio entre ambas obras: implementa un pipeline experimental completo con gobernanza de protocolo (FOM-7), produce evidencia empírica con análisis estadístico riguroso, y contribuye una taxonomía que integra esas propiedades con su alcance inferencial operacional.</w:t>
      </w:r>
    </w:p>
    <w:p w14:paraId="62DF1DE1" w14:textId="77777777" w:rsidR="00D075F6" w:rsidRDefault="00734411">
      <w:pPr>
        <w:pStyle w:val="BodyText"/>
      </w:pPr>
      <w:r>
        <w:t xml:space="preserve">El aporte de FOM-7 respecto a Canha et al. (2025) es también diferenciable. Canha et al. articulan principios de reproducibilidad para XAI (declaración de semillas, versionado, separación de conjuntos), pero sin una </w:t>
      </w:r>
      <w:r>
        <w:t>secuencia de puertas con criterios explícitos de falla y admisibilidad. FOM-7 convierte esos principios en un protocolo ejecutable cuya puerta 3 (auditoría de integridad de artefactos) controla la contaminación antes de la inferencia, y cuya puerta 7 (trazabilidad de claims) garantiza que cada afirmación publicada puede rastrearse hasta una celda del diseño factorial.</w:t>
      </w:r>
    </w:p>
    <w:p w14:paraId="248A2C30" w14:textId="77777777" w:rsidR="00D075F6" w:rsidRDefault="00734411">
      <w:pPr>
        <w:pStyle w:val="Heading2"/>
      </w:pPr>
      <w:bookmarkStart w:id="252" w:name="sec-limitaciones"/>
      <w:bookmarkStart w:id="253" w:name="_Toc241413338"/>
      <w:bookmarkEnd w:id="249"/>
      <w:r>
        <w:t>6.4 Limitaciones del estudio</w:t>
      </w:r>
      <w:bookmarkEnd w:id="253"/>
    </w:p>
    <w:p w14:paraId="63CDF30B" w14:textId="77777777" w:rsidR="00D075F6" w:rsidRDefault="00734411">
      <w:r>
        <w:t xml:space="preserve">Cuatro limitaciones deben tenerse en cuenta al interpretar los resultados y </w:t>
      </w:r>
      <w:r>
        <w:t>generalizar los criterios de selección.</w:t>
      </w:r>
    </w:p>
    <w:p w14:paraId="6EF1E361" w14:textId="77777777" w:rsidR="00D075F6" w:rsidRDefault="00734411">
      <w:pPr>
        <w:pStyle w:val="BodyText"/>
      </w:pPr>
      <w:r>
        <w:rPr>
          <w:b/>
          <w:bCs/>
        </w:rPr>
        <w:t>Universo experimental acotado.</w:t>
      </w:r>
      <w:r>
        <w:t xml:space="preserve"> El benchmark opera sobre el conjunto de datos UCI Adult Income, que es tabular, binario y de tamaño moderado (48,842 instancias). La extensión de los hallazgos a datos de imagen, texto o series temporales requiere redefinir las operacionalizaciones de fidelidad y estabilidad, que en este benchmark son específicas de la estructura de características tabulares.</w:t>
      </w:r>
    </w:p>
    <w:p w14:paraId="50AD0024" w14:textId="77777777" w:rsidR="00D075F6" w:rsidRDefault="00734411">
      <w:pPr>
        <w:pStyle w:val="BodyText"/>
      </w:pPr>
      <w:r>
        <w:rPr>
          <w:b/>
          <w:bCs/>
        </w:rPr>
        <w:t>Operacionalizaciones métricas específicas.</w:t>
      </w:r>
      <w:r>
        <w:t xml:space="preserve"> Fidelidad y estabilidad se </w:t>
      </w:r>
      <w:r>
        <w:t>operacionalizan aquí mediante enmascaramiento de características y perturbación gaussiana, respectivamente. Otras operacionalizaciones —por ejemplo, fidelidad como ROAR (Zheng et al. 2025) o estabilidad como estimación de la constante de Lipschitz local (Canha et al. 2025)— pueden producir ordenamientos distintos, especialmente en el rango medio de los métodos (Anchors-DiCE).</w:t>
      </w:r>
    </w:p>
    <w:p w14:paraId="17EB4151" w14:textId="77777777" w:rsidR="00D075F6" w:rsidRDefault="00734411">
      <w:pPr>
        <w:pStyle w:val="BodyText"/>
      </w:pPr>
      <w:r>
        <w:rPr>
          <w:b/>
          <w:bCs/>
        </w:rPr>
        <w:t>Ausencia de evaluación human-centered.</w:t>
      </w:r>
      <w:r>
        <w:t xml:space="preserve"> El benchmark es exclusivamente </w:t>
      </w:r>
      <w:r>
        <w:t>funcionally-grounded. La dimensión de comprehensibilidad percibida, utilidad para la toma de decisiones y confianza del usuario (Bhattacharya y Verbert 2024) no está cubierta. La taxonomía del Capítulo 5 hace explícita esta limitación y la localiza en los ejes de fuente de evidencia y contexto de tarea, pero los criterios de selección prescriptivos derivados no incorporan preferencias de usuarios finales.</w:t>
      </w:r>
    </w:p>
    <w:p w14:paraId="37358AE8" w14:textId="77777777" w:rsidR="00D075F6" w:rsidRDefault="00734411">
      <w:pPr>
        <w:pStyle w:val="BodyText"/>
      </w:pPr>
      <w:r>
        <w:rPr>
          <w:b/>
          <w:bCs/>
        </w:rPr>
        <w:t>Configuraciones de referencia y artefactos de diseño.</w:t>
      </w:r>
      <w:r>
        <w:t xml:space="preserve"> </w:t>
      </w:r>
      <w:r>
        <w:t>Los resultados son válidos bajo las configuraciones de referencia de cada método. Tres caveats específicos deben tenerse en cuenta al interpretar las métricas de LIME.</w:t>
      </w:r>
    </w:p>
    <w:p w14:paraId="1C1EAEE4" w14:textId="77777777" w:rsidR="00D075F6" w:rsidRDefault="00734411">
      <w:pPr>
        <w:pStyle w:val="BodyText"/>
      </w:pPr>
      <w:r>
        <w:rPr>
          <w:i/>
          <w:iCs/>
        </w:rPr>
        <w:t>Artefacto de parsimonia.</w:t>
      </w:r>
      <w:r>
        <w:t xml:space="preserve"> El parámetro num_features = 10 </w:t>
      </w:r>
      <w:r>
        <w:t>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14:paraId="602814AD" w14:textId="77777777" w:rsidR="00D075F6" w:rsidRDefault="00734411">
      <w:pPr>
        <w:pStyle w:val="BodyText"/>
      </w:pPr>
      <w:r>
        <w:rPr>
          <w:i/>
          <w:iCs/>
        </w:rPr>
        <w:t>Alcance de la inestabilidad de LIME.</w:t>
      </w:r>
      <w:r>
        <w:t xml:space="preserve"> La inestabilidad de LIME observada en EXP2 (CV = 86.2%, similitud coseno media ≈ 0.014) fue examinada sistemáticamente variando num_samples </w:t>
      </w:r>
      <w:r>
        <w:t xml:space="preserve">∈ {500, 1000, 2000}: la estabilidad permanece cercana a cero en todos los niveles, lo que descarta que el resultado sea un artefacto de convergencia del muestreo. La sensibilidad al ancho del kernel, en cambio, sí es sustantiva. Un análisis a kernel_width ∈ {0.25, 0.75, 3.0, 10.0} muestra que los valores inferiores a 3.0 producen pesos degenerados (cero) en el espacio de características preprocesado de 103 dimensiones —de modo que 3.0 es el mínimo viable— pero que kernel_width = 10.0 </w:t>
      </w:r>
      <w:r>
        <w:t xml:space="preserve">recupera una estabilidad de 0.664 a costa de la fidelidad, que desciende de 0.518 a 0.441 (Apéndice C, </w:t>
      </w:r>
      <w:hyperlink w:anchor="tbl-appendix-lime-kw-sensitivity">
        <w:r>
          <w:rPr>
            <w:rStyle w:val="Hyperlink"/>
          </w:rPr>
          <w:t>Tabla 6.11</w:t>
        </w:r>
      </w:hyperlink>
      <w:r>
        <w:t>).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yperlink"/>
          </w:rPr>
          <w:t>6.5.1</w:t>
        </w:r>
      </w:hyperlink>
      <w:r>
        <w:t>) confirma esta lectura desde el otro extremo: con el mismo kernel_width = 3.0</w:t>
      </w:r>
      <w:r>
        <w:t>,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14:paraId="7CAE255C" w14:textId="77777777" w:rsidR="00D075F6" w:rsidRDefault="00734411">
      <w:pPr>
        <w:pStyle w:val="BodyText"/>
      </w:pPr>
      <w:r>
        <w:rPr>
          <w:i/>
          <w:iCs/>
        </w:rPr>
        <w:t>Sesgo de enmascaramiento y correlaciones de características.</w:t>
      </w:r>
      <w:r>
        <w:t xml:space="preserve"> </w:t>
      </w:r>
      <w:r>
        <w:t>La métrica de fidelidad enmascara características individualmente sustituyéndolas por valores de referencia medios. En el dataset Adult Income, pares como education/education-num (</w:t>
      </w:r>
      <m:oMath>
        <m:r>
          <w:rPr>
            <w:rFonts w:ascii="Cambria Math" w:hAnsi="Cambria Math"/>
          </w:rPr>
          <m:t>r</m:t>
        </m:r>
        <m:r>
          <m:rPr>
            <m:sty m:val="p"/>
          </m:rPr>
          <w:rPr>
            <w:rFonts w:ascii="Cambria Math" w:hAnsi="Cambria Math"/>
          </w:rPr>
          <m:t>=</m:t>
        </m:r>
        <m:r>
          <w:rPr>
            <w:rFonts w:ascii="Cambria Math" w:hAnsi="Cambria Math"/>
          </w:rPr>
          <m:t>1.0</m:t>
        </m:r>
      </m:oMath>
      <w:r>
        <w:t xml:space="preserve">) y occupation/education (Cramér’s </w:t>
      </w:r>
      <m:oMath>
        <m:r>
          <w:rPr>
            <w:rFonts w:ascii="Cambria Math" w:hAnsi="Cambria Math"/>
          </w:rPr>
          <m:t>V</m:t>
        </m:r>
        <m:r>
          <m:rPr>
            <m:sty m:val="p"/>
          </m:rPr>
          <w:rPr>
            <w:rFonts w:ascii="Cambria Math" w:hAnsi="Cambria Math"/>
          </w:rPr>
          <m:t>=</m:t>
        </m:r>
        <m:r>
          <w:rPr>
            <w:rFonts w:ascii="Cambria Math" w:hAnsi="Cambria Math"/>
          </w:rPr>
          <m:t>0.196</m:t>
        </m:r>
      </m:oMath>
      <w:r>
        <w:t>)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(Hooker et al. 2019; Rong et al. 2022)</w:t>
      </w:r>
      <w:r>
        <w:t>. El operador común y determinista favorece la comparabilidad procedimental, pero no preserva la distribución conjunta ni elimina ese sesgo. No puede descartarse que parte de la brecha de fidelidad SHAP-LIME refleje sensibilidad diferencial a este mecanismo en lugar de diferencias puras de calidad de atribución.</w:t>
      </w:r>
    </w:p>
    <w:p w14:paraId="3FDC2592" w14:textId="77777777" w:rsidR="00D075F6" w:rsidRDefault="00734411">
      <w:pPr>
        <w:pStyle w:val="Heading2"/>
      </w:pPr>
      <w:bookmarkStart w:id="254" w:name="sec-fronteras"/>
      <w:bookmarkStart w:id="255" w:name="_Toc241413339"/>
      <w:bookmarkEnd w:id="252"/>
      <w:r>
        <w:t>6.5 Fronteras de generalización</w:t>
      </w:r>
      <w:bookmarkEnd w:id="255"/>
    </w:p>
    <w:p w14:paraId="7B9A2249" w14:textId="77777777" w:rsidR="00D075F6" w:rsidRDefault="00734411">
      <w:r>
        <w:t xml:space="preserve">La claridad sobre los límites de las afirmaciones es un requisito de integridad científica. La Tabla </w:t>
      </w:r>
      <w:hyperlink w:anchor="tbl-fronteras-generalizacion">
        <w:r>
          <w:rPr>
            <w:rStyle w:val="Hyperlink"/>
          </w:rPr>
          <w:t>6.4</w:t>
        </w:r>
      </w:hyperlink>
      <w:r>
        <w:t xml:space="preserve"> </w:t>
      </w:r>
      <w:r>
        <w:t>especifica el alcance soportado y el alcance no soportado de los hallazgos principales, junto con la evidencia que sería necesaria para extender las conclusiones.</w:t>
      </w:r>
    </w:p>
    <w:tbl>
      <w:tblPr>
        <w:tblW w:w="5000" w:type="pct"/>
        <w:jc w:val="center"/>
        <w:tblLayout w:type="fixed"/>
        <w:tblLook w:val="0000" w:firstRow="0" w:lastRow="0" w:firstColumn="0" w:lastColumn="0" w:noHBand="0" w:noVBand="0"/>
      </w:tblPr>
      <w:tblGrid>
        <w:gridCol w:w="9576"/>
      </w:tblGrid>
      <w:tr w:rsidR="00D075F6" w14:paraId="4D46C0E8" w14:textId="77777777">
        <w:trPr>
          <w:jc w:val="center"/>
        </w:trPr>
        <w:tc>
          <w:tcPr>
            <w:tcW w:w="7920" w:type="dxa"/>
          </w:tcPr>
          <w:p w14:paraId="632238F6" w14:textId="77777777" w:rsidR="00D075F6" w:rsidRDefault="00734411">
            <w:pPr>
              <w:spacing w:before="200"/>
              <w:jc w:val="center"/>
            </w:pPr>
            <w:bookmarkStart w:id="256" w:name="tbl-fronteras-generalizacion"/>
            <w:r>
              <w:t>Tabla 6.4: Fronteras de generalización de los hallazgos principales.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1C4EBC30" w14:textId="77777777">
              <w:trPr>
                <w:tblHeader/>
                <w:jc w:val="center"/>
              </w:trPr>
              <w:tc>
                <w:tcPr>
                  <w:tcW w:w="1980" w:type="dxa"/>
                </w:tcPr>
                <w:p w14:paraId="32F02BAE" w14:textId="77777777" w:rsidR="00D075F6" w:rsidRDefault="00734411">
                  <w:pPr>
                    <w:jc w:val="center"/>
                  </w:pPr>
                  <w:r>
                    <w:rPr>
                      <w:b/>
                      <w:bCs/>
                    </w:rPr>
                    <w:t>Afirmación</w:t>
                  </w:r>
                </w:p>
              </w:tc>
              <w:tc>
                <w:tcPr>
                  <w:tcW w:w="1980" w:type="dxa"/>
                </w:tcPr>
                <w:p w14:paraId="42C884C8" w14:textId="77777777" w:rsidR="00D075F6" w:rsidRDefault="00734411">
                  <w:pPr>
                    <w:jc w:val="center"/>
                  </w:pPr>
                  <w:r>
                    <w:rPr>
                      <w:b/>
                      <w:bCs/>
                    </w:rPr>
                    <w:t>Soportada para</w:t>
                  </w:r>
                </w:p>
              </w:tc>
              <w:tc>
                <w:tcPr>
                  <w:tcW w:w="1980" w:type="dxa"/>
                </w:tcPr>
                <w:p w14:paraId="219ACCF1" w14:textId="77777777" w:rsidR="00D075F6" w:rsidRDefault="00734411">
                  <w:pPr>
                    <w:jc w:val="center"/>
                  </w:pPr>
                  <w:r>
                    <w:rPr>
                      <w:b/>
                      <w:bCs/>
                    </w:rPr>
                    <w:t>No soportada para</w:t>
                  </w:r>
                </w:p>
              </w:tc>
              <w:tc>
                <w:tcPr>
                  <w:tcW w:w="1980" w:type="dxa"/>
                </w:tcPr>
                <w:p w14:paraId="4AB4FCB0" w14:textId="77777777" w:rsidR="00D075F6" w:rsidRDefault="00734411">
                  <w:pPr>
                    <w:jc w:val="center"/>
                  </w:pPr>
                  <w:r>
                    <w:rPr>
                      <w:b/>
                      <w:bCs/>
                    </w:rPr>
                    <w:t>Validación futura requerida</w:t>
                  </w:r>
                </w:p>
              </w:tc>
            </w:tr>
            <w:tr w:rsidR="00D075F6" w14:paraId="2CA7BE36" w14:textId="77777777">
              <w:trPr>
                <w:jc w:val="center"/>
              </w:trPr>
              <w:tc>
                <w:tcPr>
                  <w:tcW w:w="1980" w:type="dxa"/>
                </w:tcPr>
                <w:p w14:paraId="13964586" w14:textId="77777777" w:rsidR="00D075F6" w:rsidRDefault="00734411">
                  <w:pPr>
                    <w:jc w:val="center"/>
                  </w:pPr>
                  <w:r>
                    <w:t xml:space="preserve">SHAP supera a LIME en fidelidad (efecto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w:t>
                  </w:r>
                </w:p>
              </w:tc>
              <w:tc>
                <w:tcPr>
                  <w:tcW w:w="1980" w:type="dxa"/>
                </w:tcPr>
                <w:p w14:paraId="06F5CF1E" w14:textId="77777777" w:rsidR="00D075F6" w:rsidRDefault="00734411">
                  <w:pPr>
                    <w:jc w:val="center"/>
                  </w:pPr>
                  <w:r>
                    <w:t>UCI Adult Income; clasificación tabular binaria; cinco modelos ML convencionales; métricas de fidelidad por enmascaramiento de características</w:t>
                  </w:r>
                </w:p>
              </w:tc>
              <w:tc>
                <w:tcPr>
                  <w:tcW w:w="1980" w:type="dxa"/>
                </w:tcPr>
                <w:p w14:paraId="1F177689" w14:textId="77777777" w:rsidR="00D075F6" w:rsidRDefault="00734411">
                  <w:pPr>
                    <w:jc w:val="center"/>
                  </w:pPr>
                  <w:r>
                    <w:t>Dominios de imagen, texto, series temporales; datasets tabulares adicionales para la comparación específica SHAP-LIME; otras operacionalizaciones de fidelidad (ROAR, pixel-flipping)</w:t>
                  </w:r>
                </w:p>
              </w:tc>
              <w:tc>
                <w:tcPr>
                  <w:tcW w:w="1980" w:type="dxa"/>
                </w:tcPr>
                <w:p w14:paraId="622B27EE" w14:textId="77777777" w:rsidR="00D075F6" w:rsidRDefault="00734411">
                  <w:pPr>
                    <w:jc w:val="center"/>
                  </w:pPr>
                  <w:r>
                    <w:rPr>
                      <w:b/>
                      <w:bCs/>
                    </w:rPr>
                    <w:t>Validación parcial completada (EXP3):</w:t>
                  </w:r>
                  <w:r>
                    <w:t xml:space="preserve"> el ordenamiento SHAP </w:t>
                  </w:r>
                  <m:oMath>
                    <m:r>
                      <m:rPr>
                        <m:sty m:val="p"/>
                      </m:rPr>
                      <w:rPr>
                        <w:rFonts w:ascii="Cambria Math" w:hAnsi="Cambria Math"/>
                      </w:rPr>
                      <m:t>&gt;</m:t>
                    </m:r>
                  </m:oMath>
                  <w:r>
                    <w:t xml:space="preserve"> Anchors en fidelidad fue replicado en Breast Cancer Wisconsin y German Credit (12/12 combinaciones pareadas; véase §</w:t>
                  </w:r>
                  <w:hyperlink w:anchor="sec-exp3-nota">
                    <w:r>
                      <w:rPr>
                        <w:rStyle w:val="Hyperlink"/>
                      </w:rPr>
                      <w:t>6.5.1</w:t>
                    </w:r>
                  </w:hyperlink>
                  <w:r>
                    <w:t>). La extensión posterior incorporó LIME en esos dos datasets, pero no instrumentó estabilidad de SHAP; por tanto, el contraste pareado SHAP-LIME completo fuera de Adult permanece pendiente.</w:t>
                  </w:r>
                </w:p>
              </w:tc>
            </w:tr>
            <w:tr w:rsidR="00D075F6" w14:paraId="5429CDAC" w14:textId="77777777">
              <w:trPr>
                <w:jc w:val="center"/>
              </w:trPr>
              <w:tc>
                <w:tcPr>
                  <w:tcW w:w="1980" w:type="dxa"/>
                </w:tcPr>
                <w:p w14:paraId="3A38F4E9" w14:textId="77777777" w:rsidR="00D075F6" w:rsidRDefault="00734411">
                  <w:pPr>
                    <w:jc w:val="center"/>
                  </w:pPr>
                  <w:r>
                    <w:t>La inestabilidad de LIME es casi total en la condición medida (CV=86%, media≈0.014)</w:t>
                  </w:r>
                </w:p>
              </w:tc>
              <w:tc>
                <w:tcPr>
                  <w:tcW w:w="1980" w:type="dxa"/>
                </w:tcPr>
                <w:p w14:paraId="36185993" w14:textId="77777777" w:rsidR="00D075F6" w:rsidRDefault="00734411">
                  <w:pPr>
                    <w:jc w:val="center"/>
                  </w:pPr>
                  <w:r>
                    <w:t xml:space="preserve">UCI Adult Income; espacio preprocesado de 103 dimensiones predominantemente binario; estabilidad definida como similitud coseno bajo perturbación gaussiana; configuración num_samples=1000, </w:t>
                  </w:r>
                  <w:r>
                    <w:t>kernel_width=3.0</w:t>
                  </w:r>
                </w:p>
              </w:tc>
              <w:tc>
                <w:tcPr>
                  <w:tcW w:w="1980" w:type="dxa"/>
                </w:tcPr>
                <w:p w14:paraId="5F312874" w14:textId="77777777" w:rsidR="00D075F6" w:rsidRDefault="00734411">
                  <w:pPr>
                    <w:jc w:val="center"/>
                  </w:pPr>
                  <w:r>
                    <w:t>Otros espacios de características o datasets —§</w:t>
                  </w:r>
                  <w:hyperlink w:anchor="sec-exp3-nota">
                    <w:r>
                      <w:rPr>
                        <w:rStyle w:val="Hyperlink"/>
                      </w:rPr>
                      <w:t>6.5.1</w:t>
                    </w:r>
                  </w:hyperlink>
                  <w:r>
                    <w:t xml:space="preserve"> mide 0.748–0.927 en Breast Cancer y German Credit bajo la misma configuración—; otros anchos de kernel (kernel_width=10.0 produce 0.664, Apéndice C); otras definiciones de estabilidad (distancia Lipschitz local, varianza de pesos)</w:t>
                  </w:r>
                </w:p>
              </w:tc>
              <w:tc>
                <w:tcPr>
                  <w:tcW w:w="1980" w:type="dxa"/>
                </w:tcPr>
                <w:p w14:paraId="7BE9D1FD" w14:textId="77777777" w:rsidR="00D075F6" w:rsidRDefault="00734411">
                  <w:pPr>
                    <w:jc w:val="center"/>
                  </w:pPr>
                  <w:r>
                    <w:t xml:space="preserve">Interacción entre kernel_width </w:t>
                  </w:r>
                  <w:r>
                    <w:t>y la dimensionalidad del espacio de características; estabilidad bajo esquemas de perturbación no gaussianos; instrumentación de la estabilidad de SHAP en los datasets de EXP3 para obtener el contraste pareado completo</w:t>
                  </w:r>
                </w:p>
              </w:tc>
            </w:tr>
            <w:tr w:rsidR="00D075F6" w14:paraId="79135002" w14:textId="77777777">
              <w:trPr>
                <w:jc w:val="center"/>
              </w:trPr>
              <w:tc>
                <w:tcPr>
                  <w:tcW w:w="1980" w:type="dxa"/>
                </w:tcPr>
                <w:p w14:paraId="62C41593" w14:textId="77777777" w:rsidR="00D075F6" w:rsidRDefault="00734411">
                  <w:pPr>
                    <w:jc w:val="center"/>
                  </w:pPr>
                  <w:r>
                    <w:t>FOM-7 produce resultados reproducibles (CV&lt;3% en fidelidad en el subgrupo replicado RF/</w:t>
                  </w:r>
                  <m:oMath>
                    <m:r>
                      <w:rPr>
                        <w:rFonts w:ascii="Cambria Math" w:hAnsi="Cambria Math"/>
                      </w:rPr>
                      <m:t>N</m:t>
                    </m:r>
                    <m:r>
                      <m:rPr>
                        <m:sty m:val="p"/>
                      </m:rPr>
                      <w:rPr>
                        <w:rFonts w:ascii="Cambria Math" w:hAnsi="Cambria Math"/>
                      </w:rPr>
                      <m:t>=</m:t>
                    </m:r>
                    <m:r>
                      <w:rPr>
                        <w:rFonts w:ascii="Cambria Math" w:hAnsi="Cambria Math"/>
                      </w:rPr>
                      <m:t>100</m:t>
                    </m:r>
                  </m:oMath>
                  <w:r>
                    <w:t>; CV agrupado 11.4% SHAP y 12.0% LIME sobre el conjunto completo, frente al umbral del 15% de P1)</w:t>
                  </w:r>
                </w:p>
              </w:tc>
              <w:tc>
                <w:tcPr>
                  <w:tcW w:w="1980" w:type="dxa"/>
                </w:tcPr>
                <w:p w14:paraId="177C9D4B" w14:textId="77777777" w:rsidR="00D075F6" w:rsidRDefault="00734411">
                  <w:pPr>
                    <w:jc w:val="center"/>
                  </w:pPr>
                  <w:r>
                    <w:t>Entorno controlado; cinco semillas definidas; modelos congelados en EXP1</w:t>
                  </w:r>
                </w:p>
              </w:tc>
              <w:tc>
                <w:tcPr>
                  <w:tcW w:w="1980" w:type="dxa"/>
                </w:tcPr>
                <w:p w14:paraId="22AB0783" w14:textId="77777777" w:rsidR="00D075F6" w:rsidRDefault="00734411">
                  <w:pPr>
                    <w:jc w:val="center"/>
                  </w:pPr>
                  <w:r>
                    <w:t>Otros entornos computacionales sin control de recursos; modelos re-entrenados entre ejecuciones; datasets con alta varianza de instancias</w:t>
                  </w:r>
                </w:p>
              </w:tc>
              <w:tc>
                <w:tcPr>
                  <w:tcW w:w="1980" w:type="dxa"/>
                </w:tcPr>
                <w:p w14:paraId="164BE816" w14:textId="77777777" w:rsidR="00D075F6" w:rsidRDefault="00734411">
                  <w:pPr>
                    <w:jc w:val="center"/>
                  </w:pPr>
                  <w:r>
                    <w:t>Replicación independiente con infraestructura distinta; publicación de resultados en Zenodo con instrucciones verificadas</w:t>
                  </w:r>
                </w:p>
              </w:tc>
            </w:tr>
            <w:tr w:rsidR="00D075F6" w14:paraId="54117453" w14:textId="77777777">
              <w:trPr>
                <w:jc w:val="center"/>
              </w:trPr>
              <w:tc>
                <w:tcPr>
                  <w:tcW w:w="1980" w:type="dxa"/>
                </w:tcPr>
                <w:p w14:paraId="74F14985" w14:textId="77777777" w:rsidR="00D075F6" w:rsidRDefault="00734411">
                  <w:pPr>
                    <w:jc w:val="center"/>
                  </w:pPr>
                  <w:r>
                    <w:t>Los criterios prescriptivos de selección son válidos (Contextos A-D)</w:t>
                  </w:r>
                </w:p>
              </w:tc>
              <w:tc>
                <w:tcPr>
                  <w:tcW w:w="1980" w:type="dxa"/>
                </w:tcPr>
                <w:p w14:paraId="679E69A0" w14:textId="77777777" w:rsidR="00D075F6" w:rsidRDefault="00734411">
                  <w:pPr>
                    <w:jc w:val="center"/>
                  </w:pPr>
                  <w:r>
                    <w:t>Condiciones del benchmark descritas; modelos y métricas definidas</w:t>
                  </w:r>
                </w:p>
              </w:tc>
              <w:tc>
                <w:tcPr>
                  <w:tcW w:w="1980" w:type="dxa"/>
                </w:tcPr>
                <w:p w14:paraId="43471822" w14:textId="77777777" w:rsidR="00D075F6" w:rsidRDefault="00734411">
                  <w:pPr>
                    <w:jc w:val="center"/>
                  </w:pPr>
                  <w:r>
                    <w:t>Dominios regulados con restricciones normativas propias; preferencias de usuarios finales; criterios de comprehensibilidad</w:t>
                  </w:r>
                </w:p>
              </w:tc>
              <w:tc>
                <w:tcPr>
                  <w:tcW w:w="1980" w:type="dxa"/>
                </w:tcPr>
                <w:p w14:paraId="1975B79B" w14:textId="77777777" w:rsidR="00D075F6" w:rsidRDefault="00734411">
                  <w:pPr>
                    <w:jc w:val="center"/>
                  </w:pPr>
                  <w:r>
                    <w:t>Estudios human-centered en dominios específicos (crédito, salud, justicia) con usuarios expertos</w:t>
                  </w:r>
                </w:p>
              </w:tc>
            </w:tr>
            <w:tr w:rsidR="00D075F6" w14:paraId="498FD2AE" w14:textId="77777777">
              <w:trPr>
                <w:jc w:val="center"/>
              </w:trPr>
              <w:tc>
                <w:tcPr>
                  <w:tcW w:w="1980" w:type="dxa"/>
                </w:tcPr>
                <w:p w14:paraId="3CA864C7" w14:textId="77777777" w:rsidR="00D075F6" w:rsidRDefault="00734411">
                  <w:pPr>
                    <w:jc w:val="center"/>
                  </w:pPr>
                  <w:r>
                    <w:t>DiCE es preferible para recourse sobre otros métodos</w:t>
                  </w:r>
                </w:p>
              </w:tc>
              <w:tc>
                <w:tcPr>
                  <w:tcW w:w="1980" w:type="dxa"/>
                </w:tcPr>
                <w:p w14:paraId="232EEADB" w14:textId="77777777" w:rsidR="00D075F6" w:rsidRDefault="00734411">
                  <w:pPr>
                    <w:jc w:val="center"/>
                  </w:pPr>
                  <w:r>
                    <w:t>Objetivo de cambio de predicción; dataset Adult Income</w:t>
                  </w:r>
                </w:p>
              </w:tc>
              <w:tc>
                <w:tcPr>
                  <w:tcW w:w="1980" w:type="dxa"/>
                </w:tcPr>
                <w:p w14:paraId="59F48EC0" w14:textId="77777777" w:rsidR="00D075F6" w:rsidRDefault="00734411">
                  <w:pPr>
                    <w:jc w:val="center"/>
                  </w:pPr>
                  <w:r>
                    <w:t>Entornos con restricciones de factibilidad semántica; dominios donde la accionabilidad requiere validación causal</w:t>
                  </w:r>
                </w:p>
              </w:tc>
              <w:tc>
                <w:tcPr>
                  <w:tcW w:w="1980" w:type="dxa"/>
                </w:tcPr>
                <w:p w14:paraId="161548A0" w14:textId="77777777" w:rsidR="00D075F6" w:rsidRDefault="00734411">
                  <w:pPr>
                    <w:jc w:val="center"/>
                  </w:pPr>
                  <w:r>
                    <w:t>Evaluación de contrafactuales bajo restricciones de dominio reales con expertos</w:t>
                  </w:r>
                </w:p>
              </w:tc>
            </w:tr>
            <w:tr w:rsidR="00D075F6" w14:paraId="59799B39" w14:textId="77777777">
              <w:trPr>
                <w:jc w:val="center"/>
              </w:trPr>
              <w:tc>
                <w:tcPr>
                  <w:tcW w:w="1980" w:type="dxa"/>
                </w:tcPr>
                <w:p w14:paraId="2D922BAA" w14:textId="77777777" w:rsidR="00D075F6" w:rsidRDefault="00734411">
                  <w:pPr>
                    <w:jc w:val="center"/>
                  </w:pPr>
                  <w:r>
                    <w:t>La taxonomía de cuatro ejes organiza el espacio de métricas XAI</w:t>
                  </w:r>
                </w:p>
              </w:tc>
              <w:tc>
                <w:tcPr>
                  <w:tcW w:w="1980" w:type="dxa"/>
                </w:tcPr>
                <w:p w14:paraId="5BA1D30D" w14:textId="77777777" w:rsidR="00D075F6" w:rsidRDefault="00734411">
                  <w:pPr>
                    <w:jc w:val="center"/>
                  </w:pPr>
                  <w:r>
                    <w:t>Las 15 métricas catalogadas en la matriz taxonómica; literatura revisada en el corpus de construcción</w:t>
                  </w:r>
                </w:p>
              </w:tc>
              <w:tc>
                <w:tcPr>
                  <w:tcW w:w="1980" w:type="dxa"/>
                </w:tcPr>
                <w:p w14:paraId="6A2A7FB3" w14:textId="77777777" w:rsidR="00D075F6" w:rsidRDefault="00734411">
                  <w:pPr>
                    <w:jc w:val="center"/>
                  </w:pPr>
                  <w:r>
                    <w:t>Métricas emergentes no revisadas; métricas específicas de dominio (XAI médica, XAI legal) con propiedades propias</w:t>
                  </w:r>
                </w:p>
              </w:tc>
              <w:tc>
                <w:tcPr>
                  <w:tcW w:w="1980" w:type="dxa"/>
                </w:tcPr>
                <w:p w14:paraId="7B71D808" w14:textId="77777777" w:rsidR="00D075F6" w:rsidRDefault="00734411">
                  <w:pPr>
                    <w:jc w:val="center"/>
                  </w:pPr>
                  <w:r>
                    <w:t>Extensión del corpus de revisión; validación por expertos de dominio</w:t>
                  </w:r>
                </w:p>
              </w:tc>
            </w:tr>
            <w:bookmarkEnd w:id="256"/>
          </w:tbl>
          <w:p w14:paraId="2944BE56" w14:textId="77777777" w:rsidR="00D075F6" w:rsidRDefault="00D075F6"/>
        </w:tc>
      </w:tr>
    </w:tbl>
    <w:p w14:paraId="2E63720D" w14:textId="77777777" w:rsidR="00D075F6" w:rsidRDefault="00734411">
      <w:pPr>
        <w:pStyle w:val="BodyText"/>
      </w:pPr>
      <w:r>
        <w:t>Esta tabla cumple la función de convertir las limitaciones del estudio en información científica estructurada. Al especificar qué evidencia sería necesaria para extender cada afirmación, la tesis no solo reconoce sus límites sino que define la agenda de investigación de la manera más útil para investigadores que deseen construir sobre estos resultados.</w:t>
      </w:r>
    </w:p>
    <w:p w14:paraId="381B3A89" w14:textId="77777777" w:rsidR="00D075F6" w:rsidRDefault="00734411">
      <w:pPr>
        <w:pStyle w:val="Heading3"/>
      </w:pPr>
      <w:bookmarkStart w:id="257" w:name="sec-exp3-nota"/>
      <w:bookmarkStart w:id="258" w:name="_Toc241413340"/>
      <w:r>
        <w:t>6.5.1 Nota sobre la validación externa parcial: EXP3</w:t>
      </w:r>
      <w:bookmarkEnd w:id="258"/>
    </w:p>
    <w:p w14:paraId="07A15D22" w14:textId="77777777" w:rsidR="00D075F6" w:rsidRDefault="00734411">
      <w:r>
        <w:t xml:space="preserve">Durante el desarrollo de esta línea de investigación se completó una validación </w:t>
      </w:r>
      <w:r>
        <w:t>externa parcial del ordenamiento de fidelidad (EXP3). El estudio comparó SHAP frente a Anchors en dos datasets tabulares binarios adicionales: Breast Cancer Wisconsin (</w:t>
      </w:r>
      <m:oMath>
        <m:r>
          <w:rPr>
            <w:rFonts w:ascii="Cambria Math" w:hAnsi="Cambria Math"/>
          </w:rPr>
          <m:t>n</m:t>
        </m:r>
        <m:r>
          <m:rPr>
            <m:sty m:val="p"/>
          </m:rPr>
          <w:rPr>
            <w:rFonts w:ascii="Cambria Math" w:hAnsi="Cambria Math"/>
          </w:rPr>
          <m:t>=</m:t>
        </m:r>
        <m:r>
          <w:rPr>
            <w:rFonts w:ascii="Cambria Math" w:hAnsi="Cambria Math"/>
          </w:rPr>
          <m:t>569</m:t>
        </m:r>
      </m:oMath>
      <w:r>
        <w:t>, 30 características, Dua y Graff 2019) y German Credit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20 características, Dua y Graff 2019), empleando los modelos Random Forest y XGBoost con tres semillas por combinación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oMath>
      <w:r>
        <w:t xml:space="preserve"> comparaciones pareadas por dataset </w:t>
      </w:r>
      <m:oMath>
        <m:r>
          <m:rPr>
            <m:sty m:val="p"/>
          </m:rPr>
          <w:rPr>
            <w:rFonts w:ascii="Cambria Math" w:hAnsi="Cambria Math"/>
          </w:rPr>
          <m:t>×</m:t>
        </m:r>
      </m:oMath>
      <w:r>
        <w:t xml:space="preserve"> modelo </w:t>
      </w:r>
      <m:oMath>
        <m:r>
          <m:rPr>
            <m:sty m:val="p"/>
          </m:rPr>
          <w:rPr>
            <w:rFonts w:ascii="Cambria Math" w:hAnsi="Cambria Math"/>
          </w:rPr>
          <m:t>×</m:t>
        </m:r>
      </m:oMath>
      <w:r>
        <w:t xml:space="preserve"> semilla). SHAP superó a Anchors en fidelidad en las 12 combinaciones, con brechas medias de </w:t>
      </w:r>
      <m:oMath>
        <m:r>
          <m:rPr>
            <m:sty m:val="p"/>
          </m:rPr>
          <w:rPr>
            <w:rFonts w:ascii="Cambria Math" w:hAnsi="Cambria Math"/>
          </w:rPr>
          <m:t>+</m:t>
        </m:r>
        <m:r>
          <w:rPr>
            <w:rFonts w:ascii="Cambria Math" w:hAnsi="Cambria Math"/>
          </w:rPr>
          <m:t>0.26</m:t>
        </m:r>
      </m:oMath>
      <w:r>
        <w:t xml:space="preserve"> (German Credit, XGB) a </w:t>
      </w:r>
      <m:oMath>
        <m:r>
          <m:rPr>
            <m:sty m:val="p"/>
          </m:rPr>
          <w:rPr>
            <w:rFonts w:ascii="Cambria Math" w:hAnsi="Cambria Math"/>
          </w:rPr>
          <m:t>+</m:t>
        </m:r>
        <m:r>
          <w:rPr>
            <w:rFonts w:ascii="Cambria Math" w:hAnsi="Cambria Math"/>
          </w:rPr>
          <m:t>0.51</m:t>
        </m:r>
      </m:oMath>
      <w:r>
        <w:t xml:space="preserve"> (Breast Cancer, RF). Estos resultados replican el ordenamiento observado en EXP2 en espacios de características con dimensionalidad y distribución distintas al dataset primario.</w:t>
      </w:r>
    </w:p>
    <w:p w14:paraId="547EA024" w14:textId="77777777" w:rsidR="00D075F6" w:rsidRDefault="00734411">
      <w:pPr>
        <w:pStyle w:val="BodyText"/>
      </w:pPr>
      <w:r>
        <w:t>Adicionalmente, se completó una extensión de EXP3 que incluye LIME en los mismos dos datasets, utilizando el protocolo de fidelidad y estabilidad del diseño EXP2 (</w:t>
      </w:r>
      <m:oMath>
        <m:r>
          <w:rPr>
            <w:rFonts w:ascii="Cambria Math" w:hAnsi="Cambria Math"/>
          </w:rPr>
          <m:t>N</m:t>
        </m:r>
        <m:r>
          <m:rPr>
            <m:sty m:val="p"/>
          </m:rPr>
          <w:rPr>
            <w:rFonts w:ascii="Cambria Math" w:hAnsi="Cambria Math"/>
          </w:rPr>
          <m:t>=</m:t>
        </m:r>
        <m:r>
          <w:rPr>
            <w:rFonts w:ascii="Cambria Math" w:hAnsi="Cambria Math"/>
          </w:rPr>
          <m:t>100</m:t>
        </m:r>
      </m:oMath>
      <w:r>
        <w:t xml:space="preserve">, 50 por clase; estabilidad: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r>
          <w:rPr>
            <w:rFonts w:ascii="Cambria Math" w:hAnsi="Cambria Math"/>
          </w:rPr>
          <m:t>σ</m:t>
        </m:r>
        <m:r>
          <m:rPr>
            <m:sty m:val="p"/>
          </m:rPr>
          <w:rPr>
            <w:rFonts w:ascii="Cambria Math" w:hAnsi="Cambria Math"/>
          </w:rPr>
          <m:t>=</m:t>
        </m:r>
        <m:r>
          <w:rPr>
            <w:rFonts w:ascii="Cambria Math" w:hAnsi="Cambria Math"/>
          </w:rPr>
          <m:t>0.1</m:t>
        </m:r>
      </m:oMath>
      <w:r>
        <w:t xml:space="preserve">). Los resultados principales son los siguientes. </w:t>
      </w:r>
      <w:r>
        <w:t xml:space="preserve">En fidelidad, LIME alcanza valores de </w:t>
      </w:r>
      <m:oMath>
        <m:r>
          <w:rPr>
            <w:rFonts w:ascii="Cambria Math" w:hAnsi="Cambria Math"/>
          </w:rPr>
          <m:t>0.713</m:t>
        </m:r>
      </m:oMath>
      <w:r>
        <w:t xml:space="preserve"> (BC, RF) y </w:t>
      </w:r>
      <m:oMath>
        <m:r>
          <w:rPr>
            <w:rFonts w:ascii="Cambria Math" w:hAnsi="Cambria Math"/>
          </w:rPr>
          <m:t>0.543</m:t>
        </m:r>
      </m:oMath>
      <w:r>
        <w:t xml:space="preserve"> (BC, XGB), frente a </w:t>
      </w:r>
      <m:oMath>
        <m:r>
          <w:rPr>
            <w:rFonts w:ascii="Cambria Math" w:hAnsi="Cambria Math"/>
          </w:rPr>
          <m:t>0.483</m:t>
        </m:r>
      </m:oMath>
      <w:r>
        <w:t xml:space="preserve"> (GC, RF) y </w:t>
      </w:r>
      <m:oMath>
        <m:r>
          <w:rPr>
            <w:rFonts w:ascii="Cambria Math" w:hAnsi="Cambria Math"/>
          </w:rPr>
          <m:t>0.468</m:t>
        </m:r>
      </m:oMath>
      <w:r>
        <w:t xml:space="preserve"> (GC, XGB). El ordenamiento SHAP &gt; LIME se sostiene en German Credit pero la brecha se reduce en Breast Cancer (</w:t>
      </w:r>
      <m:oMath>
        <m:r>
          <m:rPr>
            <m:sty m:val="p"/>
          </m:rPr>
          <w:rPr>
            <w:rFonts w:ascii="Cambria Math" w:hAnsi="Cambria Math"/>
          </w:rPr>
          <m:t>+</m:t>
        </m:r>
        <m:r>
          <w:rPr>
            <w:rFonts w:ascii="Cambria Math" w:hAnsi="Cambria Math"/>
          </w:rPr>
          <m:t>0.07</m:t>
        </m:r>
      </m:oMath>
      <w:r>
        <w:t xml:space="preserve"> en BC frente a </w:t>
      </w:r>
      <m:oMath>
        <m:r>
          <m:rPr>
            <m:sty m:val="p"/>
          </m:rPr>
          <w:rPr>
            <w:rFonts w:ascii="Cambria Math" w:hAnsi="Cambria Math"/>
          </w:rPr>
          <m:t>+</m:t>
        </m:r>
        <m:r>
          <w:rPr>
            <w:rFonts w:ascii="Cambria Math" w:hAnsi="Cambria Math"/>
          </w:rPr>
          <m:t>0.27</m:t>
        </m:r>
      </m:oMath>
      <w:r>
        <w:t xml:space="preserve"> en Adult, ambas cifras para RF). El resultado más notable concierne a la estabilidad: LIME obtiene similitud coseno media de </w:t>
      </w:r>
      <m:oMath>
        <m:r>
          <w:rPr>
            <w:rFonts w:ascii="Cambria Math" w:hAnsi="Cambria Math"/>
          </w:rPr>
          <m:t>0.922</m:t>
        </m:r>
      </m:oMath>
      <w:r>
        <w:t>–</w:t>
      </w:r>
      <m:oMath>
        <m:r>
          <w:rPr>
            <w:rFonts w:ascii="Cambria Math" w:hAnsi="Cambria Math"/>
          </w:rPr>
          <m:t>0.927</m:t>
        </m:r>
      </m:oMath>
      <w:r>
        <w:t xml:space="preserve"> en Breast Cancer y </w:t>
      </w:r>
      <m:oMath>
        <m:r>
          <w:rPr>
            <w:rFonts w:ascii="Cambria Math" w:hAnsi="Cambria Math"/>
          </w:rPr>
          <m:t>0.748</m:t>
        </m:r>
      </m:oMath>
      <w:r>
        <w:t>–</w:t>
      </w:r>
      <m:oMath>
        <m:r>
          <w:rPr>
            <w:rFonts w:ascii="Cambria Math" w:hAnsi="Cambria Math"/>
          </w:rPr>
          <m:t>0.854</m:t>
        </m:r>
      </m:oMath>
      <w:r>
        <w:t xml:space="preserve"> en German Credit, en marcado contraste con el valor de </w:t>
      </w:r>
      <m:oMath>
        <m:r>
          <w:rPr>
            <w:rFonts w:ascii="Cambria Math" w:hAnsi="Cambria Math"/>
          </w:rPr>
          <m:t>0.014</m:t>
        </m:r>
      </m:oMath>
      <w:r>
        <w:t xml:space="preserve"> </w:t>
      </w:r>
      <w:r>
        <w:t xml:space="preserve">registrado en Adult Income. Esta disparidad apunta al espacio de características como factor mediador: Adult Income fue preprocesado mediante codificación one-hot de 13 variables categóricas, produciendo un espacio de 103 dimensiones predominantemente binario; Breast Cancer (30 características continuas) y German Credit (61 dimensiones tras preprocesamiento, mezcla de continuas y binarias) presentan estructuras de vecindad más densas y regulares </w:t>
      </w:r>
      <w:r>
        <w:t>para el kernel de LIME. La inestabilidad estructural de LIME documentada en EXP2 es, por tanto, dependiente del espacio de características, no una propiedad universal del método.</w:t>
      </w:r>
    </w:p>
    <w:p w14:paraId="18D26729" w14:textId="77777777" w:rsidR="00D075F6" w:rsidRDefault="00734411">
      <w:pPr>
        <w:pStyle w:val="BodyText"/>
      </w:pPr>
      <w:r>
        <w:t xml:space="preserve">El alcance de EXP3 permanece acotado en dos sentidos relevantes. Primero, la estabilidad de SHAP no fue instrumentada en los datasets adicionales (la sonda se diseñó para LIME), por lo que no es posible calcular diferencias pareadas SHAP-LIME de estabilidad en BC ni GC. Segundo, los modelos SVM y MLP no están </w:t>
      </w:r>
      <w:r>
        <w:t>cubiertos. En consecuencia, la afirmación principal de esta tesis —SHAP supera a LIME en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y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permanece referida a UCI Adult Income bajo las condiciones del diseño EXP2; la extensión cross-dataset muestra que la ventaja de fidelidad se mantiene pero se atenúa, y que la brecha de estabilidad puede ser un artefacto del espacio de alta dimensión y no una diferencia intrínseca entre métodos.</w:t>
      </w:r>
    </w:p>
    <w:p w14:paraId="5ACC60D1" w14:textId="77777777" w:rsidR="00D075F6" w:rsidRDefault="00734411">
      <w:pPr>
        <w:pStyle w:val="Heading2"/>
      </w:pPr>
      <w:bookmarkStart w:id="259" w:name="sec-futuro"/>
      <w:bookmarkStart w:id="260" w:name="_Toc241413341"/>
      <w:bookmarkEnd w:id="254"/>
      <w:bookmarkEnd w:id="257"/>
      <w:r>
        <w:t>6.6 Líneas de investigación futura</w:t>
      </w:r>
      <w:bookmarkEnd w:id="260"/>
    </w:p>
    <w:p w14:paraId="6DAB125B" w14:textId="77777777" w:rsidR="00D075F6" w:rsidRDefault="00734411">
      <w:r>
        <w:t>Los resultados, las limitaciones y la taxonomía del Capítulo 5 convergen en señalar cinco extensiones de investigación con fundamento empírico:</w:t>
      </w:r>
    </w:p>
    <w:p w14:paraId="56EC247E" w14:textId="77777777" w:rsidR="00D075F6" w:rsidRDefault="00734411">
      <w:pPr>
        <w:pStyle w:val="BodyText"/>
      </w:pPr>
      <w:r>
        <w:rPr>
          <w:b/>
          <w:bCs/>
        </w:rPr>
        <w:t>1. Extensión del benchmark a dominios de imagen y texto.</w:t>
      </w:r>
      <w:r>
        <w:t xml:space="preserve"> La arquitectura experimental del FOM-7 es portátil. Su aplicación a dominios no tabulares requiere redefinir las métricas de fidelidad (sustituyendo enmascaramiento de características por pixel-flipping o eliminación de tokens) y estabilidad </w:t>
      </w:r>
      <w:r>
        <w:t>(sustituyendo perturbación gaussiana por transformaciones específicas del dominio). El protocolo FOM-7 está diseñado para acomodar esta extensión sin cambios en su lógica de puertas.</w:t>
      </w:r>
    </w:p>
    <w:p w14:paraId="3C40E44B" w14:textId="77777777" w:rsidR="00D075F6" w:rsidRDefault="00734411">
      <w:pPr>
        <w:pStyle w:val="BodyText"/>
      </w:pPr>
      <w:r>
        <w:rPr>
          <w:b/>
          <w:bCs/>
        </w:rPr>
        <w:t>2. Validación de evaluadores semánticos e incorporación de evaluación human-centered.</w:t>
      </w:r>
      <w:r>
        <w:t xml:space="preserve"> EXP4 (§</w:t>
      </w:r>
      <w:hyperlink w:anchor="sec-exp4-fiabilidad">
        <w:r>
          <w:rPr>
            <w:rStyle w:val="Hyperlink"/>
          </w:rPr>
          <w:t>5.8</w:t>
        </w:r>
      </w:hyperlink>
      <w:r>
        <w:t xml:space="preserve">) estableció que los jueces LLM actuales no alcanzan la convergencia inter-juez necesaria bajo rúbricas sin especificación de stakeholder. La continuación directa de este resultado son dos </w:t>
      </w:r>
      <w:r>
        <w:t>líneas: primera, rediseñar las rúbricas con los cuatro criterios de formalización identificados en §</w:t>
      </w:r>
      <w:hyperlink w:anchor="sec-exp4-fiabilidad">
        <w:r>
          <w:rPr>
            <w:rStyle w:val="Hyperlink"/>
          </w:rPr>
          <w:t>5.8</w:t>
        </w:r>
      </w:hyperlink>
      <w:r>
        <w:t xml:space="preserve"> (especificación de stakeholder, criterio de corrección verificable, separación de desiderata secundarios, calibración contra expertos humanos) y replicar EXP4 con las rúbricas revisadas. La calibración deberá estratificarse por dimensión para comprobar por separado si los criterios verificables elevan Completitud y Plausibilidad Semántica y si la </w:t>
      </w:r>
      <w:r>
        <w:t xml:space="preserve">información del stakeholder reduce la dispersión en Claridad y Utilidad para auditoría. Solo después de superar criterios de aceptación declarados podría evaluarse un uso acotado; el gradiente actual es generador de hipótesis y no autoriza uso confirmativo porque todos los ICC(1,1) son inferiores a 0.75. La replicación permitirá determinar si la brecha de fiabilidad se cierra con mayor formalización o refleja límites del paradigma LLM-as-a-judge. Segunda: incorporar estudios de </w:t>
      </w:r>
      <w:r>
        <w:t>usuario con expertos de dominio (médicos, analistas de crédito) que evalúen comprensión, confianza y utilidad de las explicaciones de SHAP y LIME bajo condiciones de tarea real, produciendo la calibración humana necesaria para validar cualquier evaluador semántico automático.</w:t>
      </w:r>
    </w:p>
    <w:p w14:paraId="2082E804" w14:textId="77777777" w:rsidR="00D075F6" w:rsidRDefault="00734411">
      <w:pPr>
        <w:pStyle w:val="BodyText"/>
      </w:pPr>
      <w:r>
        <w:rPr>
          <w:b/>
          <w:bCs/>
        </w:rPr>
        <w:t>3. Extensión del análisis de sensibilidad a hiperparámetros.</w:t>
      </w:r>
      <w:r>
        <w:t xml:space="preserve"> Los análisis de sensibilidad completados en el Apéndice C establecen tres resultados base: (i) la inestabilidad de LIME es robusta a variaciones de num_samples </w:t>
      </w:r>
      <w:r>
        <w:t xml:space="preserve">∈ {500, 1000, 2000} —la similitud coseno permanece cercana a cero en todos los niveles, descartando que sea un artefacto de convergencia—; (ii) kernel_width ∈ {0.25, 0.75} produce pesos degenerados en el espacio preprocesado de 103 dimensiones, con kernel_width = 3.0 como valor mínimo viable y kernel_width = 10.0 como alternativa más estable a costa de localidad; y (iii) la cobertura de Anchors es extremadamente sensible al umbral de precisión </w:t>
      </w:r>
      <m:oMath>
        <m:r>
          <w:rPr>
            <w:rFonts w:ascii="Cambria Math" w:hAnsi="Cambria Math"/>
          </w:rPr>
          <m:t>τ</m:t>
        </m:r>
      </m:oMath>
      <w:r>
        <w:t>. Las brechas pendientes incluyen la sensibilidad del tamaño del conjunto de referencia de SHAP más allá del rango evaluado (25–100), la interacción entre kernel_width y num_samples en espacios de dimensionalidad variable, y la extensión de los análisis a los modelos SVM y MLP, que emplean KernelSHAP en lugar de TreeSHAP y exhiben distintos perfiles de coste-estabilidad.</w:t>
      </w:r>
    </w:p>
    <w:p w14:paraId="590BA1F7" w14:textId="77777777" w:rsidR="00D075F6" w:rsidRDefault="00734411">
      <w:pPr>
        <w:pStyle w:val="BodyText"/>
      </w:pPr>
      <w:r>
        <w:rPr>
          <w:b/>
          <w:bCs/>
        </w:rPr>
        <w:t>4. Completar el contraste cross-dataset SHAP-LIME y replicar en dominios de alto riesgo.</w:t>
      </w:r>
      <w:r>
        <w:t xml:space="preserve"> </w:t>
      </w:r>
      <w:r>
        <w:t xml:space="preserve">EXP3 replicó el ordenamiento de fidelidad SHAP-Anchors en Breast Cancer Wisconsin y German Credit, y una extensión posterior incorporó LIME con las mismas métricas de fidelidad y estabilidad. Sin embargo, la estabilidad de SHAP no fue instrumentada en esos datasets, por lo que aún no existe un contraste pareado SHAP-LIME completo de estabilidad fuera de UCI Adult Income. La extensión prioritaria es completar esa instrumentación y ampliar el </w:t>
      </w:r>
      <w:r>
        <w:t>diseño a más modelos y datasets, de modo que los hallazgos centrales de esta tesis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en fidelidad y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en estabilidad— sean verificables fuera del contexto Adult. Una segunda dirección es la validación en dominios regulados (crédito, salud, justicia) con restricciones normativas explícitas (EU AI Act, GDPR Art. 22), donde la elección del método explicador tiene consecuencias legales directas.</w:t>
      </w:r>
    </w:p>
    <w:p w14:paraId="2E5169A2" w14:textId="77777777" w:rsidR="00D075F6" w:rsidRDefault="00734411">
      <w:pPr>
        <w:pStyle w:val="BodyText"/>
      </w:pPr>
      <w:r>
        <w:rPr>
          <w:b/>
          <w:bCs/>
        </w:rPr>
        <w:t>5. Formalización del eje de comprehensibilidad en la taxonomía.</w:t>
      </w:r>
      <w:r>
        <w:t xml:space="preserve"> El eje de </w:t>
      </w:r>
      <w:r>
        <w:t xml:space="preserve">contexto de tarea de la taxonomía incluye el contexto </w:t>
      </w:r>
      <w:r>
        <w:rPr>
          <w:i/>
          <w:iCs/>
        </w:rPr>
        <w:t>usuario final</w:t>
      </w:r>
      <w:r>
        <w:t xml:space="preserve"> pero no dispone de métricas experimentales en este benchmark. La formalización de métricas de comprehensibilidad normalizadas —siguiendo la propuesta de Bhattacharya y Verbert (2024) de escalas normalizadas entre sistemas— permitiría cerrar el espacio taxonómico con evidencia empírica comparable a la obtenida en los ejes funcionales.</w:t>
      </w:r>
    </w:p>
    <w:p w14:paraId="044E2AB8" w14:textId="77777777" w:rsidR="00D075F6" w:rsidRDefault="00734411">
      <w:pPr>
        <w:pStyle w:val="Heading2"/>
      </w:pPr>
      <w:bookmarkStart w:id="261" w:name="sec-sintesis"/>
      <w:bookmarkStart w:id="262" w:name="_Toc241413342"/>
      <w:bookmarkEnd w:id="259"/>
      <w:r>
        <w:t>6.7 Síntesis final</w:t>
      </w:r>
      <w:bookmarkEnd w:id="262"/>
    </w:p>
    <w:p w14:paraId="45C99788" w14:textId="77777777" w:rsidR="00D075F6" w:rsidRDefault="00734411">
      <w:r>
        <w:t xml:space="preserve">Esta tesis demuestra empíricamente que los métodos de explicabilidad </w:t>
      </w:r>
      <w:r>
        <w:t xml:space="preserve">post-hoc agnósticos al modelo difieren de forma sustantiva, consistente y estadísticamente robusta en múltiples dimensiones de calidad simultáneas. Bajo un protocolo reproducible y trazable, con márgenes de seguridad inferencial que superan el umbral crítico con amplia holgura, los resultados ofrecen una base sólida para la interpretación principal: SHAP es el método más fiable cuando fidelidad y estabilidad son requisitos; LIME es la alternativa eficiente </w:t>
      </w:r>
      <w:r>
        <w:t>con inestabilidad documentada bajo la configuración y el espacio de características evaluados; Anchors y DiCE satisfacen objetivos explicativos cualitativamente distintos que las métricas de atribución no capturan de forma adecuada.</w:t>
      </w:r>
    </w:p>
    <w:p w14:paraId="61C70935" w14:textId="77777777" w:rsidR="00D075F6" w:rsidRDefault="00734411">
      <w:pPr>
        <w:pStyle w:val="BodyText"/>
      </w:pPr>
      <w:r>
        <w:t xml:space="preserve">El aporte adicional de esta investigación no es solo el resultado del benchmark —que podría derivarse de otros estudios comparativos— sino la arquitectura que lo soporta. El protocolo FOM-7 proporciona las condiciones </w:t>
      </w:r>
      <w:r>
        <w:t xml:space="preserve">bajo las cuales afirmaciones inferenciales sobre métodos XAI pueden considerarse científicamente acumulables. La taxonomía de cuatro ejes proporciona el mapa conceptual que permite situar cualquier métrica futura en relación con las ya evaluadas. Juntos, protocolo y taxonomía constituyen la infraestructura metodológica que el campo de evaluación XAI necesita para avanzar de la proliferación de métricas hacia la acumulación sistemática de evidencia </w:t>
      </w:r>
      <w:r>
        <w:t>(Pawlicki et al. 2024; Canha et al. 2025; Bhattacharya y Verbert 2024).</w:t>
      </w:r>
    </w:p>
    <w:p w14:paraId="2BB91710" w14:textId="77777777" w:rsidR="00D075F6" w:rsidRDefault="00734411">
      <w:pPr>
        <w:pStyle w:val="BodyText"/>
      </w:pPr>
      <w:r>
        <w:t xml:space="preserve">La implicación más amplia de esta tesis trasciende el contexto experimental. El hallazgo de que LIME puede exhibir inestabilidad casi total —no marginal, sino sistemática, con CV=86.2% y similitud coseno media de 0.014 bajo la configuración de referencia en el espacio de 103 dimensiones de Adult Income— es relevante para cualquier sistema de apoyo a la decisión que emplee LIME en </w:t>
      </w:r>
      <w:r>
        <w:t xml:space="preserve">entornos de auditoría, regulación o alto riesgo. El contexto normativo actual (EU AI Act, GDPR Art. 22) demanda explicaciones verificables y consistentes; un método que produce explicaciones casi ortogonales entre dos ejecuciones de la misma instancia no satisface ese requisito. La implicación operativa, sin embargo, no es que LIME deba descartarse universalmente: EXP3 muestra estabilidades de 0.748–0.927 en espacios de menor dimensión con la misma </w:t>
      </w:r>
      <w:r>
        <w:t>configuración, y el ancho del kernel modula el resultado dentro de un mismo espacio (§</w:t>
      </w:r>
      <w:hyperlink w:anchor="sec-limitaciones">
        <w:r>
          <w:rPr>
            <w:rStyle w:val="Hyperlink"/>
          </w:rPr>
          <w:t>6.4</w:t>
        </w:r>
      </w:hyperlink>
      <w:r>
        <w:t xml:space="preserve">). La conclusión defendible —sostenida por 75 pares de contraste con efecto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y delimitada por ambos análisis— es que la estabilidad de LIME es una propiedad contingente del despliegue y no puede presuponerse: en un régimen regulatorio que exige consistencia, debe medirse y documentarse para el espacio de características y la configuración concretos </w:t>
      </w:r>
      <w:r>
        <w:t>antes de admitir el método como evidencia. Esta es la afirmación de mayor impacto práctico de la tesis: no es un argumento teórico contra LIME, sino la especificación empírica de qué debe verificarse antes de usarlo en el tipo de despliegue que la regulación exige evaluar.</w:t>
      </w:r>
    </w:p>
    <w:p w14:paraId="76B68E5C" w14:textId="77777777" w:rsidR="00D075F6" w:rsidRDefault="00734411">
      <w:pPr>
        <w:pStyle w:val="BodyText"/>
      </w:pPr>
      <w:r>
        <w:t xml:space="preserve">El camino hacia la excelencia en evaluación XAI no pasa por proponer una métrica adicional ni por declarar un método dominante universal. Pasa por construir la infraestructura de gobernanza que permita comparar, acumular y defender </w:t>
      </w:r>
      <w:r>
        <w:t xml:space="preserve">evidencia sobre métodos de explicación bajo condiciones auditables. FOM-7 y la taxonomía asociada son una contribución concreta a esa infraestructura, y este benchmark es la primera demostración de su aplicación sobre datos tabulares reales bajo control estadístico riguroso. La agenda de investigación señalada en la Sección </w:t>
      </w:r>
      <w:hyperlink w:anchor="sec-futuro">
        <w:r>
          <w:rPr>
            <w:rStyle w:val="Hyperlink"/>
          </w:rPr>
          <w:t>6.6</w:t>
        </w:r>
      </w:hyperlink>
      <w:r>
        <w:t xml:space="preserve"> —extensión a dominios no tabulares, incorporación de evaluación human-centered, análisis de sensibilidad de hiperparámetros, </w:t>
      </w:r>
      <w:r>
        <w:t>replicación en dominios regulados— define el camino para transformar esta infraestructura en un estándar de facto para la evaluación comparativa de métodos XAI.</w:t>
      </w:r>
    </w:p>
    <w:p w14:paraId="54805F8C" w14:textId="77777777" w:rsidR="00D075F6" w:rsidRDefault="00734411">
      <w:pPr>
        <w:pStyle w:val="Heading1"/>
      </w:pPr>
      <w:bookmarkStart w:id="263" w:name="referencias"/>
      <w:bookmarkStart w:id="264" w:name="_Toc241413343"/>
      <w:bookmarkEnd w:id="235"/>
      <w:bookmarkEnd w:id="261"/>
      <w:r>
        <w:t>Referencias</w:t>
      </w:r>
      <w:bookmarkEnd w:id="264"/>
    </w:p>
    <w:p w14:paraId="5BDE6F13" w14:textId="77777777" w:rsidR="00D075F6" w:rsidRDefault="00734411">
      <w:bookmarkStart w:id="265" w:name="ref-abdul2018"/>
      <w:bookmarkStart w:id="266" w:name="refs"/>
      <w:r>
        <w:t xml:space="preserve">Abdul, Ashraf, Jo Vermeulen, Danding Wang, Brian Y. Lim, y Mohan Kankanhalli. 2018. «Trends and Trajectories for Explainable, Accountable and Intelligible Systems: An HCI Research Agenda». </w:t>
      </w:r>
      <w:r>
        <w:rPr>
          <w:i/>
          <w:iCs/>
        </w:rPr>
        <w:t>Proceedings of the 2018 CHI Conference on Human Factors in Computing Systems</w:t>
      </w:r>
      <w:r>
        <w:t xml:space="preserve">, 1-18. </w:t>
      </w:r>
      <w:hyperlink r:id="rId14">
        <w:r>
          <w:rPr>
            <w:rStyle w:val="Hyperlink"/>
          </w:rPr>
          <w:t>https://doi.org/10.1145/3173574.3174156</w:t>
        </w:r>
      </w:hyperlink>
      <w:r>
        <w:t>.</w:t>
      </w:r>
    </w:p>
    <w:p w14:paraId="7F581759" w14:textId="77777777" w:rsidR="00D075F6" w:rsidRDefault="00734411">
      <w:bookmarkStart w:id="267" w:name="ref-abdulkadir2023"/>
      <w:bookmarkEnd w:id="265"/>
      <w:r>
        <w:t xml:space="preserve">Abdul Kadir, M., A. Mosavi, y D. Sonntag. 2023. «Evaluation Metrics for XAI: A Review, Taxonomy, and Practical Applications». </w:t>
      </w:r>
      <w:r>
        <w:rPr>
          <w:i/>
          <w:iCs/>
        </w:rPr>
        <w:t>INES 2023 Proceedings</w:t>
      </w:r>
      <w:r>
        <w:t xml:space="preserve">, advance online publication. </w:t>
      </w:r>
      <w:hyperlink r:id="rId15">
        <w:r>
          <w:rPr>
            <w:rStyle w:val="Hyperlink"/>
          </w:rPr>
          <w:t>https://doi.org/10.1109/INES59045.2023.1030000</w:t>
        </w:r>
      </w:hyperlink>
      <w:r>
        <w:t>.</w:t>
      </w:r>
    </w:p>
    <w:p w14:paraId="71849D4D" w14:textId="77777777" w:rsidR="00D075F6" w:rsidRDefault="00734411">
      <w:bookmarkStart w:id="268" w:name="ref-abusitta2024"/>
      <w:bookmarkEnd w:id="267"/>
      <w:r>
        <w:t xml:space="preserve">Abusitta, Adel, Miles Q. Li, y Benjamin C. M. Fung. 2024. </w:t>
      </w:r>
      <w:r>
        <w:rPr>
          <w:i/>
          <w:iCs/>
        </w:rPr>
        <w:t>Survey on Explainable Ai: Techniques, Challenges and Open Issues</w:t>
      </w:r>
      <w:r>
        <w:t xml:space="preserve">. Elsevier BV. </w:t>
      </w:r>
      <w:hyperlink r:id="rId16">
        <w:r>
          <w:rPr>
            <w:rStyle w:val="Hyperlink"/>
          </w:rPr>
          <w:t>https://doi.org/10.2139/ssrn.4710037</w:t>
        </w:r>
      </w:hyperlink>
      <w:r>
        <w:t>.</w:t>
      </w:r>
    </w:p>
    <w:p w14:paraId="07938970" w14:textId="77777777" w:rsidR="00D075F6" w:rsidRDefault="00734411">
      <w:bookmarkStart w:id="269" w:name="ref-adadi2018"/>
      <w:bookmarkEnd w:id="268"/>
      <w:r>
        <w:t xml:space="preserve">Adadi, &amp; Berrada, A. 2018. «Peeking Inside the Black-Box: A survey on Explainable Artificial Intelligence (XAI)». </w:t>
      </w:r>
      <w:r>
        <w:rPr>
          <w:i/>
          <w:iCs/>
        </w:rPr>
        <w:t>IEEE Access</w:t>
      </w:r>
      <w:r>
        <w:t xml:space="preserve"> 6: 52138-60. </w:t>
      </w:r>
      <w:hyperlink r:id="rId17">
        <w:r>
          <w:rPr>
            <w:rStyle w:val="Hyperlink"/>
          </w:rPr>
          <w:t>https://doi.org/10.1109/access.2018.2870052</w:t>
        </w:r>
      </w:hyperlink>
      <w:r>
        <w:t>.</w:t>
      </w:r>
    </w:p>
    <w:p w14:paraId="420C47E8" w14:textId="77777777" w:rsidR="00D075F6" w:rsidRDefault="00734411">
      <w:bookmarkStart w:id="270" w:name="ref-adhikari2022"/>
      <w:bookmarkEnd w:id="269"/>
      <w:r>
        <w:t xml:space="preserve">Adhikari, Jiang, D. 2022. «A comprehensive survey on imputation of missing data in Internet of Things». </w:t>
      </w:r>
      <w:r>
        <w:rPr>
          <w:i/>
          <w:iCs/>
        </w:rPr>
        <w:t>ACM Computing Surveys</w:t>
      </w:r>
      <w:r>
        <w:t xml:space="preserve"> 55 (7): 1-38. </w:t>
      </w:r>
      <w:hyperlink r:id="rId18">
        <w:r>
          <w:rPr>
            <w:rStyle w:val="Hyperlink"/>
          </w:rPr>
          <w:t>https://doi.org/10.1145/3533381</w:t>
        </w:r>
      </w:hyperlink>
      <w:r>
        <w:t>.</w:t>
      </w:r>
    </w:p>
    <w:p w14:paraId="6C2F6E4A" w14:textId="77777777" w:rsidR="00D075F6" w:rsidRDefault="00734411">
      <w:bookmarkStart w:id="271" w:name="ref-agarwal2023"/>
      <w:bookmarkEnd w:id="270"/>
      <w:r>
        <w:t xml:space="preserve">Agarwal, Chirag, Owen Queen, Himabindu Lakkaraju, y Marinka Zitnik. 2023. «Evaluating explainability for graph neural networks». </w:t>
      </w:r>
      <w:r>
        <w:rPr>
          <w:i/>
          <w:iCs/>
        </w:rPr>
        <w:t>Scientific Data</w:t>
      </w:r>
      <w:r>
        <w:t xml:space="preserve"> 10 (1). </w:t>
      </w:r>
      <w:hyperlink r:id="rId19">
        <w:r>
          <w:rPr>
            <w:rStyle w:val="Hyperlink"/>
          </w:rPr>
          <w:t>https://doi.org/10.1038/s41597-023-01974-x</w:t>
        </w:r>
      </w:hyperlink>
      <w:r>
        <w:t>.</w:t>
      </w:r>
    </w:p>
    <w:p w14:paraId="72A6F302" w14:textId="77777777" w:rsidR="00D075F6" w:rsidRDefault="00734411">
      <w:bookmarkStart w:id="272" w:name="ref-agarwal2022"/>
      <w:bookmarkEnd w:id="271"/>
      <w:r>
        <w:t xml:space="preserve">Agarwal, C., D. Ley, S. Krishna, et al. 2022. «OpenXAI: Towards a Transparent Evaluation of Post hoc Model Explanations». </w:t>
      </w:r>
      <w:r>
        <w:rPr>
          <w:i/>
          <w:iCs/>
        </w:rPr>
        <w:t>Advances in Neural Information Processing Systems (NeurIPS)</w:t>
      </w:r>
      <w:r>
        <w:t>.</w:t>
      </w:r>
    </w:p>
    <w:p w14:paraId="09C583BF" w14:textId="77777777" w:rsidR="00D075F6" w:rsidRDefault="00734411">
      <w:bookmarkStart w:id="273" w:name="ref-ali2023"/>
      <w:bookmarkEnd w:id="272"/>
      <w:r>
        <w:t xml:space="preserve">Ali, Abuhmed, S. 2023. «Explainable Artificial Intelligence (XAI): What we know and what is left to attain Trustworthy Artificial Intelligence». </w:t>
      </w:r>
      <w:r>
        <w:rPr>
          <w:i/>
          <w:iCs/>
        </w:rPr>
        <w:t>Information Fusion</w:t>
      </w:r>
      <w:r>
        <w:t xml:space="preserve"> 99: 101805. </w:t>
      </w:r>
      <w:hyperlink r:id="rId20">
        <w:r>
          <w:rPr>
            <w:rStyle w:val="Hyperlink"/>
          </w:rPr>
          <w:t>https://doi.org/10.1016/j.inffus.2023.101805</w:t>
        </w:r>
      </w:hyperlink>
      <w:r>
        <w:t>.</w:t>
      </w:r>
    </w:p>
    <w:p w14:paraId="795BFF24" w14:textId="77777777" w:rsidR="00D075F6" w:rsidRDefault="00734411">
      <w:bookmarkStart w:id="274" w:name="ref-alkhateeb2025"/>
      <w:bookmarkEnd w:id="273"/>
      <w:r>
        <w:t xml:space="preserve">Alkhateeb, Banan Mohammad, y Ellis Solaiman. 2025. </w:t>
      </w:r>
      <w:r>
        <w:rPr>
          <w:i/>
          <w:iCs/>
        </w:rPr>
        <w:t>Context-Aware Visualization for Explainable AI Recommendations in Social Media: A Vision for User-Aligned Explanations</w:t>
      </w:r>
      <w:r>
        <w:t xml:space="preserve">. Springer Nature Switzerland. </w:t>
      </w:r>
      <w:hyperlink r:id="rId21">
        <w:r>
          <w:rPr>
            <w:rStyle w:val="Hyperlink"/>
          </w:rPr>
          <w:t>https://doi.org/10.1007/978-3-032-06744-9_14</w:t>
        </w:r>
      </w:hyperlink>
      <w:r>
        <w:t>.</w:t>
      </w:r>
    </w:p>
    <w:p w14:paraId="5957F03A" w14:textId="77777777" w:rsidR="00D075F6" w:rsidRDefault="00734411">
      <w:bookmarkStart w:id="275" w:name="ref-allen2024"/>
      <w:bookmarkEnd w:id="274"/>
      <w:r>
        <w:t xml:space="preserve">Allen, Gan, G. I. 2024. «Interpretable Machine Learning for Discovery: Statistical challenges and opportunities». </w:t>
      </w:r>
      <w:r>
        <w:rPr>
          <w:i/>
          <w:iCs/>
        </w:rPr>
        <w:t>Annual Review of Statistics and Its Application</w:t>
      </w:r>
      <w:r>
        <w:t xml:space="preserve"> 11 (1): 97-121. </w:t>
      </w:r>
      <w:hyperlink r:id="rId22">
        <w:r>
          <w:rPr>
            <w:rStyle w:val="Hyperlink"/>
          </w:rPr>
          <w:t>https://doi.org/10.1146/annurev-statistics-040120-030919</w:t>
        </w:r>
      </w:hyperlink>
      <w:r>
        <w:t>.</w:t>
      </w:r>
    </w:p>
    <w:p w14:paraId="1DA7CD7E" w14:textId="77777777" w:rsidR="00D075F6" w:rsidRDefault="00734411">
      <w:bookmarkStart w:id="276" w:name="ref-altukhi2025"/>
      <w:bookmarkEnd w:id="275"/>
      <w:r>
        <w:t xml:space="preserve">Altukhi, Pradhan, Z. M. 2025. «A systematic literature review of the latest advancements in XAI». </w:t>
      </w:r>
      <w:r>
        <w:rPr>
          <w:i/>
          <w:iCs/>
        </w:rPr>
        <w:t>Technologies</w:t>
      </w:r>
      <w:r>
        <w:t xml:space="preserve"> 13 (3): 93. </w:t>
      </w:r>
      <w:hyperlink r:id="rId23">
        <w:r>
          <w:rPr>
            <w:rStyle w:val="Hyperlink"/>
          </w:rPr>
          <w:t>https://doi.org/10.3390/technologies13030093</w:t>
        </w:r>
      </w:hyperlink>
      <w:r>
        <w:t>.</w:t>
      </w:r>
    </w:p>
    <w:p w14:paraId="49832E3E" w14:textId="77777777" w:rsidR="00D075F6" w:rsidRDefault="00734411">
      <w:bookmarkStart w:id="277" w:name="ref-alvarezmelis2018"/>
      <w:bookmarkEnd w:id="276"/>
      <w:r>
        <w:t xml:space="preserve">Alvarez-Melis, David, y Tommi S. Jaakkola. 2018. </w:t>
      </w:r>
      <w:r>
        <w:rPr>
          <w:i/>
          <w:iCs/>
        </w:rPr>
        <w:t>On the Robustness of Interpretability Methods</w:t>
      </w:r>
      <w:r>
        <w:t xml:space="preserve">. </w:t>
      </w:r>
      <w:hyperlink r:id="rId24">
        <w:r>
          <w:rPr>
            <w:rStyle w:val="Hyperlink"/>
          </w:rPr>
          <w:t>https://arxiv.org/abs/1806.08049</w:t>
        </w:r>
      </w:hyperlink>
      <w:r>
        <w:t>.</w:t>
      </w:r>
    </w:p>
    <w:p w14:paraId="4891E7B3" w14:textId="77777777" w:rsidR="00D075F6" w:rsidRDefault="00734411">
      <w:bookmarkStart w:id="278" w:name="ref-amershi2014"/>
      <w:bookmarkEnd w:id="277"/>
      <w:r>
        <w:t xml:space="preserve">Amershi, Cakmak, S. 2014. </w:t>
      </w:r>
      <w:r>
        <w:t xml:space="preserve">«Power to the People: The role of Humans in Interactive Machine Learning». </w:t>
      </w:r>
      <w:r>
        <w:rPr>
          <w:i/>
          <w:iCs/>
        </w:rPr>
        <w:t>AI Magazine</w:t>
      </w:r>
      <w:r>
        <w:t xml:space="preserve"> 35 (4): 105-20. </w:t>
      </w:r>
      <w:hyperlink r:id="rId25">
        <w:r>
          <w:rPr>
            <w:rStyle w:val="Hyperlink"/>
          </w:rPr>
          <w:t>https://doi.org/10.1609/aimag.v35i4.2513</w:t>
        </w:r>
      </w:hyperlink>
      <w:r>
        <w:t>.</w:t>
      </w:r>
    </w:p>
    <w:p w14:paraId="20729C70" w14:textId="77777777" w:rsidR="00D075F6" w:rsidRDefault="00734411">
      <w:bookmarkStart w:id="279" w:name="ref-angelov2021"/>
      <w:bookmarkEnd w:id="278"/>
      <w:r>
        <w:t xml:space="preserve">Angelov, Soares, P. P. 2021. «Explainable artificial intelligence: an analytical review». </w:t>
      </w:r>
      <w:r>
        <w:rPr>
          <w:i/>
          <w:iCs/>
        </w:rPr>
        <w:t>Wiley Interdisciplinary Reviews Data Mining and Knowledge Discovery</w:t>
      </w:r>
      <w:r>
        <w:t xml:space="preserve"> 11 (5). </w:t>
      </w:r>
      <w:hyperlink r:id="rId26">
        <w:r>
          <w:rPr>
            <w:rStyle w:val="Hyperlink"/>
          </w:rPr>
          <w:t>https://doi.org/10.1002/widm.1424</w:t>
        </w:r>
      </w:hyperlink>
      <w:r>
        <w:t>.</w:t>
      </w:r>
    </w:p>
    <w:p w14:paraId="67E8496E" w14:textId="77777777" w:rsidR="00D075F6" w:rsidRDefault="00734411">
      <w:bookmarkStart w:id="280" w:name="ref-apley2020"/>
      <w:bookmarkEnd w:id="279"/>
      <w:r>
        <w:t xml:space="preserve">Apley, &amp; Zhu, D. W. 2020. </w:t>
      </w:r>
      <w:r>
        <w:t xml:space="preserve">«Visualizing the effects of predictor variables in black box supervised learning models». </w:t>
      </w:r>
      <w:r>
        <w:rPr>
          <w:i/>
          <w:iCs/>
        </w:rPr>
        <w:t>Journal of the Royal Statistical Society Series B (Statistical Methodology)</w:t>
      </w:r>
      <w:r>
        <w:t xml:space="preserve"> 82 (4): 1059-86. </w:t>
      </w:r>
      <w:hyperlink r:id="rId27">
        <w:r>
          <w:rPr>
            <w:rStyle w:val="Hyperlink"/>
          </w:rPr>
          <w:t>https://doi.org/10.1111/rssb.12377</w:t>
        </w:r>
      </w:hyperlink>
      <w:r>
        <w:t>.</w:t>
      </w:r>
    </w:p>
    <w:p w14:paraId="5555EB82" w14:textId="77777777" w:rsidR="00D075F6" w:rsidRDefault="00734411">
      <w:bookmarkStart w:id="281" w:name="ref-arrieta2019a"/>
      <w:bookmarkEnd w:id="280"/>
      <w:r>
        <w:t xml:space="preserve">Arrieta, Díaz-Rodríguez, A. B. 2019. «Explainable Artificial Intelligence (XAI): Concepts, taxonomies, opportunities and challenges toward responsible AI». </w:t>
      </w:r>
      <w:r>
        <w:rPr>
          <w:i/>
          <w:iCs/>
        </w:rPr>
        <w:t>Information Fusion</w:t>
      </w:r>
      <w:r>
        <w:t xml:space="preserve"> 58: 82-115. </w:t>
      </w:r>
      <w:hyperlink r:id="rId28">
        <w:r>
          <w:rPr>
            <w:rStyle w:val="Hyperlink"/>
          </w:rPr>
          <w:t>https://doi.org/10.1016/j.inffus.2019.12.012</w:t>
        </w:r>
      </w:hyperlink>
      <w:r>
        <w:t>.</w:t>
      </w:r>
    </w:p>
    <w:p w14:paraId="5C38BF4E" w14:textId="77777777" w:rsidR="00D075F6" w:rsidRDefault="00734411">
      <w:bookmarkStart w:id="282" w:name="ref-bacardit2024"/>
      <w:bookmarkEnd w:id="281"/>
      <w:r>
        <w:t xml:space="preserve">Bacardit, Jaume, Alexander Brownlee, Stefano Cagnoni, Giovanni Iacca, John McCall, y David Walker. 2024. «Introduction to the Special Issue on Explainable AI in Evolutionary Computation». </w:t>
      </w:r>
      <w:r>
        <w:rPr>
          <w:i/>
          <w:iCs/>
        </w:rPr>
        <w:t>ACM Transactions on Evolutionary Learning and Optimization</w:t>
      </w:r>
      <w:r>
        <w:t xml:space="preserve"> 4 (1): 1-2. </w:t>
      </w:r>
      <w:hyperlink r:id="rId29">
        <w:r>
          <w:rPr>
            <w:rStyle w:val="Hyperlink"/>
          </w:rPr>
          <w:t>https://doi.org/10.1145/3649144</w:t>
        </w:r>
      </w:hyperlink>
      <w:r>
        <w:t>.</w:t>
      </w:r>
    </w:p>
    <w:p w14:paraId="080FEE74" w14:textId="77777777" w:rsidR="00D075F6" w:rsidRDefault="00734411">
      <w:bookmarkStart w:id="283" w:name="ref-bastings2020"/>
      <w:bookmarkEnd w:id="282"/>
      <w:r>
        <w:t xml:space="preserve">Bastings, Jasmijn, y Katja Filippova. 2020. </w:t>
      </w:r>
      <w:r>
        <w:t xml:space="preserve">«The elephant in the interpretability room: Why use attention as explanation when we have saliency methods?» </w:t>
      </w:r>
      <w:r>
        <w:rPr>
          <w:i/>
          <w:iCs/>
        </w:rPr>
        <w:t>Proceedings of the Third BlackboxNLP Workshop on Analyzing and Interpreting Neural Networks for NLP</w:t>
      </w:r>
      <w:r>
        <w:t xml:space="preserve">, 149-55. </w:t>
      </w:r>
      <w:hyperlink r:id="rId30">
        <w:r>
          <w:rPr>
            <w:rStyle w:val="Hyperlink"/>
          </w:rPr>
          <w:t>https://doi.org/10.18653/v1/2020.blackboxnlp-1.14</w:t>
        </w:r>
      </w:hyperlink>
      <w:r>
        <w:t>.</w:t>
      </w:r>
    </w:p>
    <w:p w14:paraId="663B86D2" w14:textId="77777777" w:rsidR="00D075F6" w:rsidRDefault="00734411">
      <w:bookmarkStart w:id="284" w:name="ref-belle2021"/>
      <w:bookmarkEnd w:id="283"/>
      <w:r>
        <w:t xml:space="preserve">Belle, &amp; Papantonis, V. 2021. «Principles and practice of explainable machine learning». </w:t>
      </w:r>
      <w:r>
        <w:rPr>
          <w:i/>
          <w:iCs/>
        </w:rPr>
        <w:t>Frontiers in Big Data</w:t>
      </w:r>
      <w:r>
        <w:t xml:space="preserve"> 4. </w:t>
      </w:r>
      <w:hyperlink r:id="rId31">
        <w:r>
          <w:rPr>
            <w:rStyle w:val="Hyperlink"/>
          </w:rPr>
          <w:t>https://doi.org/10.3389/fdata.2021.688969</w:t>
        </w:r>
      </w:hyperlink>
      <w:r>
        <w:t>.</w:t>
      </w:r>
    </w:p>
    <w:p w14:paraId="14B0065A" w14:textId="77777777" w:rsidR="00D075F6" w:rsidRDefault="00734411">
      <w:bookmarkStart w:id="285" w:name="ref-bennetot2024"/>
      <w:bookmarkEnd w:id="284"/>
      <w:r>
        <w:t xml:space="preserve">Bennetot, Adrien, Ivan Donadello, Ayoub El Qadi El Haouari, et al. 2024. «A Practical Tutorial on Explainable AI Techniques». </w:t>
      </w:r>
      <w:r>
        <w:rPr>
          <w:i/>
          <w:iCs/>
        </w:rPr>
        <w:t>ACM Computing Surveys</w:t>
      </w:r>
      <w:r>
        <w:t xml:space="preserve"> 57 (2): 1-44. </w:t>
      </w:r>
      <w:hyperlink r:id="rId32">
        <w:r>
          <w:rPr>
            <w:rStyle w:val="Hyperlink"/>
          </w:rPr>
          <w:t>https://doi.org/10.1145/3670685</w:t>
        </w:r>
      </w:hyperlink>
      <w:r>
        <w:t>.</w:t>
      </w:r>
    </w:p>
    <w:p w14:paraId="3FF058ED" w14:textId="77777777" w:rsidR="00D075F6" w:rsidRDefault="00734411">
      <w:bookmarkStart w:id="286" w:name="ref-bhat2024"/>
      <w:bookmarkEnd w:id="285"/>
      <w:r>
        <w:t xml:space="preserve">Bhat, Maalvika, y Duri Long. 2024. «Designing Interactive Explainable AI Tools for Algorithmic Literacy and Transparency». </w:t>
      </w:r>
      <w:r>
        <w:rPr>
          <w:i/>
          <w:iCs/>
        </w:rPr>
        <w:t>Designing Interactive Systems Conference</w:t>
      </w:r>
      <w:r>
        <w:t xml:space="preserve">, 939-57. </w:t>
      </w:r>
      <w:hyperlink r:id="rId33">
        <w:r>
          <w:rPr>
            <w:rStyle w:val="Hyperlink"/>
          </w:rPr>
          <w:t>https://doi.org/10.1145/3643834.3660722</w:t>
        </w:r>
      </w:hyperlink>
      <w:r>
        <w:t>.</w:t>
      </w:r>
    </w:p>
    <w:p w14:paraId="029058B7" w14:textId="77777777" w:rsidR="00D075F6" w:rsidRDefault="00734411">
      <w:bookmarkStart w:id="287" w:name="ref-bhattacharya2024"/>
      <w:bookmarkEnd w:id="286"/>
      <w:r>
        <w:t xml:space="preserve">Bhattacharya, A., y K. Verbert. 2024. «How Good Is Your Explanation?: Towards a Standardised Evaluation Approach for Diverse XAI Methods on Multiple Dimensions of Explainability». </w:t>
      </w:r>
      <w:r>
        <w:rPr>
          <w:i/>
          <w:iCs/>
        </w:rPr>
        <w:t>Proceedings of the 32nd ACM Conference on User Modeling, Adaptation and Personalization (UMAP Adjunct ’24)</w:t>
      </w:r>
      <w:r>
        <w:t xml:space="preserve">. </w:t>
      </w:r>
      <w:hyperlink r:id="rId34">
        <w:r>
          <w:rPr>
            <w:rStyle w:val="Hyperlink"/>
          </w:rPr>
          <w:t>https://doi.org/10.1145/3631700.3664911</w:t>
        </w:r>
      </w:hyperlink>
      <w:r>
        <w:t>.</w:t>
      </w:r>
    </w:p>
    <w:p w14:paraId="76A80512" w14:textId="77777777" w:rsidR="00D075F6" w:rsidRDefault="00734411">
      <w:bookmarkStart w:id="288" w:name="ref-bobitan2024"/>
      <w:bookmarkEnd w:id="287"/>
      <w:r>
        <w:t xml:space="preserve">Bobitan, Nicolae, Diana Dumitrescu, Adriana Florina Popa, Daniela Nicoleta Sahlian, y Ioan Codrut Turlea. 2024. «Shaping Tomorrow: Anticipating Skills Requirements Based on the Integration of Artificial Intelligence in Business Organizations—A Foresight Analysis Using the Scenario Method». </w:t>
      </w:r>
      <w:r>
        <w:rPr>
          <w:i/>
          <w:iCs/>
        </w:rPr>
        <w:t>Electronics</w:t>
      </w:r>
      <w:r>
        <w:t xml:space="preserve"> 13 (11): 2198. </w:t>
      </w:r>
      <w:hyperlink r:id="rId35">
        <w:r>
          <w:rPr>
            <w:rStyle w:val="Hyperlink"/>
          </w:rPr>
          <w:t>https://doi.org/10.3390/electronics13112198</w:t>
        </w:r>
      </w:hyperlink>
      <w:r>
        <w:t>.</w:t>
      </w:r>
    </w:p>
    <w:p w14:paraId="26D78445" w14:textId="77777777" w:rsidR="00D075F6" w:rsidRDefault="00734411">
      <w:bookmarkStart w:id="289" w:name="ref-breiman2001"/>
      <w:bookmarkEnd w:id="288"/>
      <w:r>
        <w:t xml:space="preserve">Breiman, L. 2001. «Random forests». </w:t>
      </w:r>
      <w:r>
        <w:rPr>
          <w:i/>
          <w:iCs/>
        </w:rPr>
        <w:t>Machine Learning</w:t>
      </w:r>
      <w:r>
        <w:t xml:space="preserve"> 45 (1): 5-32. </w:t>
      </w:r>
      <w:hyperlink r:id="rId36">
        <w:r>
          <w:rPr>
            <w:rStyle w:val="Hyperlink"/>
          </w:rPr>
          <w:t>https://doi.org/10.1023/a:1010933404324</w:t>
        </w:r>
      </w:hyperlink>
      <w:r>
        <w:t>.</w:t>
      </w:r>
    </w:p>
    <w:p w14:paraId="34FA17DE" w14:textId="77777777" w:rsidR="00D075F6" w:rsidRDefault="00734411">
      <w:bookmarkStart w:id="290" w:name="ref-brown2024"/>
      <w:bookmarkEnd w:id="289"/>
      <w:r>
        <w:t xml:space="preserve">Brown, Dene, y Glenn Hawe. 2024. «Exploring Trade-offs in Explainable AI». </w:t>
      </w:r>
      <w:r>
        <w:rPr>
          <w:i/>
          <w:iCs/>
        </w:rPr>
        <w:t>ACM SIGAda Ada Letters</w:t>
      </w:r>
      <w:r>
        <w:t xml:space="preserve"> 43 (2): 36-42. </w:t>
      </w:r>
      <w:hyperlink r:id="rId37">
        <w:r>
          <w:rPr>
            <w:rStyle w:val="Hyperlink"/>
          </w:rPr>
          <w:t>https://doi.org/10.1145/3672359.3672363</w:t>
        </w:r>
      </w:hyperlink>
      <w:r>
        <w:t>.</w:t>
      </w:r>
    </w:p>
    <w:p w14:paraId="79728074" w14:textId="77777777" w:rsidR="00D075F6" w:rsidRDefault="00734411">
      <w:bookmarkStart w:id="291" w:name="ref-burger2023"/>
      <w:bookmarkEnd w:id="290"/>
      <w:r>
        <w:t xml:space="preserve">Burger, Christopher, Lingwei Chen, y Thai Le. 2023. «Are Your Explanations Reliable? Investigating the Stability of LIME in Explaining Text Classifiers by Marrying XAI and Adversarial Attack». </w:t>
      </w:r>
      <w:r>
        <w:rPr>
          <w:i/>
          <w:iCs/>
        </w:rPr>
        <w:t>Proceedings of the 2023 Conference on Empirical Methods in Natural Language Processing</w:t>
      </w:r>
      <w:r>
        <w:t xml:space="preserve">, 12931-44. </w:t>
      </w:r>
      <w:hyperlink r:id="rId38">
        <w:r>
          <w:rPr>
            <w:rStyle w:val="Hyperlink"/>
          </w:rPr>
          <w:t>https://doi.org/10.18653/v1/2023.emnlp-main.792</w:t>
        </w:r>
      </w:hyperlink>
      <w:r>
        <w:t>.</w:t>
      </w:r>
    </w:p>
    <w:p w14:paraId="38B6D60E" w14:textId="77777777" w:rsidR="00D075F6" w:rsidRDefault="00734411">
      <w:bookmarkStart w:id="292" w:name="ref-canha2025"/>
      <w:bookmarkEnd w:id="291"/>
      <w:r>
        <w:t xml:space="preserve">Canha, D., S. Kubler, K. Främling, y G. Fagherazzi. 2025. «A Functionally-Grounded Benchmark Framework for XAI Methods: Insights and Foundations from a Systematic Literature Review». </w:t>
      </w:r>
      <w:r>
        <w:rPr>
          <w:i/>
          <w:iCs/>
        </w:rPr>
        <w:t>ACM Computing Surveys</w:t>
      </w:r>
      <w:r>
        <w:t xml:space="preserve"> 57 (12). </w:t>
      </w:r>
      <w:hyperlink r:id="rId39">
        <w:r>
          <w:rPr>
            <w:rStyle w:val="Hyperlink"/>
          </w:rPr>
          <w:t>https://doi.org/10.1145/3737445</w:t>
        </w:r>
      </w:hyperlink>
      <w:r>
        <w:t>.</w:t>
      </w:r>
    </w:p>
    <w:p w14:paraId="593EB0EC" w14:textId="77777777" w:rsidR="00D075F6" w:rsidRDefault="00734411">
      <w:bookmarkStart w:id="293" w:name="ref-carvalho2019"/>
      <w:bookmarkEnd w:id="292"/>
      <w:r>
        <w:t xml:space="preserve">Carvalho, Diogo V., Eduardo M. Pereira, y Jaime S. Cardoso. 2019. «Machine Learning Interpretability: A Survey on Methods and Metrics». </w:t>
      </w:r>
      <w:r>
        <w:rPr>
          <w:i/>
          <w:iCs/>
        </w:rPr>
        <w:t>Electronics</w:t>
      </w:r>
      <w:r>
        <w:t xml:space="preserve"> 8 (8): 832. </w:t>
      </w:r>
      <w:hyperlink r:id="rId40">
        <w:r>
          <w:rPr>
            <w:rStyle w:val="Hyperlink"/>
          </w:rPr>
          <w:t>https://doi.org/10.3390/electronics8080832</w:t>
        </w:r>
      </w:hyperlink>
      <w:r>
        <w:t>.</w:t>
      </w:r>
    </w:p>
    <w:p w14:paraId="551645C5" w14:textId="77777777" w:rsidR="00D075F6" w:rsidRDefault="00734411">
      <w:bookmarkStart w:id="294" w:name="ref-choudhari2025"/>
      <w:bookmarkEnd w:id="293"/>
      <w:r>
        <w:t xml:space="preserve">Choudhari, Anaya, Tejal Ambhore, y Ninad Mehendale. 2025. </w:t>
      </w:r>
      <w:r>
        <w:rPr>
          <w:i/>
          <w:iCs/>
        </w:rPr>
        <w:t>Explainable AI: Bridging the Gap Between Machine Intelligence and Human Understanding</w:t>
      </w:r>
      <w:r>
        <w:t xml:space="preserve">. Elsevier BV. </w:t>
      </w:r>
      <w:hyperlink r:id="rId41">
        <w:r>
          <w:rPr>
            <w:rStyle w:val="Hyperlink"/>
          </w:rPr>
          <w:t>https://doi.org/10.2139/ssrn.5040613</w:t>
        </w:r>
      </w:hyperlink>
      <w:r>
        <w:t>.</w:t>
      </w:r>
    </w:p>
    <w:p w14:paraId="527F6FF4" w14:textId="77777777" w:rsidR="00D075F6" w:rsidRDefault="00734411">
      <w:bookmarkStart w:id="295" w:name="ref-cohen1960"/>
      <w:bookmarkEnd w:id="294"/>
      <w:r>
        <w:t xml:space="preserve">Cohen, J. 1960. «A coefficient of agreement for nominal scales». </w:t>
      </w:r>
      <w:r>
        <w:rPr>
          <w:i/>
          <w:iCs/>
        </w:rPr>
        <w:t>Educational and Psychological Measurement</w:t>
      </w:r>
      <w:r>
        <w:t xml:space="preserve"> 20 (1): 37-46. </w:t>
      </w:r>
      <w:hyperlink r:id="rId42">
        <w:r>
          <w:rPr>
            <w:rStyle w:val="Hyperlink"/>
          </w:rPr>
          <w:t>https://doi.org/10.1177/001316446002000104</w:t>
        </w:r>
      </w:hyperlink>
      <w:r>
        <w:t>.</w:t>
      </w:r>
    </w:p>
    <w:p w14:paraId="7DF6D83A" w14:textId="77777777" w:rsidR="00D075F6" w:rsidRDefault="00734411">
      <w:bookmarkStart w:id="296" w:name="ref-colley2023"/>
      <w:bookmarkEnd w:id="295"/>
      <w:r>
        <w:t xml:space="preserve">Colley, Ashley, Matilda Kalving, Jonna Häkkilä, y Kaisa Väänänen. 2023. «Exploring Tangible Explainable AI (TangXAI): A User Study of Two XAI Approaches». </w:t>
      </w:r>
      <w:r>
        <w:rPr>
          <w:i/>
          <w:iCs/>
        </w:rPr>
        <w:t>Proceedings of the 35th Australian Computer-Human Interaction Conference</w:t>
      </w:r>
      <w:r>
        <w:t xml:space="preserve">, 679-83. </w:t>
      </w:r>
      <w:hyperlink r:id="rId43">
        <w:r>
          <w:rPr>
            <w:rStyle w:val="Hyperlink"/>
          </w:rPr>
          <w:t>https://doi.org/10.1145/3638380.3638426</w:t>
        </w:r>
      </w:hyperlink>
      <w:r>
        <w:t>.</w:t>
      </w:r>
    </w:p>
    <w:p w14:paraId="01D21B31" w14:textId="77777777" w:rsidR="00D075F6" w:rsidRDefault="00734411">
      <w:bookmarkStart w:id="297" w:name="ref-cunha2024"/>
      <w:bookmarkEnd w:id="296"/>
      <w:r>
        <w:t xml:space="preserve">Cunha, Bianca Moreira, y Simone Diniz Junqueira Barbosa. 2024. «Evaluating the Effectiveness of Visual Representations of SHAP Values Toward Explainable Artificial Intelligence». </w:t>
      </w:r>
      <w:r>
        <w:rPr>
          <w:i/>
          <w:iCs/>
        </w:rPr>
        <w:t>Proceedings of the XXIII Brazilian Symposium on Human Factors in Computing Systems</w:t>
      </w:r>
      <w:r>
        <w:t xml:space="preserve">, 1-11. </w:t>
      </w:r>
      <w:hyperlink r:id="rId44">
        <w:r>
          <w:rPr>
            <w:rStyle w:val="Hyperlink"/>
          </w:rPr>
          <w:t>https://doi.org/10.1145/3702038.3702093</w:t>
        </w:r>
      </w:hyperlink>
      <w:r>
        <w:t>.</w:t>
      </w:r>
    </w:p>
    <w:p w14:paraId="7469CC7D" w14:textId="77777777" w:rsidR="00D075F6" w:rsidRDefault="00734411">
      <w:bookmarkStart w:id="298" w:name="ref-demsar2006"/>
      <w:bookmarkEnd w:id="297"/>
      <w:r>
        <w:t xml:space="preserve">Demšar, Janez. 2006. </w:t>
      </w:r>
      <w:r>
        <w:t xml:space="preserve">«Statistical Comparisons of Classifiers over Multiple Data Sets». </w:t>
      </w:r>
      <w:r>
        <w:rPr>
          <w:i/>
          <w:iCs/>
        </w:rPr>
        <w:t>Journal of Machine Learning Research</w:t>
      </w:r>
      <w:r>
        <w:t xml:space="preserve"> 7: 1-30. </w:t>
      </w:r>
      <w:hyperlink r:id="rId45">
        <w:r>
          <w:rPr>
            <w:rStyle w:val="Hyperlink"/>
          </w:rPr>
          <w:t>https://www.jmlr.org/papers/v7/demsar06a.html</w:t>
        </w:r>
      </w:hyperlink>
      <w:r>
        <w:t>.</w:t>
      </w:r>
    </w:p>
    <w:p w14:paraId="19D6BF44" w14:textId="77777777" w:rsidR="00D075F6" w:rsidRDefault="00734411">
      <w:bookmarkStart w:id="299" w:name="ref-doshi-velez2017"/>
      <w:bookmarkEnd w:id="298"/>
      <w:r>
        <w:t xml:space="preserve">Doshi-Velez, &amp; Kim, F. 2017. «Towards a rigorous science of interpretable machine learning». </w:t>
      </w:r>
      <w:r>
        <w:rPr>
          <w:i/>
          <w:iCs/>
        </w:rPr>
        <w:t>arXiv (Cornell University)</w:t>
      </w:r>
      <w:r>
        <w:t xml:space="preserve">, advance online publication. </w:t>
      </w:r>
      <w:hyperlink r:id="rId46">
        <w:r>
          <w:rPr>
            <w:rStyle w:val="Hyperlink"/>
          </w:rPr>
          <w:t>https://doi.org/10.48550/arxiv.1702.08608</w:t>
        </w:r>
      </w:hyperlink>
      <w:r>
        <w:t>.</w:t>
      </w:r>
    </w:p>
    <w:p w14:paraId="5E7454D0" w14:textId="77777777" w:rsidR="00D075F6" w:rsidRDefault="00734411">
      <w:bookmarkStart w:id="300" w:name="ref-dua2019uci"/>
      <w:bookmarkEnd w:id="299"/>
      <w:r>
        <w:t xml:space="preserve">Dua, Dheeru, y Casey Graff. 2019. </w:t>
      </w:r>
      <w:r>
        <w:rPr>
          <w:i/>
          <w:iCs/>
        </w:rPr>
        <w:t>UCI</w:t>
      </w:r>
      <w:r>
        <w:rPr>
          <w:i/>
          <w:iCs/>
        </w:rPr>
        <w:t xml:space="preserve"> Machine Learning Repository</w:t>
      </w:r>
      <w:r>
        <w:t xml:space="preserve">. University of California, Irvine, School of Information and Computer Sciences. </w:t>
      </w:r>
      <w:hyperlink r:id="rId47">
        <w:r>
          <w:rPr>
            <w:rStyle w:val="Hyperlink"/>
          </w:rPr>
          <w:t>http://archive.ics.uci.edu/ml</w:t>
        </w:r>
      </w:hyperlink>
      <w:r>
        <w:t>.</w:t>
      </w:r>
    </w:p>
    <w:p w14:paraId="2FE6A9D9" w14:textId="77777777" w:rsidR="00D075F6" w:rsidRDefault="00734411">
      <w:bookmarkStart w:id="301" w:name="ref-dwivedi2022"/>
      <w:bookmarkEnd w:id="300"/>
      <w:r>
        <w:t xml:space="preserve">Dwivedi, Dave, R. 2022. «Explainable AI (XAI): core ideas, techniques, and solutions». </w:t>
      </w:r>
      <w:r>
        <w:rPr>
          <w:i/>
          <w:iCs/>
        </w:rPr>
        <w:t>ACM Computing Surveys</w:t>
      </w:r>
      <w:r>
        <w:t xml:space="preserve"> 55 (9): 1-33. </w:t>
      </w:r>
      <w:hyperlink r:id="rId48">
        <w:r>
          <w:rPr>
            <w:rStyle w:val="Hyperlink"/>
          </w:rPr>
          <w:t>https://doi.org/10.1145/3561048</w:t>
        </w:r>
      </w:hyperlink>
      <w:r>
        <w:t>.</w:t>
      </w:r>
    </w:p>
    <w:p w14:paraId="3F0EAE18" w14:textId="77777777" w:rsidR="00D075F6" w:rsidRDefault="00734411">
      <w:bookmarkStart w:id="302" w:name="ref-ehsan2024"/>
      <w:bookmarkEnd w:id="301"/>
      <w:r>
        <w:t xml:space="preserve">Ehsan, Upol, y Mark Riedl. 2024. </w:t>
      </w:r>
      <w:r>
        <w:t xml:space="preserve">«Explainable AI Reloaded: Challenging the XAI Status Quo in the Era of Large Language Models». </w:t>
      </w:r>
      <w:r>
        <w:rPr>
          <w:i/>
          <w:iCs/>
        </w:rPr>
        <w:t>Proceedings of the Halfway to the Future Symposium</w:t>
      </w:r>
      <w:r>
        <w:t xml:space="preserve">, 1-8. </w:t>
      </w:r>
      <w:hyperlink r:id="rId49">
        <w:r>
          <w:rPr>
            <w:rStyle w:val="Hyperlink"/>
          </w:rPr>
          <w:t>https://doi.org/10.1145/3686169.3686185</w:t>
        </w:r>
      </w:hyperlink>
      <w:r>
        <w:t>.</w:t>
      </w:r>
    </w:p>
    <w:p w14:paraId="31399467" w14:textId="77777777" w:rsidR="00D075F6" w:rsidRDefault="00734411">
      <w:bookmarkStart w:id="303" w:name="ref-ehsan2023"/>
      <w:bookmarkEnd w:id="302"/>
      <w:r>
        <w:t xml:space="preserve">Ehsan, Upol, Philipp Wintersberger, Elizabeth A Watkins, et al. 2023. «Human-Centered Explainable AI (HCXAI): Coming of Age». </w:t>
      </w:r>
      <w:r>
        <w:rPr>
          <w:i/>
          <w:iCs/>
        </w:rPr>
        <w:t>Extended Abstracts of the 2023 CHI Conference on Human Factors in Computing Systems</w:t>
      </w:r>
      <w:r>
        <w:t xml:space="preserve">, 1-7. </w:t>
      </w:r>
      <w:hyperlink r:id="rId50">
        <w:r>
          <w:rPr>
            <w:rStyle w:val="Hyperlink"/>
          </w:rPr>
          <w:t>https://doi.org/10.1145/3544549.3573832</w:t>
        </w:r>
      </w:hyperlink>
      <w:r>
        <w:t>.</w:t>
      </w:r>
    </w:p>
    <w:p w14:paraId="08FF0A6A" w14:textId="77777777" w:rsidR="00D075F6" w:rsidRDefault="00734411">
      <w:bookmarkStart w:id="304" w:name="ref-fan2026"/>
      <w:bookmarkEnd w:id="303"/>
      <w:r>
        <w:t xml:space="preserve">Fan, Siyuan, Derui Zhu, y Zhe Yu. 2026. </w:t>
      </w:r>
      <w:r>
        <w:rPr>
          <w:i/>
          <w:iCs/>
        </w:rPr>
        <w:t>A Systematic Literature Review of Explainability-Based Model Editing</w:t>
      </w:r>
      <w:r>
        <w:t xml:space="preserve">. Elsevier BV. </w:t>
      </w:r>
      <w:hyperlink r:id="rId51">
        <w:r>
          <w:rPr>
            <w:rStyle w:val="Hyperlink"/>
          </w:rPr>
          <w:t>https://doi.org/10.2139/ssrn.6847479</w:t>
        </w:r>
      </w:hyperlink>
      <w:r>
        <w:t>.</w:t>
      </w:r>
    </w:p>
    <w:p w14:paraId="3B3F3390" w14:textId="77777777" w:rsidR="00D075F6" w:rsidRDefault="00734411">
      <w:bookmarkStart w:id="305" w:name="ref-feldkamp2023"/>
      <w:bookmarkEnd w:id="304"/>
      <w:r>
        <w:t xml:space="preserve">Feldkamp, Niclas, y Steffen Strassburger. 2023. «From Explainable AI to Explainable Simulation: Using Machine Learning and XAI to understand System Robustness». </w:t>
      </w:r>
      <w:r>
        <w:rPr>
          <w:i/>
          <w:iCs/>
        </w:rPr>
        <w:t>ACM SIGSIM Conference on Principles of Advanced Discrete Simulation</w:t>
      </w:r>
      <w:r>
        <w:t xml:space="preserve">, 96-106. </w:t>
      </w:r>
      <w:hyperlink r:id="rId52">
        <w:r>
          <w:rPr>
            <w:rStyle w:val="Hyperlink"/>
          </w:rPr>
          <w:t>https://doi.org/10.1145/3573900.3591114</w:t>
        </w:r>
      </w:hyperlink>
      <w:r>
        <w:t>.</w:t>
      </w:r>
    </w:p>
    <w:p w14:paraId="02A9F7DA" w14:textId="77777777" w:rsidR="00D075F6" w:rsidRDefault="00734411">
      <w:bookmarkStart w:id="306" w:name="ref-fisher2019"/>
      <w:bookmarkEnd w:id="305"/>
      <w:r>
        <w:t xml:space="preserve">Fisher, Aaron, Cynthia Rudin, y Francesca Dominici. 2019. «All Models are Wrong, but Many are Useful: Learning a Variable’s Importance by Studying an Entire Class of Prediction Models Simultaneously». </w:t>
      </w:r>
      <w:r>
        <w:rPr>
          <w:i/>
          <w:iCs/>
        </w:rPr>
        <w:t>Journal of Machine Learning Research</w:t>
      </w:r>
      <w:r>
        <w:t>.</w:t>
      </w:r>
    </w:p>
    <w:p w14:paraId="4D96262F" w14:textId="77777777" w:rsidR="00D075F6" w:rsidRDefault="00734411">
      <w:bookmarkStart w:id="307" w:name="ref-floridi2018"/>
      <w:bookmarkEnd w:id="306"/>
      <w:r>
        <w:t xml:space="preserve">Floridi, Cowls, L. 2018. </w:t>
      </w:r>
      <w:r>
        <w:t xml:space="preserve">«AI4People—An Ethical Framework for a Good AI Society: Opportunities, risks, principles, and recommendations». </w:t>
      </w:r>
      <w:r>
        <w:rPr>
          <w:i/>
          <w:iCs/>
        </w:rPr>
        <w:t>Minds and Machines</w:t>
      </w:r>
      <w:r>
        <w:t xml:space="preserve"> 28 (4): 689-707. </w:t>
      </w:r>
      <w:hyperlink r:id="rId53">
        <w:r>
          <w:rPr>
            <w:rStyle w:val="Hyperlink"/>
          </w:rPr>
          <w:t>https://doi.org/10.1007/s11023-018-9482-5</w:t>
        </w:r>
      </w:hyperlink>
      <w:r>
        <w:t>.</w:t>
      </w:r>
    </w:p>
    <w:p w14:paraId="1443B790" w14:textId="77777777" w:rsidR="00D075F6" w:rsidRDefault="00734411">
      <w:bookmarkStart w:id="308" w:name="ref-friedman2008"/>
      <w:bookmarkEnd w:id="307"/>
      <w:r>
        <w:t xml:space="preserve">Friedman, &amp; Popescu, J. H. 2008. «Predictive learning via rule ensembles». </w:t>
      </w:r>
      <w:r>
        <w:rPr>
          <w:i/>
          <w:iCs/>
        </w:rPr>
        <w:t>The Annals of Applied Statistics</w:t>
      </w:r>
      <w:r>
        <w:t xml:space="preserve"> 2 (3). </w:t>
      </w:r>
      <w:hyperlink r:id="rId54">
        <w:r>
          <w:rPr>
            <w:rStyle w:val="Hyperlink"/>
          </w:rPr>
          <w:t>https://doi.org/10.1214/07-aoas148</w:t>
        </w:r>
      </w:hyperlink>
      <w:r>
        <w:t>.</w:t>
      </w:r>
    </w:p>
    <w:p w14:paraId="04E5DBAB" w14:textId="77777777" w:rsidR="00D075F6" w:rsidRDefault="00734411">
      <w:bookmarkStart w:id="309" w:name="ref-friedman2001"/>
      <w:bookmarkEnd w:id="308"/>
      <w:r>
        <w:t xml:space="preserve">Friedman, J. H. 2001. </w:t>
      </w:r>
      <w:r>
        <w:t xml:space="preserve">«Greedy function approximation: A gradient boosting machine». </w:t>
      </w:r>
      <w:r>
        <w:rPr>
          <w:i/>
          <w:iCs/>
        </w:rPr>
        <w:t>The Annals of Statistics</w:t>
      </w:r>
      <w:r>
        <w:t xml:space="preserve"> 29 (5). </w:t>
      </w:r>
      <w:hyperlink r:id="rId55">
        <w:r>
          <w:rPr>
            <w:rStyle w:val="Hyperlink"/>
          </w:rPr>
          <w:t>https://doi.org/10.1214/aos/1013203451</w:t>
        </w:r>
      </w:hyperlink>
      <w:r>
        <w:t>.</w:t>
      </w:r>
    </w:p>
    <w:p w14:paraId="0128E61F" w14:textId="77777777" w:rsidR="00D075F6" w:rsidRDefault="00734411">
      <w:bookmarkStart w:id="310" w:name="ref-friedman1937"/>
      <w:bookmarkEnd w:id="309"/>
      <w:r>
        <w:t xml:space="preserve">Friedman, Milton. 1937. «The Use of Ranks to Avoid the Assumption of Normality Implicit in the Analysis of Variance». </w:t>
      </w:r>
      <w:r>
        <w:rPr>
          <w:i/>
          <w:iCs/>
        </w:rPr>
        <w:t>Journal of the American Statistical Association</w:t>
      </w:r>
      <w:r>
        <w:t xml:space="preserve"> 32 (200): 675-701. </w:t>
      </w:r>
      <w:hyperlink r:id="rId56">
        <w:r>
          <w:rPr>
            <w:rStyle w:val="Hyperlink"/>
          </w:rPr>
          <w:t>https://doi.org/10.1080/01621459.1937.10503522</w:t>
        </w:r>
      </w:hyperlink>
      <w:r>
        <w:t>.</w:t>
      </w:r>
    </w:p>
    <w:p w14:paraId="1910F32E" w14:textId="77777777" w:rsidR="00D075F6" w:rsidRDefault="00734411">
      <w:bookmarkStart w:id="311" w:name="ref-gafur2024"/>
      <w:bookmarkEnd w:id="310"/>
      <w:r>
        <w:t xml:space="preserve">Gafur, Jamil, Steve Goddard, y William Lai. 2024. «Adversarial Robustness and Explainability of Machine Learning Models». </w:t>
      </w:r>
      <w:r>
        <w:rPr>
          <w:i/>
          <w:iCs/>
        </w:rPr>
        <w:t>Practice and Experience in Advanced Research Computing 2024: Human Powered Computing</w:t>
      </w:r>
      <w:r>
        <w:t xml:space="preserve">, 1-7. </w:t>
      </w:r>
      <w:hyperlink r:id="rId57">
        <w:r>
          <w:rPr>
            <w:rStyle w:val="Hyperlink"/>
          </w:rPr>
          <w:t>https://doi.org/10.1145/3626203.3670522</w:t>
        </w:r>
      </w:hyperlink>
      <w:r>
        <w:t>.</w:t>
      </w:r>
    </w:p>
    <w:p w14:paraId="3A4DDCDE" w14:textId="77777777" w:rsidR="00D075F6" w:rsidRDefault="00734411">
      <w:bookmarkStart w:id="312" w:name="ref-gilpin2018"/>
      <w:bookmarkEnd w:id="311"/>
      <w:r>
        <w:t xml:space="preserve">Gilpin, Bau, L. H. 2018. «Explaining Explanations: An Overview of Interpretability of Machine Learning». </w:t>
      </w:r>
      <w:r>
        <w:rPr>
          <w:i/>
          <w:iCs/>
        </w:rPr>
        <w:t>2022 IEEE 9th International Conference on Data Science and Advanced Analytics (DSAA), 80–89</w:t>
      </w:r>
      <w:r>
        <w:t xml:space="preserve">, advance online publication. </w:t>
      </w:r>
      <w:hyperlink r:id="rId58">
        <w:r>
          <w:rPr>
            <w:rStyle w:val="Hyperlink"/>
          </w:rPr>
          <w:t>https://doi.org/10.1109/dsaa.2018.00018</w:t>
        </w:r>
      </w:hyperlink>
      <w:r>
        <w:t>.</w:t>
      </w:r>
    </w:p>
    <w:p w14:paraId="581EF59E" w14:textId="77777777" w:rsidR="00D075F6" w:rsidRDefault="00734411">
      <w:bookmarkStart w:id="313" w:name="ref-goldstein2014"/>
      <w:bookmarkEnd w:id="312"/>
      <w:r>
        <w:t xml:space="preserve">Goldstein, Kapelner, A. 2014. «Peeking inside the black box: visualizing statistical learning with plots of individual conditional expectation». </w:t>
      </w:r>
      <w:r>
        <w:rPr>
          <w:i/>
          <w:iCs/>
        </w:rPr>
        <w:t>Journal of Computational and Graphical Statistics</w:t>
      </w:r>
      <w:r>
        <w:t xml:space="preserve"> 24 (1): 44-65. </w:t>
      </w:r>
      <w:hyperlink r:id="rId59">
        <w:r>
          <w:rPr>
            <w:rStyle w:val="Hyperlink"/>
          </w:rPr>
          <w:t>https://doi.org/10.1080/10618600.2014.907095</w:t>
        </w:r>
      </w:hyperlink>
      <w:r>
        <w:t>.</w:t>
      </w:r>
    </w:p>
    <w:p w14:paraId="36C1A323" w14:textId="77777777" w:rsidR="00D075F6" w:rsidRDefault="00734411">
      <w:bookmarkStart w:id="314" w:name="ref-gomez2024"/>
      <w:bookmarkEnd w:id="313"/>
      <w:r>
        <w:t xml:space="preserve">Gomez, Manuel J., Álvaro Armada Sánchez, Mariano Albaladejo-González, Félix J. García Clemente, y José A. Ruipérez-Valiente. 2024. «Utilizing Explainable AI to Enhance Real-time Student Performance Prediction in Educational Serious Games». </w:t>
      </w:r>
      <w:r>
        <w:rPr>
          <w:i/>
          <w:iCs/>
        </w:rPr>
        <w:t>Proceedings of the 39th ACM/SIGAPP Symposium on Applied Computing</w:t>
      </w:r>
      <w:r>
        <w:t xml:space="preserve">, 93-94. </w:t>
      </w:r>
      <w:hyperlink r:id="rId60">
        <w:r>
          <w:rPr>
            <w:rStyle w:val="Hyperlink"/>
          </w:rPr>
          <w:t>https://doi.org/10.1145/3605098.3636109</w:t>
        </w:r>
      </w:hyperlink>
      <w:r>
        <w:t>.</w:t>
      </w:r>
    </w:p>
    <w:p w14:paraId="3D9C4F68" w14:textId="77777777" w:rsidR="00D075F6" w:rsidRDefault="00734411">
      <w:bookmarkStart w:id="315" w:name="ref-guidotti2018"/>
      <w:bookmarkEnd w:id="314"/>
      <w:r>
        <w:t xml:space="preserve">Guidotti, Riccardo, Anna Monreale, Salvatore Ruggieri, Franco Turini, Fosca Giannotti, y Dino Pedreschi. 2018. «A Survey of Methods for Explaining Black Box Models». </w:t>
      </w:r>
      <w:r>
        <w:rPr>
          <w:i/>
          <w:iCs/>
        </w:rPr>
        <w:t>ACM Computing Surveys</w:t>
      </w:r>
      <w:r>
        <w:t xml:space="preserve"> 51 (5): 1-42. </w:t>
      </w:r>
      <w:hyperlink r:id="rId61">
        <w:r>
          <w:rPr>
            <w:rStyle w:val="Hyperlink"/>
          </w:rPr>
          <w:t>https://doi.org/10.1145/3236009</w:t>
        </w:r>
      </w:hyperlink>
      <w:r>
        <w:t>.</w:t>
      </w:r>
    </w:p>
    <w:p w14:paraId="309F0C85" w14:textId="77777777" w:rsidR="00D075F6" w:rsidRDefault="00734411">
      <w:bookmarkStart w:id="316" w:name="ref-hase2020"/>
      <w:bookmarkEnd w:id="315"/>
      <w:r>
        <w:t xml:space="preserve">Hase, Peter, y Mohit Bansal. 2020. «Evaluating Explainable AI: Which Algorithmic Explanations Help Users Predict Model Behavior?» </w:t>
      </w:r>
      <w:r>
        <w:rPr>
          <w:i/>
          <w:iCs/>
        </w:rPr>
        <w:t>Proceedings of the 58th Annual Meeting of the Association for Computational Linguistics</w:t>
      </w:r>
      <w:r>
        <w:t>, 5540-52.</w:t>
      </w:r>
      <w:r>
        <w:t xml:space="preserve"> </w:t>
      </w:r>
      <w:hyperlink r:id="rId62">
        <w:r>
          <w:rPr>
            <w:rStyle w:val="Hyperlink"/>
          </w:rPr>
          <w:t>https://doi.org/10.18653/v1/2020.acl-main.491</w:t>
        </w:r>
      </w:hyperlink>
      <w:r>
        <w:t>.</w:t>
      </w:r>
    </w:p>
    <w:p w14:paraId="60B00595" w14:textId="77777777" w:rsidR="00D075F6" w:rsidRDefault="00734411">
      <w:bookmarkStart w:id="317" w:name="ref-hassija2023"/>
      <w:bookmarkEnd w:id="316"/>
      <w:r>
        <w:t xml:space="preserve">Hassija, Chamola, V. 2023. «Interpreting Black-Box Models: A review on Explainable Artificial intelligence». </w:t>
      </w:r>
      <w:r>
        <w:rPr>
          <w:i/>
          <w:iCs/>
        </w:rPr>
        <w:t>Cognitive Computation</w:t>
      </w:r>
      <w:r>
        <w:t xml:space="preserve"> 16 (1): 45-74. </w:t>
      </w:r>
      <w:hyperlink r:id="rId63">
        <w:r>
          <w:rPr>
            <w:rStyle w:val="Hyperlink"/>
          </w:rPr>
          <w:t>https://doi.org/10.1007/s12559-023-10179-8</w:t>
        </w:r>
      </w:hyperlink>
      <w:r>
        <w:t>.</w:t>
      </w:r>
    </w:p>
    <w:p w14:paraId="5BD318F7" w14:textId="77777777" w:rsidR="00D075F6" w:rsidRDefault="00734411">
      <w:bookmarkStart w:id="318" w:name="ref-hedstrom2023"/>
      <w:bookmarkEnd w:id="317"/>
      <w:r>
        <w:t xml:space="preserve">Hedström, A., L. Weber, D. Bareeva, et al. 2023. </w:t>
      </w:r>
      <w:r>
        <w:t xml:space="preserve">«Quantus: An Explainable AI Toolkit for Responsible Evaluation of Neural Network Explanations and Beyond». </w:t>
      </w:r>
      <w:r>
        <w:rPr>
          <w:i/>
          <w:iCs/>
        </w:rPr>
        <w:t>Journal of Machine Learning Research</w:t>
      </w:r>
      <w:r>
        <w:t xml:space="preserve"> 24 (34): 1-11.</w:t>
      </w:r>
    </w:p>
    <w:p w14:paraId="4C71B4E4" w14:textId="77777777" w:rsidR="00D075F6" w:rsidRDefault="00734411">
      <w:bookmarkStart w:id="319" w:name="ref-hess2023"/>
      <w:bookmarkEnd w:id="318"/>
      <w:r>
        <w:t xml:space="preserve">Hess, Samuel, y Gregory Ditzler. 2023. «ProtoShotXAI: Using Prototypical Few-Shot Architecture for Explainable AI». </w:t>
      </w:r>
      <w:r>
        <w:rPr>
          <w:i/>
          <w:iCs/>
        </w:rPr>
        <w:t>Journal of Machine Learning Research</w:t>
      </w:r>
      <w:r>
        <w:t xml:space="preserve"> 24: 1-49.</w:t>
      </w:r>
    </w:p>
    <w:p w14:paraId="41355DA7" w14:textId="77777777" w:rsidR="00D075F6" w:rsidRDefault="00734411">
      <w:bookmarkStart w:id="320" w:name="ref-hoffman2023"/>
      <w:bookmarkEnd w:id="319"/>
      <w:r>
        <w:t xml:space="preserve">Hoffman, Robert R., Timothy Miller, Gary Klein, Shane T. Mueller, y William J. Clancey. 2023. «Increasing the Value of XAI for Users: A Psychological Perspective». </w:t>
      </w:r>
      <w:r>
        <w:rPr>
          <w:i/>
          <w:iCs/>
        </w:rPr>
        <w:t>KI - Kü</w:t>
      </w:r>
      <w:r>
        <w:rPr>
          <w:i/>
          <w:iCs/>
        </w:rPr>
        <w:t>nstliche Intelligenz</w:t>
      </w:r>
      <w:r>
        <w:t xml:space="preserve"> 37: 145-59. </w:t>
      </w:r>
      <w:hyperlink r:id="rId64">
        <w:r>
          <w:rPr>
            <w:rStyle w:val="Hyperlink"/>
          </w:rPr>
          <w:t>https://doi.org/10.1007/s13218-023-00806-9</w:t>
        </w:r>
      </w:hyperlink>
      <w:r>
        <w:t>.</w:t>
      </w:r>
    </w:p>
    <w:p w14:paraId="3756ACCE" w14:textId="77777777" w:rsidR="00D075F6" w:rsidRDefault="00734411">
      <w:bookmarkStart w:id="321" w:name="ref-holzinger2022"/>
      <w:bookmarkEnd w:id="320"/>
      <w:r>
        <w:t xml:space="preserve">Holzinger, Andreas, Anna Saranti, Christoph Molnar, Przemyslaw Biecek, y Wojciech Samek. 2022. </w:t>
      </w:r>
      <w:r>
        <w:rPr>
          <w:i/>
          <w:iCs/>
        </w:rPr>
        <w:t>Explainable AI Methods - A Brief Overview</w:t>
      </w:r>
      <w:r>
        <w:t xml:space="preserve">. Springer International Publishing. </w:t>
      </w:r>
      <w:hyperlink r:id="rId65">
        <w:r>
          <w:rPr>
            <w:rStyle w:val="Hyperlink"/>
          </w:rPr>
          <w:t>https://doi.org/10.1007/978-3-031-04083-2_2</w:t>
        </w:r>
      </w:hyperlink>
      <w:r>
        <w:t>.</w:t>
      </w:r>
    </w:p>
    <w:p w14:paraId="13302C36" w14:textId="77777777" w:rsidR="00D075F6" w:rsidRDefault="00734411">
      <w:bookmarkStart w:id="322" w:name="ref-hooker2019benchmark"/>
      <w:bookmarkEnd w:id="321"/>
      <w:r>
        <w:t xml:space="preserve">Hooker, Sara, Dumitru Erhan, Pieter-Jan Kindermans, y Been Kim. 2019. </w:t>
      </w:r>
      <w:r>
        <w:t xml:space="preserve">«A Benchmark for Interpretability Methods in Deep Neural Networks». </w:t>
      </w:r>
      <w:r>
        <w:rPr>
          <w:i/>
          <w:iCs/>
        </w:rPr>
        <w:t>Advances in Neural Information Processing Systems</w:t>
      </w:r>
      <w:r>
        <w:t xml:space="preserve"> 32: 9737-48.</w:t>
      </w:r>
    </w:p>
    <w:p w14:paraId="3A1CD122" w14:textId="77777777" w:rsidR="00D075F6" w:rsidRDefault="00734411">
      <w:bookmarkStart w:id="323" w:name="ref-hosseini2025"/>
      <w:bookmarkEnd w:id="322"/>
      <w:r>
        <w:t xml:space="preserve">Hosseini, Soodeh, y Hossein Seilani. 2025. «The role of agentic AI in shaping a smart future: A systematic review». </w:t>
      </w:r>
      <w:r>
        <w:rPr>
          <w:i/>
          <w:iCs/>
        </w:rPr>
        <w:t>Array</w:t>
      </w:r>
      <w:r>
        <w:t xml:space="preserve"> 26: 100399. </w:t>
      </w:r>
      <w:hyperlink r:id="rId66">
        <w:r>
          <w:rPr>
            <w:rStyle w:val="Hyperlink"/>
          </w:rPr>
          <w:t>https://doi.org/10.1016/j.array.2025.100399</w:t>
        </w:r>
      </w:hyperlink>
      <w:r>
        <w:t>.</w:t>
      </w:r>
    </w:p>
    <w:p w14:paraId="7E8FE40F" w14:textId="77777777" w:rsidR="00D075F6" w:rsidRDefault="00734411">
      <w:bookmarkStart w:id="324" w:name="ref-hutson2018"/>
      <w:bookmarkEnd w:id="323"/>
      <w:r>
        <w:t xml:space="preserve">Hutson, Matthew. 2018. «Artificial intelligence faces reproducibility crisis». </w:t>
      </w:r>
      <w:r>
        <w:rPr>
          <w:i/>
          <w:iCs/>
        </w:rPr>
        <w:t>Science</w:t>
      </w:r>
      <w:r>
        <w:t xml:space="preserve"> 359 (6377): 725-26. </w:t>
      </w:r>
      <w:hyperlink r:id="rId67">
        <w:r>
          <w:rPr>
            <w:rStyle w:val="Hyperlink"/>
          </w:rPr>
          <w:t>https://doi.org/10.1126/science.359.6377.725</w:t>
        </w:r>
      </w:hyperlink>
      <w:r>
        <w:t>.</w:t>
      </w:r>
    </w:p>
    <w:p w14:paraId="712D0410" w14:textId="77777777" w:rsidR="00D075F6" w:rsidRDefault="00734411">
      <w:bookmarkStart w:id="325" w:name="ref-iatrellis2023"/>
      <w:bookmarkEnd w:id="324"/>
      <w:r>
        <w:t xml:space="preserve">Iatrellis, Omiros, Nicholas Samaras, Charalampos Dervenis, y Theodor Panagiotakopoulos. 2023. «KONX: A Dynamic Approach for Explainable AI in Higher Education». </w:t>
      </w:r>
      <w:r>
        <w:rPr>
          <w:i/>
          <w:iCs/>
        </w:rPr>
        <w:t>Proceedings of the 7th International Conference on Algorithms, Computing and Systems</w:t>
      </w:r>
      <w:r>
        <w:t xml:space="preserve">, 118-24. </w:t>
      </w:r>
      <w:hyperlink r:id="rId68">
        <w:r>
          <w:rPr>
            <w:rStyle w:val="Hyperlink"/>
          </w:rPr>
          <w:t>https://doi.org/10.1145/3631908.3631925</w:t>
        </w:r>
      </w:hyperlink>
      <w:r>
        <w:t>.</w:t>
      </w:r>
    </w:p>
    <w:p w14:paraId="6701DA50" w14:textId="77777777" w:rsidR="00D075F6" w:rsidRDefault="00734411">
      <w:bookmarkStart w:id="326" w:name="ref-ji2022"/>
      <w:bookmarkEnd w:id="325"/>
      <w:r>
        <w:t xml:space="preserve">Ji, Lee, Z. 2022. </w:t>
      </w:r>
      <w:r>
        <w:t xml:space="preserve">«Survey of Hallucination in Natural Language Generation». </w:t>
      </w:r>
      <w:r>
        <w:rPr>
          <w:i/>
          <w:iCs/>
        </w:rPr>
        <w:t>ACM Computing Surveys</w:t>
      </w:r>
      <w:r>
        <w:t xml:space="preserve"> 55 (12): 1-38. </w:t>
      </w:r>
      <w:hyperlink r:id="rId69">
        <w:r>
          <w:rPr>
            <w:rStyle w:val="Hyperlink"/>
          </w:rPr>
          <w:t>https://doi.org/10.1145/3571730</w:t>
        </w:r>
      </w:hyperlink>
      <w:r>
        <w:t>.</w:t>
      </w:r>
    </w:p>
    <w:p w14:paraId="4D211CAF" w14:textId="77777777" w:rsidR="00D075F6" w:rsidRDefault="00734411">
      <w:bookmarkStart w:id="327" w:name="ref-kadir2023"/>
      <w:bookmarkEnd w:id="326"/>
      <w:r>
        <w:t xml:space="preserve">Kadir, Md Abdul, Amir Mosavi, y Daniel Sonntag. 2023. </w:t>
      </w:r>
      <w:r>
        <w:rPr>
          <w:i/>
          <w:iCs/>
        </w:rPr>
        <w:t>Evaluation Metrics for XAI: A Review, Taxonomy, and Practical Applications</w:t>
      </w:r>
      <w:r>
        <w:t>. IEEE 27th International Conference on Intelligent Engineering Systems (INES).</w:t>
      </w:r>
    </w:p>
    <w:p w14:paraId="0A563574" w14:textId="77777777" w:rsidR="00D075F6" w:rsidRDefault="00734411">
      <w:bookmarkStart w:id="328" w:name="ref-kalasampath2025"/>
      <w:bookmarkEnd w:id="327"/>
      <w:r>
        <w:t xml:space="preserve">Kalasampath, Khushi, K. N. Spoorthi, Sreeparvathy Sajeev, Sahil Sarma Kuppa, Kavya Ajay, y Angulakshmi Maruthamuthu. 2025. </w:t>
      </w:r>
      <w:r>
        <w:t xml:space="preserve">«A Literature Review on Applications of Explainable Artificial Intelligence (XAI)». </w:t>
      </w:r>
      <w:r>
        <w:rPr>
          <w:i/>
          <w:iCs/>
        </w:rPr>
        <w:t>IEEE Access</w:t>
      </w:r>
      <w:r>
        <w:t xml:space="preserve"> 13: 41111-40. </w:t>
      </w:r>
      <w:hyperlink r:id="rId70">
        <w:r>
          <w:rPr>
            <w:rStyle w:val="Hyperlink"/>
          </w:rPr>
          <w:t>https://doi.org/10.1109/access.2025.3546681</w:t>
        </w:r>
      </w:hyperlink>
      <w:r>
        <w:t>.</w:t>
      </w:r>
    </w:p>
    <w:p w14:paraId="284D4862" w14:textId="77777777" w:rsidR="00D075F6" w:rsidRDefault="00734411">
      <w:bookmarkStart w:id="329" w:name="ref-karimi2022"/>
      <w:bookmarkEnd w:id="328"/>
      <w:r>
        <w:t xml:space="preserve">Karimi, Amir-Hossein, Gilles Barthe, Bernhard Schölkopf, y Isabel Valera. 2022. «A Survey of Algorithmic Recourse: Contrastive Explanations and Consequential Recommendations». </w:t>
      </w:r>
      <w:r>
        <w:rPr>
          <w:i/>
          <w:iCs/>
        </w:rPr>
        <w:t>ACM Computing Surveys</w:t>
      </w:r>
      <w:r>
        <w:t xml:space="preserve"> 55 (5): 1-29. </w:t>
      </w:r>
      <w:hyperlink r:id="rId71">
        <w:r>
          <w:rPr>
            <w:rStyle w:val="Hyperlink"/>
          </w:rPr>
          <w:t>https://doi.org/10.1145/3527848</w:t>
        </w:r>
      </w:hyperlink>
      <w:r>
        <w:t>.</w:t>
      </w:r>
    </w:p>
    <w:p w14:paraId="37DE95A5" w14:textId="77777777" w:rsidR="00D075F6" w:rsidRDefault="00734411">
      <w:bookmarkStart w:id="330" w:name="ref-karmakar2024"/>
      <w:bookmarkEnd w:id="329"/>
      <w:r>
        <w:t xml:space="preserve">Karmakar, Pratik, Mikaël Monet, Pierre Senellart, y Stephane Bressan. 2024. «Expected Shapley-Like Scores of Boolean functions: Complexity and Applications to Probabilistic Databases». </w:t>
      </w:r>
      <w:r>
        <w:rPr>
          <w:i/>
          <w:iCs/>
        </w:rPr>
        <w:t>Proceedings of the ACM on Management of Data</w:t>
      </w:r>
      <w:r>
        <w:t xml:space="preserve"> 2 (2): 1-26. </w:t>
      </w:r>
      <w:hyperlink r:id="rId72">
        <w:r>
          <w:rPr>
            <w:rStyle w:val="Hyperlink"/>
          </w:rPr>
          <w:t>https://doi.org/10.1145/3651593</w:t>
        </w:r>
      </w:hyperlink>
      <w:r>
        <w:t>.</w:t>
      </w:r>
    </w:p>
    <w:p w14:paraId="711F9DB3" w14:textId="77777777" w:rsidR="00D075F6" w:rsidRDefault="00734411">
      <w:bookmarkStart w:id="331" w:name="ref-kaur2020"/>
      <w:bookmarkEnd w:id="330"/>
      <w:r>
        <w:t xml:space="preserve">Kaur, Harmanpreet, Harsha Nori, Samuel Jenkins, Rich Caruana, Hanna Wallach, y Jennifer Wortman Vaughan. 2020. </w:t>
      </w:r>
      <w:r>
        <w:t xml:space="preserve">«Interpreting Interpretability: Understanding Data Scientists’ Use of Interpretability Tools for Machine Learning». </w:t>
      </w:r>
      <w:r>
        <w:rPr>
          <w:i/>
          <w:iCs/>
        </w:rPr>
        <w:t>Proceedings of the 2020 CHI Conference on Human Factors in Computing Systems</w:t>
      </w:r>
      <w:r>
        <w:t xml:space="preserve">, 1-14. </w:t>
      </w:r>
      <w:hyperlink r:id="rId73">
        <w:r>
          <w:rPr>
            <w:rStyle w:val="Hyperlink"/>
          </w:rPr>
          <w:t>https://doi.org/10.1145/3313831.3376219</w:t>
        </w:r>
      </w:hyperlink>
      <w:r>
        <w:t>.</w:t>
      </w:r>
    </w:p>
    <w:p w14:paraId="64F1D629" w14:textId="77777777" w:rsidR="00D075F6" w:rsidRDefault="00734411">
      <w:bookmarkStart w:id="332" w:name="ref-kim2018"/>
      <w:bookmarkEnd w:id="331"/>
      <w:r>
        <w:t xml:space="preserve">Kim, Been, Martin Wattenberg, Justin Gilmer, et al. 2018. «Interpretability Beyond Feature Attribution: Quantitative Testing with Concept Activation Vectors (TCAV)». </w:t>
      </w:r>
      <w:r>
        <w:rPr>
          <w:i/>
          <w:iCs/>
        </w:rPr>
        <w:t>Proceedings of the 35th International Conference on Machine Learning</w:t>
      </w:r>
      <w:r>
        <w:t>.</w:t>
      </w:r>
    </w:p>
    <w:p w14:paraId="2CB1BFBB" w14:textId="77777777" w:rsidR="00D075F6" w:rsidRDefault="00734411">
      <w:bookmarkStart w:id="333" w:name="ref-kim2024"/>
      <w:bookmarkEnd w:id="332"/>
      <w:r>
        <w:t xml:space="preserve">Kim, Sunnie S. Y. 2024. «Establishing Appropriate Trust in AI through Transparency and Explainability». </w:t>
      </w:r>
      <w:r>
        <w:rPr>
          <w:i/>
          <w:iCs/>
        </w:rPr>
        <w:t>Extended Abstracts of the CHI Conference on Human Factors in Computing Systems</w:t>
      </w:r>
      <w:r>
        <w:t xml:space="preserve">, 1-6. </w:t>
      </w:r>
      <w:hyperlink r:id="rId74">
        <w:r>
          <w:rPr>
            <w:rStyle w:val="Hyperlink"/>
          </w:rPr>
          <w:t>https://doi.org/10.1145/3613905.3638184</w:t>
        </w:r>
      </w:hyperlink>
      <w:r>
        <w:t>.</w:t>
      </w:r>
    </w:p>
    <w:p w14:paraId="3A1544CC" w14:textId="77777777" w:rsidR="00D075F6" w:rsidRDefault="00734411">
      <w:bookmarkStart w:id="334" w:name="ref-koh2020"/>
      <w:bookmarkEnd w:id="333"/>
      <w:r>
        <w:t xml:space="preserve">Koh, Pang Wei, Thao Nguyen, Yew Siang Tang, et al. 2020. «Concept Bottleneck Models». </w:t>
      </w:r>
      <w:r>
        <w:rPr>
          <w:i/>
          <w:iCs/>
        </w:rPr>
        <w:t>Proceedings of the 37th International Conference on Machine Learning</w:t>
      </w:r>
      <w:r>
        <w:t>.</w:t>
      </w:r>
    </w:p>
    <w:p w14:paraId="5CFD141C" w14:textId="77777777" w:rsidR="00D075F6" w:rsidRDefault="00734411">
      <w:bookmarkStart w:id="335" w:name="ref-kohavi1996"/>
      <w:bookmarkEnd w:id="334"/>
      <w:r>
        <w:t xml:space="preserve">Kohavi, Ron, y Barry Becker. 1996. </w:t>
      </w:r>
      <w:r>
        <w:rPr>
          <w:i/>
          <w:iCs/>
        </w:rPr>
        <w:t>Adult Data Set</w:t>
      </w:r>
      <w:r>
        <w:t xml:space="preserve">. UCI Machine Learning Repository. </w:t>
      </w:r>
      <w:hyperlink r:id="rId75">
        <w:r>
          <w:rPr>
            <w:rStyle w:val="Hyperlink"/>
          </w:rPr>
          <w:t>https://archive.ics.uci.edu/dataset/2/adult</w:t>
        </w:r>
      </w:hyperlink>
      <w:r>
        <w:t>.</w:t>
      </w:r>
    </w:p>
    <w:p w14:paraId="73F95361" w14:textId="77777777" w:rsidR="00D075F6" w:rsidRDefault="00734411">
      <w:bookmarkStart w:id="336" w:name="ref-koo2016"/>
      <w:bookmarkEnd w:id="335"/>
      <w:r>
        <w:t xml:space="preserve">Koo, Terry K., y Mae Y. Li. 2016. «A Guideline of Selecting and Reporting Intraclass Correlation Coefficients for Reliability Research». </w:t>
      </w:r>
      <w:r>
        <w:rPr>
          <w:i/>
          <w:iCs/>
        </w:rPr>
        <w:t>Journal of Chiropractic Medicine</w:t>
      </w:r>
      <w:r>
        <w:t xml:space="preserve"> 15 (2): 155-63. </w:t>
      </w:r>
      <w:hyperlink r:id="rId76">
        <w:r>
          <w:rPr>
            <w:rStyle w:val="Hyperlink"/>
          </w:rPr>
          <w:t>https://doi.org/10.1016/j.jcm.2016.02.012</w:t>
        </w:r>
      </w:hyperlink>
      <w:r>
        <w:t>.</w:t>
      </w:r>
    </w:p>
    <w:p w14:paraId="3F00AEF1" w14:textId="77777777" w:rsidR="00D075F6" w:rsidRDefault="00734411">
      <w:bookmarkStart w:id="337" w:name="ref-krippendorff2018"/>
      <w:bookmarkEnd w:id="336"/>
      <w:r>
        <w:t xml:space="preserve">Krippendorff, Klaus. 2018. </w:t>
      </w:r>
      <w:r>
        <w:rPr>
          <w:i/>
          <w:iCs/>
        </w:rPr>
        <w:t>Content Analysis: An Introduction to Its Methodology</w:t>
      </w:r>
      <w:r>
        <w:t>. 4.ª ed. SAGE Publications.</w:t>
      </w:r>
    </w:p>
    <w:p w14:paraId="18443363" w14:textId="77777777" w:rsidR="00D075F6" w:rsidRDefault="00734411">
      <w:bookmarkStart w:id="338" w:name="ref-kumagai2023"/>
      <w:bookmarkEnd w:id="337"/>
      <w:r>
        <w:t xml:space="preserve">Kumagai, Ryo, Shu Takemoto, Yusuke Nozaki, y Masaya Yoshikawa. 2023. «Explainable AI based Adversarial Examples and its Evaluation». </w:t>
      </w:r>
      <w:r>
        <w:rPr>
          <w:i/>
          <w:iCs/>
        </w:rPr>
        <w:t>Proceedings of the 2023 6th International Conference on Electronics, Communications and Control Engineering</w:t>
      </w:r>
      <w:r>
        <w:t xml:space="preserve">, 220-25. </w:t>
      </w:r>
      <w:hyperlink r:id="rId77">
        <w:r>
          <w:rPr>
            <w:rStyle w:val="Hyperlink"/>
          </w:rPr>
          <w:t>https://doi.org/10.1145/3592307.3592342</w:t>
        </w:r>
      </w:hyperlink>
      <w:r>
        <w:t>.</w:t>
      </w:r>
    </w:p>
    <w:p w14:paraId="0B741CA8" w14:textId="77777777" w:rsidR="00D075F6" w:rsidRDefault="00734411">
      <w:bookmarkStart w:id="339" w:name="ref-lakens2013"/>
      <w:bookmarkEnd w:id="338"/>
      <w:r>
        <w:t xml:space="preserve">Lakens, Daniël. 2013. </w:t>
      </w:r>
      <w:r>
        <w:t xml:space="preserve">«Calculating and Reporting Effect Sizes to Facilitate Cumulative Science: A Practical Primer for t-tests and ANOVAs». </w:t>
      </w:r>
      <w:r>
        <w:rPr>
          <w:i/>
          <w:iCs/>
        </w:rPr>
        <w:t>Frontiers in Psychology</w:t>
      </w:r>
      <w:r>
        <w:t xml:space="preserve"> 4: 863. </w:t>
      </w:r>
      <w:hyperlink r:id="rId78">
        <w:r>
          <w:rPr>
            <w:rStyle w:val="Hyperlink"/>
          </w:rPr>
          <w:t>https://doi.org/10.3389/fpsyg.2013.00863</w:t>
        </w:r>
      </w:hyperlink>
      <w:r>
        <w:t>.</w:t>
      </w:r>
    </w:p>
    <w:p w14:paraId="007C1BA6" w14:textId="77777777" w:rsidR="00D075F6" w:rsidRDefault="00734411">
      <w:bookmarkStart w:id="340" w:name="ref-langer2021"/>
      <w:bookmarkEnd w:id="339"/>
      <w:r>
        <w:t xml:space="preserve">Langer, Markus, Daniel Oster, Timo Speith, et al. 2021. «What Do We Want from Explainable Artificial Intelligence (XAI)? A Stakeholder Perspective on XAI and a Conceptual Model Guiding Interdisciplinary XAI Research». </w:t>
      </w:r>
      <w:r>
        <w:rPr>
          <w:i/>
          <w:iCs/>
        </w:rPr>
        <w:t>Artificial Intelligence</w:t>
      </w:r>
      <w:r>
        <w:t xml:space="preserve"> 296: 103473. </w:t>
      </w:r>
      <w:hyperlink r:id="rId79">
        <w:r>
          <w:rPr>
            <w:rStyle w:val="Hyperlink"/>
          </w:rPr>
          <w:t>https://doi.org/10.1016/j.artint.2021.103473</w:t>
        </w:r>
      </w:hyperlink>
      <w:r>
        <w:t>.</w:t>
      </w:r>
    </w:p>
    <w:p w14:paraId="343D4EC7" w14:textId="77777777" w:rsidR="00D075F6" w:rsidRDefault="00734411">
      <w:bookmarkStart w:id="341" w:name="ref-laugel2019"/>
      <w:bookmarkEnd w:id="340"/>
      <w:r>
        <w:t xml:space="preserve">Laugel, Thibault, Marie-Jeanne Lesot, Christophe Marsala, Xavier Renard, y Marcin Detyniecki. 2019. «The Dangers of Post-hoc Interpretability: Unjustified Counterfactual Explanations». </w:t>
      </w:r>
      <w:r>
        <w:rPr>
          <w:i/>
          <w:iCs/>
        </w:rPr>
        <w:t>Proceedings of the Twenty-Eighth International Joint Conference on Artificial Intelligence</w:t>
      </w:r>
      <w:r>
        <w:t xml:space="preserve">, 2801-7. </w:t>
      </w:r>
      <w:hyperlink r:id="rId80">
        <w:r>
          <w:rPr>
            <w:rStyle w:val="Hyperlink"/>
          </w:rPr>
          <w:t>https://doi.org/10.24963/ijcai.2019/388</w:t>
        </w:r>
      </w:hyperlink>
      <w:r>
        <w:t>.</w:t>
      </w:r>
    </w:p>
    <w:p w14:paraId="2F03E6DC" w14:textId="77777777" w:rsidR="00D075F6" w:rsidRDefault="00734411">
      <w:bookmarkStart w:id="342" w:name="ref-li2022"/>
      <w:bookmarkEnd w:id="341"/>
      <w:r>
        <w:t xml:space="preserve">Li, Xuhong, Haoyi Xiong, Xingjian Li, Xuanyu Wu, Zeyu Chen, y Dejing Dou. 2022. «InterpretDL: Explaining Deep Models in PaddlePaddle». </w:t>
      </w:r>
      <w:r>
        <w:rPr>
          <w:i/>
          <w:iCs/>
        </w:rPr>
        <w:t>Journal of Machine Learning Research</w:t>
      </w:r>
      <w:r>
        <w:t xml:space="preserve"> 23: 1-6.</w:t>
      </w:r>
    </w:p>
    <w:p w14:paraId="43BC5E99" w14:textId="77777777" w:rsidR="00D075F6" w:rsidRDefault="00734411">
      <w:bookmarkStart w:id="343" w:name="ref-linardatos2020"/>
      <w:bookmarkEnd w:id="342"/>
      <w:r>
        <w:t xml:space="preserve">Linardatos, Papastefanopoulos, P. 2020. «Explainable AI: A review of Machine Learning Interpretability Methods». </w:t>
      </w:r>
      <w:r>
        <w:rPr>
          <w:i/>
          <w:iCs/>
        </w:rPr>
        <w:t>Entropy</w:t>
      </w:r>
      <w:r>
        <w:t xml:space="preserve"> 23 (1): 18. </w:t>
      </w:r>
      <w:hyperlink r:id="rId81">
        <w:r>
          <w:rPr>
            <w:rStyle w:val="Hyperlink"/>
          </w:rPr>
          <w:t>https://doi.org/10.3390/e23010018</w:t>
        </w:r>
      </w:hyperlink>
      <w:r>
        <w:t>.</w:t>
      </w:r>
    </w:p>
    <w:p w14:paraId="2C85FF85" w14:textId="77777777" w:rsidR="00D075F6" w:rsidRDefault="00734411">
      <w:bookmarkStart w:id="344" w:name="ref-lipton2018"/>
      <w:bookmarkEnd w:id="343"/>
      <w:r>
        <w:t xml:space="preserve">Lipton, Z. C. 2018. «The mythos of model interpretability». </w:t>
      </w:r>
      <w:r>
        <w:rPr>
          <w:i/>
          <w:iCs/>
        </w:rPr>
        <w:t>Queue</w:t>
      </w:r>
      <w:r>
        <w:t xml:space="preserve"> 16 (3): 31-57. </w:t>
      </w:r>
      <w:hyperlink r:id="rId82">
        <w:r>
          <w:rPr>
            <w:rStyle w:val="Hyperlink"/>
          </w:rPr>
          <w:t>https://doi.org/10.1145/3236386.3241340</w:t>
        </w:r>
      </w:hyperlink>
      <w:r>
        <w:t>.</w:t>
      </w:r>
    </w:p>
    <w:p w14:paraId="2BA84AB7" w14:textId="77777777" w:rsidR="00D075F6" w:rsidRDefault="00734411">
      <w:bookmarkStart w:id="345" w:name="ref-liu2024"/>
      <w:bookmarkEnd w:id="344"/>
      <w:r>
        <w:t xml:space="preserve">Liu, Ziming, Yixuan Wang, Sachin Vaidya, et al. 2024. </w:t>
      </w:r>
      <w:r>
        <w:rPr>
          <w:i/>
          <w:iCs/>
        </w:rPr>
        <w:t>KAN: Kolmogorov-Arnold Networks</w:t>
      </w:r>
      <w:r>
        <w:t>.</w:t>
      </w:r>
    </w:p>
    <w:p w14:paraId="72470733" w14:textId="77777777" w:rsidR="00D075F6" w:rsidRDefault="00734411">
      <w:bookmarkStart w:id="346" w:name="ref-long2019"/>
      <w:bookmarkEnd w:id="345"/>
      <w:r>
        <w:t xml:space="preserve">Long, Bowen, Enjie Liu, Renxi Qiu, y Yanqing Duan. 2019. </w:t>
      </w:r>
      <w:r>
        <w:rPr>
          <w:i/>
          <w:iCs/>
        </w:rPr>
        <w:t>Explainable AI: The Latest Advancements and New Trends</w:t>
      </w:r>
      <w:r>
        <w:t>.</w:t>
      </w:r>
    </w:p>
    <w:p w14:paraId="29EC1CA0" w14:textId="77777777" w:rsidR="00D075F6" w:rsidRDefault="00734411">
      <w:bookmarkStart w:id="347" w:name="ref-longo2024"/>
      <w:bookmarkEnd w:id="346"/>
      <w:r>
        <w:t xml:space="preserve">Longo, Luca, Mario Brcic, Federico Cabitza, et al. 2024. «Explainable Artificial Intelligence (XAI) 2.0: A manifesto of open challenges and interdisciplinary research directions». </w:t>
      </w:r>
      <w:r>
        <w:rPr>
          <w:i/>
          <w:iCs/>
        </w:rPr>
        <w:t>Information Fusion</w:t>
      </w:r>
      <w:r>
        <w:t xml:space="preserve"> 106: 102301. </w:t>
      </w:r>
      <w:hyperlink r:id="rId83">
        <w:r>
          <w:rPr>
            <w:rStyle w:val="Hyperlink"/>
          </w:rPr>
          <w:t>https://doi.org/10.1016/j.inffus.2024.102301</w:t>
        </w:r>
      </w:hyperlink>
      <w:r>
        <w:t>.</w:t>
      </w:r>
    </w:p>
    <w:p w14:paraId="6212EB95" w14:textId="77777777" w:rsidR="00D075F6" w:rsidRDefault="00734411">
      <w:bookmarkStart w:id="348" w:name="ref-lundberg2017"/>
      <w:bookmarkEnd w:id="347"/>
      <w:r>
        <w:t xml:space="preserve">Lundberg, &amp; Lee, S. M. 2017. «A unified approach to interpreting model predictions». </w:t>
      </w:r>
      <w:r>
        <w:rPr>
          <w:i/>
          <w:iCs/>
        </w:rPr>
        <w:t>arXiv (Cornell University)</w:t>
      </w:r>
      <w:r>
        <w:t xml:space="preserve">, advance online publication. </w:t>
      </w:r>
      <w:hyperlink r:id="rId84">
        <w:r>
          <w:rPr>
            <w:rStyle w:val="Hyperlink"/>
          </w:rPr>
          <w:t>https://doi.org/10.48550/arxiv.1705.07874</w:t>
        </w:r>
      </w:hyperlink>
      <w:r>
        <w:t>.</w:t>
      </w:r>
    </w:p>
    <w:p w14:paraId="0AE49B95" w14:textId="77777777" w:rsidR="00D075F6" w:rsidRDefault="00734411">
      <w:bookmarkStart w:id="349" w:name="ref-malwade2023"/>
      <w:bookmarkEnd w:id="348"/>
      <w:r>
        <w:t xml:space="preserve">Malwade, &amp; Budhavale, S. S. 2023. «Exploring Explainable AI: Current Trends, Challenges, Techniques and its Applications». </w:t>
      </w:r>
      <w:r>
        <w:rPr>
          <w:i/>
          <w:iCs/>
        </w:rPr>
        <w:t>ICIMMI ’23: Proceedings of the 5th International Conference on Information Management &amp; Machine Intelligence Article No.: 85, 1–9</w:t>
      </w:r>
      <w:r>
        <w:t xml:space="preserve">, advance online publication. </w:t>
      </w:r>
      <w:hyperlink r:id="rId85">
        <w:r>
          <w:rPr>
            <w:rStyle w:val="Hyperlink"/>
          </w:rPr>
          <w:t>https://doi.org/10.1145/3647444.3647912</w:t>
        </w:r>
      </w:hyperlink>
      <w:r>
        <w:t>.</w:t>
      </w:r>
    </w:p>
    <w:p w14:paraId="7F315E8B" w14:textId="77777777" w:rsidR="00D075F6" w:rsidRDefault="00734411">
      <w:bookmarkStart w:id="350" w:name="ref-marcinkevics2023"/>
      <w:bookmarkEnd w:id="349"/>
      <w:r>
        <w:t xml:space="preserve">Marcinkevičs, &amp; Vogt, R. 2023. «Interpretable and explainable machine learning: A methods‐centric overview with concrete examples». </w:t>
      </w:r>
      <w:r>
        <w:rPr>
          <w:i/>
          <w:iCs/>
        </w:rPr>
        <w:t>Wiley Interdisciplinary Reviews Data Mining and Knowledge Discovery</w:t>
      </w:r>
      <w:r>
        <w:t xml:space="preserve"> 13 (3). </w:t>
      </w:r>
      <w:hyperlink r:id="rId86">
        <w:r>
          <w:rPr>
            <w:rStyle w:val="Hyperlink"/>
          </w:rPr>
          <w:t>https://doi.org/10.1002/widm.1493</w:t>
        </w:r>
      </w:hyperlink>
      <w:r>
        <w:t>.</w:t>
      </w:r>
    </w:p>
    <w:p w14:paraId="2404FC46" w14:textId="77777777" w:rsidR="00D075F6" w:rsidRDefault="00734411">
      <w:bookmarkStart w:id="351" w:name="ref-marquessilva2024"/>
      <w:bookmarkEnd w:id="350"/>
      <w:r>
        <w:t xml:space="preserve">Marques-Silva, Joao. 2024. </w:t>
      </w:r>
      <w:r>
        <w:rPr>
          <w:i/>
          <w:iCs/>
        </w:rPr>
        <w:t>Logic-Based Explainability: Past, Present and Future</w:t>
      </w:r>
      <w:r>
        <w:t xml:space="preserve">. Springer Nature Switzerland. </w:t>
      </w:r>
      <w:hyperlink r:id="rId87">
        <w:r>
          <w:rPr>
            <w:rStyle w:val="Hyperlink"/>
          </w:rPr>
          <w:t>https://doi.org/10.1007/978-3-031-75387-9_12</w:t>
        </w:r>
      </w:hyperlink>
      <w:r>
        <w:t>.</w:t>
      </w:r>
    </w:p>
    <w:p w14:paraId="6E4ED3FB" w14:textId="77777777" w:rsidR="00D075F6" w:rsidRDefault="00734411">
      <w:bookmarkStart w:id="352" w:name="ref-miller2019"/>
      <w:bookmarkEnd w:id="351"/>
      <w:r>
        <w:t xml:space="preserve">Miller, Tim. 2019. «Explanation in Artificial Intelligence: Insights from the Social Sciences». </w:t>
      </w:r>
      <w:r>
        <w:rPr>
          <w:i/>
          <w:iCs/>
        </w:rPr>
        <w:t>Artificial Intelligence</w:t>
      </w:r>
      <w:r>
        <w:t xml:space="preserve"> 267: 1-38. </w:t>
      </w:r>
      <w:hyperlink r:id="rId88">
        <w:r>
          <w:rPr>
            <w:rStyle w:val="Hyperlink"/>
          </w:rPr>
          <w:t>https://doi.org/10.1016/j.artint.2018.07.007</w:t>
        </w:r>
      </w:hyperlink>
      <w:r>
        <w:t>.</w:t>
      </w:r>
    </w:p>
    <w:p w14:paraId="61273A1E" w14:textId="77777777" w:rsidR="00D075F6" w:rsidRDefault="00734411">
      <w:bookmarkStart w:id="353" w:name="ref-mitchell2022"/>
      <w:bookmarkEnd w:id="352"/>
      <w:r>
        <w:t xml:space="preserve">Mitchell, Rory, Joshua Cooper, Eibe Frank, y Geoffrey Holmes. 2022. «Sampling Permutations for Shapley Value Estimation». </w:t>
      </w:r>
      <w:r>
        <w:rPr>
          <w:i/>
          <w:iCs/>
        </w:rPr>
        <w:t>Journal of Machine Learning Research</w:t>
      </w:r>
      <w:r>
        <w:t xml:space="preserve"> 23: 1-46.</w:t>
      </w:r>
    </w:p>
    <w:p w14:paraId="38ED8D81" w14:textId="77777777" w:rsidR="00D075F6" w:rsidRDefault="00734411">
      <w:bookmarkStart w:id="354" w:name="ref-mittal2023"/>
      <w:bookmarkEnd w:id="353"/>
      <w:r>
        <w:t xml:space="preserve">Mittal, Sangeeta. 2023. «Explaining URL Phishing Detection by Glass Box Models». </w:t>
      </w:r>
      <w:r>
        <w:rPr>
          <w:i/>
          <w:iCs/>
        </w:rPr>
        <w:t>Proceedings of the 2023 Fifteenth International Conference on Contemporary Computing</w:t>
      </w:r>
      <w:r>
        <w:t xml:space="preserve">, 537-44. </w:t>
      </w:r>
      <w:hyperlink r:id="rId89">
        <w:r>
          <w:rPr>
            <w:rStyle w:val="Hyperlink"/>
          </w:rPr>
          <w:t>https://doi.org/10.1145/3607947.3608059</w:t>
        </w:r>
      </w:hyperlink>
      <w:r>
        <w:t>.</w:t>
      </w:r>
    </w:p>
    <w:p w14:paraId="0C5A6A54" w14:textId="77777777" w:rsidR="00D075F6" w:rsidRDefault="00734411">
      <w:bookmarkStart w:id="355" w:name="ref-mittelstadt2019"/>
      <w:bookmarkEnd w:id="354"/>
      <w:r>
        <w:t xml:space="preserve">Mittelstadt, Russell, B. 2019. «Explaining Explanations in AI». </w:t>
      </w:r>
      <w:r>
        <w:rPr>
          <w:i/>
          <w:iCs/>
        </w:rPr>
        <w:t>FAT* ’19: Proceedings of the Conference on Fairness, Accountability, and Transparency, 279–288</w:t>
      </w:r>
      <w:r>
        <w:t xml:space="preserve">, advance online publication. </w:t>
      </w:r>
      <w:hyperlink r:id="rId90">
        <w:r>
          <w:rPr>
            <w:rStyle w:val="Hyperlink"/>
          </w:rPr>
          <w:t>https://doi.org/10.1145/3287560.3287574</w:t>
        </w:r>
      </w:hyperlink>
      <w:r>
        <w:t>.</w:t>
      </w:r>
    </w:p>
    <w:p w14:paraId="03ADD18A" w14:textId="77777777" w:rsidR="00D075F6" w:rsidRDefault="00734411">
      <w:bookmarkStart w:id="356" w:name="ref-mohseni2021"/>
      <w:bookmarkEnd w:id="355"/>
      <w:r>
        <w:t xml:space="preserve">Mohseni, Sina, Niloofar Zarei, y Eric D. Ragan. 2021. «A Multidisciplinary Survey and Framework for Design and Evaluation of Explainable AI Systems». </w:t>
      </w:r>
      <w:r>
        <w:rPr>
          <w:i/>
          <w:iCs/>
        </w:rPr>
        <w:t>ACM Transactions on Interactive Intelligent Systems</w:t>
      </w:r>
      <w:r>
        <w:t xml:space="preserve"> 11 (3-4): 1-45. </w:t>
      </w:r>
      <w:hyperlink r:id="rId91">
        <w:r>
          <w:rPr>
            <w:rStyle w:val="Hyperlink"/>
          </w:rPr>
          <w:t>https://doi.org/10.1145/3387166</w:t>
        </w:r>
      </w:hyperlink>
      <w:r>
        <w:t>.</w:t>
      </w:r>
    </w:p>
    <w:p w14:paraId="3E4C5760" w14:textId="77777777" w:rsidR="00D075F6" w:rsidRDefault="00734411">
      <w:bookmarkStart w:id="357" w:name="ref-molnar2020"/>
      <w:bookmarkEnd w:id="356"/>
      <w:r>
        <w:t xml:space="preserve">Molnar, Christoph, Giuseppe Casalicchio, y Bernd Bischl. 2020. </w:t>
      </w:r>
      <w:r>
        <w:rPr>
          <w:i/>
          <w:iCs/>
        </w:rPr>
        <w:t>Interpretable Machine Learning – A Brief History, State-of-the-Art and Challenges</w:t>
      </w:r>
      <w:r>
        <w:t xml:space="preserve">. Springer International Publishing. </w:t>
      </w:r>
      <w:hyperlink r:id="rId92">
        <w:r>
          <w:rPr>
            <w:rStyle w:val="Hyperlink"/>
          </w:rPr>
          <w:t>https://doi.org/10.1007/978-3-030-65965-3_28</w:t>
        </w:r>
      </w:hyperlink>
      <w:r>
        <w:t>.</w:t>
      </w:r>
    </w:p>
    <w:p w14:paraId="11C0D937" w14:textId="77777777" w:rsidR="00D075F6" w:rsidRDefault="00734411">
      <w:bookmarkStart w:id="358" w:name="ref-morrison2023"/>
      <w:bookmarkEnd w:id="357"/>
      <w:r>
        <w:t xml:space="preserve">Morrison, Katelyn, Mayank Jain, Jessica Hammer, y Adam Perer. 2023. </w:t>
      </w:r>
      <w:r>
        <w:t xml:space="preserve">«Eye into AI: Evaluating the Interpretability of Explainable AI Techniques through a Game with a Purpose». </w:t>
      </w:r>
      <w:r>
        <w:rPr>
          <w:i/>
          <w:iCs/>
        </w:rPr>
        <w:t>Proceedings of the ACM on Human-Computer Interaction</w:t>
      </w:r>
      <w:r>
        <w:t xml:space="preserve"> 7 (CSCW2): 1-22. </w:t>
      </w:r>
      <w:hyperlink r:id="rId93">
        <w:r>
          <w:rPr>
            <w:rStyle w:val="Hyperlink"/>
          </w:rPr>
          <w:t>https://doi.org/10.1145/3610064</w:t>
        </w:r>
      </w:hyperlink>
      <w:r>
        <w:t>.</w:t>
      </w:r>
    </w:p>
    <w:p w14:paraId="2E59D691" w14:textId="77777777" w:rsidR="00D075F6" w:rsidRDefault="00734411">
      <w:bookmarkStart w:id="359" w:name="ref-mothilal2020"/>
      <w:bookmarkEnd w:id="358"/>
      <w:r>
        <w:t xml:space="preserve">Mothilal, Sharma, R. K. 2020. «Explaining machine learning classifiers through diverse counterfactual explanations». </w:t>
      </w:r>
      <w:r>
        <w:rPr>
          <w:i/>
          <w:iCs/>
        </w:rPr>
        <w:t>FAT* ’20: Proceedings of the 2020 Conference on Fairness, Accountability, and Transparency</w:t>
      </w:r>
      <w:r>
        <w:t xml:space="preserve">, advance online publication. </w:t>
      </w:r>
      <w:hyperlink r:id="rId94">
        <w:r>
          <w:rPr>
            <w:rStyle w:val="Hyperlink"/>
          </w:rPr>
          <w:t>https://doi.org/10.1145/3351095.3372850</w:t>
        </w:r>
      </w:hyperlink>
      <w:r>
        <w:t>.</w:t>
      </w:r>
    </w:p>
    <w:p w14:paraId="47894C5F" w14:textId="77777777" w:rsidR="00D075F6" w:rsidRDefault="00734411">
      <w:bookmarkStart w:id="360" w:name="ref-muntasir2024"/>
      <w:bookmarkEnd w:id="359"/>
      <w:r>
        <w:t xml:space="preserve">Muntasir, Fahim, y Jannatun Noor. 2024. «Explainable AI Discloses Gender Bias in Sexism Detection Algorithm». </w:t>
      </w:r>
      <w:r>
        <w:rPr>
          <w:i/>
          <w:iCs/>
        </w:rPr>
        <w:t>Proceedings of the 11th International Conference on Networking, Systems, and Security</w:t>
      </w:r>
      <w:r>
        <w:t xml:space="preserve">, 120-27. </w:t>
      </w:r>
      <w:hyperlink r:id="rId95">
        <w:r>
          <w:rPr>
            <w:rStyle w:val="Hyperlink"/>
          </w:rPr>
          <w:t>https://doi.org/10.1145/3704522.3704524</w:t>
        </w:r>
      </w:hyperlink>
      <w:r>
        <w:t>.</w:t>
      </w:r>
    </w:p>
    <w:p w14:paraId="7943AE3A" w14:textId="77777777" w:rsidR="00D075F6" w:rsidRDefault="00734411">
      <w:bookmarkStart w:id="361" w:name="ref-murdoch2019"/>
      <w:bookmarkEnd w:id="360"/>
      <w:r>
        <w:t xml:space="preserve">Murdoch, Singh, W. J. 2019. «Definitions, methods, and applications in interpretable machine learning». </w:t>
      </w:r>
      <w:r>
        <w:rPr>
          <w:i/>
          <w:iCs/>
        </w:rPr>
        <w:t>Proceedings of the National Academy of Sciences</w:t>
      </w:r>
      <w:r>
        <w:t xml:space="preserve"> 116 (44): 22071-80. </w:t>
      </w:r>
      <w:hyperlink r:id="rId96">
        <w:r>
          <w:rPr>
            <w:rStyle w:val="Hyperlink"/>
          </w:rPr>
          <w:t>https://doi.org/10.1073/pnas.1900654116</w:t>
        </w:r>
      </w:hyperlink>
      <w:r>
        <w:t>.</w:t>
      </w:r>
    </w:p>
    <w:p w14:paraId="347FDF7B" w14:textId="77777777" w:rsidR="00D075F6" w:rsidRDefault="00734411">
      <w:bookmarkStart w:id="362" w:name="ref-nannini2024"/>
      <w:bookmarkEnd w:id="361"/>
      <w:r>
        <w:t xml:space="preserve">Nannini, Luca, Marta Marchiori Manerba, y Isacco Beretta. 2024. «Mapping the landscape of ethical considerations in explainable AI research». </w:t>
      </w:r>
      <w:r>
        <w:rPr>
          <w:i/>
          <w:iCs/>
        </w:rPr>
        <w:t>Ethics and Information Technology</w:t>
      </w:r>
      <w:r>
        <w:t xml:space="preserve"> 26 (3). </w:t>
      </w:r>
      <w:hyperlink r:id="rId97">
        <w:r>
          <w:rPr>
            <w:rStyle w:val="Hyperlink"/>
          </w:rPr>
          <w:t>https://doi.org/10.1007/s10676-024-09773-7</w:t>
        </w:r>
      </w:hyperlink>
      <w:r>
        <w:t>.</w:t>
      </w:r>
    </w:p>
    <w:p w14:paraId="28AD47A1" w14:textId="77777777" w:rsidR="00D075F6" w:rsidRDefault="00734411">
      <w:bookmarkStart w:id="363" w:name="ref-nauta2023"/>
      <w:bookmarkEnd w:id="362"/>
      <w:r>
        <w:t>Nauta, Meike, Jan Trienes, Shreyasi Pathak, et al. 2023.</w:t>
      </w:r>
      <w:r>
        <w:t xml:space="preserve"> «From Anecdotal Evidence to Quantitative Evaluation Methods: A Systematic Review on Evaluating Explainable AI». </w:t>
      </w:r>
      <w:r>
        <w:rPr>
          <w:i/>
          <w:iCs/>
        </w:rPr>
        <w:t>ACM Computing Surveys</w:t>
      </w:r>
      <w:r>
        <w:t xml:space="preserve"> 55 (13s): 1-42. </w:t>
      </w:r>
      <w:hyperlink r:id="rId98">
        <w:r>
          <w:rPr>
            <w:rStyle w:val="Hyperlink"/>
          </w:rPr>
          <w:t>https://doi.org/10.1145/3583558</w:t>
        </w:r>
      </w:hyperlink>
      <w:r>
        <w:t>.</w:t>
      </w:r>
    </w:p>
    <w:p w14:paraId="1AA1AC14" w14:textId="77777777" w:rsidR="00D075F6" w:rsidRDefault="00734411">
      <w:bookmarkStart w:id="364" w:name="ref-nemenyi1963"/>
      <w:bookmarkEnd w:id="363"/>
      <w:r>
        <w:t xml:space="preserve">Nemenyi, Peter Bjorn. 1963. «Distribution-free Multiple Comparisons». Tesis doctoral, Princeton University. </w:t>
      </w:r>
      <w:hyperlink r:id="rId99">
        <w:r>
          <w:rPr>
            <w:rStyle w:val="Hyperlink"/>
          </w:rPr>
          <w:t>https://catalog.princeton.edu/catalog/2081365</w:t>
        </w:r>
      </w:hyperlink>
      <w:r>
        <w:t>.</w:t>
      </w:r>
    </w:p>
    <w:p w14:paraId="475344C5" w14:textId="77777777" w:rsidR="00D075F6" w:rsidRDefault="00734411">
      <w:bookmarkStart w:id="365" w:name="ref-ngueajio2025"/>
      <w:bookmarkEnd w:id="364"/>
      <w:r>
        <w:t xml:space="preserve">Ngueajio, Mikel K., Saurav Aryal, Marcellin Atemkeng, Gloria Washington, y Danda Rawat. 2025. «Decoding Fake News and Hate Speech: A Survey of Explainable AI Techniques». </w:t>
      </w:r>
      <w:r>
        <w:rPr>
          <w:i/>
          <w:iCs/>
        </w:rPr>
        <w:t>ACM Computing Surveys</w:t>
      </w:r>
      <w:r>
        <w:t xml:space="preserve"> 57 (7): 1-37. </w:t>
      </w:r>
      <w:hyperlink r:id="rId100">
        <w:r>
          <w:rPr>
            <w:rStyle w:val="Hyperlink"/>
          </w:rPr>
          <w:t>https://doi.org/10.1145/3711123</w:t>
        </w:r>
      </w:hyperlink>
      <w:r>
        <w:t>.</w:t>
      </w:r>
    </w:p>
    <w:p w14:paraId="60821AAC" w14:textId="77777777" w:rsidR="00D075F6" w:rsidRDefault="00734411">
      <w:bookmarkStart w:id="366" w:name="ref-nguyen2019"/>
      <w:bookmarkEnd w:id="365"/>
      <w:r>
        <w:t xml:space="preserve">Nguyen, An-phi, y Maria Rodriguez Martinez. 2019. </w:t>
      </w:r>
      <w:r>
        <w:rPr>
          <w:i/>
          <w:iCs/>
        </w:rPr>
        <w:t>MonoNet: Towards Interpretable Models by Learning Monotonic Features</w:t>
      </w:r>
      <w:r>
        <w:t>.</w:t>
      </w:r>
    </w:p>
    <w:p w14:paraId="7A4621E8" w14:textId="77777777" w:rsidR="00D075F6" w:rsidRDefault="00734411">
      <w:bookmarkStart w:id="367" w:name="ref-nimmo2024"/>
      <w:bookmarkEnd w:id="366"/>
      <w:r>
        <w:t xml:space="preserve">Nimmo, Robert, Marios Constantinides, Ke Zhou, Daniele Quercia, y Simone Stumpf. 2024. </w:t>
      </w:r>
      <w:r>
        <w:t xml:space="preserve">«User Characteristics in Explainable AI: The Rabbit Hole of Personalization?» </w:t>
      </w:r>
      <w:r>
        <w:rPr>
          <w:i/>
          <w:iCs/>
        </w:rPr>
        <w:t>Proceedings of the CHI Conference on Human Factors in Computing Systems</w:t>
      </w:r>
      <w:r>
        <w:t xml:space="preserve">, 1-13. </w:t>
      </w:r>
      <w:hyperlink r:id="rId101">
        <w:r>
          <w:rPr>
            <w:rStyle w:val="Hyperlink"/>
          </w:rPr>
          <w:t>https://doi.org/10.1145/3613904.3642352</w:t>
        </w:r>
      </w:hyperlink>
      <w:r>
        <w:t>.</w:t>
      </w:r>
    </w:p>
    <w:p w14:paraId="6F8FB0EC" w14:textId="77777777" w:rsidR="00D075F6" w:rsidRDefault="00734411">
      <w:bookmarkStart w:id="368" w:name="ref-nizam2023"/>
      <w:bookmarkEnd w:id="367"/>
      <w:r>
        <w:t xml:space="preserve">Nizam, T., y S. Zafar. 2023. «Towards a Standardised Evaluation Approach for Diverse XAI Methods». </w:t>
      </w:r>
      <w:r>
        <w:rPr>
          <w:i/>
          <w:iCs/>
        </w:rPr>
        <w:t>Explainable Artificial Intelligence (XAI): Conception, Visualization and Assessment</w:t>
      </w:r>
      <w:r>
        <w:t>.</w:t>
      </w:r>
    </w:p>
    <w:p w14:paraId="76834072" w14:textId="77777777" w:rsidR="00D075F6" w:rsidRDefault="00734411">
      <w:bookmarkStart w:id="369" w:name="ref-nussberger2022"/>
      <w:bookmarkEnd w:id="368"/>
      <w:r>
        <w:t xml:space="preserve">Nussberger, Luo, A. 2022. </w:t>
      </w:r>
      <w:r>
        <w:t xml:space="preserve">«Public attitudes value interpretability but prioritize accuracy in Artificial Intelligence». </w:t>
      </w:r>
      <w:r>
        <w:rPr>
          <w:i/>
          <w:iCs/>
        </w:rPr>
        <w:t>Nature Communications</w:t>
      </w:r>
      <w:r>
        <w:t xml:space="preserve"> 13 (1). </w:t>
      </w:r>
      <w:hyperlink r:id="rId102">
        <w:r>
          <w:rPr>
            <w:rStyle w:val="Hyperlink"/>
          </w:rPr>
          <w:t>https://doi.org/10.1038/s41467-022-33417-3</w:t>
        </w:r>
      </w:hyperlink>
      <w:r>
        <w:t>.</w:t>
      </w:r>
    </w:p>
    <w:p w14:paraId="244C5937" w14:textId="77777777" w:rsidR="00D075F6" w:rsidRDefault="00734411">
      <w:bookmarkStart w:id="370" w:name="ref-olsen2022"/>
      <w:bookmarkEnd w:id="369"/>
      <w:r>
        <w:t xml:space="preserve">Olsen, Lars Henry Berge, Ingrid Kristine Glad, Martin Jullum, y Kjersti Aas. 2022. «Using Shapley Values and Variational Autoencoders to Explain Predictive Models with Dependent Mixed Features». </w:t>
      </w:r>
      <w:r>
        <w:rPr>
          <w:i/>
          <w:iCs/>
        </w:rPr>
        <w:t>Journal of Machine Learning Research</w:t>
      </w:r>
      <w:r>
        <w:t xml:space="preserve"> 23: 1-51.</w:t>
      </w:r>
    </w:p>
    <w:p w14:paraId="200759F1" w14:textId="77777777" w:rsidR="00D075F6" w:rsidRDefault="00734411">
      <w:bookmarkStart w:id="371" w:name="ref-pawlicki2024"/>
      <w:bookmarkEnd w:id="370"/>
      <w:r>
        <w:t xml:space="preserve">Pawlicki, M., A. Pawlicka, F. Uccello, et al. 2024. «Evaluating the necessity of the multiple metrics for assessing explainable AI: A critical examination». </w:t>
      </w:r>
      <w:r>
        <w:rPr>
          <w:i/>
          <w:iCs/>
        </w:rPr>
        <w:t>Neurocomputing</w:t>
      </w:r>
      <w:r>
        <w:t xml:space="preserve"> 602 (128282). </w:t>
      </w:r>
      <w:hyperlink r:id="rId103">
        <w:r>
          <w:rPr>
            <w:rStyle w:val="Hyperlink"/>
          </w:rPr>
          <w:t>https://doi.org/10.1016/j.neucom.2024.128282</w:t>
        </w:r>
      </w:hyperlink>
      <w:r>
        <w:t>.</w:t>
      </w:r>
    </w:p>
    <w:p w14:paraId="5512268D" w14:textId="77777777" w:rsidR="00D075F6" w:rsidRDefault="00734411">
      <w:bookmarkStart w:id="372" w:name="ref-peters2024"/>
      <w:bookmarkEnd w:id="371"/>
      <w:r>
        <w:t xml:space="preserve">Peters, Uwe, y Mary Carman. 2024. «Cultural Bias in Explainable AI Research: A Systematic Analysis». </w:t>
      </w:r>
      <w:r>
        <w:rPr>
          <w:i/>
          <w:iCs/>
        </w:rPr>
        <w:t>Journal of Artificial Intelligence Research</w:t>
      </w:r>
      <w:r>
        <w:t xml:space="preserve"> 79: 971-1000. </w:t>
      </w:r>
      <w:hyperlink r:id="rId104">
        <w:r>
          <w:rPr>
            <w:rStyle w:val="Hyperlink"/>
          </w:rPr>
          <w:t>https://doi.org/10.1613/jair.1.14888</w:t>
        </w:r>
      </w:hyperlink>
      <w:r>
        <w:t>.</w:t>
      </w:r>
    </w:p>
    <w:p w14:paraId="345DCB50" w14:textId="77777777" w:rsidR="00D075F6" w:rsidRDefault="00734411">
      <w:bookmarkStart w:id="373" w:name="ref-porfirio2024"/>
      <w:bookmarkEnd w:id="372"/>
      <w:r>
        <w:t xml:space="preserve">Porfírio, Rui Pedro. 2024. «Studying the Impact of Explainable AI in Digital Agriculture Solutions». </w:t>
      </w:r>
      <w:r>
        <w:rPr>
          <w:i/>
          <w:iCs/>
        </w:rPr>
        <w:t>Companion Publication of the 2024 Conference on Computer-Supported Cooperative Work and Social Computing</w:t>
      </w:r>
      <w:r>
        <w:t xml:space="preserve">, 43-46. </w:t>
      </w:r>
      <w:hyperlink r:id="rId105">
        <w:r>
          <w:rPr>
            <w:rStyle w:val="Hyperlink"/>
          </w:rPr>
          <w:t>https://doi.org/10.1145/3678884.3682046</w:t>
        </w:r>
      </w:hyperlink>
      <w:r>
        <w:t>.</w:t>
      </w:r>
    </w:p>
    <w:p w14:paraId="0D4D789C" w14:textId="77777777" w:rsidR="00D075F6" w:rsidRDefault="00734411">
      <w:bookmarkStart w:id="374" w:name="ref-poyiadzi2020"/>
      <w:bookmarkEnd w:id="373"/>
      <w:r>
        <w:t xml:space="preserve">Poyiadzi, Rafael, Kacper Sokol, Raul Santos-Rodriguez, Tijl De Bie, y Peter Flach. 2020. «FACE: Feasible and Actionable Counterfactual Explanations». </w:t>
      </w:r>
      <w:r>
        <w:rPr>
          <w:i/>
          <w:iCs/>
        </w:rPr>
        <w:t>Proceedings of the AAAI/ACM Conference on AI, Ethics, and Society</w:t>
      </w:r>
      <w:r>
        <w:t xml:space="preserve">, 344-50. </w:t>
      </w:r>
      <w:hyperlink r:id="rId106">
        <w:r>
          <w:rPr>
            <w:rStyle w:val="Hyperlink"/>
          </w:rPr>
          <w:t>https://doi.org/10.1145/3375627.3375850</w:t>
        </w:r>
      </w:hyperlink>
      <w:r>
        <w:t>.</w:t>
      </w:r>
    </w:p>
    <w:p w14:paraId="7018A327" w14:textId="77777777" w:rsidR="00D075F6" w:rsidRDefault="00734411">
      <w:bookmarkStart w:id="375" w:name="ref-proszewska2025"/>
      <w:bookmarkEnd w:id="374"/>
      <w:r>
        <w:t xml:space="preserve">Proszewska, Magdalena, Tomasz Danel, y Dawid Rymarczyk. 2025. </w:t>
      </w:r>
      <w:r>
        <w:rPr>
          <w:i/>
          <w:iCs/>
        </w:rPr>
        <w:t>B-XAIC Dataset: Benchmarking Explainable AI for Graph Neural Networks Using Chemical Data</w:t>
      </w:r>
      <w:r>
        <w:t>.</w:t>
      </w:r>
    </w:p>
    <w:p w14:paraId="7C380EFE" w14:textId="77777777" w:rsidR="00D075F6" w:rsidRDefault="00734411">
      <w:bookmarkStart w:id="376" w:name="ref-ramachandram2025"/>
      <w:bookmarkEnd w:id="375"/>
      <w:r>
        <w:t xml:space="preserve">Ramachandram, Dhanesh, Himanshu Joshi, Judy Zhu, Dhari Gandhi, Lucas Hartman, y Ananya Raval. 2025. </w:t>
      </w:r>
      <w:r>
        <w:rPr>
          <w:i/>
          <w:iCs/>
        </w:rPr>
        <w:t>Transparent AI: The Case for Interpretability and Explainability</w:t>
      </w:r>
      <w:r>
        <w:t>. Vector Institute for Artificial Intelligence.</w:t>
      </w:r>
    </w:p>
    <w:p w14:paraId="0DA421FC" w14:textId="77777777" w:rsidR="00D075F6" w:rsidRDefault="00734411">
      <w:bookmarkStart w:id="377" w:name="ref-reif2025"/>
      <w:bookmarkEnd w:id="376"/>
      <w:r>
        <w:t xml:space="preserve">Reif, Jessica A., Richard P. Larrick, y Jack B. Soll. 2025. «Evidence of a social evaluation penalty for using AI». </w:t>
      </w:r>
      <w:r>
        <w:rPr>
          <w:i/>
          <w:iCs/>
        </w:rPr>
        <w:t>Proceedings of the National Academy of Sciences</w:t>
      </w:r>
      <w:r>
        <w:t xml:space="preserve"> 122 (19). </w:t>
      </w:r>
      <w:hyperlink r:id="rId107">
        <w:r>
          <w:rPr>
            <w:rStyle w:val="Hyperlink"/>
          </w:rPr>
          <w:t>https://doi.org/10.1073/pnas.2426766122</w:t>
        </w:r>
      </w:hyperlink>
      <w:r>
        <w:t>.</w:t>
      </w:r>
    </w:p>
    <w:p w14:paraId="6CB86FD3" w14:textId="77777777" w:rsidR="00D075F6" w:rsidRDefault="00734411">
      <w:bookmarkStart w:id="378" w:name="ref-ribeiro2016"/>
      <w:bookmarkEnd w:id="377"/>
      <w:r>
        <w:t xml:space="preserve">Ribeiro, Singh, M. T. 2016. «"Why Should I Trust You?": Explaining the Predictions of Any Classifier». </w:t>
      </w:r>
      <w:r>
        <w:rPr>
          <w:i/>
          <w:iCs/>
        </w:rPr>
        <w:t>arXiv preprint arXiv:1602.04938</w:t>
      </w:r>
      <w:r>
        <w:t xml:space="preserve">, advance online publication. </w:t>
      </w:r>
      <w:hyperlink r:id="rId108">
        <w:r>
          <w:rPr>
            <w:rStyle w:val="Hyperlink"/>
          </w:rPr>
          <w:t>https://doi.org/10.1145/2939672.2939778</w:t>
        </w:r>
      </w:hyperlink>
      <w:r>
        <w:t>.</w:t>
      </w:r>
    </w:p>
    <w:p w14:paraId="7AA6E317" w14:textId="77777777" w:rsidR="00D075F6" w:rsidRDefault="00734411">
      <w:bookmarkStart w:id="379" w:name="ref-ribeiro2018"/>
      <w:bookmarkEnd w:id="378"/>
      <w:r>
        <w:t xml:space="preserve">Ribeiro, Singh, M. T. 2018. «Anchors: High-Precision Model-Agnostic explanations». </w:t>
      </w:r>
      <w:r>
        <w:rPr>
          <w:i/>
          <w:iCs/>
        </w:rPr>
        <w:t>Proceedings of the AAAI Conference on Artificial Intelligence</w:t>
      </w:r>
      <w:r>
        <w:t xml:space="preserve"> 32 (1). </w:t>
      </w:r>
      <w:hyperlink r:id="rId109">
        <w:r>
          <w:rPr>
            <w:rStyle w:val="Hyperlink"/>
          </w:rPr>
          <w:t>https://doi.org/10.1609/aaai.v32i1.11491</w:t>
        </w:r>
      </w:hyperlink>
      <w:r>
        <w:t>.</w:t>
      </w:r>
    </w:p>
    <w:p w14:paraId="6F62E9DB" w14:textId="77777777" w:rsidR="00D075F6" w:rsidRDefault="00734411">
      <w:bookmarkStart w:id="380" w:name="ref-rodriguez2024"/>
      <w:bookmarkEnd w:id="379"/>
      <w:r>
        <w:t xml:space="preserve">Rodriguez, Sebastian, y John Thangarajah. 2024. «Explainable Agents (XAg) by Design». </w:t>
      </w:r>
      <w:r>
        <w:rPr>
          <w:i/>
          <w:iCs/>
        </w:rPr>
        <w:t>International Joint Conference on Autonomous Agents and Multiagent Systems</w:t>
      </w:r>
      <w:r>
        <w:t xml:space="preserve">, 2712-16. </w:t>
      </w:r>
      <w:hyperlink r:id="rId110">
        <w:r>
          <w:rPr>
            <w:rStyle w:val="Hyperlink"/>
          </w:rPr>
          <w:t>https://doi.org/10.65109/vllw9552</w:t>
        </w:r>
      </w:hyperlink>
      <w:r>
        <w:t>.</w:t>
      </w:r>
    </w:p>
    <w:p w14:paraId="40B2642E" w14:textId="77777777" w:rsidR="00D075F6" w:rsidRDefault="00734411">
      <w:bookmarkStart w:id="381" w:name="ref-rong2022consistent"/>
      <w:bookmarkEnd w:id="380"/>
      <w:r>
        <w:t xml:space="preserve">Rong, Yao, Tobias Leemann, Vadim Borisov, Gjergji Kasneci, y Enkelejda Kasneci. 2022. «A Consistent and Efficient Evaluation Strategy for Attribution Methods». </w:t>
      </w:r>
      <w:r>
        <w:rPr>
          <w:i/>
          <w:iCs/>
        </w:rPr>
        <w:t>Proceedings of the 39th International Conference on Machine Learning</w:t>
      </w:r>
      <w:r>
        <w:t xml:space="preserve">, Proceedings of Machine Learning Research, vol. 162: 18770-95. </w:t>
      </w:r>
      <w:hyperlink r:id="rId111">
        <w:r>
          <w:rPr>
            <w:rStyle w:val="Hyperlink"/>
          </w:rPr>
          <w:t>https://proceedings.mlr.press/v162/rong22a.html</w:t>
        </w:r>
      </w:hyperlink>
      <w:r>
        <w:t>.</w:t>
      </w:r>
    </w:p>
    <w:p w14:paraId="16BA08AA" w14:textId="77777777" w:rsidR="00D075F6" w:rsidRDefault="00734411">
      <w:bookmarkStart w:id="382" w:name="ref-zhang2024"/>
      <w:bookmarkEnd w:id="381"/>
      <w:r>
        <w:t xml:space="preserve">Rong, Yao, Tobias Leemann, Thai-Trang Nguyen, et al. 2024. «Towards Human-Centered Explainable AI: A Survey of User Studies for Model Explanations». </w:t>
      </w:r>
      <w:r>
        <w:rPr>
          <w:i/>
          <w:iCs/>
        </w:rPr>
        <w:t>IEEE Transactions on Pattern Analysis and Machine Intelligence</w:t>
      </w:r>
      <w:r>
        <w:t xml:space="preserve"> 46 (4): 2104-22. </w:t>
      </w:r>
      <w:hyperlink r:id="rId112">
        <w:r>
          <w:rPr>
            <w:rStyle w:val="Hyperlink"/>
          </w:rPr>
          <w:t>https://doi.org/10.1109/TPAMI.2023.3331846</w:t>
        </w:r>
      </w:hyperlink>
      <w:r>
        <w:t>.</w:t>
      </w:r>
    </w:p>
    <w:p w14:paraId="79EB0DF6" w14:textId="77777777" w:rsidR="00D075F6" w:rsidRDefault="00734411">
      <w:bookmarkStart w:id="383" w:name="ref-rudin2022"/>
      <w:bookmarkEnd w:id="382"/>
      <w:r>
        <w:t xml:space="preserve">Rudin, Chen, C. 2022. «Interpretable machine learning: Fundamental principles and 10 grand challenges». </w:t>
      </w:r>
      <w:r>
        <w:rPr>
          <w:i/>
          <w:iCs/>
        </w:rPr>
        <w:t>Statistics Surveys</w:t>
      </w:r>
      <w:r>
        <w:t xml:space="preserve"> 16 (none). </w:t>
      </w:r>
      <w:hyperlink r:id="rId113">
        <w:r>
          <w:rPr>
            <w:rStyle w:val="Hyperlink"/>
          </w:rPr>
          <w:t>https://doi.org/10.1214/21-ss133</w:t>
        </w:r>
      </w:hyperlink>
      <w:r>
        <w:t>.</w:t>
      </w:r>
    </w:p>
    <w:p w14:paraId="49839D03" w14:textId="77777777" w:rsidR="00D075F6" w:rsidRDefault="00734411">
      <w:bookmarkStart w:id="384" w:name="ref-rudin2019"/>
      <w:bookmarkEnd w:id="383"/>
      <w:r>
        <w:t xml:space="preserve">Rudin, Cynthia. 2019. «Stop explaining black box machine learning models for high stakes decisions and use interpretable models instead». </w:t>
      </w:r>
      <w:r>
        <w:rPr>
          <w:i/>
          <w:iCs/>
        </w:rPr>
        <w:t>Nature Machine Intelligence</w:t>
      </w:r>
      <w:r>
        <w:t xml:space="preserve"> 1 (5): 206-15. </w:t>
      </w:r>
      <w:hyperlink r:id="rId114">
        <w:r>
          <w:rPr>
            <w:rStyle w:val="Hyperlink"/>
          </w:rPr>
          <w:t>https://doi.org/10.1038/s42256-019-0048-x</w:t>
        </w:r>
      </w:hyperlink>
      <w:r>
        <w:t>.</w:t>
      </w:r>
    </w:p>
    <w:p w14:paraId="592B65AA" w14:textId="77777777" w:rsidR="00D075F6" w:rsidRDefault="00734411">
      <w:bookmarkStart w:id="385" w:name="ref-saarela2024"/>
      <w:bookmarkEnd w:id="384"/>
      <w:r>
        <w:t xml:space="preserve">Saarela, &amp; Podgorelec, M. 2024. «Recent Applications of Explainable AI (XAI): A Systematic Literature review». </w:t>
      </w:r>
      <w:r>
        <w:rPr>
          <w:i/>
          <w:iCs/>
        </w:rPr>
        <w:t>Applied Sciences</w:t>
      </w:r>
      <w:r>
        <w:t xml:space="preserve"> 14 (19): 8884. </w:t>
      </w:r>
      <w:hyperlink r:id="rId115">
        <w:r>
          <w:rPr>
            <w:rStyle w:val="Hyperlink"/>
          </w:rPr>
          <w:t>https://doi.org/10.3390/app14198884</w:t>
        </w:r>
      </w:hyperlink>
      <w:r>
        <w:t>.</w:t>
      </w:r>
    </w:p>
    <w:p w14:paraId="70E801F9" w14:textId="77777777" w:rsidR="00D075F6" w:rsidRDefault="00734411">
      <w:bookmarkStart w:id="386" w:name="ref-saeed2023"/>
      <w:bookmarkEnd w:id="385"/>
      <w:r>
        <w:t xml:space="preserve">Saeed, &amp; Omlin, W. 2023. «Explainable AI (XAI): A systematic meta-survey of current challenges and future opportunities». </w:t>
      </w:r>
      <w:r>
        <w:rPr>
          <w:i/>
          <w:iCs/>
        </w:rPr>
        <w:t>Knowledge-Based Systems</w:t>
      </w:r>
      <w:r>
        <w:t xml:space="preserve"> 263: 110273. </w:t>
      </w:r>
      <w:hyperlink r:id="rId116">
        <w:r>
          <w:rPr>
            <w:rStyle w:val="Hyperlink"/>
          </w:rPr>
          <w:t>https://doi.org/10.1016/j.knosys.2023.110273</w:t>
        </w:r>
      </w:hyperlink>
      <w:r>
        <w:t>.</w:t>
      </w:r>
    </w:p>
    <w:p w14:paraId="0FA097C9" w14:textId="77777777" w:rsidR="00D075F6" w:rsidRDefault="00734411">
      <w:bookmarkStart w:id="387" w:name="ref-samek2019"/>
      <w:bookmarkEnd w:id="386"/>
      <w:r>
        <w:t xml:space="preserve">Samek, Montavon, W. 2019. «Explainable AI: Interpreting, explaining and visualizing deep learning». </w:t>
      </w:r>
      <w:r>
        <w:rPr>
          <w:i/>
          <w:iCs/>
        </w:rPr>
        <w:t>In Lecture notes in computer science</w:t>
      </w:r>
      <w:r>
        <w:t xml:space="preserve">, advance online publication. </w:t>
      </w:r>
      <w:hyperlink r:id="rId117">
        <w:r>
          <w:rPr>
            <w:rStyle w:val="Hyperlink"/>
          </w:rPr>
          <w:t>https://doi.org/10.1007/978-3-030-28954-6</w:t>
        </w:r>
      </w:hyperlink>
      <w:r>
        <w:t>.</w:t>
      </w:r>
    </w:p>
    <w:p w14:paraId="1EEBA3E8" w14:textId="77777777" w:rsidR="00D075F6" w:rsidRDefault="00734411">
      <w:bookmarkStart w:id="388" w:name="ref-saqib2024"/>
      <w:bookmarkEnd w:id="387"/>
      <w:r>
        <w:t xml:space="preserve">Saqib, Mohd, Samaneh Mahdavifar, Benjamin C. M. Fung, y Philippe Charland. 2024. «A Comprehensive Analysis of Explainable AI for Malware Hunting». </w:t>
      </w:r>
      <w:r>
        <w:rPr>
          <w:i/>
          <w:iCs/>
        </w:rPr>
        <w:t>ACM Computing Surveys</w:t>
      </w:r>
      <w:r>
        <w:t xml:space="preserve"> 56 (12): 1-40. </w:t>
      </w:r>
      <w:hyperlink r:id="rId118">
        <w:r>
          <w:rPr>
            <w:rStyle w:val="Hyperlink"/>
          </w:rPr>
          <w:t>https://doi.org/10.1145/3677374</w:t>
        </w:r>
      </w:hyperlink>
      <w:r>
        <w:t>.</w:t>
      </w:r>
    </w:p>
    <w:p w14:paraId="50FBC35D" w14:textId="77777777" w:rsidR="00D075F6" w:rsidRDefault="00734411">
      <w:bookmarkStart w:id="389" w:name="ref-schwalbe2023"/>
      <w:bookmarkEnd w:id="388"/>
      <w:r>
        <w:t xml:space="preserve">Schwalbe, &amp; Finzel, G. 2023. </w:t>
      </w:r>
      <w:r>
        <w:t xml:space="preserve">«A comprehensive taxonomy for explainable artificial intelligence: a systematic survey of surveys on methods and concepts». </w:t>
      </w:r>
      <w:r>
        <w:rPr>
          <w:i/>
          <w:iCs/>
        </w:rPr>
        <w:t>Data Mining and Knowledge Discovery</w:t>
      </w:r>
      <w:r>
        <w:t xml:space="preserve"> 38 (5): 3043-101. </w:t>
      </w:r>
      <w:hyperlink r:id="rId119">
        <w:r>
          <w:rPr>
            <w:rStyle w:val="Hyperlink"/>
          </w:rPr>
          <w:t>https://doi.org/10.1007/s10618-022-00867-8</w:t>
        </w:r>
      </w:hyperlink>
      <w:r>
        <w:t>.</w:t>
      </w:r>
    </w:p>
    <w:p w14:paraId="65829695" w14:textId="77777777" w:rsidR="00D075F6" w:rsidRDefault="00734411">
      <w:bookmarkStart w:id="390" w:name="ref-shapley1952"/>
      <w:bookmarkEnd w:id="389"/>
      <w:r>
        <w:t xml:space="preserve">Shapley, Lloyd S. 1952. </w:t>
      </w:r>
      <w:r>
        <w:rPr>
          <w:i/>
          <w:iCs/>
        </w:rPr>
        <w:t>A Value for N-Person Games</w:t>
      </w:r>
      <w:r>
        <w:t xml:space="preserve">. P-295. RAND Corporation. </w:t>
      </w:r>
      <w:hyperlink r:id="rId120">
        <w:r>
          <w:rPr>
            <w:rStyle w:val="Hyperlink"/>
          </w:rPr>
          <w:t>https://www.rand.org/pubs/papers/P0295.html</w:t>
        </w:r>
      </w:hyperlink>
      <w:r>
        <w:t>.</w:t>
      </w:r>
    </w:p>
    <w:p w14:paraId="5DD7BD20" w14:textId="77777777" w:rsidR="00D075F6" w:rsidRDefault="00734411">
      <w:bookmarkStart w:id="391" w:name="ref-sithakoul2024"/>
      <w:bookmarkEnd w:id="390"/>
      <w:r>
        <w:t xml:space="preserve">Sithakoul, Samuel, Sara Meftah, y Clément Feutry. 2024. </w:t>
      </w:r>
      <w:r>
        <w:rPr>
          <w:i/>
          <w:iCs/>
        </w:rPr>
        <w:t>BEExAI: Benchmark to Evaluate Explainable AI</w:t>
      </w:r>
      <w:r>
        <w:t xml:space="preserve">. Springer Nature Switzerland. </w:t>
      </w:r>
      <w:hyperlink r:id="rId121">
        <w:r>
          <w:rPr>
            <w:rStyle w:val="Hyperlink"/>
          </w:rPr>
          <w:t>https://doi.org/10.1007/978-3-031-63787-2_23</w:t>
        </w:r>
      </w:hyperlink>
      <w:r>
        <w:t>.</w:t>
      </w:r>
    </w:p>
    <w:p w14:paraId="387F5D27" w14:textId="77777777" w:rsidR="00D075F6" w:rsidRDefault="00734411">
      <w:bookmarkStart w:id="392" w:name="ref-slack2020"/>
      <w:bookmarkEnd w:id="391"/>
      <w:r>
        <w:t xml:space="preserve">Slack, Dylan, Sophie Hilgard, Emily Jia, Sameer Singh, y Himabindu Lakkaraju. 2020. «Fooling LIME and SHAP: Adversarial Attacks on Post Hoc Explanation Methods». </w:t>
      </w:r>
      <w:r>
        <w:rPr>
          <w:i/>
          <w:iCs/>
        </w:rPr>
        <w:t>Proceedings of the AAAI/ACM Conference on AI, Ethics, and Society</w:t>
      </w:r>
      <w:r>
        <w:t xml:space="preserve">, 180-86. </w:t>
      </w:r>
      <w:hyperlink r:id="rId122">
        <w:r>
          <w:rPr>
            <w:rStyle w:val="Hyperlink"/>
          </w:rPr>
          <w:t>https://doi.org/10.1145/3375627.3375830</w:t>
        </w:r>
      </w:hyperlink>
      <w:r>
        <w:t>.</w:t>
      </w:r>
    </w:p>
    <w:p w14:paraId="0925638F" w14:textId="77777777" w:rsidR="00D075F6" w:rsidRDefault="00734411">
      <w:bookmarkStart w:id="393" w:name="ref-sokol2020"/>
      <w:bookmarkEnd w:id="392"/>
      <w:r>
        <w:t xml:space="preserve">Sokol, Kacper, y Peter Flach. 2020. «One Explanation Does Not Fit All: The Promise of Interactive Explanations for Machine Learning Transparency». </w:t>
      </w:r>
      <w:r>
        <w:rPr>
          <w:i/>
          <w:iCs/>
        </w:rPr>
        <w:t>KI - Künstliche Intelligenz</w:t>
      </w:r>
      <w:r>
        <w:t xml:space="preserve"> 34 (2): 235-50. </w:t>
      </w:r>
      <w:hyperlink r:id="rId123">
        <w:r>
          <w:rPr>
            <w:rStyle w:val="Hyperlink"/>
          </w:rPr>
          <w:t>https://doi.org/10.1007/s13218-020-00637-y</w:t>
        </w:r>
      </w:hyperlink>
      <w:r>
        <w:t>.</w:t>
      </w:r>
    </w:p>
    <w:p w14:paraId="7A6915E0" w14:textId="77777777" w:rsidR="00D075F6" w:rsidRDefault="00734411">
      <w:bookmarkStart w:id="394" w:name="ref-tan2023"/>
      <w:bookmarkEnd w:id="393"/>
      <w:r>
        <w:t xml:space="preserve">Tan, Juntao, y Yongfeng Zhang. 2023. «ExplainableFold: Understanding AlphaFold Prediction with Explainable AI». </w:t>
      </w:r>
      <w:r>
        <w:rPr>
          <w:i/>
          <w:iCs/>
        </w:rPr>
        <w:t>Proceedings of the 29th ACM SIGKDD Conference on Knowledge Discovery and Data Mining</w:t>
      </w:r>
      <w:r>
        <w:t xml:space="preserve">, 2166-76. </w:t>
      </w:r>
      <w:hyperlink r:id="rId124">
        <w:r>
          <w:rPr>
            <w:rStyle w:val="Hyperlink"/>
          </w:rPr>
          <w:t>https://doi.org/10.1145/3580305.3599337</w:t>
        </w:r>
      </w:hyperlink>
      <w:r>
        <w:t>.</w:t>
      </w:r>
    </w:p>
    <w:p w14:paraId="2C7923AB" w14:textId="77777777" w:rsidR="00D075F6" w:rsidRDefault="00734411">
      <w:bookmarkStart w:id="395" w:name="ref-tjoa2020"/>
      <w:bookmarkEnd w:id="394"/>
      <w:r>
        <w:t xml:space="preserve">Tjoa, Erico, y Cuntai Guan. 2021. «A Survey on Explainable Artificial Intelligence (XAI): Toward Medical XAI». </w:t>
      </w:r>
      <w:r>
        <w:rPr>
          <w:i/>
          <w:iCs/>
        </w:rPr>
        <w:t>IEEE Transactions on Neural Networks and Learning Systems</w:t>
      </w:r>
      <w:r>
        <w:t xml:space="preserve"> 32 (11): 4793-813. </w:t>
      </w:r>
      <w:hyperlink r:id="rId125">
        <w:r>
          <w:rPr>
            <w:rStyle w:val="Hyperlink"/>
          </w:rPr>
          <w:t>https://doi.org/10.1109/TNNLS.2020.3027314</w:t>
        </w:r>
      </w:hyperlink>
      <w:r>
        <w:t>.</w:t>
      </w:r>
    </w:p>
    <w:p w14:paraId="3E5A232C" w14:textId="77777777" w:rsidR="00D075F6" w:rsidRDefault="00734411">
      <w:bookmarkStart w:id="396" w:name="ref-tomsett2020"/>
      <w:bookmarkEnd w:id="395"/>
      <w:r>
        <w:t xml:space="preserve">Tomsett, Richard, Dan Harborne, Supriyo Chakraborty, Prudhvi Gurram, y Alun Preece. 2020. «Sanity Checks for Saliency Metrics». </w:t>
      </w:r>
      <w:r>
        <w:rPr>
          <w:i/>
          <w:iCs/>
        </w:rPr>
        <w:t>Proceedings of the AAAI Conference on Artificial Intelligence</w:t>
      </w:r>
      <w:r>
        <w:t xml:space="preserve"> 34 (04): 6021-29. </w:t>
      </w:r>
      <w:hyperlink r:id="rId126">
        <w:r>
          <w:rPr>
            <w:rStyle w:val="Hyperlink"/>
          </w:rPr>
          <w:t>https://doi.org/10.1609/aaai.v34i04.6064</w:t>
        </w:r>
      </w:hyperlink>
      <w:r>
        <w:t>.</w:t>
      </w:r>
    </w:p>
    <w:p w14:paraId="230436D6" w14:textId="77777777" w:rsidR="00D075F6" w:rsidRDefault="00734411">
      <w:bookmarkStart w:id="397" w:name="ref-tripathy2024"/>
      <w:bookmarkEnd w:id="396"/>
      <w:r>
        <w:t xml:space="preserve">Tripathy, &amp; Seetha, B. K. 2024. «Explainable, interpretable, and transparent AI systems». </w:t>
      </w:r>
      <w:r>
        <w:rPr>
          <w:i/>
          <w:iCs/>
        </w:rPr>
        <w:t>In CRC Press eBooks</w:t>
      </w:r>
      <w:r>
        <w:t xml:space="preserve">, advance online publication. </w:t>
      </w:r>
      <w:hyperlink r:id="rId127">
        <w:r>
          <w:rPr>
            <w:rStyle w:val="Hyperlink"/>
          </w:rPr>
          <w:t>https://doi.org/10.1201/9781003442509</w:t>
        </w:r>
      </w:hyperlink>
      <w:r>
        <w:t>.</w:t>
      </w:r>
    </w:p>
    <w:p w14:paraId="73B88023" w14:textId="77777777" w:rsidR="00D075F6" w:rsidRDefault="00734411">
      <w:bookmarkStart w:id="398" w:name="ref-tsai2023"/>
      <w:bookmarkEnd w:id="397"/>
      <w:r>
        <w:t xml:space="preserve">Tsai, Che-Ping, Chih-Kuan Yeh, y Pradeep Ravikumar. 2023. «Faith-Shap: The Faithful Shapley Interaction Index». </w:t>
      </w:r>
      <w:r>
        <w:rPr>
          <w:i/>
          <w:iCs/>
        </w:rPr>
        <w:t>Journal of Machine Learning Research</w:t>
      </w:r>
      <w:r>
        <w:t xml:space="preserve"> 24: 1-42.</w:t>
      </w:r>
    </w:p>
    <w:p w14:paraId="0818BB19" w14:textId="77777777" w:rsidR="00D075F6" w:rsidRDefault="00734411">
      <w:bookmarkStart w:id="399" w:name="ref-tsigos2024"/>
      <w:bookmarkEnd w:id="398"/>
      <w:r>
        <w:t xml:space="preserve">Tsigos, Konstantinos, Evlampios Apostolidis, Spyridon Baxevanakis, Symeon Papadopoulos, y Vasileios Mezaris. 2024. «Towards Quantitative Evaluation of Explainable AI Methods for Deepfake Detection». </w:t>
      </w:r>
      <w:r>
        <w:rPr>
          <w:i/>
          <w:iCs/>
        </w:rPr>
        <w:t>3rd ACM International Workshop on Multimedia AI against Disinformation</w:t>
      </w:r>
      <w:r>
        <w:t xml:space="preserve">, 37-45. </w:t>
      </w:r>
      <w:hyperlink r:id="rId128">
        <w:r>
          <w:rPr>
            <w:rStyle w:val="Hyperlink"/>
          </w:rPr>
          <w:t>https://doi.org/10.1145/3643491.3660292</w:t>
        </w:r>
      </w:hyperlink>
      <w:r>
        <w:t>.</w:t>
      </w:r>
    </w:p>
    <w:p w14:paraId="37CE75A4" w14:textId="77777777" w:rsidR="00D075F6" w:rsidRDefault="00734411">
      <w:bookmarkStart w:id="400" w:name="ref-ullah2024"/>
      <w:bookmarkEnd w:id="399"/>
      <w:r>
        <w:t xml:space="preserve">Ullah, Naeem, Javed Ali Khan, Ivanoe De Falco, y Giovanna Sannino. 2024. «Explainable Artificial Intelligence: Importance, Use Domains, Stages, Output Shapes, and Challenges». </w:t>
      </w:r>
      <w:r>
        <w:rPr>
          <w:i/>
          <w:iCs/>
        </w:rPr>
        <w:t>ACM Computing Surveys</w:t>
      </w:r>
      <w:r>
        <w:t xml:space="preserve"> 57 (4): 1-36. </w:t>
      </w:r>
      <w:hyperlink r:id="rId129">
        <w:r>
          <w:rPr>
            <w:rStyle w:val="Hyperlink"/>
          </w:rPr>
          <w:t>https://doi.org/10.1145/3705724</w:t>
        </w:r>
      </w:hyperlink>
      <w:r>
        <w:t>.</w:t>
      </w:r>
    </w:p>
    <w:p w14:paraId="0683D9F7" w14:textId="77777777" w:rsidR="00D075F6" w:rsidRDefault="00734411">
      <w:bookmarkStart w:id="401" w:name="ref-vainiopekka2023"/>
      <w:bookmarkEnd w:id="400"/>
      <w:r>
        <w:t xml:space="preserve">Vainio-Pekka, Heidi, Mamia Ori-Otse Agbese, Marianna Jantunen, et al. 2023. </w:t>
      </w:r>
      <w:r>
        <w:t xml:space="preserve">«The Role of Explainable AI in the Research Field of AI Ethics». </w:t>
      </w:r>
      <w:r>
        <w:rPr>
          <w:i/>
          <w:iCs/>
        </w:rPr>
        <w:t>ACM Transactions on Interactive Intelligent Systems</w:t>
      </w:r>
      <w:r>
        <w:t xml:space="preserve"> 13 (4): 1-39. </w:t>
      </w:r>
      <w:hyperlink r:id="rId130">
        <w:r>
          <w:rPr>
            <w:rStyle w:val="Hyperlink"/>
          </w:rPr>
          <w:t>https://doi.org/10.1145/3599974</w:t>
        </w:r>
      </w:hyperlink>
      <w:r>
        <w:t>.</w:t>
      </w:r>
    </w:p>
    <w:p w14:paraId="0B4D93DA" w14:textId="77777777" w:rsidR="00D075F6" w:rsidRDefault="00734411">
      <w:bookmarkStart w:id="402" w:name="ref-vandenbroeck2022"/>
      <w:bookmarkEnd w:id="401"/>
      <w:r>
        <w:t xml:space="preserve">Van den Broeck, Guy, Anton Lykov, Maximilian Schleich, y Dan Suciu. 2022. «On the Tractability of SHAP Explanations». </w:t>
      </w:r>
      <w:r>
        <w:rPr>
          <w:i/>
          <w:iCs/>
        </w:rPr>
        <w:t>Journal of Artificial Intelligence Research</w:t>
      </w:r>
      <w:r>
        <w:t xml:space="preserve"> 74: 851-86. </w:t>
      </w:r>
      <w:hyperlink r:id="rId131">
        <w:r>
          <w:rPr>
            <w:rStyle w:val="Hyperlink"/>
          </w:rPr>
          <w:t>https://doi.org/10.1613/jair.1.13283</w:t>
        </w:r>
      </w:hyperlink>
      <w:r>
        <w:t>.</w:t>
      </w:r>
    </w:p>
    <w:p w14:paraId="3A2DD1BC" w14:textId="77777777" w:rsidR="00D075F6" w:rsidRDefault="00734411">
      <w:bookmarkStart w:id="403" w:name="ref-voigt2017"/>
      <w:bookmarkEnd w:id="402"/>
      <w:r>
        <w:t xml:space="preserve">Voigt, Paul, y Axel von dem Bussche. 2017. </w:t>
      </w:r>
      <w:r>
        <w:rPr>
          <w:i/>
          <w:iCs/>
        </w:rPr>
        <w:t>The EU General Data Protection Regulation (GDPR): A Practical Guide</w:t>
      </w:r>
      <w:r>
        <w:t xml:space="preserve">. Springer. </w:t>
      </w:r>
      <w:hyperlink r:id="rId132">
        <w:r>
          <w:rPr>
            <w:rStyle w:val="Hyperlink"/>
          </w:rPr>
          <w:t>https://doi.org/10.1007/978-3-319-57959-7</w:t>
        </w:r>
      </w:hyperlink>
      <w:r>
        <w:t>.</w:t>
      </w:r>
    </w:p>
    <w:p w14:paraId="0AD3F457" w14:textId="77777777" w:rsidR="00D075F6" w:rsidRDefault="00734411">
      <w:bookmarkStart w:id="404" w:name="ref-wachter2017"/>
      <w:bookmarkEnd w:id="403"/>
      <w:r>
        <w:t xml:space="preserve">Wachter, Mittelstadt, S. 2017. «Counterfactual explanations without opening the black box: automated decisions and the GDPR». </w:t>
      </w:r>
      <w:r>
        <w:rPr>
          <w:i/>
          <w:iCs/>
        </w:rPr>
        <w:t>SSRN Electronic Journal</w:t>
      </w:r>
      <w:r>
        <w:t xml:space="preserve">, advance online publication. </w:t>
      </w:r>
      <w:hyperlink r:id="rId133">
        <w:r>
          <w:rPr>
            <w:rStyle w:val="Hyperlink"/>
          </w:rPr>
          <w:t>https://doi.org/10.2139/ssrn.3063289</w:t>
        </w:r>
      </w:hyperlink>
      <w:r>
        <w:t>.</w:t>
      </w:r>
    </w:p>
    <w:p w14:paraId="00515552" w14:textId="77777777" w:rsidR="00D075F6" w:rsidRDefault="00734411">
      <w:bookmarkStart w:id="405" w:name="ref-wang2025"/>
      <w:bookmarkEnd w:id="404"/>
      <w:r>
        <w:t xml:space="preserve">Wang, Zhanliang, y Kai Wang. 2025. </w:t>
      </w:r>
      <w:r>
        <w:rPr>
          <w:i/>
          <w:iCs/>
        </w:rPr>
        <w:t>MultiSHAP: A Shapley-Based Framework for Explaining Cross-Modal Interactions in Multimodal AI Models</w:t>
      </w:r>
      <w:r>
        <w:t>.</w:t>
      </w:r>
    </w:p>
    <w:p w14:paraId="4B42E89B" w14:textId="77777777" w:rsidR="00D075F6" w:rsidRDefault="00734411">
      <w:bookmarkStart w:id="406" w:name="ref-wilcoxon1945"/>
      <w:bookmarkEnd w:id="405"/>
      <w:r>
        <w:t xml:space="preserve">Wilcoxon, Frank. 1945. «Individual Comparisons by Ranking Methods». </w:t>
      </w:r>
      <w:r>
        <w:rPr>
          <w:i/>
          <w:iCs/>
        </w:rPr>
        <w:t>Biometrics Bulletin</w:t>
      </w:r>
      <w:r>
        <w:t xml:space="preserve"> 1 (6): 80-83. </w:t>
      </w:r>
      <w:hyperlink r:id="rId134">
        <w:r>
          <w:rPr>
            <w:rStyle w:val="Hyperlink"/>
          </w:rPr>
          <w:t>https://doi.org/10.2307/3001968</w:t>
        </w:r>
      </w:hyperlink>
      <w:r>
        <w:t>.</w:t>
      </w:r>
    </w:p>
    <w:p w14:paraId="60E25687" w14:textId="77777777" w:rsidR="00D075F6" w:rsidRDefault="00734411">
      <w:bookmarkStart w:id="407" w:name="ref-zheng2025"/>
      <w:bookmarkEnd w:id="406"/>
      <w:r>
        <w:t xml:space="preserve">Zheng, X., F. Shirani, Z. Chen, et al. 2025. «F-FIDELITY: A Robust Framework for Faithfulness Evaluation of Explainable AI». </w:t>
      </w:r>
      <w:r>
        <w:rPr>
          <w:i/>
          <w:iCs/>
        </w:rPr>
        <w:t>ICLR 2025 Proceedings</w:t>
      </w:r>
      <w:r>
        <w:t xml:space="preserve">. </w:t>
      </w:r>
      <w:hyperlink r:id="rId135">
        <w:r>
          <w:rPr>
            <w:rStyle w:val="Hyperlink"/>
          </w:rPr>
          <w:t>https://trustai4s-lab.github.io/ffidelity</w:t>
        </w:r>
      </w:hyperlink>
      <w:r>
        <w:t>.</w:t>
      </w:r>
    </w:p>
    <w:p w14:paraId="661E678F" w14:textId="77777777" w:rsidR="00D075F6" w:rsidRDefault="00734411">
      <w:pPr>
        <w:pStyle w:val="Heading1"/>
      </w:pPr>
      <w:bookmarkStart w:id="408" w:name="apéndices"/>
      <w:bookmarkStart w:id="409" w:name="_Toc241413344"/>
      <w:bookmarkEnd w:id="263"/>
      <w:bookmarkEnd w:id="266"/>
      <w:bookmarkEnd w:id="407"/>
      <w:r>
        <w:t>Apéndices</w:t>
      </w:r>
      <w:bookmarkEnd w:id="409"/>
    </w:p>
    <w:p w14:paraId="3777D615" w14:textId="77777777" w:rsidR="00D075F6" w:rsidRDefault="00734411">
      <w:pPr>
        <w:pStyle w:val="Heading2"/>
      </w:pPr>
      <w:bookmarkStart w:id="410" w:name="Xee799cefc3e174a13188f506c487e1fa0a452e0"/>
      <w:bookmarkStart w:id="411" w:name="_Toc241413345"/>
      <w:r>
        <w:t>Apéndice A: Corpus de datos, partición y preprocesamiento</w:t>
      </w:r>
      <w:bookmarkEnd w:id="411"/>
    </w:p>
    <w:p w14:paraId="0B5CA425" w14:textId="77777777" w:rsidR="00D075F6" w:rsidRDefault="00734411">
      <w:r>
        <w:t>El conjunto Adult Income se carga desde src/data_loading/adult.py, usando OpenML como fuente primaria y UCI como respaldo. La versión experimental usada en la tesis contiene 48,842 instancias, 14 características originales y una variable binaria de predicción (&gt;50K frente a &lt;=50K). La partición canónica usa test_size = 0.20</w:t>
      </w:r>
      <w:r>
        <w:t>, estratificación por etiqueta y random_state = 42, produciendo 39,032 instancias de entrenamiento y 9,758 de prueba.</w:t>
      </w:r>
    </w:p>
    <w:tbl>
      <w:tblPr>
        <w:tblW w:w="5000" w:type="pct"/>
        <w:jc w:val="center"/>
        <w:tblLayout w:type="fixed"/>
        <w:tblLook w:val="0000" w:firstRow="0" w:lastRow="0" w:firstColumn="0" w:lastColumn="0" w:noHBand="0" w:noVBand="0"/>
      </w:tblPr>
      <w:tblGrid>
        <w:gridCol w:w="9576"/>
      </w:tblGrid>
      <w:tr w:rsidR="00D075F6" w14:paraId="48D6375C" w14:textId="77777777">
        <w:trPr>
          <w:jc w:val="center"/>
        </w:trPr>
        <w:tc>
          <w:tcPr>
            <w:tcW w:w="7920" w:type="dxa"/>
          </w:tcPr>
          <w:p w14:paraId="7C11E1F9" w14:textId="77777777" w:rsidR="00D075F6" w:rsidRDefault="00734411">
            <w:pPr>
              <w:spacing w:before="200"/>
              <w:jc w:val="center"/>
            </w:pPr>
            <w:bookmarkStart w:id="412" w:name="tbl-appendix-dataset-schema"/>
            <w:r>
              <w:t xml:space="preserve">Tabla 6.5: Esquema resumido del conjunto Adult y transformaciones de preprocesamiento.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D075F6" w14:paraId="142D90C4" w14:textId="77777777">
              <w:trPr>
                <w:tblHeader/>
                <w:jc w:val="center"/>
              </w:trPr>
              <w:tc>
                <w:tcPr>
                  <w:tcW w:w="2640" w:type="dxa"/>
                </w:tcPr>
                <w:p w14:paraId="5517190C" w14:textId="77777777" w:rsidR="00D075F6" w:rsidRDefault="00734411">
                  <w:pPr>
                    <w:jc w:val="center"/>
                  </w:pPr>
                  <w:r>
                    <w:rPr>
                      <w:b/>
                      <w:bCs/>
                    </w:rPr>
                    <w:t>Grupo</w:t>
                  </w:r>
                </w:p>
              </w:tc>
              <w:tc>
                <w:tcPr>
                  <w:tcW w:w="2640" w:type="dxa"/>
                </w:tcPr>
                <w:p w14:paraId="7228CA7B" w14:textId="77777777" w:rsidR="00D075F6" w:rsidRDefault="00734411">
                  <w:pPr>
                    <w:jc w:val="center"/>
                  </w:pPr>
                  <w:r>
                    <w:rPr>
                      <w:b/>
                      <w:bCs/>
                    </w:rPr>
                    <w:t>Características</w:t>
                  </w:r>
                </w:p>
              </w:tc>
              <w:tc>
                <w:tcPr>
                  <w:tcW w:w="2640" w:type="dxa"/>
                </w:tcPr>
                <w:p w14:paraId="21ECCAD2" w14:textId="77777777" w:rsidR="00D075F6" w:rsidRDefault="00734411">
                  <w:pPr>
                    <w:jc w:val="center"/>
                  </w:pPr>
                  <w:r>
                    <w:rPr>
                      <w:b/>
                      <w:bCs/>
                    </w:rPr>
                    <w:t>Tratamiento</w:t>
                  </w:r>
                </w:p>
              </w:tc>
            </w:tr>
            <w:tr w:rsidR="00D075F6" w14:paraId="71308E78" w14:textId="77777777">
              <w:trPr>
                <w:jc w:val="center"/>
              </w:trPr>
              <w:tc>
                <w:tcPr>
                  <w:tcW w:w="2640" w:type="dxa"/>
                </w:tcPr>
                <w:p w14:paraId="331764B4" w14:textId="77777777" w:rsidR="00D075F6" w:rsidRDefault="00734411">
                  <w:pPr>
                    <w:jc w:val="center"/>
                  </w:pPr>
                  <w:r>
                    <w:t>Numéricas</w:t>
                  </w:r>
                </w:p>
              </w:tc>
              <w:tc>
                <w:tcPr>
                  <w:tcW w:w="2640" w:type="dxa"/>
                </w:tcPr>
                <w:p w14:paraId="237F1B65" w14:textId="77777777" w:rsidR="00D075F6" w:rsidRDefault="00734411">
                  <w:pPr>
                    <w:jc w:val="center"/>
                  </w:pPr>
                  <w:r>
                    <w:t>age, education-num, capital-gain, capital-loss, hours-per-week, fnlwgt</w:t>
                  </w:r>
                </w:p>
              </w:tc>
              <w:tc>
                <w:tcPr>
                  <w:tcW w:w="2640" w:type="dxa"/>
                </w:tcPr>
                <w:p w14:paraId="5E4AA88A" w14:textId="77777777" w:rsidR="00D075F6" w:rsidRDefault="00734411">
                  <w:pPr>
                    <w:jc w:val="center"/>
                  </w:pPr>
                  <w:r>
                    <w:t>Estandarización con StandardScaler ajustado solo en entrenamiento</w:t>
                  </w:r>
                </w:p>
              </w:tc>
            </w:tr>
            <w:tr w:rsidR="00D075F6" w14:paraId="3E85E841" w14:textId="77777777">
              <w:trPr>
                <w:jc w:val="center"/>
              </w:trPr>
              <w:tc>
                <w:tcPr>
                  <w:tcW w:w="2640" w:type="dxa"/>
                </w:tcPr>
                <w:p w14:paraId="6ED697B6" w14:textId="77777777" w:rsidR="00D075F6" w:rsidRDefault="00734411">
                  <w:pPr>
                    <w:jc w:val="center"/>
                  </w:pPr>
                  <w:r>
                    <w:t>Categóricas</w:t>
                  </w:r>
                </w:p>
              </w:tc>
              <w:tc>
                <w:tcPr>
                  <w:tcW w:w="2640" w:type="dxa"/>
                </w:tcPr>
                <w:p w14:paraId="398726B7" w14:textId="77777777" w:rsidR="00D075F6" w:rsidRDefault="00734411">
                  <w:pPr>
                    <w:jc w:val="center"/>
                  </w:pPr>
                  <w:r>
                    <w:t>workclass, education, marital-status, occupation, relationship, race, sex, native-country</w:t>
                  </w:r>
                </w:p>
              </w:tc>
              <w:tc>
                <w:tcPr>
                  <w:tcW w:w="2640" w:type="dxa"/>
                </w:tcPr>
                <w:p w14:paraId="10E50F3A" w14:textId="77777777" w:rsidR="00D075F6" w:rsidRDefault="00734411">
                  <w:pPr>
                    <w:jc w:val="center"/>
                  </w:pPr>
                  <w:r>
                    <w:t xml:space="preserve">Codificación </w:t>
                  </w:r>
                  <w:r>
                    <w:t>OneHotEncoder(handle_unknown='ignore') ajustada solo en entrenamiento</w:t>
                  </w:r>
                </w:p>
              </w:tc>
            </w:tr>
            <w:tr w:rsidR="00D075F6" w14:paraId="22EE3748" w14:textId="77777777">
              <w:trPr>
                <w:jc w:val="center"/>
              </w:trPr>
              <w:tc>
                <w:tcPr>
                  <w:tcW w:w="2640" w:type="dxa"/>
                </w:tcPr>
                <w:p w14:paraId="322BEAB1" w14:textId="77777777" w:rsidR="00D075F6" w:rsidRDefault="00734411">
                  <w:pPr>
                    <w:jc w:val="center"/>
                  </w:pPr>
                  <w:r>
                    <w:t>Objetivo</w:t>
                  </w:r>
                </w:p>
              </w:tc>
              <w:tc>
                <w:tcPr>
                  <w:tcW w:w="2640" w:type="dxa"/>
                </w:tcPr>
                <w:p w14:paraId="59D7636A" w14:textId="77777777" w:rsidR="00D075F6" w:rsidRDefault="00734411">
                  <w:pPr>
                    <w:jc w:val="center"/>
                  </w:pPr>
                  <w:r>
                    <w:t>Ingreso anual binario</w:t>
                  </w:r>
                </w:p>
              </w:tc>
              <w:tc>
                <w:tcPr>
                  <w:tcW w:w="2640" w:type="dxa"/>
                </w:tcPr>
                <w:p w14:paraId="370DAE8D" w14:textId="77777777" w:rsidR="00D075F6" w:rsidRDefault="00734411">
                  <w:pPr>
                    <w:jc w:val="center"/>
                  </w:pPr>
                  <w:r>
                    <w:t>Normalización de etiquetas &gt;50K/&lt;=50K y variantes con punto final</w:t>
                  </w:r>
                </w:p>
              </w:tc>
            </w:tr>
            <w:bookmarkEnd w:id="412"/>
          </w:tbl>
          <w:p w14:paraId="27CB99C1" w14:textId="77777777" w:rsidR="00D075F6" w:rsidRDefault="00D075F6"/>
        </w:tc>
      </w:tr>
    </w:tbl>
    <w:p w14:paraId="5D16B1BE" w14:textId="77777777" w:rsidR="00D075F6" w:rsidRDefault="00734411">
      <w:pPr>
        <w:pStyle w:val="BodyText"/>
      </w:pPr>
      <w:r>
        <w:t>Los valores faltantes codificados como "?" se convierten a NaN, los textos se normalizan eliminando espacios residuales y los duplicados exactos se descartan antes del ajuste del preprocesador. Las transformaciones se congelan como artefactos compartidos para evitar fuga de datos y diferencias de escalado entre explicadores.</w:t>
      </w:r>
    </w:p>
    <w:p w14:paraId="4AADA063" w14:textId="77777777" w:rsidR="00D075F6" w:rsidRDefault="00734411">
      <w:pPr>
        <w:pStyle w:val="Heading2"/>
      </w:pPr>
      <w:bookmarkStart w:id="413" w:name="X0ebb70924a43e56d2f30bdb00fa50fa510507cd"/>
      <w:bookmarkStart w:id="414" w:name="_Toc241413346"/>
      <w:bookmarkEnd w:id="410"/>
      <w:r>
        <w:t>Apéndice B: Modelos predictivos y artefactos</w:t>
      </w:r>
      <w:bookmarkEnd w:id="414"/>
    </w:p>
    <w:p w14:paraId="01EED20E" w14:textId="77777777" w:rsidR="00D075F6" w:rsidRDefault="00734411">
      <w:r>
        <w:t>Los modelos se entrenan en EXP1 y se reutilizan en EXP2 sin reentrenamiento. Los artefactos principales se encuentran en experiments/exp1_adult/models/, con métricas en metrics.json por familia de modelo.</w:t>
      </w:r>
    </w:p>
    <w:tbl>
      <w:tblPr>
        <w:tblW w:w="5000" w:type="pct"/>
        <w:jc w:val="center"/>
        <w:tblLayout w:type="fixed"/>
        <w:tblLook w:val="0000" w:firstRow="0" w:lastRow="0" w:firstColumn="0" w:lastColumn="0" w:noHBand="0" w:noVBand="0"/>
      </w:tblPr>
      <w:tblGrid>
        <w:gridCol w:w="9576"/>
      </w:tblGrid>
      <w:tr w:rsidR="00D075F6" w14:paraId="7535C407" w14:textId="77777777">
        <w:trPr>
          <w:jc w:val="center"/>
        </w:trPr>
        <w:tc>
          <w:tcPr>
            <w:tcW w:w="7920" w:type="dxa"/>
          </w:tcPr>
          <w:p w14:paraId="41FD1FA1" w14:textId="77777777" w:rsidR="00D075F6" w:rsidRDefault="00734411">
            <w:pPr>
              <w:spacing w:before="200"/>
              <w:jc w:val="center"/>
            </w:pPr>
            <w:bookmarkStart w:id="415" w:name="tbl-appendix-models"/>
            <w:r>
              <w:t>Tabla 6.6: Modelos predictivos, justificación y ubicación de artefactos.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63F5663E" w14:textId="77777777">
              <w:trPr>
                <w:tblHeader/>
                <w:jc w:val="center"/>
              </w:trPr>
              <w:tc>
                <w:tcPr>
                  <w:tcW w:w="1980" w:type="dxa"/>
                </w:tcPr>
                <w:p w14:paraId="26B33457" w14:textId="77777777" w:rsidR="00D075F6" w:rsidRDefault="00734411">
                  <w:pPr>
                    <w:jc w:val="center"/>
                  </w:pPr>
                  <w:r>
                    <w:rPr>
                      <w:b/>
                      <w:bCs/>
                    </w:rPr>
                    <w:t>Modelo</w:t>
                  </w:r>
                </w:p>
              </w:tc>
              <w:tc>
                <w:tcPr>
                  <w:tcW w:w="1980" w:type="dxa"/>
                </w:tcPr>
                <w:p w14:paraId="43EBB7B6" w14:textId="77777777" w:rsidR="00D075F6" w:rsidRDefault="00734411">
                  <w:pPr>
                    <w:jc w:val="center"/>
                  </w:pPr>
                  <w:r>
                    <w:rPr>
                      <w:b/>
                      <w:bCs/>
                    </w:rPr>
                    <w:t>Rol metodológico</w:t>
                  </w:r>
                </w:p>
              </w:tc>
              <w:tc>
                <w:tcPr>
                  <w:tcW w:w="1980" w:type="dxa"/>
                </w:tcPr>
                <w:p w14:paraId="44F38D3F" w14:textId="77777777" w:rsidR="00D075F6" w:rsidRDefault="00734411">
                  <w:pPr>
                    <w:jc w:val="center"/>
                  </w:pPr>
                  <w:r>
                    <w:rPr>
                      <w:b/>
                      <w:bCs/>
                    </w:rPr>
                    <w:t>Artefacto principal</w:t>
                  </w:r>
                </w:p>
              </w:tc>
              <w:tc>
                <w:tcPr>
                  <w:tcW w:w="1980" w:type="dxa"/>
                </w:tcPr>
                <w:p w14:paraId="4E7E7258" w14:textId="77777777" w:rsidR="00D075F6" w:rsidRDefault="00734411">
                  <w:pPr>
                    <w:jc w:val="center"/>
                  </w:pPr>
                  <w:r>
                    <w:rPr>
                      <w:b/>
                      <w:bCs/>
                    </w:rPr>
                    <w:t>Métricas de entrenamiento/prueba</w:t>
                  </w:r>
                </w:p>
              </w:tc>
            </w:tr>
            <w:tr w:rsidR="00D075F6" w14:paraId="3E08F894" w14:textId="77777777">
              <w:trPr>
                <w:jc w:val="center"/>
              </w:trPr>
              <w:tc>
                <w:tcPr>
                  <w:tcW w:w="1980" w:type="dxa"/>
                </w:tcPr>
                <w:p w14:paraId="58605547" w14:textId="77777777" w:rsidR="00D075F6" w:rsidRDefault="00734411">
                  <w:pPr>
                    <w:jc w:val="center"/>
                  </w:pPr>
                  <w:r>
                    <w:t>Regresión logística (logreg)</w:t>
                  </w:r>
                </w:p>
              </w:tc>
              <w:tc>
                <w:tcPr>
                  <w:tcW w:w="1980" w:type="dxa"/>
                </w:tcPr>
                <w:p w14:paraId="02B46F32" w14:textId="77777777" w:rsidR="00D075F6" w:rsidRDefault="00734411">
                  <w:pPr>
                    <w:jc w:val="center"/>
                  </w:pPr>
                  <w:r>
                    <w:t>Baseline transparente lineal</w:t>
                  </w:r>
                </w:p>
              </w:tc>
              <w:tc>
                <w:tcPr>
                  <w:tcW w:w="1980" w:type="dxa"/>
                </w:tcPr>
                <w:p w14:paraId="5F1A81F1" w14:textId="77777777" w:rsidR="00D075F6" w:rsidRDefault="00734411">
                  <w:pPr>
                    <w:jc w:val="center"/>
                  </w:pPr>
                  <w:r>
                    <w:t>experiments/exp1_adult/models/logreg/</w:t>
                  </w:r>
                </w:p>
              </w:tc>
              <w:tc>
                <w:tcPr>
                  <w:tcW w:w="1980" w:type="dxa"/>
                </w:tcPr>
                <w:p w14:paraId="16F7DDE9" w14:textId="77777777" w:rsidR="00D075F6" w:rsidRDefault="00734411">
                  <w:pPr>
                    <w:jc w:val="center"/>
                  </w:pPr>
                  <w:r>
                    <w:t>metrics.json</w:t>
                  </w:r>
                </w:p>
              </w:tc>
            </w:tr>
            <w:tr w:rsidR="00D075F6" w14:paraId="0D0669D7" w14:textId="77777777">
              <w:trPr>
                <w:jc w:val="center"/>
              </w:trPr>
              <w:tc>
                <w:tcPr>
                  <w:tcW w:w="1980" w:type="dxa"/>
                </w:tcPr>
                <w:p w14:paraId="793523CC" w14:textId="77777777" w:rsidR="00D075F6" w:rsidRDefault="00734411">
                  <w:pPr>
                    <w:jc w:val="center"/>
                  </w:pPr>
                  <w:r>
                    <w:t>Bosque aleatorio (rf)</w:t>
                  </w:r>
                </w:p>
              </w:tc>
              <w:tc>
                <w:tcPr>
                  <w:tcW w:w="1980" w:type="dxa"/>
                </w:tcPr>
                <w:p w14:paraId="06AB47BE" w14:textId="77777777" w:rsidR="00D075F6" w:rsidRDefault="00734411">
                  <w:pPr>
                    <w:jc w:val="center"/>
                  </w:pPr>
                  <w:r>
                    <w:t>Ensamble no lineal</w:t>
                  </w:r>
                </w:p>
              </w:tc>
              <w:tc>
                <w:tcPr>
                  <w:tcW w:w="1980" w:type="dxa"/>
                </w:tcPr>
                <w:p w14:paraId="73EBF699" w14:textId="77777777" w:rsidR="00D075F6" w:rsidRDefault="00734411">
                  <w:pPr>
                    <w:jc w:val="center"/>
                  </w:pPr>
                  <w:r>
                    <w:t>experiments/exp1_adult/models/rf/</w:t>
                  </w:r>
                </w:p>
              </w:tc>
              <w:tc>
                <w:tcPr>
                  <w:tcW w:w="1980" w:type="dxa"/>
                </w:tcPr>
                <w:p w14:paraId="3E603CB9" w14:textId="77777777" w:rsidR="00D075F6" w:rsidRDefault="00734411">
                  <w:pPr>
                    <w:jc w:val="center"/>
                  </w:pPr>
                  <w:r>
                    <w:t>metrics.json</w:t>
                  </w:r>
                </w:p>
              </w:tc>
            </w:tr>
            <w:tr w:rsidR="00D075F6" w14:paraId="79BC65A3" w14:textId="77777777">
              <w:trPr>
                <w:jc w:val="center"/>
              </w:trPr>
              <w:tc>
                <w:tcPr>
                  <w:tcW w:w="1980" w:type="dxa"/>
                </w:tcPr>
                <w:p w14:paraId="4A170E68" w14:textId="77777777" w:rsidR="00D075F6" w:rsidRDefault="00734411">
                  <w:pPr>
                    <w:jc w:val="center"/>
                  </w:pPr>
                  <w:r>
                    <w:t>XGBoost (xgb)</w:t>
                  </w:r>
                </w:p>
              </w:tc>
              <w:tc>
                <w:tcPr>
                  <w:tcW w:w="1980" w:type="dxa"/>
                </w:tcPr>
                <w:p w14:paraId="7190998C" w14:textId="77777777" w:rsidR="00D075F6" w:rsidRDefault="00734411">
                  <w:pPr>
                    <w:jc w:val="center"/>
                  </w:pPr>
                  <w:r>
                    <w:t>Ensamble de alto rendimiento compatible con TreeSHAP</w:t>
                  </w:r>
                </w:p>
              </w:tc>
              <w:tc>
                <w:tcPr>
                  <w:tcW w:w="1980" w:type="dxa"/>
                </w:tcPr>
                <w:p w14:paraId="535F9408" w14:textId="77777777" w:rsidR="00D075F6" w:rsidRDefault="00734411">
                  <w:pPr>
                    <w:jc w:val="center"/>
                  </w:pPr>
                  <w:r>
                    <w:t>experiments/exp1_adult/models/xgboost/</w:t>
                  </w:r>
                </w:p>
              </w:tc>
              <w:tc>
                <w:tcPr>
                  <w:tcW w:w="1980" w:type="dxa"/>
                </w:tcPr>
                <w:p w14:paraId="14BEE0A2" w14:textId="77777777" w:rsidR="00D075F6" w:rsidRDefault="00734411">
                  <w:pPr>
                    <w:jc w:val="center"/>
                  </w:pPr>
                  <w:r>
                    <w:t>metrics.json, xgb_feature_importance.csv</w:t>
                  </w:r>
                </w:p>
              </w:tc>
            </w:tr>
            <w:tr w:rsidR="00D075F6" w14:paraId="53C70BD8" w14:textId="77777777">
              <w:trPr>
                <w:jc w:val="center"/>
              </w:trPr>
              <w:tc>
                <w:tcPr>
                  <w:tcW w:w="1980" w:type="dxa"/>
                </w:tcPr>
                <w:p w14:paraId="4B9426A9" w14:textId="77777777" w:rsidR="00D075F6" w:rsidRDefault="00734411">
                  <w:pPr>
                    <w:jc w:val="center"/>
                  </w:pPr>
                  <w:r>
                    <w:t>SVM (svm)</w:t>
                  </w:r>
                </w:p>
              </w:tc>
              <w:tc>
                <w:tcPr>
                  <w:tcW w:w="1980" w:type="dxa"/>
                </w:tcPr>
                <w:p w14:paraId="0D9BF265" w14:textId="77777777" w:rsidR="00D075F6" w:rsidRDefault="00734411">
                  <w:pPr>
                    <w:jc w:val="center"/>
                  </w:pPr>
                  <w:r>
                    <w:t>Comportamiento de frontera no lineal/kernel</w:t>
                  </w:r>
                </w:p>
              </w:tc>
              <w:tc>
                <w:tcPr>
                  <w:tcW w:w="1980" w:type="dxa"/>
                </w:tcPr>
                <w:p w14:paraId="32AECDBB" w14:textId="77777777" w:rsidR="00D075F6" w:rsidRDefault="00734411">
                  <w:pPr>
                    <w:jc w:val="center"/>
                  </w:pPr>
                  <w:r>
                    <w:t>experiments/exp1_adult/models/svm/</w:t>
                  </w:r>
                </w:p>
              </w:tc>
              <w:tc>
                <w:tcPr>
                  <w:tcW w:w="1980" w:type="dxa"/>
                </w:tcPr>
                <w:p w14:paraId="77174BE2" w14:textId="77777777" w:rsidR="00D075F6" w:rsidRDefault="00734411">
                  <w:pPr>
                    <w:jc w:val="center"/>
                  </w:pPr>
                  <w:r>
                    <w:t>metrics.json</w:t>
                  </w:r>
                </w:p>
              </w:tc>
            </w:tr>
            <w:tr w:rsidR="00D075F6" w14:paraId="076A27C2" w14:textId="77777777">
              <w:trPr>
                <w:jc w:val="center"/>
              </w:trPr>
              <w:tc>
                <w:tcPr>
                  <w:tcW w:w="1980" w:type="dxa"/>
                </w:tcPr>
                <w:p w14:paraId="161E494B" w14:textId="77777777" w:rsidR="00D075F6" w:rsidRDefault="00734411">
                  <w:pPr>
                    <w:jc w:val="center"/>
                  </w:pPr>
                  <w:r>
                    <w:t>MLP (mlp)</w:t>
                  </w:r>
                </w:p>
              </w:tc>
              <w:tc>
                <w:tcPr>
                  <w:tcW w:w="1980" w:type="dxa"/>
                </w:tcPr>
                <w:p w14:paraId="22EE8456" w14:textId="77777777" w:rsidR="00D075F6" w:rsidRDefault="00734411">
                  <w:pPr>
                    <w:jc w:val="center"/>
                  </w:pPr>
                  <w:r>
                    <w:t>Baseline neuronal no lineal</w:t>
                  </w:r>
                </w:p>
              </w:tc>
              <w:tc>
                <w:tcPr>
                  <w:tcW w:w="1980" w:type="dxa"/>
                </w:tcPr>
                <w:p w14:paraId="335792A9" w14:textId="77777777" w:rsidR="00D075F6" w:rsidRDefault="00734411">
                  <w:pPr>
                    <w:jc w:val="center"/>
                  </w:pPr>
                  <w:r>
                    <w:t>experiments/exp1_adult/models/mlp/</w:t>
                  </w:r>
                </w:p>
              </w:tc>
              <w:tc>
                <w:tcPr>
                  <w:tcW w:w="1980" w:type="dxa"/>
                </w:tcPr>
                <w:p w14:paraId="41A238CF" w14:textId="77777777" w:rsidR="00D075F6" w:rsidRDefault="00734411">
                  <w:pPr>
                    <w:jc w:val="center"/>
                  </w:pPr>
                  <w:r>
                    <w:t>metrics.json</w:t>
                  </w:r>
                </w:p>
              </w:tc>
            </w:tr>
            <w:bookmarkEnd w:id="415"/>
          </w:tbl>
          <w:p w14:paraId="0E83E6B1" w14:textId="77777777" w:rsidR="00D075F6" w:rsidRDefault="00D075F6"/>
        </w:tc>
      </w:tr>
    </w:tbl>
    <w:p w14:paraId="2AAE356F" w14:textId="77777777" w:rsidR="00D075F6" w:rsidRDefault="00734411">
      <w:pPr>
        <w:pStyle w:val="BodyText"/>
      </w:pPr>
      <w:r>
        <w:t xml:space="preserve">Los umbrales de inclusión usados en la tesis son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La Tabla 3.1 reporta las métricas finales extraídas de estos artefactos.</w:t>
      </w:r>
    </w:p>
    <w:p w14:paraId="7844A495" w14:textId="77777777" w:rsidR="00D075F6" w:rsidRDefault="00734411">
      <w:pPr>
        <w:pStyle w:val="Heading2"/>
      </w:pPr>
      <w:bookmarkStart w:id="416" w:name="apéndice-c-configuración-de-explicadores"/>
      <w:bookmarkStart w:id="417" w:name="_Toc241413347"/>
      <w:bookmarkEnd w:id="413"/>
      <w:r>
        <w:t>Apéndice C: Configuración de explicadores</w:t>
      </w:r>
      <w:bookmarkEnd w:id="417"/>
    </w:p>
    <w:p w14:paraId="7C6AF058" w14:textId="77777777" w:rsidR="00D075F6" w:rsidRDefault="00734411">
      <w:r>
        <w:t>Las configuraciones declarativas de EXP2 se almacenan en configs/experiments/exp2_scaled/. El manifiesto manifest.yaml define las 300 celdas del diseño factorial y cada YAML por celda fija modelo, explicador, semilla y tamaño de muestra.</w:t>
      </w:r>
    </w:p>
    <w:tbl>
      <w:tblPr>
        <w:tblW w:w="5000" w:type="pct"/>
        <w:jc w:val="center"/>
        <w:tblLayout w:type="fixed"/>
        <w:tblLook w:val="0000" w:firstRow="0" w:lastRow="0" w:firstColumn="0" w:lastColumn="0" w:noHBand="0" w:noVBand="0"/>
      </w:tblPr>
      <w:tblGrid>
        <w:gridCol w:w="9576"/>
      </w:tblGrid>
      <w:tr w:rsidR="00D075F6" w14:paraId="266063C7" w14:textId="77777777">
        <w:trPr>
          <w:jc w:val="center"/>
        </w:trPr>
        <w:tc>
          <w:tcPr>
            <w:tcW w:w="7920" w:type="dxa"/>
          </w:tcPr>
          <w:p w14:paraId="2D9368DD" w14:textId="77777777" w:rsidR="00D075F6" w:rsidRDefault="00734411">
            <w:pPr>
              <w:spacing w:before="200"/>
              <w:jc w:val="center"/>
            </w:pPr>
            <w:bookmarkStart w:id="418" w:name="tbl-appendix-explainers"/>
            <w:r>
              <w:t>Tabla 6.7: Configuración de explicadores y caveats operativos.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284B81C2" w14:textId="77777777">
              <w:trPr>
                <w:tblHeader/>
                <w:jc w:val="center"/>
              </w:trPr>
              <w:tc>
                <w:tcPr>
                  <w:tcW w:w="1980" w:type="dxa"/>
                </w:tcPr>
                <w:p w14:paraId="0B2ABABC" w14:textId="77777777" w:rsidR="00D075F6" w:rsidRDefault="00734411">
                  <w:pPr>
                    <w:jc w:val="center"/>
                  </w:pPr>
                  <w:r>
                    <w:rPr>
                      <w:b/>
                      <w:bCs/>
                    </w:rPr>
                    <w:t>Explicador</w:t>
                  </w:r>
                </w:p>
              </w:tc>
              <w:tc>
                <w:tcPr>
                  <w:tcW w:w="1980" w:type="dxa"/>
                </w:tcPr>
                <w:p w14:paraId="014A669D" w14:textId="77777777" w:rsidR="00D075F6" w:rsidRDefault="00734411">
                  <w:pPr>
                    <w:jc w:val="center"/>
                  </w:pPr>
                  <w:r>
                    <w:rPr>
                      <w:b/>
                      <w:bCs/>
                    </w:rPr>
                    <w:t>Configuración efectiva</w:t>
                  </w:r>
                </w:p>
              </w:tc>
              <w:tc>
                <w:tcPr>
                  <w:tcW w:w="1980" w:type="dxa"/>
                </w:tcPr>
                <w:p w14:paraId="1E4F3DE0" w14:textId="77777777" w:rsidR="00D075F6" w:rsidRDefault="00734411">
                  <w:pPr>
                    <w:jc w:val="center"/>
                  </w:pPr>
                  <w:r>
                    <w:rPr>
                      <w:b/>
                      <w:bCs/>
                    </w:rPr>
                    <w:t>Implementación</w:t>
                  </w:r>
                </w:p>
              </w:tc>
              <w:tc>
                <w:tcPr>
                  <w:tcW w:w="1980" w:type="dxa"/>
                </w:tcPr>
                <w:p w14:paraId="61056DA0" w14:textId="77777777" w:rsidR="00D075F6" w:rsidRDefault="00734411">
                  <w:pPr>
                    <w:jc w:val="center"/>
                  </w:pPr>
                  <w:r>
                    <w:rPr>
                      <w:b/>
                      <w:bCs/>
                    </w:rPr>
                    <w:t>Caveat</w:t>
                  </w:r>
                </w:p>
              </w:tc>
            </w:tr>
            <w:tr w:rsidR="00D075F6" w14:paraId="428795C9" w14:textId="77777777">
              <w:trPr>
                <w:jc w:val="center"/>
              </w:trPr>
              <w:tc>
                <w:tcPr>
                  <w:tcW w:w="1980" w:type="dxa"/>
                </w:tcPr>
                <w:p w14:paraId="73BDBD8D" w14:textId="77777777" w:rsidR="00D075F6" w:rsidRDefault="00734411">
                  <w:pPr>
                    <w:jc w:val="center"/>
                  </w:pPr>
                  <w:r>
                    <w:t>SHAP</w:t>
                  </w:r>
                </w:p>
              </w:tc>
              <w:tc>
                <w:tcPr>
                  <w:tcW w:w="1980" w:type="dxa"/>
                </w:tcPr>
                <w:p w14:paraId="511DAE67" w14:textId="77777777" w:rsidR="00D075F6" w:rsidRDefault="00734411">
                  <w:pPr>
                    <w:jc w:val="center"/>
                  </w:pPr>
                  <w:r>
                    <w:t>TreeExplainer para rf/xgb; KernelExplainer para logreg/svm/mlp; fondo de 50 muestras</w:t>
                  </w:r>
                </w:p>
              </w:tc>
              <w:tc>
                <w:tcPr>
                  <w:tcW w:w="1980" w:type="dxa"/>
                </w:tcPr>
                <w:p w14:paraId="7AB879B6" w14:textId="77777777" w:rsidR="00D075F6" w:rsidRDefault="00734411">
                  <w:pPr>
                    <w:jc w:val="center"/>
                  </w:pPr>
                  <w:r>
                    <w:t>src/xai/shap_tabular.py</w:t>
                  </w:r>
                </w:p>
              </w:tc>
              <w:tc>
                <w:tcPr>
                  <w:tcW w:w="1980" w:type="dxa"/>
                </w:tcPr>
                <w:p w14:paraId="12222239" w14:textId="77777777" w:rsidR="00D075F6" w:rsidRDefault="00734411">
                  <w:pPr>
                    <w:jc w:val="center"/>
                  </w:pPr>
                  <w:r>
                    <w:t>KernelSHAP domina el coste en SVM y MLP</w:t>
                  </w:r>
                </w:p>
              </w:tc>
            </w:tr>
            <w:tr w:rsidR="00D075F6" w14:paraId="5ACFFF82" w14:textId="77777777">
              <w:trPr>
                <w:jc w:val="center"/>
              </w:trPr>
              <w:tc>
                <w:tcPr>
                  <w:tcW w:w="1980" w:type="dxa"/>
                </w:tcPr>
                <w:p w14:paraId="668A18E2" w14:textId="77777777" w:rsidR="00D075F6" w:rsidRDefault="00734411">
                  <w:pPr>
                    <w:jc w:val="center"/>
                  </w:pPr>
                  <w:r>
                    <w:t>LIME</w:t>
                  </w:r>
                </w:p>
              </w:tc>
              <w:tc>
                <w:tcPr>
                  <w:tcW w:w="1980" w:type="dxa"/>
                </w:tcPr>
                <w:p w14:paraId="5AE98046" w14:textId="77777777" w:rsidR="00D075F6" w:rsidRDefault="00734411">
                  <w:pPr>
                    <w:jc w:val="center"/>
                  </w:pPr>
                  <w:r>
                    <w:t>num_samples = 1000, num_features = 10, kernel_width = 3.0, sin discretización numérica</w:t>
                  </w:r>
                </w:p>
              </w:tc>
              <w:tc>
                <w:tcPr>
                  <w:tcW w:w="1980" w:type="dxa"/>
                </w:tcPr>
                <w:p w14:paraId="4AEAE607" w14:textId="77777777" w:rsidR="00D075F6" w:rsidRDefault="00734411">
                  <w:pPr>
                    <w:jc w:val="center"/>
                  </w:pPr>
                  <w:r>
                    <w:t>src/xai/lime_tabular.py</w:t>
                  </w:r>
                </w:p>
              </w:tc>
              <w:tc>
                <w:tcPr>
                  <w:tcW w:w="1980" w:type="dxa"/>
                </w:tcPr>
                <w:p w14:paraId="30878A43" w14:textId="77777777" w:rsidR="00D075F6" w:rsidRDefault="00734411">
                  <w:pPr>
                    <w:jc w:val="center"/>
                  </w:pPr>
                  <w:r>
                    <w:t>Sensible al muestreo local</w:t>
                  </w:r>
                </w:p>
              </w:tc>
            </w:tr>
            <w:tr w:rsidR="00D075F6" w14:paraId="6A3232EA" w14:textId="77777777">
              <w:trPr>
                <w:jc w:val="center"/>
              </w:trPr>
              <w:tc>
                <w:tcPr>
                  <w:tcW w:w="1980" w:type="dxa"/>
                </w:tcPr>
                <w:p w14:paraId="788A0FE4" w14:textId="77777777" w:rsidR="00D075F6" w:rsidRDefault="00734411">
                  <w:pPr>
                    <w:jc w:val="center"/>
                  </w:pPr>
                  <w:r>
                    <w:t>Anchors</w:t>
                  </w:r>
                </w:p>
              </w:tc>
              <w:tc>
                <w:tcPr>
                  <w:tcW w:w="1980" w:type="dxa"/>
                </w:tcPr>
                <w:p w14:paraId="63908CB8" w14:textId="77777777" w:rsidR="00D075F6" w:rsidRDefault="00734411">
                  <w:pPr>
                    <w:jc w:val="center"/>
                  </w:pPr>
                  <w:r>
                    <w:t xml:space="preserve">AnchorTabular, umbral efectivo </w:t>
                  </w:r>
                  <m:oMath>
                    <m:r>
                      <w:rPr>
                        <w:rFonts w:ascii="Cambria Math" w:hAnsi="Cambria Math"/>
                      </w:rPr>
                      <m:t>τ</m:t>
                    </m:r>
                    <m:r>
                      <m:rPr>
                        <m:sty m:val="p"/>
                      </m:rPr>
                      <w:rPr>
                        <w:rFonts w:ascii="Cambria Math" w:hAnsi="Cambria Math"/>
                      </w:rPr>
                      <m:t>=</m:t>
                    </m:r>
                    <m:r>
                      <w:rPr>
                        <w:rFonts w:ascii="Cambria Math" w:hAnsi="Cambria Math"/>
                      </w:rPr>
                      <m:t>0.95</m:t>
                    </m:r>
                  </m:oMath>
                </w:p>
              </w:tc>
              <w:tc>
                <w:tcPr>
                  <w:tcW w:w="1980" w:type="dxa"/>
                </w:tcPr>
                <w:p w14:paraId="3B736874" w14:textId="77777777" w:rsidR="00D075F6" w:rsidRDefault="00734411">
                  <w:pPr>
                    <w:jc w:val="center"/>
                  </w:pPr>
                  <w:r>
                    <w:t>src/xai/anchors_wrapper.py</w:t>
                  </w:r>
                </w:p>
              </w:tc>
              <w:tc>
                <w:tcPr>
                  <w:tcW w:w="1980" w:type="dxa"/>
                </w:tcPr>
                <w:p w14:paraId="557AFC69" w14:textId="77777777" w:rsidR="00D075F6" w:rsidRDefault="00734411">
                  <w:pPr>
                    <w:jc w:val="center"/>
                  </w:pPr>
                  <w:r>
                    <w:t>Algunos parámetros YAML no son consumidos en runtime</w:t>
                  </w:r>
                </w:p>
              </w:tc>
            </w:tr>
            <w:tr w:rsidR="00D075F6" w14:paraId="7E498C27" w14:textId="77777777">
              <w:trPr>
                <w:jc w:val="center"/>
              </w:trPr>
              <w:tc>
                <w:tcPr>
                  <w:tcW w:w="1980" w:type="dxa"/>
                </w:tcPr>
                <w:p w14:paraId="22D834FE" w14:textId="77777777" w:rsidR="00D075F6" w:rsidRDefault="00734411">
                  <w:pPr>
                    <w:jc w:val="center"/>
                  </w:pPr>
                  <w:r>
                    <w:t>DiCE</w:t>
                  </w:r>
                </w:p>
              </w:tc>
              <w:tc>
                <w:tcPr>
                  <w:tcW w:w="1980" w:type="dxa"/>
                </w:tcPr>
                <w:p w14:paraId="5B75C306" w14:textId="77777777" w:rsidR="00D075F6" w:rsidRDefault="00734411">
                  <w:pPr>
                    <w:jc w:val="center"/>
                  </w:pPr>
                  <w:r>
                    <w:t>Backend aleatorio, clase opuesta, total_CFs = 1 efectivo</w:t>
                  </w:r>
                </w:p>
              </w:tc>
              <w:tc>
                <w:tcPr>
                  <w:tcW w:w="1980" w:type="dxa"/>
                </w:tcPr>
                <w:p w14:paraId="4FC79359" w14:textId="77777777" w:rsidR="00D075F6" w:rsidRDefault="00734411">
                  <w:pPr>
                    <w:jc w:val="center"/>
                  </w:pPr>
                  <w:r>
                    <w:t>src/xai/dice_wrapper.py</w:t>
                  </w:r>
                </w:p>
              </w:tc>
              <w:tc>
                <w:tcPr>
                  <w:tcW w:w="1980" w:type="dxa"/>
                </w:tcPr>
                <w:p w14:paraId="366C92D3" w14:textId="77777777" w:rsidR="00D075F6" w:rsidRDefault="00734411">
                  <w:pPr>
                    <w:jc w:val="center"/>
                  </w:pPr>
                  <w:r>
                    <w:t xml:space="preserve">La importancia se deriva de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p>
              </w:tc>
            </w:tr>
            <w:bookmarkEnd w:id="418"/>
          </w:tbl>
          <w:p w14:paraId="6692BCC3" w14:textId="77777777" w:rsidR="00D075F6" w:rsidRDefault="00D075F6"/>
        </w:tc>
      </w:tr>
    </w:tbl>
    <w:p w14:paraId="5AE08216" w14:textId="77777777" w:rsidR="00D075F6" w:rsidRDefault="00734411">
      <w:pPr>
        <w:pStyle w:val="BodyText"/>
      </w:pPr>
      <w:r>
        <w:t>El tiempo de ejecución y las importancias se registran mediante ExplainerWrapper.explain_instance, con restricciones de recursos controladas por src/utils/resource_control.py.</w:t>
      </w:r>
    </w:p>
    <w:p w14:paraId="71EB7A0E" w14:textId="77777777" w:rsidR="00D075F6" w:rsidRDefault="00734411">
      <w:pPr>
        <w:pStyle w:val="Heading3"/>
      </w:pPr>
      <w:bookmarkStart w:id="419" w:name="X19223749bd91808c35bfde79d8d5a77d7c56c01"/>
      <w:bookmarkStart w:id="420" w:name="_Toc241413348"/>
      <w:r>
        <w:t>C.1 Análisis exploratorio de sensibilidad a hiperparámetros</w:t>
      </w:r>
      <w:bookmarkEnd w:id="420"/>
    </w:p>
    <w:p w14:paraId="71B652C9" w14:textId="77777777" w:rsidR="00D075F6" w:rsidRDefault="00734411">
      <w:r>
        <w:t xml:space="preserve">Este análisis evalúa en qué medida los resultados principales son robustos a </w:t>
      </w:r>
      <w:r>
        <w:t xml:space="preserve">variaciones en los hiperparámetros de configuración de cada explicador. No forma parte de las hipótesis confirmativas H1-H3; su función es delimitar el alcance de los resultados y orientar configuraciones futuras. El análisis opera sobre el modelo RF con semilla 42 y </w:t>
      </w:r>
      <m:oMath>
        <m:r>
          <w:rPr>
            <w:rFonts w:ascii="Cambria Math" w:hAnsi="Cambria Math"/>
          </w:rPr>
          <m:t>N</m:t>
        </m:r>
        <m:r>
          <m:rPr>
            <m:sty m:val="p"/>
          </m:rPr>
          <w:rPr>
            <w:rFonts w:ascii="Cambria Math" w:hAnsi="Cambria Math"/>
          </w:rPr>
          <m:t>=</m:t>
        </m:r>
        <m:r>
          <w:rPr>
            <w:rFonts w:ascii="Cambria Math" w:hAnsi="Cambria Math"/>
          </w:rPr>
          <m:t>100</m:t>
        </m:r>
      </m:oMath>
      <w:r>
        <w:t xml:space="preserve"> como condición de referencia.</w:t>
      </w:r>
    </w:p>
    <w:p w14:paraId="7A92D1D7" w14:textId="77777777" w:rsidR="00D075F6" w:rsidRDefault="00734411">
      <w:pPr>
        <w:pStyle w:val="BodyText"/>
      </w:pPr>
      <w:r>
        <w:rPr>
          <w:b/>
          <w:bCs/>
        </w:rPr>
        <w:t>LIME — sensibilidad a num_samples.</w:t>
      </w:r>
      <w:r>
        <w:t xml:space="preserve"> Se varía el número de muestras de perturbación local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oMath>
      <w:r>
        <w:t>) manteniendo kernel_width = 3.0 y num_features = 10 constantes.</w:t>
      </w:r>
    </w:p>
    <w:tbl>
      <w:tblPr>
        <w:tblW w:w="5000" w:type="pct"/>
        <w:jc w:val="center"/>
        <w:tblLayout w:type="fixed"/>
        <w:tblLook w:val="0000" w:firstRow="0" w:lastRow="0" w:firstColumn="0" w:lastColumn="0" w:noHBand="0" w:noVBand="0"/>
      </w:tblPr>
      <w:tblGrid>
        <w:gridCol w:w="9576"/>
      </w:tblGrid>
      <w:tr w:rsidR="00D075F6" w14:paraId="75D491E0" w14:textId="77777777">
        <w:trPr>
          <w:jc w:val="center"/>
        </w:trPr>
        <w:tc>
          <w:tcPr>
            <w:tcW w:w="7920" w:type="dxa"/>
          </w:tcPr>
          <w:p w14:paraId="6D8929CD" w14:textId="77777777" w:rsidR="00D075F6" w:rsidRDefault="00734411">
            <w:pPr>
              <w:spacing w:before="200"/>
              <w:jc w:val="center"/>
            </w:pPr>
            <w:bookmarkStart w:id="421" w:name="tbl-appendix-lime-sensitivity"/>
            <w:r>
              <w:t xml:space="preserve">Tabla 6.8: Sensibilidad de LIME a </w:t>
            </w:r>
            <w:r>
              <w:t xml:space="preserve">num_samples (RF, semilla 42, </w:t>
            </w:r>
            <m:oMath>
              <m:r>
                <w:rPr>
                  <w:rFonts w:ascii="Cambria Math" w:hAnsi="Cambria Math"/>
                </w:rPr>
                <m:t>N</m:t>
              </m:r>
              <m:r>
                <m:rPr>
                  <m:sty m:val="p"/>
                </m:rPr>
                <w:rPr>
                  <w:rFonts w:ascii="Cambria Math" w:hAnsi="Cambria Math"/>
                </w:rPr>
                <m:t>=</m:t>
              </m:r>
              <m:r>
                <w:rPr>
                  <w:rFonts w:ascii="Cambria Math" w:hAnsi="Cambria Math"/>
                </w:rPr>
                <m:t>100</m:t>
              </m:r>
            </m:oMath>
            <w:r>
              <w:t>). Medición exploratoria histórica: sus valores no han podido re-derivarse bajo el entorno actual (véase la nota de procedencia siguiente).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D075F6" w14:paraId="4A770081" w14:textId="77777777">
              <w:trPr>
                <w:tblHeader/>
                <w:jc w:val="center"/>
              </w:trPr>
              <w:tc>
                <w:tcPr>
                  <w:tcW w:w="1584" w:type="dxa"/>
                </w:tcPr>
                <w:p w14:paraId="421591B0" w14:textId="77777777" w:rsidR="00D075F6" w:rsidRDefault="00734411">
                  <w:pPr>
                    <w:jc w:val="center"/>
                  </w:pPr>
                  <w:r>
                    <w:rPr>
                      <w:b/>
                      <w:bCs/>
                    </w:rPr>
                    <w:t>num_samples</w:t>
                  </w:r>
                </w:p>
              </w:tc>
              <w:tc>
                <w:tcPr>
                  <w:tcW w:w="1584" w:type="dxa"/>
                </w:tcPr>
                <w:p w14:paraId="5082DC49" w14:textId="77777777" w:rsidR="00D075F6" w:rsidRDefault="00734411">
                  <w:pPr>
                    <w:jc w:val="center"/>
                  </w:pPr>
                  <w:r>
                    <w:rPr>
                      <w:b/>
                      <w:bCs/>
                    </w:rPr>
                    <w:t>Fidelidad (media)</w:t>
                  </w:r>
                </w:p>
              </w:tc>
              <w:tc>
                <w:tcPr>
                  <w:tcW w:w="1584" w:type="dxa"/>
                </w:tcPr>
                <w:p w14:paraId="4749C412" w14:textId="77777777" w:rsidR="00D075F6" w:rsidRDefault="00734411">
                  <w:pPr>
                    <w:jc w:val="center"/>
                  </w:pPr>
                  <w:r>
                    <w:rPr>
                      <w:b/>
                      <w:bCs/>
                    </w:rPr>
                    <w:t>Estabilidad (media)</w:t>
                  </w:r>
                </w:p>
              </w:tc>
              <w:tc>
                <w:tcPr>
                  <w:tcW w:w="1584" w:type="dxa"/>
                </w:tcPr>
                <w:p w14:paraId="73F3C16D" w14:textId="77777777" w:rsidR="00D075F6" w:rsidRDefault="00734411">
                  <w:pPr>
                    <w:jc w:val="center"/>
                  </w:pPr>
                  <w:r>
                    <w:rPr>
                      <w:b/>
                      <w:bCs/>
                    </w:rPr>
                    <w:t>Coste (ms)</w:t>
                  </w:r>
                </w:p>
              </w:tc>
              <w:tc>
                <w:tcPr>
                  <w:tcW w:w="1584" w:type="dxa"/>
                </w:tcPr>
                <w:p w14:paraId="69505919" w14:textId="77777777" w:rsidR="00D075F6" w:rsidRDefault="00734411">
                  <w:pPr>
                    <w:jc w:val="center"/>
                  </w:pPr>
                  <w:r>
                    <w:rPr>
                      <w:b/>
                      <w:bCs/>
                    </w:rPr>
                    <w:t>Parsimonia</w:t>
                  </w:r>
                </w:p>
              </w:tc>
            </w:tr>
            <w:tr w:rsidR="00D075F6" w14:paraId="7A762A98" w14:textId="77777777">
              <w:trPr>
                <w:jc w:val="center"/>
              </w:trPr>
              <w:tc>
                <w:tcPr>
                  <w:tcW w:w="1584" w:type="dxa"/>
                </w:tcPr>
                <w:p w14:paraId="525B2855" w14:textId="77777777" w:rsidR="00D075F6" w:rsidRDefault="00734411">
                  <w:pPr>
                    <w:jc w:val="center"/>
                  </w:pPr>
                  <w:r>
                    <w:t>500</w:t>
                  </w:r>
                </w:p>
              </w:tc>
              <w:tc>
                <w:tcPr>
                  <w:tcW w:w="1584" w:type="dxa"/>
                </w:tcPr>
                <w:p w14:paraId="0E272C0F" w14:textId="77777777" w:rsidR="00D075F6" w:rsidRDefault="00734411">
                  <w:pPr>
                    <w:jc w:val="center"/>
                  </w:pPr>
                  <w:r>
                    <w:t>0.452</w:t>
                  </w:r>
                </w:p>
              </w:tc>
              <w:tc>
                <w:tcPr>
                  <w:tcW w:w="1584" w:type="dxa"/>
                </w:tcPr>
                <w:p w14:paraId="0FD1F380" w14:textId="77777777" w:rsidR="00D075F6" w:rsidRDefault="00734411">
                  <w:pPr>
                    <w:jc w:val="center"/>
                  </w:pPr>
                  <w:r>
                    <w:t>0.011</w:t>
                  </w:r>
                </w:p>
              </w:tc>
              <w:tc>
                <w:tcPr>
                  <w:tcW w:w="1584" w:type="dxa"/>
                </w:tcPr>
                <w:p w14:paraId="047723E2" w14:textId="77777777" w:rsidR="00D075F6" w:rsidRDefault="00734411">
                  <w:pPr>
                    <w:jc w:val="center"/>
                  </w:pPr>
                  <w:r>
                    <w:t>114</w:t>
                  </w:r>
                </w:p>
              </w:tc>
              <w:tc>
                <w:tcPr>
                  <w:tcW w:w="1584" w:type="dxa"/>
                </w:tcPr>
                <w:p w14:paraId="69A85949" w14:textId="77777777" w:rsidR="00D075F6" w:rsidRDefault="00734411">
                  <w:pPr>
                    <w:jc w:val="center"/>
                  </w:pPr>
                  <w:r>
                    <w:t>0.085</w:t>
                  </w:r>
                </w:p>
              </w:tc>
            </w:tr>
            <w:tr w:rsidR="00D075F6" w14:paraId="5584AB82" w14:textId="77777777">
              <w:trPr>
                <w:jc w:val="center"/>
              </w:trPr>
              <w:tc>
                <w:tcPr>
                  <w:tcW w:w="1584" w:type="dxa"/>
                </w:tcPr>
                <w:p w14:paraId="224D0AB2" w14:textId="77777777" w:rsidR="00D075F6" w:rsidRDefault="00734411">
                  <w:pPr>
                    <w:jc w:val="center"/>
                  </w:pPr>
                  <w:r>
                    <w:t>1000 (referencia)</w:t>
                  </w:r>
                </w:p>
              </w:tc>
              <w:tc>
                <w:tcPr>
                  <w:tcW w:w="1584" w:type="dxa"/>
                </w:tcPr>
                <w:p w14:paraId="00A023B6" w14:textId="77777777" w:rsidR="00D075F6" w:rsidRDefault="00734411">
                  <w:pPr>
                    <w:jc w:val="center"/>
                  </w:pPr>
                  <w:r>
                    <w:t>0.461</w:t>
                  </w:r>
                </w:p>
              </w:tc>
              <w:tc>
                <w:tcPr>
                  <w:tcW w:w="1584" w:type="dxa"/>
                </w:tcPr>
                <w:p w14:paraId="1A86B6D1" w14:textId="77777777" w:rsidR="00D075F6" w:rsidRDefault="00734411">
                  <w:pPr>
                    <w:jc w:val="center"/>
                  </w:pPr>
                  <w:r>
                    <w:t>0.014</w:t>
                  </w:r>
                </w:p>
              </w:tc>
              <w:tc>
                <w:tcPr>
                  <w:tcW w:w="1584" w:type="dxa"/>
                </w:tcPr>
                <w:p w14:paraId="3D201E29" w14:textId="77777777" w:rsidR="00D075F6" w:rsidRDefault="00734411">
                  <w:pPr>
                    <w:jc w:val="center"/>
                  </w:pPr>
                  <w:r>
                    <w:t>226</w:t>
                  </w:r>
                </w:p>
              </w:tc>
              <w:tc>
                <w:tcPr>
                  <w:tcW w:w="1584" w:type="dxa"/>
                </w:tcPr>
                <w:p w14:paraId="1431CCA6" w14:textId="77777777" w:rsidR="00D075F6" w:rsidRDefault="00734411">
                  <w:pPr>
                    <w:jc w:val="center"/>
                  </w:pPr>
                  <w:r>
                    <w:t>0.085</w:t>
                  </w:r>
                </w:p>
              </w:tc>
            </w:tr>
            <w:tr w:rsidR="00D075F6" w14:paraId="0E2A5404" w14:textId="77777777">
              <w:trPr>
                <w:jc w:val="center"/>
              </w:trPr>
              <w:tc>
                <w:tcPr>
                  <w:tcW w:w="1584" w:type="dxa"/>
                </w:tcPr>
                <w:p w14:paraId="5DB484B3" w14:textId="77777777" w:rsidR="00D075F6" w:rsidRDefault="00734411">
                  <w:pPr>
                    <w:jc w:val="center"/>
                  </w:pPr>
                  <w:r>
                    <w:t>2000</w:t>
                  </w:r>
                </w:p>
              </w:tc>
              <w:tc>
                <w:tcPr>
                  <w:tcW w:w="1584" w:type="dxa"/>
                </w:tcPr>
                <w:p w14:paraId="7153A522" w14:textId="77777777" w:rsidR="00D075F6" w:rsidRDefault="00734411">
                  <w:pPr>
                    <w:jc w:val="center"/>
                  </w:pPr>
                  <w:r>
                    <w:t>0.459</w:t>
                  </w:r>
                </w:p>
              </w:tc>
              <w:tc>
                <w:tcPr>
                  <w:tcW w:w="1584" w:type="dxa"/>
                </w:tcPr>
                <w:p w14:paraId="30F30EF3" w14:textId="77777777" w:rsidR="00D075F6" w:rsidRDefault="00734411">
                  <w:pPr>
                    <w:jc w:val="center"/>
                  </w:pPr>
                  <w:r>
                    <w:t>0.016</w:t>
                  </w:r>
                </w:p>
              </w:tc>
              <w:tc>
                <w:tcPr>
                  <w:tcW w:w="1584" w:type="dxa"/>
                </w:tcPr>
                <w:p w14:paraId="77915505" w14:textId="77777777" w:rsidR="00D075F6" w:rsidRDefault="00734411">
                  <w:pPr>
                    <w:jc w:val="center"/>
                  </w:pPr>
                  <w:r>
                    <w:t>451</w:t>
                  </w:r>
                </w:p>
              </w:tc>
              <w:tc>
                <w:tcPr>
                  <w:tcW w:w="1584" w:type="dxa"/>
                </w:tcPr>
                <w:p w14:paraId="1D778B5E" w14:textId="77777777" w:rsidR="00D075F6" w:rsidRDefault="00734411">
                  <w:pPr>
                    <w:jc w:val="center"/>
                  </w:pPr>
                  <w:r>
                    <w:t>0.085</w:t>
                  </w:r>
                </w:p>
              </w:tc>
            </w:tr>
            <w:bookmarkEnd w:id="421"/>
          </w:tbl>
          <w:p w14:paraId="08E5E025" w14:textId="77777777" w:rsidR="00D075F6" w:rsidRDefault="00D075F6"/>
        </w:tc>
      </w:tr>
    </w:tbl>
    <w:p w14:paraId="76ED458B" w14:textId="77777777" w:rsidR="00D075F6" w:rsidRDefault="00734411">
      <w:pPr>
        <w:pStyle w:val="BodyText"/>
      </w:pPr>
      <w:r>
        <w:t xml:space="preserve">La fidelidad de LIME es insensible a num_samples (variación &lt; 2%); la estabilidad permanece cercana a cero en todos los niveles. El coste escala </w:t>
      </w:r>
      <w:r>
        <w:t>aproximadamente de forma lineal. Este resultado indica que la inestabilidad de LIME no se resuelve aumentando el número de muestras, sino que es inherente a la variabilidad del proceso de muestreo local.</w:t>
      </w:r>
    </w:p>
    <w:p w14:paraId="0791D96A" w14:textId="77777777" w:rsidR="00D075F6" w:rsidRDefault="00734411">
      <w:pPr>
        <w:pStyle w:val="BodyText"/>
      </w:pPr>
      <w:r>
        <w:rPr>
          <w:i/>
          <w:iCs/>
        </w:rPr>
        <w:t>Nota de procedencia y alcance.</w:t>
      </w:r>
      <w:r>
        <w:t xml:space="preserve"> Esta sonda es una medición exploratoria anterior cuyo artefacto de salida no se conserva en el repositorio, a diferencia de la sonda de kernel_width (</w:t>
      </w:r>
      <w:hyperlink w:anchor="tbl-appendix-lime-kw-sensitivity">
        <w:r>
          <w:rPr>
            <w:rStyle w:val="Hyperlink"/>
          </w:rPr>
          <w:t>Tabla 6.11</w:t>
        </w:r>
      </w:hyperlink>
      <w:r>
        <w:t xml:space="preserve">), que se re-deriva de </w:t>
      </w:r>
      <w:r>
        <w:t xml:space="preserve">outputs/analysis/lime_kernel_width_sensitivity.csv. Ambas tablas declaran la misma condición de referencia (RF,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num_samples = 1000, kernel_width = 3.0) pero reportan valores distintos para ella —fidelidad 0.461 frente a 0.518, estabilidad 0.014 frente a 0.000, coste 226 ms frente a 30 ms—, lo que indica que fueron ejecutadas con instrumentaciones distintas: el coste de ambas queda además por debajo del rango observado para </w:t>
      </w:r>
      <w:r>
        <w:t xml:space="preserve">LIME sobre RF en EXP2 (300–919 ms por ejecución), de modo que ninguna de las dos mide una ejecución completa del protocolo EXP2. Las dos sondas se reportan aquí por su valor cualitativo —la dirección del efecto de num_samples y de kernel_width— y no como estimaciones puntuales comparables entre sí ni con las medias de EXP2. La conclusión que ambas sostienen conjuntamente, y que sí es robusta a esta discrepancia, es direccional: aumentar num_samples no recupera estabilidad, mientras que ampliar kernel_width </w:t>
      </w:r>
      <w:r>
        <w:t>sí lo hace a costa de fidelidad. Re-ejecutar la sonda de num_samples produciría una medición nueva y no una reproducción de esta tabla, dado que el script de sensibilidad conservado (src/scripts/run_sensitivity_analysis.py) recorre una rejilla distinta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10000</m:t>
        </m:r>
        <m:r>
          <m:rPr>
            <m:sty m:val="p"/>
          </m:rPr>
          <w:rPr>
            <w:rFonts w:ascii="Cambria Math" w:hAnsi="Cambria Math"/>
          </w:rPr>
          <m:t>}</m:t>
        </m:r>
      </m:oMath>
      <w:r>
        <w:t>) sobre la configuración base de EXP1.</w:t>
      </w:r>
    </w:p>
    <w:p w14:paraId="014E6AFD" w14:textId="77777777" w:rsidR="00D075F6" w:rsidRDefault="00734411">
      <w:pPr>
        <w:pStyle w:val="BodyText"/>
      </w:pPr>
      <w:r>
        <w:rPr>
          <w:b/>
          <w:bCs/>
        </w:rPr>
        <w:t>SHAP — sensibilidad al tamaño del conjunto de referencia.</w:t>
      </w:r>
      <w:r>
        <w:t xml:space="preserve"> Se varía el número de instancias de referencia del KernelExplainer (</w:t>
      </w:r>
      <m:oMath>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w:t>
      </w:r>
      <w:r>
        <w:t>para el modelo SVM (donde KernelSHAP es el método de cálculo).</w:t>
      </w:r>
    </w:p>
    <w:tbl>
      <w:tblPr>
        <w:tblW w:w="5000" w:type="pct"/>
        <w:jc w:val="center"/>
        <w:tblLayout w:type="fixed"/>
        <w:tblLook w:val="0000" w:firstRow="0" w:lastRow="0" w:firstColumn="0" w:lastColumn="0" w:noHBand="0" w:noVBand="0"/>
      </w:tblPr>
      <w:tblGrid>
        <w:gridCol w:w="9576"/>
      </w:tblGrid>
      <w:tr w:rsidR="00D075F6" w14:paraId="4455DE91" w14:textId="77777777">
        <w:trPr>
          <w:jc w:val="center"/>
        </w:trPr>
        <w:tc>
          <w:tcPr>
            <w:tcW w:w="7920" w:type="dxa"/>
          </w:tcPr>
          <w:p w14:paraId="386B1738" w14:textId="77777777" w:rsidR="00D075F6" w:rsidRDefault="00734411">
            <w:pPr>
              <w:spacing w:before="200"/>
              <w:jc w:val="center"/>
            </w:pPr>
            <w:bookmarkStart w:id="422" w:name="tbl-appendix-shap-sensitivity"/>
            <w:r>
              <w:t xml:space="preserve">Tabla 6.9: Sensibilidad de KernelSHAP al tamaño del conjunto de referencia (SVM,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4F3693C5" w14:textId="77777777">
              <w:trPr>
                <w:tblHeader/>
                <w:jc w:val="center"/>
              </w:trPr>
              <w:tc>
                <w:tcPr>
                  <w:tcW w:w="1980" w:type="dxa"/>
                </w:tcPr>
                <w:p w14:paraId="7F6698BB" w14:textId="77777777" w:rsidR="00D075F6" w:rsidRDefault="00734411">
                  <w:pPr>
                    <w:jc w:val="center"/>
                  </w:pPr>
                  <w:r>
                    <w:rPr>
                      <w:b/>
                      <w:bCs/>
                    </w:rPr>
                    <w:t>Referencia (</w:t>
                  </w:r>
                  <m:oMath>
                    <m:r>
                      <w:rPr>
                        <w:rFonts w:ascii="Cambria Math" w:hAnsi="Cambria Math"/>
                      </w:rPr>
                      <m:t>k</m:t>
                    </m:r>
                  </m:oMath>
                  <w:r>
                    <w:rPr>
                      <w:b/>
                      <w:bCs/>
                    </w:rPr>
                    <w:t>)</w:t>
                  </w:r>
                </w:p>
              </w:tc>
              <w:tc>
                <w:tcPr>
                  <w:tcW w:w="1980" w:type="dxa"/>
                </w:tcPr>
                <w:p w14:paraId="1DFE3DFD" w14:textId="77777777" w:rsidR="00D075F6" w:rsidRDefault="00734411">
                  <w:pPr>
                    <w:jc w:val="center"/>
                  </w:pPr>
                  <w:r>
                    <w:rPr>
                      <w:b/>
                      <w:bCs/>
                    </w:rPr>
                    <w:t>Fidelidad (media)</w:t>
                  </w:r>
                </w:p>
              </w:tc>
              <w:tc>
                <w:tcPr>
                  <w:tcW w:w="1980" w:type="dxa"/>
                </w:tcPr>
                <w:p w14:paraId="3D9CD6B9" w14:textId="77777777" w:rsidR="00D075F6" w:rsidRDefault="00734411">
                  <w:pPr>
                    <w:jc w:val="center"/>
                  </w:pPr>
                  <w:r>
                    <w:rPr>
                      <w:b/>
                      <w:bCs/>
                    </w:rPr>
                    <w:t>Estabilidad (media)</w:t>
                  </w:r>
                </w:p>
              </w:tc>
              <w:tc>
                <w:tcPr>
                  <w:tcW w:w="1980" w:type="dxa"/>
                </w:tcPr>
                <w:p w14:paraId="44E63972" w14:textId="77777777" w:rsidR="00D075F6" w:rsidRDefault="00734411">
                  <w:pPr>
                    <w:jc w:val="center"/>
                  </w:pPr>
                  <w:r>
                    <w:rPr>
                      <w:b/>
                      <w:bCs/>
                    </w:rPr>
                    <w:t>Coste (ms)</w:t>
                  </w:r>
                </w:p>
              </w:tc>
            </w:tr>
            <w:tr w:rsidR="00D075F6" w14:paraId="2F278B87" w14:textId="77777777">
              <w:trPr>
                <w:jc w:val="center"/>
              </w:trPr>
              <w:tc>
                <w:tcPr>
                  <w:tcW w:w="1980" w:type="dxa"/>
                </w:tcPr>
                <w:p w14:paraId="7BCFBFBC" w14:textId="77777777" w:rsidR="00D075F6" w:rsidRDefault="00734411">
                  <w:pPr>
                    <w:jc w:val="center"/>
                  </w:pPr>
                  <w:r>
                    <w:t>25</w:t>
                  </w:r>
                </w:p>
              </w:tc>
              <w:tc>
                <w:tcPr>
                  <w:tcW w:w="1980" w:type="dxa"/>
                </w:tcPr>
                <w:p w14:paraId="6BFB80F6" w14:textId="77777777" w:rsidR="00D075F6" w:rsidRDefault="00734411">
                  <w:pPr>
                    <w:jc w:val="center"/>
                  </w:pPr>
                  <w:r>
                    <w:t>0.921</w:t>
                  </w:r>
                </w:p>
              </w:tc>
              <w:tc>
                <w:tcPr>
                  <w:tcW w:w="1980" w:type="dxa"/>
                </w:tcPr>
                <w:p w14:paraId="2A8F4C56" w14:textId="77777777" w:rsidR="00D075F6" w:rsidRDefault="00734411">
                  <w:pPr>
                    <w:jc w:val="center"/>
                  </w:pPr>
                  <w:r>
                    <w:t>0.728</w:t>
                  </w:r>
                </w:p>
              </w:tc>
              <w:tc>
                <w:tcPr>
                  <w:tcW w:w="1980" w:type="dxa"/>
                </w:tcPr>
                <w:p w14:paraId="56705988" w14:textId="77777777" w:rsidR="00D075F6" w:rsidRDefault="00734411">
                  <w:pPr>
                    <w:jc w:val="center"/>
                  </w:pPr>
                  <w:r>
                    <w:t>41,233</w:t>
                  </w:r>
                </w:p>
              </w:tc>
            </w:tr>
            <w:tr w:rsidR="00D075F6" w14:paraId="4B924C39" w14:textId="77777777">
              <w:trPr>
                <w:jc w:val="center"/>
              </w:trPr>
              <w:tc>
                <w:tcPr>
                  <w:tcW w:w="1980" w:type="dxa"/>
                </w:tcPr>
                <w:p w14:paraId="1B207AB5" w14:textId="77777777" w:rsidR="00D075F6" w:rsidRDefault="00734411">
                  <w:pPr>
                    <w:jc w:val="center"/>
                  </w:pPr>
                  <w:r>
                    <w:t>50 (referencia)</w:t>
                  </w:r>
                </w:p>
              </w:tc>
              <w:tc>
                <w:tcPr>
                  <w:tcW w:w="1980" w:type="dxa"/>
                </w:tcPr>
                <w:p w14:paraId="4810423A" w14:textId="77777777" w:rsidR="00D075F6" w:rsidRDefault="00734411">
                  <w:pPr>
                    <w:jc w:val="center"/>
                  </w:pPr>
                  <w:r>
                    <w:t>0.928</w:t>
                  </w:r>
                </w:p>
              </w:tc>
              <w:tc>
                <w:tcPr>
                  <w:tcW w:w="1980" w:type="dxa"/>
                </w:tcPr>
                <w:p w14:paraId="32C9880F" w14:textId="77777777" w:rsidR="00D075F6" w:rsidRDefault="00734411">
                  <w:pPr>
                    <w:jc w:val="center"/>
                  </w:pPr>
                  <w:r>
                    <w:t>0.731</w:t>
                  </w:r>
                </w:p>
              </w:tc>
              <w:tc>
                <w:tcPr>
                  <w:tcW w:w="1980" w:type="dxa"/>
                </w:tcPr>
                <w:p w14:paraId="78756AE2" w14:textId="77777777" w:rsidR="00D075F6" w:rsidRDefault="00734411">
                  <w:pPr>
                    <w:jc w:val="center"/>
                  </w:pPr>
                  <w:r>
                    <w:t>159,059</w:t>
                  </w:r>
                </w:p>
              </w:tc>
            </w:tr>
            <w:tr w:rsidR="00D075F6" w14:paraId="512F31A8" w14:textId="77777777">
              <w:trPr>
                <w:jc w:val="center"/>
              </w:trPr>
              <w:tc>
                <w:tcPr>
                  <w:tcW w:w="1980" w:type="dxa"/>
                </w:tcPr>
                <w:p w14:paraId="468304BE" w14:textId="77777777" w:rsidR="00D075F6" w:rsidRDefault="00734411">
                  <w:pPr>
                    <w:jc w:val="center"/>
                  </w:pPr>
                  <w:r>
                    <w:t>100</w:t>
                  </w:r>
                </w:p>
              </w:tc>
              <w:tc>
                <w:tcPr>
                  <w:tcW w:w="1980" w:type="dxa"/>
                </w:tcPr>
                <w:p w14:paraId="2B59C54A" w14:textId="77777777" w:rsidR="00D075F6" w:rsidRDefault="00734411">
                  <w:pPr>
                    <w:jc w:val="center"/>
                  </w:pPr>
                  <w:r>
                    <w:t>0.929</w:t>
                  </w:r>
                </w:p>
              </w:tc>
              <w:tc>
                <w:tcPr>
                  <w:tcW w:w="1980" w:type="dxa"/>
                </w:tcPr>
                <w:p w14:paraId="2DF280AD" w14:textId="77777777" w:rsidR="00D075F6" w:rsidRDefault="00734411">
                  <w:pPr>
                    <w:jc w:val="center"/>
                  </w:pPr>
                  <w:r>
                    <w:t>0.730</w:t>
                  </w:r>
                </w:p>
              </w:tc>
              <w:tc>
                <w:tcPr>
                  <w:tcW w:w="1980" w:type="dxa"/>
                </w:tcPr>
                <w:p w14:paraId="4B3F29B0" w14:textId="77777777" w:rsidR="00D075F6" w:rsidRDefault="00734411">
                  <w:pPr>
                    <w:jc w:val="center"/>
                  </w:pPr>
                  <w:r>
                    <w:t>614,820</w:t>
                  </w:r>
                </w:p>
              </w:tc>
            </w:tr>
            <w:bookmarkEnd w:id="422"/>
          </w:tbl>
          <w:p w14:paraId="1A90E961" w14:textId="77777777" w:rsidR="00D075F6" w:rsidRDefault="00D075F6"/>
        </w:tc>
      </w:tr>
    </w:tbl>
    <w:p w14:paraId="2D484096" w14:textId="77777777" w:rsidR="00D075F6" w:rsidRDefault="00734411">
      <w:pPr>
        <w:pStyle w:val="BodyText"/>
      </w:pPr>
      <w:r>
        <w:t xml:space="preserve">La fidelidad y estabilidad de SHAP son robustas al tamaño del conjunto de referencia en los niveles evaluados (variación &lt; 1%); el coste crece de forma supralineal con </w:t>
      </w:r>
      <m:oMath>
        <m:r>
          <w:rPr>
            <w:rFonts w:ascii="Cambria Math" w:hAnsi="Cambria Math"/>
          </w:rPr>
          <m:t>k</m:t>
        </m:r>
      </m:oMath>
      <w:r>
        <w:t>. Este resultado sugiere que el conjunto de referencia de 50 instancias usado en la tesis es suficiente para obtener atribuciones estables sin incurrir en el coste computacional de referencias mayores.</w:t>
      </w:r>
    </w:p>
    <w:p w14:paraId="47E28126" w14:textId="77777777" w:rsidR="00D075F6" w:rsidRDefault="00734411">
      <w:pPr>
        <w:pStyle w:val="BodyText"/>
      </w:pPr>
      <w:r>
        <w:rPr>
          <w:b/>
          <w:bCs/>
        </w:rPr>
        <w:t xml:space="preserve">Anchors — sensibilidad al umbral de precisión </w:t>
      </w:r>
      <m:oMath>
        <m:r>
          <w:rPr>
            <w:rFonts w:ascii="Cambria Math" w:hAnsi="Cambria Math"/>
          </w:rPr>
          <m:t>τ</m:t>
        </m:r>
      </m:oMath>
      <w:r>
        <w:rPr>
          <w:b/>
          <w:bCs/>
        </w:rPr>
        <w:t>.</w:t>
      </w:r>
      <w:r>
        <w:t xml:space="preserve"> Se varía el umbral de precisión mínima para aceptar una regla (</w:t>
      </w:r>
      <m:oMath>
        <m:r>
          <m:rPr>
            <m:sty m:val="p"/>
          </m:rPr>
          <w:rPr>
            <w:rFonts w:ascii="Cambria Math" w:hAnsi="Cambria Math"/>
          </w:rPr>
          <m:t>{</m:t>
        </m:r>
        <m:r>
          <w:rPr>
            <w:rFonts w:ascii="Cambria Math" w:hAnsi="Cambria Math"/>
          </w:rPr>
          <m:t>0.90</m:t>
        </m:r>
        <m:r>
          <m:rPr>
            <m:sty m:val="p"/>
          </m:rPr>
          <w:rPr>
            <w:rFonts w:ascii="Cambria Math" w:hAnsi="Cambria Math"/>
          </w:rPr>
          <m:t>,</m:t>
        </m:r>
        <m:r>
          <w:rPr>
            <w:rFonts w:ascii="Cambria Math" w:hAnsi="Cambria Math"/>
          </w:rPr>
          <m:t>0.95</m:t>
        </m:r>
        <m:r>
          <m:rPr>
            <m:sty m:val="p"/>
          </m:rPr>
          <w:rPr>
            <w:rFonts w:ascii="Cambria Math" w:hAnsi="Cambria Math"/>
          </w:rPr>
          <m:t>,</m:t>
        </m:r>
        <m:r>
          <w:rPr>
            <w:rFonts w:ascii="Cambria Math" w:hAnsi="Cambria Math"/>
          </w:rPr>
          <m:t>0.99</m:t>
        </m:r>
        <m:r>
          <m:rPr>
            <m:sty m:val="p"/>
          </m:rPr>
          <w:rPr>
            <w:rFonts w:ascii="Cambria Math" w:hAnsi="Cambria Math"/>
          </w:rPr>
          <m:t>}</m:t>
        </m:r>
      </m:oMath>
      <w:r>
        <w:t>) sobre el modelo RF.</w:t>
      </w:r>
    </w:p>
    <w:tbl>
      <w:tblPr>
        <w:tblW w:w="5000" w:type="pct"/>
        <w:jc w:val="center"/>
        <w:tblLayout w:type="fixed"/>
        <w:tblLook w:val="0000" w:firstRow="0" w:lastRow="0" w:firstColumn="0" w:lastColumn="0" w:noHBand="0" w:noVBand="0"/>
      </w:tblPr>
      <w:tblGrid>
        <w:gridCol w:w="9576"/>
      </w:tblGrid>
      <w:tr w:rsidR="00D075F6" w14:paraId="44C6CA38" w14:textId="77777777">
        <w:trPr>
          <w:jc w:val="center"/>
        </w:trPr>
        <w:tc>
          <w:tcPr>
            <w:tcW w:w="7920" w:type="dxa"/>
          </w:tcPr>
          <w:p w14:paraId="578173A8" w14:textId="77777777" w:rsidR="00D075F6" w:rsidRDefault="00734411">
            <w:pPr>
              <w:spacing w:before="200"/>
              <w:jc w:val="center"/>
            </w:pPr>
            <w:bookmarkStart w:id="423" w:name="tbl-appendix-anchors-sensitivity"/>
            <w:r>
              <w:t xml:space="preserve">Tabla 6.10: Sensibilidad de Anchors al umbral de precisión </w:t>
            </w:r>
            <m:oMath>
              <m:r>
                <w:rPr>
                  <w:rFonts w:ascii="Cambria Math" w:hAnsi="Cambria Math"/>
                </w:rPr>
                <m:t>τ</m:t>
              </m:r>
            </m:oMath>
            <w:r>
              <w:t xml:space="preserve">. </w:t>
            </w:r>
            <w:r>
              <w:rPr>
                <w:b/>
                <w:bCs/>
              </w:rPr>
              <w:t>Las dos columnas tienen alcances distintos</w:t>
            </w:r>
            <w:r>
              <w:t xml:space="preserve">: la cobertura se computa sobre las 75 celdas del </w:t>
            </w:r>
            <w:r>
              <w:t xml:space="preserve">diseño completo de Anchors (5 modelos </w:t>
            </w:r>
            <m:oMath>
              <m:r>
                <m:rPr>
                  <m:sty m:val="p"/>
                </m:rPr>
                <w:rPr>
                  <w:rFonts w:ascii="Cambria Math" w:hAnsi="Cambria Math"/>
                </w:rPr>
                <m:t>×</m:t>
              </m:r>
            </m:oMath>
            <w:r>
              <w:t xml:space="preserve"> 5 semillas </w:t>
            </w:r>
            <m:oMath>
              <m:r>
                <m:rPr>
                  <m:sty m:val="p"/>
                </m:rPr>
                <w:rPr>
                  <w:rFonts w:ascii="Cambria Math" w:hAnsi="Cambria Math"/>
                </w:rPr>
                <m:t>×</m:t>
              </m:r>
            </m:oMath>
            <w:r>
              <w:t xml:space="preserve"> 3 tamaños) —de ahí que la fila de referencia coincida exactamente con el 57/75 = 76.0% de </w:t>
            </w:r>
            <w:hyperlink w:anchor="tbl-coverage-method">
              <w:r>
                <w:rPr>
                  <w:rStyle w:val="Hyperlink"/>
                </w:rPr>
                <w:t>Tabla 3.5</w:t>
              </w:r>
            </w:hyperlink>
            <w:r>
              <w:t>—, mientras que la fidelidad y el coste corresponden a la condición de sondeo RF, semilla 42.</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D075F6" w14:paraId="00E16D02" w14:textId="77777777">
              <w:trPr>
                <w:tblHeader/>
                <w:jc w:val="center"/>
              </w:trPr>
              <w:tc>
                <w:tcPr>
                  <w:tcW w:w="1980" w:type="dxa"/>
                </w:tcPr>
                <w:p w14:paraId="1C3EE09B" w14:textId="77777777" w:rsidR="00D075F6" w:rsidRDefault="00734411">
                  <w:pPr>
                    <w:jc w:val="center"/>
                  </w:pPr>
                  <m:oMathPara>
                    <m:oMath>
                      <m:r>
                        <w:rPr>
                          <w:rFonts w:ascii="Cambria Math" w:hAnsi="Cambria Math"/>
                        </w:rPr>
                        <m:t>τ</m:t>
                      </m:r>
                    </m:oMath>
                  </m:oMathPara>
                </w:p>
              </w:tc>
              <w:tc>
                <w:tcPr>
                  <w:tcW w:w="1980" w:type="dxa"/>
                </w:tcPr>
                <w:p w14:paraId="333B555A" w14:textId="77777777" w:rsidR="00D075F6" w:rsidRDefault="00734411">
                  <w:pPr>
                    <w:jc w:val="center"/>
                  </w:pPr>
                  <w:r>
                    <w:rPr>
                      <w:b/>
                      <w:bCs/>
                    </w:rPr>
                    <w:t>Cobertura del diseño completo (75 celdas)</w:t>
                  </w:r>
                </w:p>
              </w:tc>
              <w:tc>
                <w:tcPr>
                  <w:tcW w:w="1980" w:type="dxa"/>
                </w:tcPr>
                <w:p w14:paraId="06463CA2" w14:textId="77777777" w:rsidR="00D075F6" w:rsidRDefault="00734411">
                  <w:pPr>
                    <w:jc w:val="center"/>
                  </w:pPr>
                  <w:r>
                    <w:rPr>
                      <w:b/>
                      <w:bCs/>
                    </w:rPr>
                    <w:t>Fidelidad (media)</w:t>
                  </w:r>
                </w:p>
              </w:tc>
              <w:tc>
                <w:tcPr>
                  <w:tcW w:w="1980" w:type="dxa"/>
                </w:tcPr>
                <w:p w14:paraId="4F90CBA6" w14:textId="77777777" w:rsidR="00D075F6" w:rsidRDefault="00734411">
                  <w:pPr>
                    <w:jc w:val="center"/>
                  </w:pPr>
                  <w:r>
                    <w:rPr>
                      <w:b/>
                      <w:bCs/>
                    </w:rPr>
                    <w:t>Coste (ms)</w:t>
                  </w:r>
                </w:p>
              </w:tc>
            </w:tr>
            <w:tr w:rsidR="00D075F6" w14:paraId="16953AB1" w14:textId="77777777">
              <w:trPr>
                <w:jc w:val="center"/>
              </w:trPr>
              <w:tc>
                <w:tcPr>
                  <w:tcW w:w="1980" w:type="dxa"/>
                </w:tcPr>
                <w:p w14:paraId="631FA710" w14:textId="77777777" w:rsidR="00D075F6" w:rsidRDefault="00734411">
                  <w:pPr>
                    <w:jc w:val="center"/>
                  </w:pPr>
                  <w:r>
                    <w:t>0.90</w:t>
                  </w:r>
                </w:p>
              </w:tc>
              <w:tc>
                <w:tcPr>
                  <w:tcW w:w="1980" w:type="dxa"/>
                </w:tcPr>
                <w:p w14:paraId="5058F9A3" w14:textId="77777777" w:rsidR="00D075F6" w:rsidRDefault="00734411">
                  <w:pPr>
                    <w:jc w:val="center"/>
                  </w:pPr>
                  <w:r>
                    <w:t>72/75 (96%)</w:t>
                  </w:r>
                </w:p>
              </w:tc>
              <w:tc>
                <w:tcPr>
                  <w:tcW w:w="1980" w:type="dxa"/>
                </w:tcPr>
                <w:p w14:paraId="006DCBF1" w14:textId="77777777" w:rsidR="00D075F6" w:rsidRDefault="00734411">
                  <w:pPr>
                    <w:jc w:val="center"/>
                  </w:pPr>
                  <w:r>
                    <w:t>0.421</w:t>
                  </w:r>
                </w:p>
              </w:tc>
              <w:tc>
                <w:tcPr>
                  <w:tcW w:w="1980" w:type="dxa"/>
                </w:tcPr>
                <w:p w14:paraId="0F359B58" w14:textId="77777777" w:rsidR="00D075F6" w:rsidRDefault="00734411">
                  <w:pPr>
                    <w:jc w:val="center"/>
                  </w:pPr>
                  <w:r>
                    <w:t>9,843</w:t>
                  </w:r>
                </w:p>
              </w:tc>
            </w:tr>
            <w:tr w:rsidR="00D075F6" w14:paraId="4CD1C219" w14:textId="77777777">
              <w:trPr>
                <w:jc w:val="center"/>
              </w:trPr>
              <w:tc>
                <w:tcPr>
                  <w:tcW w:w="1980" w:type="dxa"/>
                </w:tcPr>
                <w:p w14:paraId="75F94E5C" w14:textId="77777777" w:rsidR="00D075F6" w:rsidRDefault="00734411">
                  <w:pPr>
                    <w:jc w:val="center"/>
                  </w:pPr>
                  <w:r>
                    <w:t>0.95 (referencia)</w:t>
                  </w:r>
                </w:p>
              </w:tc>
              <w:tc>
                <w:tcPr>
                  <w:tcW w:w="1980" w:type="dxa"/>
                </w:tcPr>
                <w:p w14:paraId="78400E80" w14:textId="77777777" w:rsidR="00D075F6" w:rsidRDefault="00734411">
                  <w:pPr>
                    <w:jc w:val="center"/>
                  </w:pPr>
                  <w:r>
                    <w:t>57/75 (76%)</w:t>
                  </w:r>
                </w:p>
              </w:tc>
              <w:tc>
                <w:tcPr>
                  <w:tcW w:w="1980" w:type="dxa"/>
                </w:tcPr>
                <w:p w14:paraId="4C793C76" w14:textId="77777777" w:rsidR="00D075F6" w:rsidRDefault="00734411">
                  <w:pPr>
                    <w:jc w:val="center"/>
                  </w:pPr>
                  <w:r>
                    <w:t>0.386</w:t>
                  </w:r>
                </w:p>
              </w:tc>
              <w:tc>
                <w:tcPr>
                  <w:tcW w:w="1980" w:type="dxa"/>
                </w:tcPr>
                <w:p w14:paraId="62114D5D" w14:textId="77777777" w:rsidR="00D075F6" w:rsidRDefault="00734411">
                  <w:pPr>
                    <w:jc w:val="center"/>
                  </w:pPr>
                  <w:r>
                    <w:t>16,000</w:t>
                  </w:r>
                </w:p>
              </w:tc>
            </w:tr>
            <w:tr w:rsidR="00D075F6" w14:paraId="746ECEC8" w14:textId="77777777">
              <w:trPr>
                <w:jc w:val="center"/>
              </w:trPr>
              <w:tc>
                <w:tcPr>
                  <w:tcW w:w="1980" w:type="dxa"/>
                </w:tcPr>
                <w:p w14:paraId="261026B4" w14:textId="77777777" w:rsidR="00D075F6" w:rsidRDefault="00734411">
                  <w:pPr>
                    <w:jc w:val="center"/>
                  </w:pPr>
                  <w:r>
                    <w:t>0.99</w:t>
                  </w:r>
                </w:p>
              </w:tc>
              <w:tc>
                <w:tcPr>
                  <w:tcW w:w="1980" w:type="dxa"/>
                </w:tcPr>
                <w:p w14:paraId="54A99743" w14:textId="77777777" w:rsidR="00D075F6" w:rsidRDefault="00734411">
                  <w:pPr>
                    <w:jc w:val="center"/>
                  </w:pPr>
                  <w:r>
                    <w:t>31/75 (41%)</w:t>
                  </w:r>
                </w:p>
              </w:tc>
              <w:tc>
                <w:tcPr>
                  <w:tcW w:w="1980" w:type="dxa"/>
                </w:tcPr>
                <w:p w14:paraId="091CD74F" w14:textId="77777777" w:rsidR="00D075F6" w:rsidRDefault="00734411">
                  <w:pPr>
                    <w:jc w:val="center"/>
                  </w:pPr>
                  <w:r>
                    <w:t>0.411</w:t>
                  </w:r>
                </w:p>
              </w:tc>
              <w:tc>
                <w:tcPr>
                  <w:tcW w:w="1980" w:type="dxa"/>
                </w:tcPr>
                <w:p w14:paraId="327CAFBE" w14:textId="77777777" w:rsidR="00D075F6" w:rsidRDefault="00734411">
                  <w:pPr>
                    <w:jc w:val="center"/>
                  </w:pPr>
                  <w:r>
                    <w:t>28,721</w:t>
                  </w:r>
                </w:p>
              </w:tc>
            </w:tr>
            <w:bookmarkEnd w:id="423"/>
          </w:tbl>
          <w:p w14:paraId="59FFC8CA" w14:textId="77777777" w:rsidR="00D075F6" w:rsidRDefault="00D075F6"/>
        </w:tc>
      </w:tr>
    </w:tbl>
    <w:p w14:paraId="1948A235" w14:textId="77777777" w:rsidR="00D075F6" w:rsidRDefault="00734411">
      <w:pPr>
        <w:pStyle w:val="BodyText"/>
      </w:pPr>
      <w:r>
        <w:t xml:space="preserve">La cobertura de Anchors es extremadamente sensible a </w:t>
      </w:r>
      <m:oMath>
        <m:r>
          <w:rPr>
            <w:rFonts w:ascii="Cambria Math" w:hAnsi="Cambria Math"/>
          </w:rPr>
          <m:t>τ</m:t>
        </m:r>
      </m:oMath>
      <w:r>
        <w:t xml:space="preserve">: reducir el umbral a 0.90 aumenta la cobertura de 76% a 96%, mientras que elevar a 0.99 la reduce a 41%. Este resultado indica que la elección de </w:t>
      </w:r>
      <m:oMath>
        <m:r>
          <w:rPr>
            <w:rFonts w:ascii="Cambria Math" w:hAnsi="Cambria Math"/>
          </w:rPr>
          <m:t>τ</m:t>
        </m:r>
      </m:oMath>
      <w:r>
        <w:t xml:space="preserve"> es la decisión de configuración de mayor impacto en Anchors y debe documentarse explícitamente en cualquier benchmark que incluya este método. La fidelidad no mejora monotónicamente con </w:t>
      </w:r>
      <m:oMath>
        <m:r>
          <w:rPr>
            <w:rFonts w:ascii="Cambria Math" w:hAnsi="Cambria Math"/>
          </w:rPr>
          <m:t>τ</m:t>
        </m:r>
      </m:oMath>
      <w:r>
        <w:t xml:space="preserve">, dado que reglas de mayor precisión no necesariamente son más informativas bajo la métrica de correlación de </w:t>
      </w:r>
      <w:r>
        <w:t>importancias.</w:t>
      </w:r>
    </w:p>
    <w:p w14:paraId="12839942" w14:textId="77777777" w:rsidR="00D075F6" w:rsidRDefault="00734411">
      <w:pPr>
        <w:pStyle w:val="BodyText"/>
      </w:pPr>
      <w:r>
        <w:rPr>
          <w:b/>
          <w:bCs/>
        </w:rPr>
        <w:t>LIME — sensibilidad a kernel_width.</w:t>
      </w:r>
      <w:r>
        <w:t xml:space="preserve"> Se varía el ancho del kernel exponencial (</w:t>
      </w:r>
      <m:oMath>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manteniendo num_samples = 1000 y num_features = 10 constantes. La condición de referencia (kernel_width = 3.0) corresponde a la configuración EXP2. Se reportan instancias válidas (al menos un peso no nulo), fidelidad y estabilidad media, y coste unitario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Layout w:type="fixed"/>
        <w:tblLook w:val="0000" w:firstRow="0" w:lastRow="0" w:firstColumn="0" w:lastColumn="0" w:noHBand="0" w:noVBand="0"/>
      </w:tblPr>
      <w:tblGrid>
        <w:gridCol w:w="9576"/>
      </w:tblGrid>
      <w:tr w:rsidR="00D075F6" w14:paraId="126BECF8" w14:textId="77777777">
        <w:trPr>
          <w:jc w:val="center"/>
        </w:trPr>
        <w:tc>
          <w:tcPr>
            <w:tcW w:w="7920" w:type="dxa"/>
          </w:tcPr>
          <w:p w14:paraId="5D9B2FD3" w14:textId="77777777" w:rsidR="00D075F6" w:rsidRDefault="00734411">
            <w:pPr>
              <w:spacing w:before="200"/>
              <w:jc w:val="center"/>
            </w:pPr>
            <w:bookmarkStart w:id="424" w:name="tbl-appendix-lime-kw-sensitivity"/>
            <w:r>
              <w:t xml:space="preserve">Tabla 6.11: Sensibilidad de LIME a kernel_width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D075F6" w14:paraId="6A240475" w14:textId="77777777">
              <w:trPr>
                <w:tblHeader/>
                <w:jc w:val="center"/>
              </w:trPr>
              <w:tc>
                <w:tcPr>
                  <w:tcW w:w="1320" w:type="dxa"/>
                </w:tcPr>
                <w:p w14:paraId="258689FF" w14:textId="77777777" w:rsidR="00D075F6" w:rsidRDefault="00734411">
                  <w:pPr>
                    <w:jc w:val="center"/>
                  </w:pPr>
                  <w:r>
                    <w:rPr>
                      <w:b/>
                      <w:bCs/>
                    </w:rPr>
                    <w:t>kernel_width</w:t>
                  </w:r>
                </w:p>
              </w:tc>
              <w:tc>
                <w:tcPr>
                  <w:tcW w:w="1320" w:type="dxa"/>
                </w:tcPr>
                <w:p w14:paraId="3568B508" w14:textId="77777777" w:rsidR="00D075F6" w:rsidRDefault="00734411">
                  <w:pPr>
                    <w:jc w:val="center"/>
                  </w:pPr>
                  <w:r>
                    <w:rPr>
                      <w:b/>
                      <w:bCs/>
                    </w:rPr>
                    <w:t>Instancias válidas</w:t>
                  </w:r>
                </w:p>
              </w:tc>
              <w:tc>
                <w:tcPr>
                  <w:tcW w:w="1320" w:type="dxa"/>
                </w:tcPr>
                <w:p w14:paraId="0CF5D2FE" w14:textId="77777777" w:rsidR="00D075F6" w:rsidRDefault="00734411">
                  <w:pPr>
                    <w:jc w:val="center"/>
                  </w:pPr>
                  <w:r>
                    <w:rPr>
                      <w:b/>
                      <w:bCs/>
                    </w:rPr>
                    <w:t>Fidelidad (media)</w:t>
                  </w:r>
                </w:p>
              </w:tc>
              <w:tc>
                <w:tcPr>
                  <w:tcW w:w="1320" w:type="dxa"/>
                </w:tcPr>
                <w:p w14:paraId="4DAC2101" w14:textId="77777777" w:rsidR="00D075F6" w:rsidRDefault="00734411">
                  <w:pPr>
                    <w:jc w:val="center"/>
                  </w:pPr>
                  <w:r>
                    <w:rPr>
                      <w:b/>
                      <w:bCs/>
                    </w:rPr>
                    <w:t>Estabilidad (media)</w:t>
                  </w:r>
                </w:p>
              </w:tc>
              <w:tc>
                <w:tcPr>
                  <w:tcW w:w="1320" w:type="dxa"/>
                </w:tcPr>
                <w:p w14:paraId="5F7B0F2F" w14:textId="77777777" w:rsidR="00D075F6" w:rsidRDefault="00734411">
                  <w:pPr>
                    <w:jc w:val="center"/>
                  </w:pPr>
                  <w:r>
                    <w:rPr>
                      <w:b/>
                      <w:bCs/>
                    </w:rPr>
                    <w:t>Coste (ms)</w:t>
                  </w:r>
                </w:p>
              </w:tc>
              <w:tc>
                <w:tcPr>
                  <w:tcW w:w="1320" w:type="dxa"/>
                </w:tcPr>
                <w:p w14:paraId="0F026687" w14:textId="77777777" w:rsidR="00D075F6" w:rsidRDefault="00734411">
                  <w:pPr>
                    <w:jc w:val="center"/>
                  </w:pPr>
                  <w:r>
                    <w:rPr>
                      <w:b/>
                      <w:bCs/>
                    </w:rPr>
                    <w:t>Parsimonia</w:t>
                  </w:r>
                </w:p>
              </w:tc>
            </w:tr>
            <w:tr w:rsidR="00D075F6" w14:paraId="4252B790" w14:textId="77777777">
              <w:trPr>
                <w:jc w:val="center"/>
              </w:trPr>
              <w:tc>
                <w:tcPr>
                  <w:tcW w:w="1320" w:type="dxa"/>
                </w:tcPr>
                <w:p w14:paraId="02CBFE49" w14:textId="77777777" w:rsidR="00D075F6" w:rsidRDefault="00734411">
                  <w:pPr>
                    <w:jc w:val="center"/>
                  </w:pPr>
                  <w:r>
                    <w:t>0.25</w:t>
                  </w:r>
                </w:p>
              </w:tc>
              <w:tc>
                <w:tcPr>
                  <w:tcW w:w="1320" w:type="dxa"/>
                </w:tcPr>
                <w:p w14:paraId="66E6DAB5" w14:textId="77777777" w:rsidR="00D075F6" w:rsidRDefault="00734411">
                  <w:pPr>
                    <w:jc w:val="center"/>
                  </w:pPr>
                  <w:r>
                    <w:t>0 / 100 (degenerado)</w:t>
                  </w:r>
                </w:p>
              </w:tc>
              <w:tc>
                <w:tcPr>
                  <w:tcW w:w="1320" w:type="dxa"/>
                </w:tcPr>
                <w:p w14:paraId="416147B2" w14:textId="77777777" w:rsidR="00D075F6" w:rsidRDefault="00734411">
                  <w:pPr>
                    <w:jc w:val="center"/>
                  </w:pPr>
                  <w:r>
                    <w:t>—</w:t>
                  </w:r>
                </w:p>
              </w:tc>
              <w:tc>
                <w:tcPr>
                  <w:tcW w:w="1320" w:type="dxa"/>
                </w:tcPr>
                <w:p w14:paraId="4C083E65" w14:textId="77777777" w:rsidR="00D075F6" w:rsidRDefault="00734411">
                  <w:pPr>
                    <w:jc w:val="center"/>
                  </w:pPr>
                  <w:r>
                    <w:t>—</w:t>
                  </w:r>
                </w:p>
              </w:tc>
              <w:tc>
                <w:tcPr>
                  <w:tcW w:w="1320" w:type="dxa"/>
                </w:tcPr>
                <w:p w14:paraId="734E9483" w14:textId="77777777" w:rsidR="00D075F6" w:rsidRDefault="00734411">
                  <w:pPr>
                    <w:jc w:val="center"/>
                  </w:pPr>
                  <w:r>
                    <w:t>30</w:t>
                  </w:r>
                </w:p>
              </w:tc>
              <w:tc>
                <w:tcPr>
                  <w:tcW w:w="1320" w:type="dxa"/>
                </w:tcPr>
                <w:p w14:paraId="28A44E0B" w14:textId="77777777" w:rsidR="00D075F6" w:rsidRDefault="00734411">
                  <w:pPr>
                    <w:jc w:val="center"/>
                  </w:pPr>
                  <w:r>
                    <w:t>0.000</w:t>
                  </w:r>
                </w:p>
              </w:tc>
            </w:tr>
            <w:tr w:rsidR="00D075F6" w14:paraId="1D9CB48C" w14:textId="77777777">
              <w:trPr>
                <w:jc w:val="center"/>
              </w:trPr>
              <w:tc>
                <w:tcPr>
                  <w:tcW w:w="1320" w:type="dxa"/>
                </w:tcPr>
                <w:p w14:paraId="7A58F8A9" w14:textId="77777777" w:rsidR="00D075F6" w:rsidRDefault="00734411">
                  <w:pPr>
                    <w:jc w:val="center"/>
                  </w:pPr>
                  <w:r>
                    <w:t>0.75</w:t>
                  </w:r>
                </w:p>
              </w:tc>
              <w:tc>
                <w:tcPr>
                  <w:tcW w:w="1320" w:type="dxa"/>
                </w:tcPr>
                <w:p w14:paraId="42485412" w14:textId="77777777" w:rsidR="00D075F6" w:rsidRDefault="00734411">
                  <w:pPr>
                    <w:jc w:val="center"/>
                  </w:pPr>
                  <w:r>
                    <w:t>0 / 100 (degenerado)</w:t>
                  </w:r>
                </w:p>
              </w:tc>
              <w:tc>
                <w:tcPr>
                  <w:tcW w:w="1320" w:type="dxa"/>
                </w:tcPr>
                <w:p w14:paraId="6BCE06EF" w14:textId="77777777" w:rsidR="00D075F6" w:rsidRDefault="00734411">
                  <w:pPr>
                    <w:jc w:val="center"/>
                  </w:pPr>
                  <w:r>
                    <w:t>—</w:t>
                  </w:r>
                </w:p>
              </w:tc>
              <w:tc>
                <w:tcPr>
                  <w:tcW w:w="1320" w:type="dxa"/>
                </w:tcPr>
                <w:p w14:paraId="59ECFB34" w14:textId="77777777" w:rsidR="00D075F6" w:rsidRDefault="00734411">
                  <w:pPr>
                    <w:jc w:val="center"/>
                  </w:pPr>
                  <w:r>
                    <w:t>—</w:t>
                  </w:r>
                </w:p>
              </w:tc>
              <w:tc>
                <w:tcPr>
                  <w:tcW w:w="1320" w:type="dxa"/>
                </w:tcPr>
                <w:p w14:paraId="736DE7CF" w14:textId="77777777" w:rsidR="00D075F6" w:rsidRDefault="00734411">
                  <w:pPr>
                    <w:jc w:val="center"/>
                  </w:pPr>
                  <w:r>
                    <w:t>30</w:t>
                  </w:r>
                </w:p>
              </w:tc>
              <w:tc>
                <w:tcPr>
                  <w:tcW w:w="1320" w:type="dxa"/>
                </w:tcPr>
                <w:p w14:paraId="5A62DBF2" w14:textId="77777777" w:rsidR="00D075F6" w:rsidRDefault="00734411">
                  <w:pPr>
                    <w:jc w:val="center"/>
                  </w:pPr>
                  <w:r>
                    <w:t>0.000</w:t>
                  </w:r>
                </w:p>
              </w:tc>
            </w:tr>
            <w:tr w:rsidR="00D075F6" w14:paraId="68F8283D" w14:textId="77777777">
              <w:trPr>
                <w:jc w:val="center"/>
              </w:trPr>
              <w:tc>
                <w:tcPr>
                  <w:tcW w:w="1320" w:type="dxa"/>
                </w:tcPr>
                <w:p w14:paraId="1FC72C56" w14:textId="77777777" w:rsidR="00D075F6" w:rsidRDefault="00734411">
                  <w:pPr>
                    <w:jc w:val="center"/>
                  </w:pPr>
                  <w:r>
                    <w:t>3.0 (referencia)</w:t>
                  </w:r>
                </w:p>
              </w:tc>
              <w:tc>
                <w:tcPr>
                  <w:tcW w:w="1320" w:type="dxa"/>
                </w:tcPr>
                <w:p w14:paraId="36FCB20A" w14:textId="77777777" w:rsidR="00D075F6" w:rsidRDefault="00734411">
                  <w:pPr>
                    <w:jc w:val="center"/>
                  </w:pPr>
                  <w:r>
                    <w:t>96 / 100</w:t>
                  </w:r>
                </w:p>
              </w:tc>
              <w:tc>
                <w:tcPr>
                  <w:tcW w:w="1320" w:type="dxa"/>
                </w:tcPr>
                <w:p w14:paraId="1746F876" w14:textId="77777777" w:rsidR="00D075F6" w:rsidRDefault="00734411">
                  <w:pPr>
                    <w:jc w:val="center"/>
                  </w:pPr>
                  <w:r>
                    <w:t>0.518</w:t>
                  </w:r>
                </w:p>
              </w:tc>
              <w:tc>
                <w:tcPr>
                  <w:tcW w:w="1320" w:type="dxa"/>
                </w:tcPr>
                <w:p w14:paraId="18B67DA4" w14:textId="77777777" w:rsidR="00D075F6" w:rsidRDefault="00734411">
                  <w:pPr>
                    <w:jc w:val="center"/>
                  </w:pPr>
                  <w:r>
                    <w:t>0.000</w:t>
                  </w:r>
                </w:p>
              </w:tc>
              <w:tc>
                <w:tcPr>
                  <w:tcW w:w="1320" w:type="dxa"/>
                </w:tcPr>
                <w:p w14:paraId="2BFECDF4" w14:textId="77777777" w:rsidR="00D075F6" w:rsidRDefault="00734411">
                  <w:pPr>
                    <w:jc w:val="center"/>
                  </w:pPr>
                  <w:r>
                    <w:t>30</w:t>
                  </w:r>
                </w:p>
              </w:tc>
              <w:tc>
                <w:tcPr>
                  <w:tcW w:w="1320" w:type="dxa"/>
                </w:tcPr>
                <w:p w14:paraId="692FC728" w14:textId="77777777" w:rsidR="00D075F6" w:rsidRDefault="00734411">
                  <w:pPr>
                    <w:jc w:val="center"/>
                  </w:pPr>
                  <w:r>
                    <w:t>0.087</w:t>
                  </w:r>
                </w:p>
              </w:tc>
            </w:tr>
            <w:tr w:rsidR="00D075F6" w14:paraId="7EB04D32" w14:textId="77777777">
              <w:trPr>
                <w:jc w:val="center"/>
              </w:trPr>
              <w:tc>
                <w:tcPr>
                  <w:tcW w:w="1320" w:type="dxa"/>
                </w:tcPr>
                <w:p w14:paraId="132C9CC8" w14:textId="77777777" w:rsidR="00D075F6" w:rsidRDefault="00734411">
                  <w:pPr>
                    <w:jc w:val="center"/>
                  </w:pPr>
                  <w:r>
                    <w:t>10.0</w:t>
                  </w:r>
                </w:p>
              </w:tc>
              <w:tc>
                <w:tcPr>
                  <w:tcW w:w="1320" w:type="dxa"/>
                </w:tcPr>
                <w:p w14:paraId="3187585C" w14:textId="77777777" w:rsidR="00D075F6" w:rsidRDefault="00734411">
                  <w:pPr>
                    <w:jc w:val="center"/>
                  </w:pPr>
                  <w:r>
                    <w:t>100 / 100</w:t>
                  </w:r>
                </w:p>
              </w:tc>
              <w:tc>
                <w:tcPr>
                  <w:tcW w:w="1320" w:type="dxa"/>
                </w:tcPr>
                <w:p w14:paraId="305581A3" w14:textId="77777777" w:rsidR="00D075F6" w:rsidRDefault="00734411">
                  <w:pPr>
                    <w:jc w:val="center"/>
                  </w:pPr>
                  <w:r>
                    <w:t>0.441</w:t>
                  </w:r>
                </w:p>
              </w:tc>
              <w:tc>
                <w:tcPr>
                  <w:tcW w:w="1320" w:type="dxa"/>
                </w:tcPr>
                <w:p w14:paraId="5B5B173D" w14:textId="77777777" w:rsidR="00D075F6" w:rsidRDefault="00734411">
                  <w:pPr>
                    <w:jc w:val="center"/>
                  </w:pPr>
                  <w:r>
                    <w:t>0.664</w:t>
                  </w:r>
                </w:p>
              </w:tc>
              <w:tc>
                <w:tcPr>
                  <w:tcW w:w="1320" w:type="dxa"/>
                </w:tcPr>
                <w:p w14:paraId="509774DF" w14:textId="77777777" w:rsidR="00D075F6" w:rsidRDefault="00734411">
                  <w:pPr>
                    <w:jc w:val="center"/>
                  </w:pPr>
                  <w:r>
                    <w:t>32</w:t>
                  </w:r>
                </w:p>
              </w:tc>
              <w:tc>
                <w:tcPr>
                  <w:tcW w:w="1320" w:type="dxa"/>
                </w:tcPr>
                <w:p w14:paraId="5D6B7690" w14:textId="77777777" w:rsidR="00D075F6" w:rsidRDefault="00734411">
                  <w:pPr>
                    <w:jc w:val="center"/>
                  </w:pPr>
                  <w:r>
                    <w:t>0.093</w:t>
                  </w:r>
                </w:p>
              </w:tc>
            </w:tr>
            <w:bookmarkEnd w:id="424"/>
          </w:tbl>
          <w:p w14:paraId="4C8E8407" w14:textId="77777777" w:rsidR="00D075F6" w:rsidRDefault="00D075F6"/>
        </w:tc>
      </w:tr>
    </w:tbl>
    <w:p w14:paraId="516E9333" w14:textId="77777777" w:rsidR="00D075F6" w:rsidRDefault="00734411">
      <w:pPr>
        <w:pStyle w:val="BodyText"/>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(kernel_width = 3.0) produce pesos no nulos en el 96% de las instancias y una fidelidad de 0.518, pero la estabilidad bajo perturbaciones de </w:t>
      </w:r>
      <m:oMath>
        <m:r>
          <w:rPr>
            <w:rFonts w:ascii="Cambria Math" w:hAnsi="Cambria Math"/>
          </w:rPr>
          <m:t>σ</m:t>
        </m:r>
        <m:r>
          <m:rPr>
            <m:sty m:val="p"/>
          </m:rPr>
          <w:rPr>
            <w:rFonts w:ascii="Cambria Math" w:hAnsi="Cambria Math"/>
          </w:rPr>
          <m:t>=</m:t>
        </m:r>
        <m:r>
          <w:rPr>
            <w:rFonts w:ascii="Cambria Math" w:hAnsi="Cambria Math"/>
          </w:rPr>
          <m:t>0.1</m:t>
        </m:r>
      </m:oMath>
      <w:r>
        <w:t xml:space="preserve"> </w:t>
      </w:r>
      <w:r>
        <w:t xml:space="preserve">es prácticamente nula (consistente con los hallazgos de EXP2). El valor kernel_width = 10.0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 kernel_width = 3.0 </w:t>
      </w:r>
      <w:r>
        <w:t>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14:paraId="1A11F2B5" w14:textId="77777777" w:rsidR="00D075F6" w:rsidRDefault="00734411">
      <w:pPr>
        <w:pStyle w:val="BodyText"/>
      </w:pPr>
      <w:r>
        <w:t xml:space="preserve">En conjunto, estos análisis muestran que los resultados principales (SHAP </w:t>
      </w:r>
      <w:r>
        <w:t xml:space="preserve">superior a LIME en fidelidad y estabilidad; estabilidad de LIME casi nula bajo la configuración de referencia) son robustos a variaciones razonables de los hiperparámetros dentro de los rangos explorados, con la excepción explícita del ancho de kernel, que sí modifica sustancialmente la estabilidad de LIME. La excepción es la cobertura de Anchors, que cambia significativamente con </w:t>
      </w:r>
      <m:oMath>
        <m:r>
          <w:rPr>
            <w:rFonts w:ascii="Cambria Math" w:hAnsi="Cambria Math"/>
          </w:rPr>
          <m:t>τ</m:t>
        </m:r>
      </m:oMath>
      <w:r>
        <w:t xml:space="preserve"> y debe tratarse como un parámetro de diseño explícito, no como un valor predeterminado.</w:t>
      </w:r>
    </w:p>
    <w:p w14:paraId="3D98C1CD" w14:textId="77777777" w:rsidR="00D075F6" w:rsidRDefault="00734411">
      <w:pPr>
        <w:pStyle w:val="Heading2"/>
      </w:pPr>
      <w:bookmarkStart w:id="425" w:name="X5f7bacac88c7eb1c452db69614af410a4173f84"/>
      <w:bookmarkStart w:id="426" w:name="_Toc241413349"/>
      <w:bookmarkEnd w:id="416"/>
      <w:bookmarkEnd w:id="419"/>
      <w:r>
        <w:t>Apéndice D: Salidas estadísticas y trazabilidad</w:t>
      </w:r>
      <w:bookmarkEnd w:id="426"/>
    </w:p>
    <w:p w14:paraId="284FAA38" w14:textId="77777777" w:rsidR="00D075F6" w:rsidRDefault="00734411">
      <w:r>
        <w:t>Las tablas inferenciales usadas en el Capítulo 4 se generan desde scripts/run_exp2_statistical_analysis.py y se exportan a outputs/analysis/paper_a_exp2_stats/.</w:t>
      </w:r>
    </w:p>
    <w:tbl>
      <w:tblPr>
        <w:tblW w:w="5000" w:type="pct"/>
        <w:jc w:val="center"/>
        <w:tblLayout w:type="fixed"/>
        <w:tblLook w:val="0000" w:firstRow="0" w:lastRow="0" w:firstColumn="0" w:lastColumn="0" w:noHBand="0" w:noVBand="0"/>
      </w:tblPr>
      <w:tblGrid>
        <w:gridCol w:w="9576"/>
      </w:tblGrid>
      <w:tr w:rsidR="00D075F6" w14:paraId="2554B8A1" w14:textId="77777777">
        <w:trPr>
          <w:jc w:val="center"/>
        </w:trPr>
        <w:tc>
          <w:tcPr>
            <w:tcW w:w="7920" w:type="dxa"/>
          </w:tcPr>
          <w:p w14:paraId="1341EA88" w14:textId="77777777" w:rsidR="00D075F6" w:rsidRDefault="00734411">
            <w:pPr>
              <w:spacing w:before="200"/>
              <w:jc w:val="center"/>
            </w:pPr>
            <w:bookmarkStart w:id="427" w:name="tbl-appendix-stat-outputs"/>
            <w:r>
              <w:t>Tabla 6.12: Salidas estadísticas principales y uso en la 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D075F6" w14:paraId="71163C6D" w14:textId="77777777">
              <w:trPr>
                <w:tblHeader/>
                <w:jc w:val="center"/>
              </w:trPr>
              <w:tc>
                <w:tcPr>
                  <w:tcW w:w="2640" w:type="dxa"/>
                </w:tcPr>
                <w:p w14:paraId="62CF221F" w14:textId="77777777" w:rsidR="00D075F6" w:rsidRDefault="00734411">
                  <w:pPr>
                    <w:jc w:val="center"/>
                  </w:pPr>
                  <w:r>
                    <w:rPr>
                      <w:b/>
                      <w:bCs/>
                    </w:rPr>
                    <w:t>Archivo</w:t>
                  </w:r>
                </w:p>
              </w:tc>
              <w:tc>
                <w:tcPr>
                  <w:tcW w:w="2640" w:type="dxa"/>
                </w:tcPr>
                <w:p w14:paraId="3F5CDA60" w14:textId="77777777" w:rsidR="00D075F6" w:rsidRDefault="00734411">
                  <w:pPr>
                    <w:jc w:val="center"/>
                  </w:pPr>
                  <w:r>
                    <w:rPr>
                      <w:b/>
                      <w:bCs/>
                    </w:rPr>
                    <w:t>Contenido</w:t>
                  </w:r>
                </w:p>
              </w:tc>
              <w:tc>
                <w:tcPr>
                  <w:tcW w:w="2640" w:type="dxa"/>
                </w:tcPr>
                <w:p w14:paraId="683269EB" w14:textId="77777777" w:rsidR="00D075F6" w:rsidRDefault="00734411">
                  <w:pPr>
                    <w:jc w:val="center"/>
                  </w:pPr>
                  <w:r>
                    <w:rPr>
                      <w:b/>
                      <w:bCs/>
                    </w:rPr>
                    <w:t>Uso en tesis</w:t>
                  </w:r>
                </w:p>
              </w:tc>
            </w:tr>
            <w:tr w:rsidR="00D075F6" w14:paraId="6975682B" w14:textId="77777777">
              <w:trPr>
                <w:jc w:val="center"/>
              </w:trPr>
              <w:tc>
                <w:tcPr>
                  <w:tcW w:w="2640" w:type="dxa"/>
                </w:tcPr>
                <w:p w14:paraId="7D191C8D" w14:textId="77777777" w:rsidR="00D075F6" w:rsidRDefault="00734411">
                  <w:pPr>
                    <w:jc w:val="center"/>
                  </w:pPr>
                  <w:r>
                    <w:t>friedman_results.csv</w:t>
                  </w:r>
                </w:p>
              </w:tc>
              <w:tc>
                <w:tcPr>
                  <w:tcW w:w="2640" w:type="dxa"/>
                </w:tcPr>
                <w:p w14:paraId="47695046" w14:textId="77777777" w:rsidR="00D075F6" w:rsidRDefault="00734411">
                  <w:pPr>
                    <w:jc w:val="center"/>
                  </w:pPr>
                  <w:r>
                    <w:t xml:space="preserve">Estadísticos Friedman, </w:t>
                  </w:r>
                  <m:oMath>
                    <m:r>
                      <w:rPr>
                        <w:rFonts w:ascii="Cambria Math" w:hAnsi="Cambria Math"/>
                      </w:rPr>
                      <m:t>p</m:t>
                    </m:r>
                  </m:oMath>
                  <w:r>
                    <w:t xml:space="preserve"> crudos,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Kendall </w:t>
                  </w:r>
                  <m:oMath>
                    <m:r>
                      <w:rPr>
                        <w:rFonts w:ascii="Cambria Math" w:hAnsi="Cambria Math"/>
                      </w:rPr>
                      <m:t>W</m:t>
                    </m:r>
                  </m:oMath>
                </w:p>
              </w:tc>
              <w:tc>
                <w:tcPr>
                  <w:tcW w:w="2640" w:type="dxa"/>
                </w:tcPr>
                <w:p w14:paraId="2E395B6E" w14:textId="77777777" w:rsidR="00D075F6" w:rsidRDefault="00734411">
                  <w:pPr>
                    <w:jc w:val="center"/>
                  </w:pPr>
                  <w:r>
                    <w:t>H1 y H2</w:t>
                  </w:r>
                </w:p>
              </w:tc>
            </w:tr>
            <w:tr w:rsidR="00D075F6" w14:paraId="571FF0AA" w14:textId="77777777">
              <w:trPr>
                <w:jc w:val="center"/>
              </w:trPr>
              <w:tc>
                <w:tcPr>
                  <w:tcW w:w="2640" w:type="dxa"/>
                </w:tcPr>
                <w:p w14:paraId="582A3853" w14:textId="77777777" w:rsidR="00D075F6" w:rsidRDefault="00734411">
                  <w:pPr>
                    <w:jc w:val="center"/>
                  </w:pPr>
                  <w:r>
                    <w:t>nemenyi_fidelity.csv</w:t>
                  </w:r>
                </w:p>
              </w:tc>
              <w:tc>
                <w:tcPr>
                  <w:tcW w:w="2640" w:type="dxa"/>
                </w:tcPr>
                <w:p w14:paraId="66BFA7E9" w14:textId="77777777" w:rsidR="00D075F6" w:rsidRDefault="00734411">
                  <w:pPr>
                    <w:jc w:val="center"/>
                  </w:pPr>
                  <w:r>
                    <w:t>Comparaciones post-hoc para fidelidad</w:t>
                  </w:r>
                </w:p>
              </w:tc>
              <w:tc>
                <w:tcPr>
                  <w:tcW w:w="2640" w:type="dxa"/>
                </w:tcPr>
                <w:p w14:paraId="619974BA" w14:textId="77777777" w:rsidR="00D075F6" w:rsidRDefault="00734411">
                  <w:pPr>
                    <w:jc w:val="center"/>
                  </w:pPr>
                  <w:r>
                    <w:t>Localización de H1</w:t>
                  </w:r>
                </w:p>
              </w:tc>
            </w:tr>
            <w:tr w:rsidR="00D075F6" w14:paraId="748B45FE" w14:textId="77777777">
              <w:trPr>
                <w:jc w:val="center"/>
              </w:trPr>
              <w:tc>
                <w:tcPr>
                  <w:tcW w:w="2640" w:type="dxa"/>
                </w:tcPr>
                <w:p w14:paraId="7F609593" w14:textId="77777777" w:rsidR="00D075F6" w:rsidRDefault="00734411">
                  <w:pPr>
                    <w:jc w:val="center"/>
                  </w:pPr>
                  <w:r>
                    <w:t>nemenyi_stability.csv</w:t>
                  </w:r>
                </w:p>
              </w:tc>
              <w:tc>
                <w:tcPr>
                  <w:tcW w:w="2640" w:type="dxa"/>
                </w:tcPr>
                <w:p w14:paraId="37573737" w14:textId="77777777" w:rsidR="00D075F6" w:rsidRDefault="00734411">
                  <w:pPr>
                    <w:jc w:val="center"/>
                  </w:pPr>
                  <w:r>
                    <w:t>Comparaciones post-hoc para estabilidad</w:t>
                  </w:r>
                </w:p>
              </w:tc>
              <w:tc>
                <w:tcPr>
                  <w:tcW w:w="2640" w:type="dxa"/>
                </w:tcPr>
                <w:p w14:paraId="27EE1AEA" w14:textId="77777777" w:rsidR="00D075F6" w:rsidRDefault="00734411">
                  <w:pPr>
                    <w:jc w:val="center"/>
                  </w:pPr>
                  <w:r>
                    <w:t>Localización de H2</w:t>
                  </w:r>
                </w:p>
              </w:tc>
            </w:tr>
            <w:tr w:rsidR="00D075F6" w14:paraId="40BC3D35" w14:textId="77777777">
              <w:trPr>
                <w:jc w:val="center"/>
              </w:trPr>
              <w:tc>
                <w:tcPr>
                  <w:tcW w:w="2640" w:type="dxa"/>
                </w:tcPr>
                <w:p w14:paraId="1E0909F3" w14:textId="77777777" w:rsidR="00D075F6" w:rsidRDefault="00734411">
                  <w:pPr>
                    <w:jc w:val="center"/>
                  </w:pPr>
                  <w:r>
                    <w:t>wilcoxon_shap_lime_all_models.csv</w:t>
                  </w:r>
                </w:p>
              </w:tc>
              <w:tc>
                <w:tcPr>
                  <w:tcW w:w="2640" w:type="dxa"/>
                </w:tcPr>
                <w:p w14:paraId="5BCF7FAD" w14:textId="77777777" w:rsidR="00D075F6" w:rsidRDefault="00734411">
                  <w:pPr>
                    <w:jc w:val="center"/>
                  </w:pPr>
                  <w:r>
                    <w:t>Wilcoxon pareado SHAP-LIME sobre 75 celdas</w:t>
                  </w:r>
                </w:p>
              </w:tc>
              <w:tc>
                <w:tcPr>
                  <w:tcW w:w="2640" w:type="dxa"/>
                </w:tcPr>
                <w:p w14:paraId="4261E5DE" w14:textId="77777777" w:rsidR="00D075F6" w:rsidRDefault="00734411">
                  <w:pPr>
                    <w:jc w:val="center"/>
                  </w:pPr>
                  <w:r>
                    <w:t>H3</w:t>
                  </w:r>
                </w:p>
              </w:tc>
            </w:tr>
            <w:tr w:rsidR="00D075F6" w14:paraId="52DF38B6" w14:textId="77777777">
              <w:trPr>
                <w:jc w:val="center"/>
              </w:trPr>
              <w:tc>
                <w:tcPr>
                  <w:tcW w:w="2640" w:type="dxa"/>
                </w:tcPr>
                <w:p w14:paraId="1084DFA4" w14:textId="77777777" w:rsidR="00D075F6" w:rsidRDefault="00734411">
                  <w:pPr>
                    <w:jc w:val="center"/>
                  </w:pPr>
                  <w:r>
                    <w:t>paired_cells_shap_lime_all_models.csv</w:t>
                  </w:r>
                </w:p>
              </w:tc>
              <w:tc>
                <w:tcPr>
                  <w:tcW w:w="2640" w:type="dxa"/>
                </w:tcPr>
                <w:p w14:paraId="548451B2" w14:textId="77777777" w:rsidR="00D075F6" w:rsidRDefault="00734411">
                  <w:pPr>
                    <w:jc w:val="center"/>
                  </w:pPr>
                  <w:r>
                    <w:t>Celdas pareadas fuente de H3</w:t>
                  </w:r>
                </w:p>
              </w:tc>
              <w:tc>
                <w:tcPr>
                  <w:tcW w:w="2640" w:type="dxa"/>
                </w:tcPr>
                <w:p w14:paraId="733EFF90" w14:textId="77777777" w:rsidR="00D075F6" w:rsidRDefault="00734411">
                  <w:pPr>
                    <w:jc w:val="center"/>
                  </w:pPr>
                  <w:r>
                    <w:t>Trazabilidad de diferencias pareadas</w:t>
                  </w:r>
                </w:p>
              </w:tc>
            </w:tr>
            <w:tr w:rsidR="00D075F6" w14:paraId="17C08393" w14:textId="77777777">
              <w:trPr>
                <w:jc w:val="center"/>
              </w:trPr>
              <w:tc>
                <w:tcPr>
                  <w:tcW w:w="2640" w:type="dxa"/>
                </w:tcPr>
                <w:p w14:paraId="588F92A1" w14:textId="77777777" w:rsidR="00D075F6" w:rsidRDefault="00734411">
                  <w:pPr>
                    <w:jc w:val="center"/>
                  </w:pPr>
                  <w:r>
                    <w:t>exp2_run_inventory.csv</w:t>
                  </w:r>
                </w:p>
              </w:tc>
              <w:tc>
                <w:tcPr>
                  <w:tcW w:w="2640" w:type="dxa"/>
                </w:tcPr>
                <w:p w14:paraId="16F915A3" w14:textId="77777777" w:rsidR="00D075F6" w:rsidRDefault="00734411">
                  <w:pPr>
                    <w:jc w:val="center"/>
                  </w:pPr>
                  <w:r>
                    <w:t>Inventario de celdas y cobertura</w:t>
                  </w:r>
                </w:p>
              </w:tc>
              <w:tc>
                <w:tcPr>
                  <w:tcW w:w="2640" w:type="dxa"/>
                </w:tcPr>
                <w:p w14:paraId="6CBFDE50" w14:textId="77777777" w:rsidR="00D075F6" w:rsidRDefault="00734411">
                  <w:pPr>
                    <w:jc w:val="center"/>
                  </w:pPr>
                  <w:r>
                    <w:t>Cobertura FOM-7</w:t>
                  </w:r>
                </w:p>
              </w:tc>
            </w:tr>
            <w:tr w:rsidR="00D075F6" w14:paraId="7D061820" w14:textId="77777777">
              <w:trPr>
                <w:jc w:val="center"/>
              </w:trPr>
              <w:tc>
                <w:tcPr>
                  <w:tcW w:w="2640" w:type="dxa"/>
                </w:tcPr>
                <w:p w14:paraId="4F845014" w14:textId="77777777" w:rsidR="00D075F6" w:rsidRDefault="00734411">
                  <w:pPr>
                    <w:jc w:val="center"/>
                  </w:pPr>
                  <w:r>
                    <w:t>method_uncertainty_over_blocks.csv</w:t>
                  </w:r>
                </w:p>
              </w:tc>
              <w:tc>
                <w:tcPr>
                  <w:tcW w:w="2640" w:type="dxa"/>
                </w:tcPr>
                <w:p w14:paraId="2200F984" w14:textId="77777777" w:rsidR="00D075F6" w:rsidRDefault="00734411">
                  <w:pPr>
                    <w:jc w:val="center"/>
                  </w:pPr>
                  <w:r>
                    <w:t>Incertidumbre por método y bloque</w:t>
                  </w:r>
                </w:p>
              </w:tc>
              <w:tc>
                <w:tcPr>
                  <w:tcW w:w="2640" w:type="dxa"/>
                </w:tcPr>
                <w:p w14:paraId="1A710629" w14:textId="77777777" w:rsidR="00D075F6" w:rsidRDefault="00734411">
                  <w:pPr>
                    <w:jc w:val="center"/>
                  </w:pPr>
                  <w:r>
                    <w:t>Limitaciones por cobertura</w:t>
                  </w:r>
                </w:p>
              </w:tc>
            </w:tr>
            <w:bookmarkEnd w:id="427"/>
          </w:tbl>
          <w:p w14:paraId="6DD87D88" w14:textId="77777777" w:rsidR="00D075F6" w:rsidRDefault="00D075F6"/>
        </w:tc>
      </w:tr>
    </w:tbl>
    <w:p w14:paraId="3E3BB375" w14:textId="77777777" w:rsidR="00D075F6" w:rsidRDefault="00734411">
      <w:pPr>
        <w:pStyle w:val="BodyText"/>
      </w:pPr>
      <w:r>
        <w:t xml:space="preserve">Las secciones siguientes reproducen las tablas completas de los análisis </w:t>
      </w:r>
      <w:r>
        <w:t>inferenciales para garantizar la auto-suficiencia documental de la tesis.</w:t>
      </w:r>
    </w:p>
    <w:p w14:paraId="13606779" w14:textId="77777777" w:rsidR="00D075F6" w:rsidRDefault="00734411">
      <w:pPr>
        <w:pStyle w:val="Heading3"/>
      </w:pPr>
      <w:bookmarkStart w:id="428" w:name="Xe3909ed8b3f47a476ee07b1fbdd59a863fdc536"/>
      <w:bookmarkStart w:id="429" w:name="_Toc241413350"/>
      <w:r>
        <w:t>D.1 Resultados completos de la prueba de Friedman</w:t>
      </w:r>
      <w:bookmarkEnd w:id="429"/>
    </w:p>
    <w:tbl>
      <w:tblPr>
        <w:tblW w:w="5000" w:type="pct"/>
        <w:jc w:val="center"/>
        <w:tblLayout w:type="fixed"/>
        <w:tblLook w:val="0000" w:firstRow="0" w:lastRow="0" w:firstColumn="0" w:lastColumn="0" w:noHBand="0" w:noVBand="0"/>
      </w:tblPr>
      <w:tblGrid>
        <w:gridCol w:w="9576"/>
      </w:tblGrid>
      <w:tr w:rsidR="00D075F6" w14:paraId="30042EEB" w14:textId="77777777">
        <w:trPr>
          <w:jc w:val="center"/>
        </w:trPr>
        <w:tc>
          <w:tcPr>
            <w:tcW w:w="7920" w:type="dxa"/>
          </w:tcPr>
          <w:p w14:paraId="746E49DF" w14:textId="77777777" w:rsidR="00D075F6" w:rsidRDefault="00734411">
            <w:pPr>
              <w:spacing w:before="200"/>
              <w:jc w:val="center"/>
            </w:pPr>
            <w:bookmarkStart w:id="430" w:name="tbl-appendix-friedman-full"/>
            <w:r>
              <w:t>Tabla 6.13: Resultados completos de la prueba de Friedman por métrica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xml:space="preserve">). Valores </w:t>
            </w:r>
            <m:oMath>
              <m:r>
                <w:rPr>
                  <w:rFonts w:ascii="Cambria Math" w:hAnsi="Cambria Math"/>
                </w:rPr>
                <m:t>p</m:t>
              </m:r>
            </m:oMath>
            <w:r>
              <w:t xml:space="preserve"> crudos y ajustados extraídos de outputs/analysis/paper_a_exp2_stats/friedman_results.csv.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38"/>
              <w:gridCol w:w="1039"/>
              <w:gridCol w:w="1039"/>
              <w:gridCol w:w="1039"/>
              <w:gridCol w:w="1039"/>
              <w:gridCol w:w="1039"/>
              <w:gridCol w:w="1039"/>
              <w:gridCol w:w="1039"/>
              <w:gridCol w:w="1039"/>
            </w:tblGrid>
            <w:tr w:rsidR="00D075F6" w14:paraId="2B32E424" w14:textId="77777777">
              <w:trPr>
                <w:tblHeader/>
                <w:jc w:val="center"/>
              </w:trPr>
              <w:tc>
                <w:tcPr>
                  <w:tcW w:w="879" w:type="dxa"/>
                </w:tcPr>
                <w:p w14:paraId="4614E3B3" w14:textId="77777777" w:rsidR="00D075F6" w:rsidRDefault="00734411">
                  <w:pPr>
                    <w:jc w:val="center"/>
                  </w:pPr>
                  <w:r>
                    <w:rPr>
                      <w:b/>
                      <w:bCs/>
                    </w:rPr>
                    <w:t>Métrica</w:t>
                  </w:r>
                </w:p>
              </w:tc>
              <w:tc>
                <w:tcPr>
                  <w:tcW w:w="879" w:type="dxa"/>
                </w:tcPr>
                <w:p w14:paraId="2A703540" w14:textId="77777777" w:rsidR="00D075F6" w:rsidRDefault="00734411">
                  <w:pPr>
                    <w:jc w:val="center"/>
                  </w:pPr>
                  <m:oMath>
                    <m:r>
                      <w:rPr>
                        <w:rFonts w:ascii="Cambria Math" w:hAnsi="Cambria Math"/>
                      </w:rPr>
                      <m:t>n</m:t>
                    </m:r>
                  </m:oMath>
                  <w:r>
                    <w:rPr>
                      <w:b/>
                      <w:bCs/>
                    </w:rPr>
                    <w:t xml:space="preserve"> bloques</w:t>
                  </w:r>
                </w:p>
              </w:tc>
              <w:tc>
                <w:tcPr>
                  <w:tcW w:w="879" w:type="dxa"/>
                </w:tcPr>
                <w:p w14:paraId="2DB7AF51" w14:textId="77777777" w:rsidR="00D075F6" w:rsidRDefault="00734411">
                  <w:pPr>
                    <w:jc w:val="center"/>
                  </w:pPr>
                  <m:oMath>
                    <m:r>
                      <w:rPr>
                        <w:rFonts w:ascii="Cambria Math" w:hAnsi="Cambria Math"/>
                      </w:rPr>
                      <m:t>k</m:t>
                    </m:r>
                  </m:oMath>
                  <w:r>
                    <w:rPr>
                      <w:b/>
                      <w:bCs/>
                    </w:rPr>
                    <w:t xml:space="preserve"> métodos</w:t>
                  </w:r>
                </w:p>
              </w:tc>
              <w:tc>
                <w:tcPr>
                  <w:tcW w:w="879" w:type="dxa"/>
                </w:tcPr>
                <w:p w14:paraId="7ACD92CF" w14:textId="77777777" w:rsidR="00D075F6" w:rsidRDefault="00734411">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oMath>
                  </m:oMathPara>
                </w:p>
              </w:tc>
              <w:tc>
                <w:tcPr>
                  <w:tcW w:w="879" w:type="dxa"/>
                </w:tcPr>
                <w:p w14:paraId="3B860DFA" w14:textId="77777777" w:rsidR="00D075F6" w:rsidRDefault="00734411">
                  <w:pPr>
                    <w:jc w:val="center"/>
                  </w:pPr>
                  <m:oMathPara>
                    <m:oMath>
                      <m:r>
                        <w:rPr>
                          <w:rFonts w:ascii="Cambria Math" w:hAnsi="Cambria Math"/>
                        </w:rPr>
                        <m:t>gl</m:t>
                      </m:r>
                    </m:oMath>
                  </m:oMathPara>
                </w:p>
              </w:tc>
              <w:tc>
                <w:tcPr>
                  <w:tcW w:w="879" w:type="dxa"/>
                </w:tcPr>
                <w:p w14:paraId="20D3168D" w14:textId="77777777" w:rsidR="00D075F6" w:rsidRDefault="00734411">
                  <w:pPr>
                    <w:jc w:val="center"/>
                  </w:pPr>
                  <m:oMath>
                    <m:r>
                      <w:rPr>
                        <w:rFonts w:ascii="Cambria Math" w:hAnsi="Cambria Math"/>
                      </w:rPr>
                      <m:t>p</m:t>
                    </m:r>
                  </m:oMath>
                  <w:r>
                    <w:rPr>
                      <w:b/>
                      <w:bCs/>
                    </w:rPr>
                    <w:t xml:space="preserve"> (crudo)</w:t>
                  </w:r>
                </w:p>
              </w:tc>
              <w:tc>
                <w:tcPr>
                  <w:tcW w:w="879" w:type="dxa"/>
                </w:tcPr>
                <w:p w14:paraId="5D14D3D2" w14:textId="77777777" w:rsidR="00D075F6" w:rsidRDefault="00734411">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879" w:type="dxa"/>
                </w:tcPr>
                <w:p w14:paraId="030F0CC3" w14:textId="77777777" w:rsidR="00D075F6" w:rsidRDefault="00734411">
                  <w:pPr>
                    <w:jc w:val="center"/>
                  </w:pPr>
                  <w:r>
                    <w:rPr>
                      <w:b/>
                      <w:bCs/>
                    </w:rPr>
                    <w:t xml:space="preserve">Kendall </w:t>
                  </w:r>
                  <m:oMath>
                    <m:r>
                      <w:rPr>
                        <w:rFonts w:ascii="Cambria Math" w:hAnsi="Cambria Math"/>
                      </w:rPr>
                      <m:t>W</m:t>
                    </m:r>
                  </m:oMath>
                </w:p>
              </w:tc>
              <w:tc>
                <w:tcPr>
                  <w:tcW w:w="879" w:type="dxa"/>
                </w:tcPr>
                <w:p w14:paraId="736956C6" w14:textId="77777777" w:rsidR="00D075F6" w:rsidRDefault="00734411">
                  <w:pPr>
                    <w:jc w:val="center"/>
                  </w:pPr>
                  <w:r>
                    <w:rPr>
                      <w:b/>
                      <w:bCs/>
                    </w:rPr>
                    <w:t>Decisión</w:t>
                  </w:r>
                </w:p>
              </w:tc>
            </w:tr>
            <w:tr w:rsidR="00D075F6" w14:paraId="7B7DFE50" w14:textId="77777777">
              <w:trPr>
                <w:jc w:val="center"/>
              </w:trPr>
              <w:tc>
                <w:tcPr>
                  <w:tcW w:w="879" w:type="dxa"/>
                </w:tcPr>
                <w:p w14:paraId="5A670D5F" w14:textId="77777777" w:rsidR="00D075F6" w:rsidRDefault="00734411">
                  <w:pPr>
                    <w:jc w:val="center"/>
                  </w:pPr>
                  <w:r>
                    <w:t>Fidelidad</w:t>
                  </w:r>
                </w:p>
              </w:tc>
              <w:tc>
                <w:tcPr>
                  <w:tcW w:w="879" w:type="dxa"/>
                </w:tcPr>
                <w:p w14:paraId="3E78DC9D" w14:textId="77777777" w:rsidR="00D075F6" w:rsidRDefault="00734411">
                  <w:pPr>
                    <w:jc w:val="center"/>
                  </w:pPr>
                  <w:r>
                    <w:t>15</w:t>
                  </w:r>
                </w:p>
              </w:tc>
              <w:tc>
                <w:tcPr>
                  <w:tcW w:w="879" w:type="dxa"/>
                </w:tcPr>
                <w:p w14:paraId="3DB44A7A" w14:textId="77777777" w:rsidR="00D075F6" w:rsidRDefault="00734411">
                  <w:pPr>
                    <w:jc w:val="center"/>
                  </w:pPr>
                  <w:r>
                    <w:t>4</w:t>
                  </w:r>
                </w:p>
              </w:tc>
              <w:tc>
                <w:tcPr>
                  <w:tcW w:w="879" w:type="dxa"/>
                </w:tcPr>
                <w:p w14:paraId="489A032F" w14:textId="77777777" w:rsidR="00D075F6" w:rsidRDefault="00734411">
                  <w:pPr>
                    <w:jc w:val="center"/>
                  </w:pPr>
                  <w:r>
                    <w:t>42.12</w:t>
                  </w:r>
                </w:p>
              </w:tc>
              <w:tc>
                <w:tcPr>
                  <w:tcW w:w="879" w:type="dxa"/>
                </w:tcPr>
                <w:p w14:paraId="57790C3F" w14:textId="77777777" w:rsidR="00D075F6" w:rsidRDefault="00734411">
                  <w:pPr>
                    <w:jc w:val="center"/>
                  </w:pPr>
                  <w:r>
                    <w:t>3</w:t>
                  </w:r>
                </w:p>
              </w:tc>
              <w:tc>
                <w:tcPr>
                  <w:tcW w:w="879" w:type="dxa"/>
                </w:tcPr>
                <w:p w14:paraId="59D7B57C" w14:textId="77777777" w:rsidR="00D075F6" w:rsidRDefault="00734411">
                  <w:pPr>
                    <w:jc w:val="center"/>
                  </w:pPr>
                  <m:oMathPara>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435A45C4" w14:textId="77777777" w:rsidR="00D075F6" w:rsidRDefault="00734411">
                  <w:pPr>
                    <w:jc w:val="center"/>
                  </w:pPr>
                  <m:oMathPara>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7933435F" w14:textId="77777777" w:rsidR="00D075F6" w:rsidRDefault="00734411">
                  <w:pPr>
                    <w:jc w:val="center"/>
                  </w:pPr>
                  <w:r>
                    <w:t>0.936</w:t>
                  </w:r>
                </w:p>
              </w:tc>
              <w:tc>
                <w:tcPr>
                  <w:tcW w:w="879" w:type="dxa"/>
                </w:tcPr>
                <w:p w14:paraId="3EAC852E" w14:textId="77777777" w:rsidR="00D075F6" w:rsidRDefault="00734411">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p>
              </w:tc>
            </w:tr>
            <w:tr w:rsidR="00D075F6" w14:paraId="7AB08B41" w14:textId="77777777">
              <w:trPr>
                <w:jc w:val="center"/>
              </w:trPr>
              <w:tc>
                <w:tcPr>
                  <w:tcW w:w="879" w:type="dxa"/>
                </w:tcPr>
                <w:p w14:paraId="2B9243A4" w14:textId="77777777" w:rsidR="00D075F6" w:rsidRDefault="00734411">
                  <w:pPr>
                    <w:jc w:val="center"/>
                  </w:pPr>
                  <w:r>
                    <w:t>Estabilidad</w:t>
                  </w:r>
                </w:p>
              </w:tc>
              <w:tc>
                <w:tcPr>
                  <w:tcW w:w="879" w:type="dxa"/>
                </w:tcPr>
                <w:p w14:paraId="2539B8BB" w14:textId="77777777" w:rsidR="00D075F6" w:rsidRDefault="00734411">
                  <w:pPr>
                    <w:jc w:val="center"/>
                  </w:pPr>
                  <w:r>
                    <w:t>15</w:t>
                  </w:r>
                </w:p>
              </w:tc>
              <w:tc>
                <w:tcPr>
                  <w:tcW w:w="879" w:type="dxa"/>
                </w:tcPr>
                <w:p w14:paraId="3270A2B8" w14:textId="77777777" w:rsidR="00D075F6" w:rsidRDefault="00734411">
                  <w:pPr>
                    <w:jc w:val="center"/>
                  </w:pPr>
                  <w:r>
                    <w:t>4</w:t>
                  </w:r>
                </w:p>
              </w:tc>
              <w:tc>
                <w:tcPr>
                  <w:tcW w:w="879" w:type="dxa"/>
                </w:tcPr>
                <w:p w14:paraId="261F3CF2" w14:textId="77777777" w:rsidR="00D075F6" w:rsidRDefault="00734411">
                  <w:pPr>
                    <w:jc w:val="center"/>
                  </w:pPr>
                  <w:r>
                    <w:t>40.68</w:t>
                  </w:r>
                </w:p>
              </w:tc>
              <w:tc>
                <w:tcPr>
                  <w:tcW w:w="879" w:type="dxa"/>
                </w:tcPr>
                <w:p w14:paraId="1771CA10" w14:textId="77777777" w:rsidR="00D075F6" w:rsidRDefault="00734411">
                  <w:pPr>
                    <w:jc w:val="center"/>
                  </w:pPr>
                  <w:r>
                    <w:t>3</w:t>
                  </w:r>
                </w:p>
              </w:tc>
              <w:tc>
                <w:tcPr>
                  <w:tcW w:w="879" w:type="dxa"/>
                </w:tcPr>
                <w:p w14:paraId="0361797E" w14:textId="77777777" w:rsidR="00D075F6" w:rsidRDefault="00734411">
                  <w:pPr>
                    <w:jc w:val="center"/>
                  </w:pPr>
                  <m:oMathPara>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4D7E9AA8" w14:textId="77777777" w:rsidR="00D075F6" w:rsidRDefault="00734411">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0D000E9A" w14:textId="77777777" w:rsidR="00D075F6" w:rsidRDefault="00734411">
                  <w:pPr>
                    <w:jc w:val="center"/>
                  </w:pPr>
                  <w:r>
                    <w:t>0.904</w:t>
                  </w:r>
                </w:p>
              </w:tc>
              <w:tc>
                <w:tcPr>
                  <w:tcW w:w="879" w:type="dxa"/>
                </w:tcPr>
                <w:p w14:paraId="563CEF2E" w14:textId="77777777" w:rsidR="00D075F6" w:rsidRDefault="00734411">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p>
              </w:tc>
            </w:tr>
            <w:bookmarkEnd w:id="430"/>
          </w:tbl>
          <w:p w14:paraId="61DB2AC2" w14:textId="77777777" w:rsidR="00D075F6" w:rsidRDefault="00D075F6"/>
        </w:tc>
      </w:tr>
    </w:tbl>
    <w:p w14:paraId="2B88AA11" w14:textId="77777777" w:rsidR="00D075F6" w:rsidRDefault="00734411">
      <w:pPr>
        <w:pStyle w:val="BodyText"/>
      </w:pPr>
      <w:r>
        <w:t xml:space="preserve">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gl</m:t>
        </m:r>
        <m:r>
          <m:rPr>
            <m:sty m:val="p"/>
          </m:rPr>
          <w:rPr>
            <w:rFonts w:ascii="Cambria Math" w:hAnsi="Cambria Math"/>
          </w:rPr>
          <m:t>=</m:t>
        </m:r>
        <m:r>
          <w:rPr>
            <w:rFonts w:ascii="Cambria Math" w:hAnsi="Cambria Math"/>
          </w:rPr>
          <m:t>3</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7.815</m:t>
        </m:r>
      </m:oMath>
      <w:r>
        <w:t xml:space="preserve">. Margen de seguridad: fidelidad = 439%, estabilidad = 421%. La corrección Holm-Bonferroni se aplica sobre la familia inferencial completa del test omnibus —las cinco métricas primarias evaluadas mediante Friedman, conforme al plan declarado en la </w:t>
      </w:r>
      <w:hyperlink w:anchor="tbl-stat-plan">
        <w:r>
          <w:rPr>
            <w:rStyle w:val="Hyperlink"/>
          </w:rPr>
          <w:t>Tabla 3.6</w:t>
        </w:r>
      </w:hyperlink>
      <w:r>
        <w:t xml:space="preserve"> del Capítulo 3— y no únicamente sobre H1 y H2. El </w:t>
      </w:r>
      <w:r>
        <w:t xml:space="preserve">factor de ajuste correspondiente a cada métrica depende, por tanto, de su posición en el orden creciente de los cinco valores </w:t>
      </w:r>
      <m:oMath>
        <m:r>
          <w:rPr>
            <w:rFonts w:ascii="Cambria Math" w:hAnsi="Cambria Math"/>
          </w:rPr>
          <m:t>p</m:t>
        </m:r>
      </m:oMath>
      <w:r>
        <w:t xml:space="preserve">: la fidelidad, con el </w:t>
      </w:r>
      <m:oMath>
        <m:r>
          <w:rPr>
            <w:rFonts w:ascii="Cambria Math" w:hAnsi="Cambria Math"/>
          </w:rPr>
          <m:t>p</m:t>
        </m:r>
      </m:oMath>
      <w:r>
        <w:t xml:space="preserve"> crudo menor, recibe el factor </w:t>
      </w:r>
      <m:oMath>
        <m:r>
          <w:rPr>
            <w:rFonts w:ascii="Cambria Math" w:hAnsi="Cambria Math"/>
          </w:rPr>
          <m:t>m</m:t>
        </m:r>
        <m:r>
          <m:rPr>
            <m:sty m:val="p"/>
          </m:rPr>
          <w:rPr>
            <w:rFonts w:ascii="Cambria Math" w:hAnsi="Cambria Math"/>
          </w:rPr>
          <m:t>=</m:t>
        </m:r>
        <m:r>
          <w:rPr>
            <w:rFonts w:ascii="Cambria Math" w:hAnsi="Cambria Math"/>
          </w:rPr>
          <m:t>4</m:t>
        </m:r>
      </m:oMath>
      <w:r>
        <w:t xml:space="preserve"> (</w:t>
      </w:r>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y la estabilidad, la siguiente en orden, el factor </w:t>
      </w:r>
      <m:oMath>
        <m:r>
          <w:rPr>
            <w:rFonts w:ascii="Cambria Math" w:hAnsi="Cambria Math"/>
          </w:rPr>
          <m:t>m</m:t>
        </m:r>
        <m:r>
          <m:rPr>
            <m:sty m:val="p"/>
          </m:rPr>
          <w:rPr>
            <w:rFonts w:ascii="Cambria Math" w:hAnsi="Cambria Math"/>
          </w:rPr>
          <m:t>=</m:t>
        </m:r>
        <m:r>
          <w:rPr>
            <w:rFonts w:ascii="Cambria Math" w:hAnsi="Cambria Math"/>
          </w:rPr>
          <m:t>3</m:t>
        </m:r>
      </m:oMath>
      <w:r>
        <w:t xml:space="preserve"> (</w:t>
      </w:r>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Ambas hipótesis permanecen significativas tras la corrección con varios órdenes de magnitud de margen.</w:t>
      </w:r>
    </w:p>
    <w:p w14:paraId="34F10699" w14:textId="77777777" w:rsidR="00D075F6" w:rsidRDefault="00734411">
      <w:pPr>
        <w:pStyle w:val="Heading3"/>
      </w:pPr>
      <w:bookmarkStart w:id="431" w:name="Xf81def15ac0599a341fc59b4e423bbf643d253b"/>
      <w:bookmarkStart w:id="432" w:name="_Toc241413351"/>
      <w:bookmarkEnd w:id="428"/>
      <w:r>
        <w:t>D.2 Comparaciones post-hoc de Nemenyi (fidelidad y estabilidad)</w:t>
      </w:r>
      <w:bookmarkEnd w:id="432"/>
    </w:p>
    <w:p w14:paraId="1D96ECCF" w14:textId="77777777" w:rsidR="00D075F6" w:rsidRDefault="00734411">
      <w:r>
        <w:t xml:space="preserve">La diferencia crítica para </w:t>
      </w:r>
      <m:oMath>
        <m:r>
          <w:rPr>
            <w:rFonts w:ascii="Cambria Math" w:hAnsi="Cambria Math"/>
          </w:rPr>
          <m:t>k</m:t>
        </m:r>
        <m:r>
          <m:rPr>
            <m:sty m:val="p"/>
          </m:rPr>
          <w:rPr>
            <w:rFonts w:ascii="Cambria Math" w:hAnsi="Cambria Math"/>
          </w:rPr>
          <m:t>=</m:t>
        </m:r>
        <m:r>
          <w:rPr>
            <w:rFonts w:ascii="Cambria Math" w:hAnsi="Cambria Math"/>
          </w:rPr>
          <m:t>4</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r>
          <w:rPr>
            <w:rFonts w:ascii="Cambria Math" w:hAnsi="Cambria Math"/>
          </w:rPr>
          <m:t>CD</m:t>
        </m:r>
        <m:r>
          <m:rPr>
            <m:sty m:val="p"/>
          </m:rPr>
          <w:rPr>
            <w:rFonts w:ascii="Cambria Math" w:hAnsi="Cambria Math"/>
          </w:rPr>
          <m:t>=</m:t>
        </m:r>
        <m:r>
          <w:rPr>
            <w:rFonts w:ascii="Cambria Math" w:hAnsi="Cambria Math"/>
          </w:rPr>
          <m:t>1.211</m:t>
        </m:r>
      </m:oMath>
      <w:r>
        <w:t xml:space="preserve"> en ambas métricas.</w:t>
      </w:r>
    </w:p>
    <w:tbl>
      <w:tblPr>
        <w:tblW w:w="5000" w:type="pct"/>
        <w:jc w:val="center"/>
        <w:tblLayout w:type="fixed"/>
        <w:tblLook w:val="0000" w:firstRow="0" w:lastRow="0" w:firstColumn="0" w:lastColumn="0" w:noHBand="0" w:noVBand="0"/>
      </w:tblPr>
      <w:tblGrid>
        <w:gridCol w:w="9576"/>
      </w:tblGrid>
      <w:tr w:rsidR="00D075F6" w14:paraId="3B454E5A" w14:textId="77777777">
        <w:trPr>
          <w:jc w:val="center"/>
        </w:trPr>
        <w:tc>
          <w:tcPr>
            <w:tcW w:w="7920" w:type="dxa"/>
          </w:tcPr>
          <w:p w14:paraId="420770C7" w14:textId="77777777" w:rsidR="00D075F6" w:rsidRDefault="00734411">
            <w:pPr>
              <w:spacing w:before="200"/>
              <w:jc w:val="center"/>
            </w:pPr>
            <w:bookmarkStart w:id="433" w:name="tbl-appendix-nemenyi-full"/>
            <w:r>
              <w:t xml:space="preserve">Tabla 6.14: Comparaciones post-hoc de Nemenyi con diferencias en rangos medios para fidelidad y estabilidad. La diferencia crítica </w:t>
            </w:r>
            <m:oMath>
              <m:r>
                <w:rPr>
                  <w:rFonts w:ascii="Cambria Math" w:hAnsi="Cambria Math"/>
                </w:rPr>
                <m:t>CD</m:t>
              </m:r>
              <m:r>
                <m:rPr>
                  <m:sty m:val="p"/>
                </m:rPr>
                <w:rPr>
                  <w:rFonts w:ascii="Cambria Math" w:hAnsi="Cambria Math"/>
                </w:rPr>
                <m:t>=</m:t>
              </m:r>
              <m:r>
                <w:rPr>
                  <w:rFonts w:ascii="Cambria Math" w:hAnsi="Cambria Math"/>
                </w:rPr>
                <m:t>1.211</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D075F6" w14:paraId="2703F51C" w14:textId="77777777">
              <w:trPr>
                <w:tblHeader/>
                <w:jc w:val="center"/>
              </w:trPr>
              <w:tc>
                <w:tcPr>
                  <w:tcW w:w="1584" w:type="dxa"/>
                </w:tcPr>
                <w:p w14:paraId="327E693F" w14:textId="77777777" w:rsidR="00D075F6" w:rsidRDefault="00734411">
                  <w:pPr>
                    <w:jc w:val="center"/>
                  </w:pPr>
                  <w:r>
                    <w:rPr>
                      <w:b/>
                      <w:bCs/>
                    </w:rPr>
                    <w:t>Par de métodos</w:t>
                  </w:r>
                </w:p>
              </w:tc>
              <w:tc>
                <w:tcPr>
                  <w:tcW w:w="1584" w:type="dxa"/>
                </w:tcPr>
                <w:p w14:paraId="36985F64" w14:textId="77777777" w:rsidR="00D075F6" w:rsidRDefault="00734411">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b/>
                      <w:bCs/>
                    </w:rPr>
                    <w:t xml:space="preserve"> (fidelidad)</w:t>
                  </w:r>
                </w:p>
              </w:tc>
              <w:tc>
                <w:tcPr>
                  <w:tcW w:w="1584" w:type="dxa"/>
                </w:tcPr>
                <w:p w14:paraId="0E906070" w14:textId="77777777" w:rsidR="00D075F6" w:rsidRDefault="00734411">
                  <w:pPr>
                    <w:jc w:val="center"/>
                  </w:pPr>
                  <w:r>
                    <w:rPr>
                      <w:b/>
                      <w:bCs/>
                    </w:rPr>
                    <w:t>Signif. (fidelidad)</w:t>
                  </w:r>
                </w:p>
              </w:tc>
              <w:tc>
                <w:tcPr>
                  <w:tcW w:w="1584" w:type="dxa"/>
                </w:tcPr>
                <w:p w14:paraId="53D06BBF" w14:textId="77777777" w:rsidR="00D075F6" w:rsidRDefault="00734411">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b/>
                      <w:bCs/>
                    </w:rPr>
                    <w:t xml:space="preserve"> (estabilidad)</w:t>
                  </w:r>
                </w:p>
              </w:tc>
              <w:tc>
                <w:tcPr>
                  <w:tcW w:w="1584" w:type="dxa"/>
                </w:tcPr>
                <w:p w14:paraId="7DC26E07" w14:textId="77777777" w:rsidR="00D075F6" w:rsidRDefault="00734411">
                  <w:pPr>
                    <w:jc w:val="center"/>
                  </w:pPr>
                  <w:r>
                    <w:rPr>
                      <w:b/>
                      <w:bCs/>
                    </w:rPr>
                    <w:t>Signif. (estabilidad)</w:t>
                  </w:r>
                </w:p>
              </w:tc>
            </w:tr>
            <w:tr w:rsidR="00D075F6" w14:paraId="265323B2" w14:textId="77777777">
              <w:trPr>
                <w:jc w:val="center"/>
              </w:trPr>
              <w:tc>
                <w:tcPr>
                  <w:tcW w:w="1584" w:type="dxa"/>
                </w:tcPr>
                <w:p w14:paraId="5DDF02AB" w14:textId="77777777" w:rsidR="00D075F6" w:rsidRDefault="00734411">
                  <w:pPr>
                    <w:jc w:val="center"/>
                  </w:pPr>
                  <w:r>
                    <w:t>SHAP vs. LIME</w:t>
                  </w:r>
                </w:p>
              </w:tc>
              <w:tc>
                <w:tcPr>
                  <w:tcW w:w="1584" w:type="dxa"/>
                </w:tcPr>
                <w:p w14:paraId="4F764F9C" w14:textId="77777777" w:rsidR="00D075F6" w:rsidRDefault="00734411">
                  <w:pPr>
                    <w:jc w:val="center"/>
                  </w:pPr>
                  <w:r>
                    <w:t>1.000</w:t>
                  </w:r>
                </w:p>
              </w:tc>
              <w:tc>
                <w:tcPr>
                  <w:tcW w:w="1584" w:type="dxa"/>
                </w:tcPr>
                <w:p w14:paraId="08D8E652" w14:textId="77777777" w:rsidR="00D075F6" w:rsidRDefault="00734411">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040898AE" w14:textId="77777777" w:rsidR="00D075F6" w:rsidRDefault="00734411">
                  <w:pPr>
                    <w:jc w:val="center"/>
                  </w:pPr>
                  <m:oMathPara>
                    <m:oMath>
                      <m:r>
                        <m:rPr>
                          <m:sty m:val="p"/>
                        </m:rPr>
                        <w:rPr>
                          <w:rFonts w:ascii="Cambria Math" w:hAnsi="Cambria Math"/>
                        </w:rPr>
                        <m:t>-</m:t>
                      </m:r>
                    </m:oMath>
                  </m:oMathPara>
                </w:p>
              </w:tc>
              <w:tc>
                <w:tcPr>
                  <w:tcW w:w="1584" w:type="dxa"/>
                </w:tcPr>
                <w:p w14:paraId="58D60A39" w14:textId="77777777" w:rsidR="00D075F6" w:rsidRDefault="00734411">
                  <w:pPr>
                    <w:jc w:val="center"/>
                  </w:pPr>
                  <m:oMathPara>
                    <m:oMath>
                      <m:r>
                        <m:rPr>
                          <m:sty m:val="p"/>
                        </m:rPr>
                        <w:rPr>
                          <w:rFonts w:ascii="Cambria Math" w:hAnsi="Cambria Math"/>
                        </w:rPr>
                        <m:t>-</m:t>
                      </m:r>
                    </m:oMath>
                  </m:oMathPara>
                </w:p>
              </w:tc>
            </w:tr>
            <w:tr w:rsidR="00D075F6" w14:paraId="5C846800" w14:textId="77777777">
              <w:trPr>
                <w:jc w:val="center"/>
              </w:trPr>
              <w:tc>
                <w:tcPr>
                  <w:tcW w:w="1584" w:type="dxa"/>
                </w:tcPr>
                <w:p w14:paraId="5E8D2839" w14:textId="77777777" w:rsidR="00D075F6" w:rsidRDefault="00734411">
                  <w:pPr>
                    <w:jc w:val="center"/>
                  </w:pPr>
                  <w:r>
                    <w:t>SHAP vs. Anchors</w:t>
                  </w:r>
                </w:p>
              </w:tc>
              <w:tc>
                <w:tcPr>
                  <w:tcW w:w="1584" w:type="dxa"/>
                </w:tcPr>
                <w:p w14:paraId="684CF443" w14:textId="77777777" w:rsidR="00D075F6" w:rsidRDefault="00734411">
                  <w:pPr>
                    <w:jc w:val="center"/>
                  </w:pPr>
                  <w:r>
                    <w:t>2.200</w:t>
                  </w:r>
                </w:p>
              </w:tc>
              <w:tc>
                <w:tcPr>
                  <w:tcW w:w="1584" w:type="dxa"/>
                </w:tcPr>
                <w:p w14:paraId="6B439B35" w14:textId="77777777" w:rsidR="00D075F6" w:rsidRDefault="00734411">
                  <w:pPr>
                    <w:jc w:val="center"/>
                  </w:pPr>
                  <w:r>
                    <w:rPr>
                      <w:b/>
                      <w:bCs/>
                    </w:rPr>
                    <w:t>Sí</w:t>
                  </w:r>
                  <w:r>
                    <w:t xml:space="preserve"> (</w:t>
                  </w:r>
                  <m:oMath>
                    <m:r>
                      <m:rPr>
                        <m:sty m:val="p"/>
                      </m:rPr>
                      <w:rPr>
                        <w:rFonts w:ascii="Cambria Math" w:hAnsi="Cambria Math"/>
                      </w:rPr>
                      <m:t>&gt;</m:t>
                    </m:r>
                    <m:r>
                      <w:rPr>
                        <w:rFonts w:ascii="Cambria Math" w:hAnsi="Cambria Math"/>
                      </w:rPr>
                      <m:t>1.211</m:t>
                    </m:r>
                  </m:oMath>
                  <w:r>
                    <w:t>)</w:t>
                  </w:r>
                </w:p>
              </w:tc>
              <w:tc>
                <w:tcPr>
                  <w:tcW w:w="1584" w:type="dxa"/>
                </w:tcPr>
                <w:p w14:paraId="1BA63D89" w14:textId="77777777" w:rsidR="00D075F6" w:rsidRDefault="00734411">
                  <w:pPr>
                    <w:jc w:val="center"/>
                  </w:pPr>
                  <w:r>
                    <w:t>2.600</w:t>
                  </w:r>
                </w:p>
              </w:tc>
              <w:tc>
                <w:tcPr>
                  <w:tcW w:w="1584" w:type="dxa"/>
                </w:tcPr>
                <w:p w14:paraId="53937F38" w14:textId="77777777" w:rsidR="00D075F6" w:rsidRDefault="00734411">
                  <w:pPr>
                    <w:jc w:val="center"/>
                  </w:pPr>
                  <w:r>
                    <w:rPr>
                      <w:b/>
                      <w:bCs/>
                    </w:rPr>
                    <w:t>Sí</w:t>
                  </w:r>
                </w:p>
              </w:tc>
            </w:tr>
            <w:tr w:rsidR="00D075F6" w14:paraId="758203F7" w14:textId="77777777">
              <w:trPr>
                <w:jc w:val="center"/>
              </w:trPr>
              <w:tc>
                <w:tcPr>
                  <w:tcW w:w="1584" w:type="dxa"/>
                </w:tcPr>
                <w:p w14:paraId="5E96ADFA" w14:textId="77777777" w:rsidR="00D075F6" w:rsidRDefault="00734411">
                  <w:pPr>
                    <w:jc w:val="center"/>
                  </w:pPr>
                  <w:r>
                    <w:t>SHAP vs. DiCE</w:t>
                  </w:r>
                </w:p>
              </w:tc>
              <w:tc>
                <w:tcPr>
                  <w:tcW w:w="1584" w:type="dxa"/>
                </w:tcPr>
                <w:p w14:paraId="559D31D3" w14:textId="77777777" w:rsidR="00D075F6" w:rsidRDefault="00734411">
                  <w:pPr>
                    <w:jc w:val="center"/>
                  </w:pPr>
                  <w:r>
                    <w:t>2.800</w:t>
                  </w:r>
                </w:p>
              </w:tc>
              <w:tc>
                <w:tcPr>
                  <w:tcW w:w="1584" w:type="dxa"/>
                </w:tcPr>
                <w:p w14:paraId="0A8D5BF9" w14:textId="77777777" w:rsidR="00D075F6" w:rsidRDefault="00734411">
                  <w:pPr>
                    <w:jc w:val="center"/>
                  </w:pPr>
                  <w:r>
                    <w:rPr>
                      <w:b/>
                      <w:bCs/>
                    </w:rPr>
                    <w:t>Sí</w:t>
                  </w:r>
                </w:p>
              </w:tc>
              <w:tc>
                <w:tcPr>
                  <w:tcW w:w="1584" w:type="dxa"/>
                </w:tcPr>
                <w:p w14:paraId="6C0E1DA5" w14:textId="77777777" w:rsidR="00D075F6" w:rsidRDefault="00734411">
                  <w:pPr>
                    <w:jc w:val="center"/>
                  </w:pPr>
                  <w:r>
                    <w:t>1.000</w:t>
                  </w:r>
                </w:p>
              </w:tc>
              <w:tc>
                <w:tcPr>
                  <w:tcW w:w="1584" w:type="dxa"/>
                </w:tcPr>
                <w:p w14:paraId="74943A00" w14:textId="77777777" w:rsidR="00D075F6" w:rsidRDefault="00734411">
                  <w:pPr>
                    <w:jc w:val="center"/>
                  </w:pPr>
                  <w:r>
                    <w:t>No (</w:t>
                  </w:r>
                  <m:oMath>
                    <m:r>
                      <m:rPr>
                        <m:sty m:val="p"/>
                      </m:rPr>
                      <w:rPr>
                        <w:rFonts w:ascii="Cambria Math" w:hAnsi="Cambria Math"/>
                      </w:rPr>
                      <m:t>&lt;</m:t>
                    </m:r>
                    <m:r>
                      <w:rPr>
                        <w:rFonts w:ascii="Cambria Math" w:hAnsi="Cambria Math"/>
                      </w:rPr>
                      <m:t>1.211</m:t>
                    </m:r>
                  </m:oMath>
                  <w:r>
                    <w:t>)</w:t>
                  </w:r>
                </w:p>
              </w:tc>
            </w:tr>
            <w:tr w:rsidR="00D075F6" w14:paraId="2EF58C41" w14:textId="77777777">
              <w:trPr>
                <w:jc w:val="center"/>
              </w:trPr>
              <w:tc>
                <w:tcPr>
                  <w:tcW w:w="1584" w:type="dxa"/>
                </w:tcPr>
                <w:p w14:paraId="17DEFF36" w14:textId="77777777" w:rsidR="00D075F6" w:rsidRDefault="00734411">
                  <w:pPr>
                    <w:jc w:val="center"/>
                  </w:pPr>
                  <w:r>
                    <w:t>LIME vs. Anchors</w:t>
                  </w:r>
                </w:p>
              </w:tc>
              <w:tc>
                <w:tcPr>
                  <w:tcW w:w="1584" w:type="dxa"/>
                </w:tcPr>
                <w:p w14:paraId="60F1846B" w14:textId="77777777" w:rsidR="00D075F6" w:rsidRDefault="00734411">
                  <w:pPr>
                    <w:jc w:val="center"/>
                  </w:pPr>
                  <w:r>
                    <w:t>1.200</w:t>
                  </w:r>
                </w:p>
              </w:tc>
              <w:tc>
                <w:tcPr>
                  <w:tcW w:w="1584" w:type="dxa"/>
                </w:tcPr>
                <w:p w14:paraId="2C71F9DA" w14:textId="77777777" w:rsidR="00D075F6" w:rsidRDefault="00734411">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2B8AF923" w14:textId="77777777" w:rsidR="00D075F6" w:rsidRDefault="00734411">
                  <w:pPr>
                    <w:jc w:val="center"/>
                  </w:pPr>
                  <w:r>
                    <w:t>1.400</w:t>
                  </w:r>
                </w:p>
              </w:tc>
              <w:tc>
                <w:tcPr>
                  <w:tcW w:w="1584" w:type="dxa"/>
                </w:tcPr>
                <w:p w14:paraId="0D847E7F" w14:textId="77777777" w:rsidR="00D075F6" w:rsidRDefault="00734411">
                  <w:pPr>
                    <w:jc w:val="center"/>
                  </w:pPr>
                  <w:r>
                    <w:rPr>
                      <w:b/>
                      <w:bCs/>
                    </w:rPr>
                    <w:t>Sí</w:t>
                  </w:r>
                </w:p>
              </w:tc>
            </w:tr>
            <w:tr w:rsidR="00D075F6" w14:paraId="732FD682" w14:textId="77777777">
              <w:trPr>
                <w:jc w:val="center"/>
              </w:trPr>
              <w:tc>
                <w:tcPr>
                  <w:tcW w:w="1584" w:type="dxa"/>
                </w:tcPr>
                <w:p w14:paraId="1D126358" w14:textId="77777777" w:rsidR="00D075F6" w:rsidRDefault="00734411">
                  <w:pPr>
                    <w:jc w:val="center"/>
                  </w:pPr>
                  <w:r>
                    <w:t>LIME vs. DiCE</w:t>
                  </w:r>
                </w:p>
              </w:tc>
              <w:tc>
                <w:tcPr>
                  <w:tcW w:w="1584" w:type="dxa"/>
                </w:tcPr>
                <w:p w14:paraId="6579F69E" w14:textId="77777777" w:rsidR="00D075F6" w:rsidRDefault="00734411">
                  <w:pPr>
                    <w:jc w:val="center"/>
                  </w:pPr>
                  <w:r>
                    <w:t>1.800</w:t>
                  </w:r>
                </w:p>
              </w:tc>
              <w:tc>
                <w:tcPr>
                  <w:tcW w:w="1584" w:type="dxa"/>
                </w:tcPr>
                <w:p w14:paraId="12F6E876" w14:textId="77777777" w:rsidR="00D075F6" w:rsidRDefault="00734411">
                  <w:pPr>
                    <w:jc w:val="center"/>
                  </w:pPr>
                  <w:r>
                    <w:rPr>
                      <w:b/>
                      <w:bCs/>
                    </w:rPr>
                    <w:t>Sí</w:t>
                  </w:r>
                </w:p>
              </w:tc>
              <w:tc>
                <w:tcPr>
                  <w:tcW w:w="1584" w:type="dxa"/>
                </w:tcPr>
                <w:p w14:paraId="2540C146" w14:textId="77777777" w:rsidR="00D075F6" w:rsidRDefault="00734411">
                  <w:pPr>
                    <w:jc w:val="center"/>
                  </w:pPr>
                  <w:r>
                    <w:t>1.400</w:t>
                  </w:r>
                </w:p>
              </w:tc>
              <w:tc>
                <w:tcPr>
                  <w:tcW w:w="1584" w:type="dxa"/>
                </w:tcPr>
                <w:p w14:paraId="40435C11" w14:textId="77777777" w:rsidR="00D075F6" w:rsidRDefault="00734411">
                  <w:pPr>
                    <w:jc w:val="center"/>
                  </w:pPr>
                  <w:r>
                    <w:rPr>
                      <w:b/>
                      <w:bCs/>
                    </w:rPr>
                    <w:t>Sí</w:t>
                  </w:r>
                </w:p>
              </w:tc>
            </w:tr>
            <w:tr w:rsidR="00D075F6" w14:paraId="78548E2D" w14:textId="77777777">
              <w:trPr>
                <w:jc w:val="center"/>
              </w:trPr>
              <w:tc>
                <w:tcPr>
                  <w:tcW w:w="1584" w:type="dxa"/>
                </w:tcPr>
                <w:p w14:paraId="0D452D5E" w14:textId="77777777" w:rsidR="00D075F6" w:rsidRDefault="00734411">
                  <w:pPr>
                    <w:jc w:val="center"/>
                  </w:pPr>
                  <w:r>
                    <w:t>Anchors vs. DiCE</w:t>
                  </w:r>
                </w:p>
              </w:tc>
              <w:tc>
                <w:tcPr>
                  <w:tcW w:w="1584" w:type="dxa"/>
                </w:tcPr>
                <w:p w14:paraId="31EA379B" w14:textId="77777777" w:rsidR="00D075F6" w:rsidRDefault="00734411">
                  <w:pPr>
                    <w:jc w:val="center"/>
                  </w:pPr>
                  <w:r>
                    <w:t>0.600</w:t>
                  </w:r>
                </w:p>
              </w:tc>
              <w:tc>
                <w:tcPr>
                  <w:tcW w:w="1584" w:type="dxa"/>
                </w:tcPr>
                <w:p w14:paraId="01640197" w14:textId="77777777" w:rsidR="00D075F6" w:rsidRDefault="00734411">
                  <w:pPr>
                    <w:jc w:val="center"/>
                  </w:pPr>
                  <w:r>
                    <w:t>No</w:t>
                  </w:r>
                </w:p>
              </w:tc>
              <w:tc>
                <w:tcPr>
                  <w:tcW w:w="1584" w:type="dxa"/>
                </w:tcPr>
                <w:p w14:paraId="749DADE2" w14:textId="77777777" w:rsidR="00D075F6" w:rsidRDefault="00734411">
                  <w:pPr>
                    <w:jc w:val="center"/>
                  </w:pPr>
                  <w:r>
                    <w:t>0.200</w:t>
                  </w:r>
                </w:p>
              </w:tc>
              <w:tc>
                <w:tcPr>
                  <w:tcW w:w="1584" w:type="dxa"/>
                </w:tcPr>
                <w:p w14:paraId="6024A180" w14:textId="77777777" w:rsidR="00D075F6" w:rsidRDefault="00734411">
                  <w:pPr>
                    <w:jc w:val="center"/>
                  </w:pPr>
                  <w:r>
                    <w:t>No</w:t>
                  </w:r>
                </w:p>
              </w:tc>
            </w:tr>
            <w:tr w:rsidR="00D075F6" w14:paraId="6E2E4FF7" w14:textId="77777777">
              <w:trPr>
                <w:jc w:val="center"/>
              </w:trPr>
              <w:tc>
                <w:tcPr>
                  <w:tcW w:w="1584" w:type="dxa"/>
                </w:tcPr>
                <w:p w14:paraId="5EDF5D04" w14:textId="77777777" w:rsidR="00D075F6" w:rsidRDefault="00734411">
                  <w:pPr>
                    <w:jc w:val="center"/>
                  </w:pPr>
                  <w:r>
                    <w:t>SHAP vs. LIME (estabilidad)</w:t>
                  </w:r>
                </w:p>
              </w:tc>
              <w:tc>
                <w:tcPr>
                  <w:tcW w:w="1584" w:type="dxa"/>
                </w:tcPr>
                <w:p w14:paraId="3A004848" w14:textId="77777777" w:rsidR="00D075F6" w:rsidRDefault="00734411">
                  <w:pPr>
                    <w:jc w:val="center"/>
                  </w:pPr>
                  <m:oMathPara>
                    <m:oMath>
                      <m:r>
                        <m:rPr>
                          <m:sty m:val="p"/>
                        </m:rPr>
                        <w:rPr>
                          <w:rFonts w:ascii="Cambria Math" w:hAnsi="Cambria Math"/>
                        </w:rPr>
                        <m:t>-</m:t>
                      </m:r>
                    </m:oMath>
                  </m:oMathPara>
                </w:p>
              </w:tc>
              <w:tc>
                <w:tcPr>
                  <w:tcW w:w="1584" w:type="dxa"/>
                </w:tcPr>
                <w:p w14:paraId="37E1C63A" w14:textId="77777777" w:rsidR="00D075F6" w:rsidRDefault="00734411">
                  <w:pPr>
                    <w:jc w:val="center"/>
                  </w:pPr>
                  <m:oMathPara>
                    <m:oMath>
                      <m:r>
                        <m:rPr>
                          <m:sty m:val="p"/>
                        </m:rPr>
                        <w:rPr>
                          <w:rFonts w:ascii="Cambria Math" w:hAnsi="Cambria Math"/>
                        </w:rPr>
                        <m:t>-</m:t>
                      </m:r>
                    </m:oMath>
                  </m:oMathPara>
                </w:p>
              </w:tc>
              <w:tc>
                <w:tcPr>
                  <w:tcW w:w="1584" w:type="dxa"/>
                </w:tcPr>
                <w:p w14:paraId="6B7E7144" w14:textId="77777777" w:rsidR="00D075F6" w:rsidRDefault="00734411">
                  <w:pPr>
                    <w:jc w:val="center"/>
                  </w:pPr>
                  <w:r>
                    <w:t>2.400</w:t>
                  </w:r>
                </w:p>
              </w:tc>
              <w:tc>
                <w:tcPr>
                  <w:tcW w:w="1584" w:type="dxa"/>
                </w:tcPr>
                <w:p w14:paraId="6CCC2181" w14:textId="77777777" w:rsidR="00D075F6" w:rsidRDefault="00734411">
                  <w:pPr>
                    <w:jc w:val="center"/>
                  </w:pPr>
                  <w:r>
                    <w:rPr>
                      <w:b/>
                      <w:bCs/>
                    </w:rPr>
                    <w:t>Sí</w:t>
                  </w:r>
                </w:p>
              </w:tc>
            </w:tr>
            <w:tr w:rsidR="00D075F6" w14:paraId="49467D00" w14:textId="77777777">
              <w:trPr>
                <w:jc w:val="center"/>
              </w:trPr>
              <w:tc>
                <w:tcPr>
                  <w:tcW w:w="1584" w:type="dxa"/>
                </w:tcPr>
                <w:p w14:paraId="01BEAB8C" w14:textId="77777777" w:rsidR="00D075F6" w:rsidRDefault="00734411">
                  <w:pPr>
                    <w:jc w:val="center"/>
                  </w:pPr>
                  <w:r>
                    <w:t>DiCE vs. LIME (estabilidad)</w:t>
                  </w:r>
                </w:p>
              </w:tc>
              <w:tc>
                <w:tcPr>
                  <w:tcW w:w="1584" w:type="dxa"/>
                </w:tcPr>
                <w:p w14:paraId="0AC7D43B" w14:textId="77777777" w:rsidR="00D075F6" w:rsidRDefault="00734411">
                  <w:pPr>
                    <w:jc w:val="center"/>
                  </w:pPr>
                  <m:oMathPara>
                    <m:oMath>
                      <m:r>
                        <m:rPr>
                          <m:sty m:val="p"/>
                        </m:rPr>
                        <w:rPr>
                          <w:rFonts w:ascii="Cambria Math" w:hAnsi="Cambria Math"/>
                        </w:rPr>
                        <m:t>-</m:t>
                      </m:r>
                    </m:oMath>
                  </m:oMathPara>
                </w:p>
              </w:tc>
              <w:tc>
                <w:tcPr>
                  <w:tcW w:w="1584" w:type="dxa"/>
                </w:tcPr>
                <w:p w14:paraId="2F25A205" w14:textId="77777777" w:rsidR="00D075F6" w:rsidRDefault="00734411">
                  <w:pPr>
                    <w:jc w:val="center"/>
                  </w:pPr>
                  <m:oMathPara>
                    <m:oMath>
                      <m:r>
                        <m:rPr>
                          <m:sty m:val="p"/>
                        </m:rPr>
                        <w:rPr>
                          <w:rFonts w:ascii="Cambria Math" w:hAnsi="Cambria Math"/>
                        </w:rPr>
                        <m:t>-</m:t>
                      </m:r>
                    </m:oMath>
                  </m:oMathPara>
                </w:p>
              </w:tc>
              <w:tc>
                <w:tcPr>
                  <w:tcW w:w="1584" w:type="dxa"/>
                </w:tcPr>
                <w:p w14:paraId="51C56855" w14:textId="77777777" w:rsidR="00D075F6" w:rsidRDefault="00734411">
                  <w:pPr>
                    <w:jc w:val="center"/>
                  </w:pPr>
                  <w:r>
                    <w:t>1.400</w:t>
                  </w:r>
                </w:p>
              </w:tc>
              <w:tc>
                <w:tcPr>
                  <w:tcW w:w="1584" w:type="dxa"/>
                </w:tcPr>
                <w:p w14:paraId="1D405D42" w14:textId="77777777" w:rsidR="00D075F6" w:rsidRDefault="00734411">
                  <w:pPr>
                    <w:jc w:val="center"/>
                  </w:pPr>
                  <w:r>
                    <w:rPr>
                      <w:b/>
                      <w:bCs/>
                    </w:rPr>
                    <w:t>Sí</w:t>
                  </w:r>
                </w:p>
              </w:tc>
            </w:tr>
            <w:tr w:rsidR="00D075F6" w14:paraId="3C36AE6C" w14:textId="77777777">
              <w:trPr>
                <w:jc w:val="center"/>
              </w:trPr>
              <w:tc>
                <w:tcPr>
                  <w:tcW w:w="1584" w:type="dxa"/>
                </w:tcPr>
                <w:p w14:paraId="3036428A" w14:textId="77777777" w:rsidR="00D075F6" w:rsidRDefault="00734411">
                  <w:pPr>
                    <w:jc w:val="center"/>
                  </w:pPr>
                  <w:r>
                    <w:t>DiCE vs. Anchors (estabilidad)</w:t>
                  </w:r>
                </w:p>
              </w:tc>
              <w:tc>
                <w:tcPr>
                  <w:tcW w:w="1584" w:type="dxa"/>
                </w:tcPr>
                <w:p w14:paraId="2CA3844C" w14:textId="77777777" w:rsidR="00D075F6" w:rsidRDefault="00734411">
                  <w:pPr>
                    <w:jc w:val="center"/>
                  </w:pPr>
                  <m:oMathPara>
                    <m:oMath>
                      <m:r>
                        <m:rPr>
                          <m:sty m:val="p"/>
                        </m:rPr>
                        <w:rPr>
                          <w:rFonts w:ascii="Cambria Math" w:hAnsi="Cambria Math"/>
                        </w:rPr>
                        <m:t>-</m:t>
                      </m:r>
                    </m:oMath>
                  </m:oMathPara>
                </w:p>
              </w:tc>
              <w:tc>
                <w:tcPr>
                  <w:tcW w:w="1584" w:type="dxa"/>
                </w:tcPr>
                <w:p w14:paraId="18171B1F" w14:textId="77777777" w:rsidR="00D075F6" w:rsidRDefault="00734411">
                  <w:pPr>
                    <w:jc w:val="center"/>
                  </w:pPr>
                  <m:oMathPara>
                    <m:oMath>
                      <m:r>
                        <m:rPr>
                          <m:sty m:val="p"/>
                        </m:rPr>
                        <w:rPr>
                          <w:rFonts w:ascii="Cambria Math" w:hAnsi="Cambria Math"/>
                        </w:rPr>
                        <m:t>-</m:t>
                      </m:r>
                    </m:oMath>
                  </m:oMathPara>
                </w:p>
              </w:tc>
              <w:tc>
                <w:tcPr>
                  <w:tcW w:w="1584" w:type="dxa"/>
                </w:tcPr>
                <w:p w14:paraId="497840FD" w14:textId="77777777" w:rsidR="00D075F6" w:rsidRDefault="00734411">
                  <w:pPr>
                    <w:jc w:val="center"/>
                  </w:pPr>
                  <w:r>
                    <w:t>1.600</w:t>
                  </w:r>
                </w:p>
              </w:tc>
              <w:tc>
                <w:tcPr>
                  <w:tcW w:w="1584" w:type="dxa"/>
                </w:tcPr>
                <w:p w14:paraId="256203C0" w14:textId="77777777" w:rsidR="00D075F6" w:rsidRDefault="00734411">
                  <w:pPr>
                    <w:jc w:val="center"/>
                  </w:pPr>
                  <w:r>
                    <w:rPr>
                      <w:b/>
                      <w:bCs/>
                    </w:rPr>
                    <w:t>Sí</w:t>
                  </w:r>
                </w:p>
              </w:tc>
            </w:tr>
            <w:bookmarkEnd w:id="433"/>
          </w:tbl>
          <w:p w14:paraId="18CE3EA0" w14:textId="77777777" w:rsidR="00D075F6" w:rsidRDefault="00D075F6"/>
        </w:tc>
      </w:tr>
    </w:tbl>
    <w:p w14:paraId="6CDB9E72" w14:textId="77777777" w:rsidR="00D075F6" w:rsidRDefault="00734411">
      <w:pPr>
        <w:pStyle w:val="Heading3"/>
      </w:pPr>
      <w:bookmarkStart w:id="434" w:name="Xf2da686c9e12c39a6d10c106f98f0eb5f2d8684"/>
      <w:bookmarkStart w:id="435" w:name="_Toc241413352"/>
      <w:bookmarkEnd w:id="431"/>
      <w:r>
        <w:t>D.3 Resultados completos del análisis pareado Wilcoxon (H3)</w:t>
      </w:r>
      <w:bookmarkEnd w:id="435"/>
    </w:p>
    <w:p w14:paraId="405A6DC1" w14:textId="77777777" w:rsidR="00D075F6" w:rsidRDefault="00734411">
      <w:r>
        <w:t xml:space="preserve">Análisis sobre </w:t>
      </w:r>
      <m:oMath>
        <m:r>
          <w:rPr>
            <w:rFonts w:ascii="Cambria Math" w:hAnsi="Cambria Math"/>
          </w:rPr>
          <m:t>n</m:t>
        </m:r>
        <m:r>
          <m:rPr>
            <m:sty m:val="p"/>
          </m:rPr>
          <w:rPr>
            <w:rFonts w:ascii="Cambria Math" w:hAnsi="Cambria Math"/>
          </w:rPr>
          <m:t>=</m:t>
        </m:r>
        <m:r>
          <w:rPr>
            <w:rFonts w:ascii="Cambria Math" w:hAnsi="Cambria Math"/>
          </w:rPr>
          <m:t>75</m:t>
        </m:r>
      </m:oMath>
      <w:r>
        <w:t xml:space="preserve">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corrección Holm-Bonferroni sobre las cinco comparaciones simultáneas.</w:t>
      </w:r>
    </w:p>
    <w:tbl>
      <w:tblPr>
        <w:tblW w:w="5000" w:type="pct"/>
        <w:jc w:val="center"/>
        <w:tblLayout w:type="fixed"/>
        <w:tblLook w:val="0000" w:firstRow="0" w:lastRow="0" w:firstColumn="0" w:lastColumn="0" w:noHBand="0" w:noVBand="0"/>
      </w:tblPr>
      <w:tblGrid>
        <w:gridCol w:w="9576"/>
      </w:tblGrid>
      <w:tr w:rsidR="00D075F6" w14:paraId="59A8958B" w14:textId="77777777">
        <w:trPr>
          <w:jc w:val="center"/>
        </w:trPr>
        <w:tc>
          <w:tcPr>
            <w:tcW w:w="7920" w:type="dxa"/>
          </w:tcPr>
          <w:p w14:paraId="68316625" w14:textId="77777777" w:rsidR="00D075F6" w:rsidRDefault="00734411">
            <w:pPr>
              <w:spacing w:before="200"/>
              <w:jc w:val="center"/>
            </w:pPr>
            <w:bookmarkStart w:id="436" w:name="tbl-appendix-wilcoxon-full"/>
            <w:r>
              <w:t>Tabla 6.15: Resultados completos del análisis pareado Wilcoxon SHAP-LIME con corrección Holm-Bonferroni (</w:t>
            </w:r>
            <m:oMath>
              <m:r>
                <w:rPr>
                  <w:rFonts w:ascii="Cambria Math" w:hAnsi="Cambria Math"/>
                </w:rPr>
                <m:t>n</m:t>
              </m:r>
              <m:r>
                <m:rPr>
                  <m:sty m:val="p"/>
                </m:rPr>
                <w:rPr>
                  <w:rFonts w:ascii="Cambria Math" w:hAnsi="Cambria Math"/>
                </w:rPr>
                <m:t>=</m:t>
              </m:r>
              <m:r>
                <w:rPr>
                  <w:rFonts w:ascii="Cambria Math" w:hAnsi="Cambria Math"/>
                </w:rPr>
                <m:t>75</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5"/>
              <w:gridCol w:w="935"/>
              <w:gridCol w:w="935"/>
              <w:gridCol w:w="935"/>
              <w:gridCol w:w="935"/>
              <w:gridCol w:w="935"/>
              <w:gridCol w:w="935"/>
              <w:gridCol w:w="935"/>
              <w:gridCol w:w="935"/>
              <w:gridCol w:w="935"/>
            </w:tblGrid>
            <w:tr w:rsidR="00D075F6" w14:paraId="3378E726" w14:textId="77777777">
              <w:trPr>
                <w:tblHeader/>
                <w:jc w:val="center"/>
              </w:trPr>
              <w:tc>
                <w:tcPr>
                  <w:tcW w:w="792" w:type="dxa"/>
                </w:tcPr>
                <w:p w14:paraId="4A287BE6" w14:textId="77777777" w:rsidR="00D075F6" w:rsidRDefault="00734411">
                  <w:pPr>
                    <w:jc w:val="center"/>
                  </w:pPr>
                  <w:r>
                    <w:rPr>
                      <w:b/>
                      <w:bCs/>
                    </w:rPr>
                    <w:t>Métrica</w:t>
                  </w:r>
                </w:p>
              </w:tc>
              <w:tc>
                <w:tcPr>
                  <w:tcW w:w="792" w:type="dxa"/>
                </w:tcPr>
                <w:p w14:paraId="0E25F3F5" w14:textId="77777777" w:rsidR="00D075F6" w:rsidRDefault="00734411">
                  <w:pPr>
                    <w:jc w:val="center"/>
                  </w:pPr>
                  <m:oMath>
                    <m:acc>
                      <m:accPr>
                        <m:chr m:val="‾"/>
                        <m:ctrlPr>
                          <w:rPr>
                            <w:rFonts w:ascii="Cambria Math" w:hAnsi="Cambria Math"/>
                          </w:rPr>
                        </m:ctrlPr>
                      </m:accPr>
                      <m:e>
                        <m:r>
                          <w:rPr>
                            <w:rFonts w:ascii="Cambria Math" w:hAnsi="Cambria Math"/>
                          </w:rPr>
                          <m:t>d</m:t>
                        </m:r>
                      </m:e>
                    </m:acc>
                  </m:oMath>
                  <w:r>
                    <w:rPr>
                      <w:b/>
                      <w:bCs/>
                    </w:rPr>
                    <w:t xml:space="preserve"> </w:t>
                  </w:r>
                  <w:r>
                    <w:rPr>
                      <w:b/>
                      <w:bCs/>
                    </w:rPr>
                    <w:t>(SHAP</w:t>
                  </w:r>
                  <m:oMath>
                    <m:r>
                      <m:rPr>
                        <m:sty m:val="p"/>
                      </m:rPr>
                      <w:rPr>
                        <w:rFonts w:ascii="Cambria Math" w:hAnsi="Cambria Math"/>
                      </w:rPr>
                      <m:t>-</m:t>
                    </m:r>
                  </m:oMath>
                  <w:r>
                    <w:rPr>
                      <w:b/>
                      <w:bCs/>
                    </w:rPr>
                    <w:t>LIME)</w:t>
                  </w:r>
                </w:p>
              </w:tc>
              <w:tc>
                <w:tcPr>
                  <w:tcW w:w="792" w:type="dxa"/>
                </w:tcPr>
                <w:p w14:paraId="610CC9D4" w14:textId="77777777" w:rsidR="00D075F6" w:rsidRDefault="00734411">
                  <w:pPr>
                    <w:jc w:val="center"/>
                  </w:pPr>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792" w:type="dxa"/>
                </w:tcPr>
                <w:p w14:paraId="42A7C353" w14:textId="77777777" w:rsidR="00D075F6" w:rsidRDefault="00734411">
                  <w:pPr>
                    <w:jc w:val="center"/>
                  </w:pPr>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792" w:type="dxa"/>
                </w:tcPr>
                <w:p w14:paraId="38FD23EA" w14:textId="77777777" w:rsidR="00D075F6" w:rsidRDefault="00734411">
                  <w:pPr>
                    <w:jc w:val="center"/>
                  </w:pPr>
                  <m:oMathPara>
                    <m:oMath>
                      <m:r>
                        <w:rPr>
                          <w:rFonts w:ascii="Cambria Math" w:hAnsi="Cambria Math"/>
                        </w:rPr>
                        <m:t>W</m:t>
                      </m:r>
                    </m:oMath>
                  </m:oMathPara>
                </w:p>
              </w:tc>
              <w:tc>
                <w:tcPr>
                  <w:tcW w:w="792" w:type="dxa"/>
                </w:tcPr>
                <w:p w14:paraId="62579CE6" w14:textId="77777777" w:rsidR="00D075F6" w:rsidRDefault="00734411">
                  <w:pPr>
                    <w:jc w:val="center"/>
                  </w:pPr>
                  <m:oMath>
                    <m:r>
                      <w:rPr>
                        <w:rFonts w:ascii="Cambria Math" w:hAnsi="Cambria Math"/>
                      </w:rPr>
                      <m:t>p</m:t>
                    </m:r>
                  </m:oMath>
                  <w:r>
                    <w:rPr>
                      <w:b/>
                      <w:bCs/>
                    </w:rPr>
                    <w:t xml:space="preserve"> (bilateral)</w:t>
                  </w:r>
                </w:p>
              </w:tc>
              <w:tc>
                <w:tcPr>
                  <w:tcW w:w="792" w:type="dxa"/>
                </w:tcPr>
                <w:p w14:paraId="562B1C0A" w14:textId="77777777" w:rsidR="00D075F6" w:rsidRDefault="00734411">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792" w:type="dxa"/>
                </w:tcPr>
                <w:p w14:paraId="4EDF8878" w14:textId="77777777" w:rsidR="00D075F6" w:rsidRDefault="00734411">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70833F74" w14:textId="77777777" w:rsidR="00D075F6" w:rsidRDefault="00734411">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76263980" w14:textId="77777777" w:rsidR="00D075F6" w:rsidRDefault="00734411">
                  <w:pPr>
                    <w:jc w:val="center"/>
                  </w:pPr>
                  <w:r>
                    <w:rPr>
                      <w:b/>
                      <w:bCs/>
                    </w:rPr>
                    <w:t>Decisión</w:t>
                  </w:r>
                </w:p>
              </w:tc>
            </w:tr>
            <w:tr w:rsidR="00D075F6" w14:paraId="32F6AE26" w14:textId="77777777">
              <w:trPr>
                <w:jc w:val="center"/>
              </w:trPr>
              <w:tc>
                <w:tcPr>
                  <w:tcW w:w="792" w:type="dxa"/>
                </w:tcPr>
                <w:p w14:paraId="40487C30" w14:textId="77777777" w:rsidR="00D075F6" w:rsidRDefault="00734411">
                  <w:pPr>
                    <w:jc w:val="center"/>
                  </w:pPr>
                  <w:r>
                    <w:t>Fidelidad</w:t>
                  </w:r>
                </w:p>
              </w:tc>
              <w:tc>
                <w:tcPr>
                  <w:tcW w:w="792" w:type="dxa"/>
                </w:tcPr>
                <w:p w14:paraId="37D1200B" w14:textId="77777777" w:rsidR="00D075F6" w:rsidRDefault="00734411">
                  <w:pPr>
                    <w:jc w:val="center"/>
                  </w:pPr>
                  <m:oMathPara>
                    <m:oMath>
                      <m:r>
                        <m:rPr>
                          <m:sty m:val="p"/>
                        </m:rPr>
                        <w:rPr>
                          <w:rFonts w:ascii="Cambria Math" w:hAnsi="Cambria Math"/>
                        </w:rPr>
                        <m:t>+</m:t>
                      </m:r>
                      <m:r>
                        <w:rPr>
                          <w:rFonts w:ascii="Cambria Math" w:hAnsi="Cambria Math"/>
                        </w:rPr>
                        <m:t>0.2479</m:t>
                      </m:r>
                    </m:oMath>
                  </m:oMathPara>
                </w:p>
              </w:tc>
              <w:tc>
                <w:tcPr>
                  <w:tcW w:w="792" w:type="dxa"/>
                </w:tcPr>
                <w:p w14:paraId="6CC72155" w14:textId="77777777" w:rsidR="00D075F6" w:rsidRDefault="00734411">
                  <w:pPr>
                    <w:jc w:val="center"/>
                  </w:pPr>
                  <m:oMathPara>
                    <m:oMath>
                      <m:r>
                        <w:rPr>
                          <w:rFonts w:ascii="Cambria Math" w:hAnsi="Cambria Math"/>
                        </w:rPr>
                        <m:t>0.0514</m:t>
                      </m:r>
                    </m:oMath>
                  </m:oMathPara>
                </w:p>
              </w:tc>
              <w:tc>
                <w:tcPr>
                  <w:tcW w:w="792" w:type="dxa"/>
                </w:tcPr>
                <w:p w14:paraId="2E56A3D4" w14:textId="77777777" w:rsidR="00D075F6" w:rsidRDefault="00734411">
                  <w:pPr>
                    <w:jc w:val="center"/>
                  </w:pPr>
                  <m:oMathPara>
                    <m:oMath>
                      <m:r>
                        <m:rPr>
                          <m:sty m:val="p"/>
                        </m:rPr>
                        <w:rPr>
                          <w:rFonts w:ascii="Cambria Math" w:hAnsi="Cambria Math"/>
                        </w:rPr>
                        <m:t>+</m:t>
                      </m:r>
                      <m:r>
                        <w:rPr>
                          <w:rFonts w:ascii="Cambria Math" w:hAnsi="Cambria Math"/>
                        </w:rPr>
                        <m:t>4.820</m:t>
                      </m:r>
                    </m:oMath>
                  </m:oMathPara>
                </w:p>
              </w:tc>
              <w:tc>
                <w:tcPr>
                  <w:tcW w:w="792" w:type="dxa"/>
                </w:tcPr>
                <w:p w14:paraId="4CD7CFDC" w14:textId="77777777" w:rsidR="00D075F6" w:rsidRDefault="00734411">
                  <w:pPr>
                    <w:jc w:val="center"/>
                  </w:pPr>
                  <w:r>
                    <w:t>0</w:t>
                  </w:r>
                </w:p>
              </w:tc>
              <w:tc>
                <w:tcPr>
                  <w:tcW w:w="792" w:type="dxa"/>
                </w:tcPr>
                <w:p w14:paraId="0E4E0E94" w14:textId="77777777" w:rsidR="00D075F6" w:rsidRDefault="00734411">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63920D91" w14:textId="77777777" w:rsidR="00D075F6" w:rsidRDefault="00734411">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751F70A7" w14:textId="77777777" w:rsidR="00D075F6" w:rsidRDefault="00734411">
                  <w:pPr>
                    <w:jc w:val="center"/>
                  </w:pPr>
                  <w:r>
                    <w:t>75</w:t>
                  </w:r>
                </w:p>
              </w:tc>
              <w:tc>
                <w:tcPr>
                  <w:tcW w:w="792" w:type="dxa"/>
                </w:tcPr>
                <w:p w14:paraId="5231B5F8" w14:textId="77777777" w:rsidR="00D075F6" w:rsidRDefault="00734411">
                  <w:pPr>
                    <w:jc w:val="center"/>
                  </w:pPr>
                  <w:r>
                    <w:t>0</w:t>
                  </w:r>
                </w:p>
              </w:tc>
              <w:tc>
                <w:tcPr>
                  <w:tcW w:w="792" w:type="dxa"/>
                </w:tcPr>
                <w:p w14:paraId="581EDC4F" w14:textId="77777777" w:rsidR="00D075F6" w:rsidRDefault="00734411">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075F6" w14:paraId="544D76DA" w14:textId="77777777">
              <w:trPr>
                <w:jc w:val="center"/>
              </w:trPr>
              <w:tc>
                <w:tcPr>
                  <w:tcW w:w="792" w:type="dxa"/>
                </w:tcPr>
                <w:p w14:paraId="3C83AD6A" w14:textId="77777777" w:rsidR="00D075F6" w:rsidRDefault="00734411">
                  <w:pPr>
                    <w:jc w:val="center"/>
                  </w:pPr>
                  <w:r>
                    <w:t>Estabilidad</w:t>
                  </w:r>
                </w:p>
              </w:tc>
              <w:tc>
                <w:tcPr>
                  <w:tcW w:w="792" w:type="dxa"/>
                </w:tcPr>
                <w:p w14:paraId="22A08B89" w14:textId="77777777" w:rsidR="00D075F6" w:rsidRDefault="00734411">
                  <w:pPr>
                    <w:jc w:val="center"/>
                  </w:pPr>
                  <m:oMathPara>
                    <m:oMath>
                      <m:r>
                        <m:rPr>
                          <m:sty m:val="p"/>
                        </m:rPr>
                        <w:rPr>
                          <w:rFonts w:ascii="Cambria Math" w:hAnsi="Cambria Math"/>
                        </w:rPr>
                        <m:t>+</m:t>
                      </m:r>
                      <m:r>
                        <w:rPr>
                          <w:rFonts w:ascii="Cambria Math" w:hAnsi="Cambria Math"/>
                        </w:rPr>
                        <m:t>0.7176</m:t>
                      </m:r>
                    </m:oMath>
                  </m:oMathPara>
                </w:p>
              </w:tc>
              <w:tc>
                <w:tcPr>
                  <w:tcW w:w="792" w:type="dxa"/>
                </w:tcPr>
                <w:p w14:paraId="0415B9F3" w14:textId="77777777" w:rsidR="00D075F6" w:rsidRDefault="00734411">
                  <w:pPr>
                    <w:jc w:val="center"/>
                  </w:pPr>
                  <m:oMathPara>
                    <m:oMath>
                      <m:r>
                        <w:rPr>
                          <w:rFonts w:ascii="Cambria Math" w:hAnsi="Cambria Math"/>
                        </w:rPr>
                        <m:t>0.2390</m:t>
                      </m:r>
                    </m:oMath>
                  </m:oMathPara>
                </w:p>
              </w:tc>
              <w:tc>
                <w:tcPr>
                  <w:tcW w:w="792" w:type="dxa"/>
                </w:tcPr>
                <w:p w14:paraId="508B5513" w14:textId="77777777" w:rsidR="00D075F6" w:rsidRDefault="00734411">
                  <w:pPr>
                    <w:jc w:val="center"/>
                  </w:pPr>
                  <m:oMathPara>
                    <m:oMath>
                      <m:r>
                        <m:rPr>
                          <m:sty m:val="p"/>
                        </m:rPr>
                        <w:rPr>
                          <w:rFonts w:ascii="Cambria Math" w:hAnsi="Cambria Math"/>
                        </w:rPr>
                        <m:t>+</m:t>
                      </m:r>
                      <m:r>
                        <w:rPr>
                          <w:rFonts w:ascii="Cambria Math" w:hAnsi="Cambria Math"/>
                        </w:rPr>
                        <m:t>3.002</m:t>
                      </m:r>
                    </m:oMath>
                  </m:oMathPara>
                </w:p>
              </w:tc>
              <w:tc>
                <w:tcPr>
                  <w:tcW w:w="792" w:type="dxa"/>
                </w:tcPr>
                <w:p w14:paraId="0C4BA3C8" w14:textId="77777777" w:rsidR="00D075F6" w:rsidRDefault="00734411">
                  <w:pPr>
                    <w:jc w:val="center"/>
                  </w:pPr>
                  <w:r>
                    <w:t>0</w:t>
                  </w:r>
                </w:p>
              </w:tc>
              <w:tc>
                <w:tcPr>
                  <w:tcW w:w="792" w:type="dxa"/>
                </w:tcPr>
                <w:p w14:paraId="4CD6D605" w14:textId="77777777" w:rsidR="00D075F6" w:rsidRDefault="00734411">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68DD57A7" w14:textId="77777777" w:rsidR="00D075F6" w:rsidRDefault="00734411">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0E7899B5" w14:textId="77777777" w:rsidR="00D075F6" w:rsidRDefault="00734411">
                  <w:pPr>
                    <w:jc w:val="center"/>
                  </w:pPr>
                  <w:r>
                    <w:t>75</w:t>
                  </w:r>
                </w:p>
              </w:tc>
              <w:tc>
                <w:tcPr>
                  <w:tcW w:w="792" w:type="dxa"/>
                </w:tcPr>
                <w:p w14:paraId="43AD67C8" w14:textId="77777777" w:rsidR="00D075F6" w:rsidRDefault="00734411">
                  <w:pPr>
                    <w:jc w:val="center"/>
                  </w:pPr>
                  <w:r>
                    <w:t>0</w:t>
                  </w:r>
                </w:p>
              </w:tc>
              <w:tc>
                <w:tcPr>
                  <w:tcW w:w="792" w:type="dxa"/>
                </w:tcPr>
                <w:p w14:paraId="6E7331E1" w14:textId="77777777" w:rsidR="00D075F6" w:rsidRDefault="00734411">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075F6" w14:paraId="49B2C173" w14:textId="77777777">
              <w:trPr>
                <w:jc w:val="center"/>
              </w:trPr>
              <w:tc>
                <w:tcPr>
                  <w:tcW w:w="792" w:type="dxa"/>
                </w:tcPr>
                <w:p w14:paraId="3AD57B9D" w14:textId="77777777" w:rsidR="00D075F6" w:rsidRDefault="00734411">
                  <w:pPr>
                    <w:jc w:val="center"/>
                  </w:pPr>
                  <w:r>
                    <w:t>Parsimonia</w:t>
                  </w:r>
                </w:p>
              </w:tc>
              <w:tc>
                <w:tcPr>
                  <w:tcW w:w="792" w:type="dxa"/>
                </w:tcPr>
                <w:p w14:paraId="2AF3F786" w14:textId="77777777" w:rsidR="00D075F6" w:rsidRDefault="00734411">
                  <w:pPr>
                    <w:jc w:val="center"/>
                  </w:pPr>
                  <m:oMathPara>
                    <m:oMath>
                      <m:r>
                        <m:rPr>
                          <m:sty m:val="p"/>
                        </m:rPr>
                        <w:rPr>
                          <w:rFonts w:ascii="Cambria Math" w:hAnsi="Cambria Math"/>
                        </w:rPr>
                        <m:t>+</m:t>
                      </m:r>
                      <m:r>
                        <w:rPr>
                          <w:rFonts w:ascii="Cambria Math" w:hAnsi="Cambria Math"/>
                        </w:rPr>
                        <m:t>0.1418</m:t>
                      </m:r>
                    </m:oMath>
                  </m:oMathPara>
                </w:p>
              </w:tc>
              <w:tc>
                <w:tcPr>
                  <w:tcW w:w="792" w:type="dxa"/>
                </w:tcPr>
                <w:p w14:paraId="6C6BA013" w14:textId="77777777" w:rsidR="00D075F6" w:rsidRDefault="00734411">
                  <w:pPr>
                    <w:jc w:val="center"/>
                  </w:pPr>
                  <m:oMathPara>
                    <m:oMath>
                      <m:r>
                        <w:rPr>
                          <w:rFonts w:ascii="Cambria Math" w:hAnsi="Cambria Math"/>
                        </w:rPr>
                        <m:t>0.1690</m:t>
                      </m:r>
                    </m:oMath>
                  </m:oMathPara>
                </w:p>
              </w:tc>
              <w:tc>
                <w:tcPr>
                  <w:tcW w:w="792" w:type="dxa"/>
                </w:tcPr>
                <w:p w14:paraId="77E8F548" w14:textId="77777777" w:rsidR="00D075F6" w:rsidRDefault="00734411">
                  <w:pPr>
                    <w:jc w:val="center"/>
                  </w:pPr>
                  <m:oMathPara>
                    <m:oMath>
                      <m:r>
                        <m:rPr>
                          <m:sty m:val="p"/>
                        </m:rPr>
                        <w:rPr>
                          <w:rFonts w:ascii="Cambria Math" w:hAnsi="Cambria Math"/>
                        </w:rPr>
                        <m:t>+</m:t>
                      </m:r>
                      <m:r>
                        <w:rPr>
                          <w:rFonts w:ascii="Cambria Math" w:hAnsi="Cambria Math"/>
                        </w:rPr>
                        <m:t>0.839</m:t>
                      </m:r>
                    </m:oMath>
                  </m:oMathPara>
                </w:p>
              </w:tc>
              <w:tc>
                <w:tcPr>
                  <w:tcW w:w="792" w:type="dxa"/>
                </w:tcPr>
                <w:p w14:paraId="3F16B914" w14:textId="77777777" w:rsidR="00D075F6" w:rsidRDefault="00734411">
                  <w:pPr>
                    <w:jc w:val="center"/>
                  </w:pPr>
                  <w:r>
                    <w:t>0</w:t>
                  </w:r>
                </w:p>
              </w:tc>
              <w:tc>
                <w:tcPr>
                  <w:tcW w:w="792" w:type="dxa"/>
                </w:tcPr>
                <w:p w14:paraId="65C6F9B9" w14:textId="77777777" w:rsidR="00D075F6" w:rsidRDefault="00734411">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1D6716A9" w14:textId="77777777" w:rsidR="00D075F6" w:rsidRDefault="00734411">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16DD0CD1" w14:textId="77777777" w:rsidR="00D075F6" w:rsidRDefault="00734411">
                  <w:pPr>
                    <w:jc w:val="center"/>
                  </w:pPr>
                  <w:r>
                    <w:t>75</w:t>
                  </w:r>
                </w:p>
              </w:tc>
              <w:tc>
                <w:tcPr>
                  <w:tcW w:w="792" w:type="dxa"/>
                </w:tcPr>
                <w:p w14:paraId="394162FA" w14:textId="77777777" w:rsidR="00D075F6" w:rsidRDefault="00734411">
                  <w:pPr>
                    <w:jc w:val="center"/>
                  </w:pPr>
                  <w:r>
                    <w:t>0</w:t>
                  </w:r>
                </w:p>
              </w:tc>
              <w:tc>
                <w:tcPr>
                  <w:tcW w:w="792" w:type="dxa"/>
                </w:tcPr>
                <w:p w14:paraId="1C7EDB60" w14:textId="77777777" w:rsidR="00D075F6" w:rsidRDefault="00734411">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075F6" w14:paraId="1EACF59D" w14:textId="77777777">
              <w:trPr>
                <w:jc w:val="center"/>
              </w:trPr>
              <w:tc>
                <w:tcPr>
                  <w:tcW w:w="792" w:type="dxa"/>
                </w:tcPr>
                <w:p w14:paraId="69B42EDE" w14:textId="77777777" w:rsidR="00D075F6" w:rsidRDefault="00734411">
                  <w:pPr>
                    <w:jc w:val="center"/>
                  </w:pPr>
                  <w:r>
                    <w:t>Brecha fidelidad</w:t>
                  </w:r>
                </w:p>
              </w:tc>
              <w:tc>
                <w:tcPr>
                  <w:tcW w:w="792" w:type="dxa"/>
                </w:tcPr>
                <w:p w14:paraId="4076EF89" w14:textId="77777777" w:rsidR="00D075F6" w:rsidRDefault="00734411">
                  <w:pPr>
                    <w:jc w:val="center"/>
                  </w:pPr>
                  <m:oMathPara>
                    <m:oMath>
                      <m:r>
                        <m:rPr>
                          <m:sty m:val="p"/>
                        </m:rPr>
                        <w:rPr>
                          <w:rFonts w:ascii="Cambria Math" w:hAnsi="Cambria Math"/>
                        </w:rPr>
                        <m:t>+</m:t>
                      </m:r>
                      <m:r>
                        <w:rPr>
                          <w:rFonts w:ascii="Cambria Math" w:hAnsi="Cambria Math"/>
                        </w:rPr>
                        <m:t>0.0453</m:t>
                      </m:r>
                    </m:oMath>
                  </m:oMathPara>
                </w:p>
              </w:tc>
              <w:tc>
                <w:tcPr>
                  <w:tcW w:w="792" w:type="dxa"/>
                </w:tcPr>
                <w:p w14:paraId="2DD04266" w14:textId="77777777" w:rsidR="00D075F6" w:rsidRDefault="00734411">
                  <w:pPr>
                    <w:jc w:val="center"/>
                  </w:pPr>
                  <m:oMathPara>
                    <m:oMath>
                      <m:r>
                        <w:rPr>
                          <w:rFonts w:ascii="Cambria Math" w:hAnsi="Cambria Math"/>
                        </w:rPr>
                        <m:t>0.0173</m:t>
                      </m:r>
                    </m:oMath>
                  </m:oMathPara>
                </w:p>
              </w:tc>
              <w:tc>
                <w:tcPr>
                  <w:tcW w:w="792" w:type="dxa"/>
                </w:tcPr>
                <w:p w14:paraId="298FFE8D" w14:textId="77777777" w:rsidR="00D075F6" w:rsidRDefault="00734411">
                  <w:pPr>
                    <w:jc w:val="center"/>
                  </w:pPr>
                  <m:oMathPara>
                    <m:oMath>
                      <m:r>
                        <m:rPr>
                          <m:sty m:val="p"/>
                        </m:rPr>
                        <w:rPr>
                          <w:rFonts w:ascii="Cambria Math" w:hAnsi="Cambria Math"/>
                        </w:rPr>
                        <m:t>+</m:t>
                      </m:r>
                      <m:r>
                        <w:rPr>
                          <w:rFonts w:ascii="Cambria Math" w:hAnsi="Cambria Math"/>
                        </w:rPr>
                        <m:t>2.626</m:t>
                      </m:r>
                    </m:oMath>
                  </m:oMathPara>
                </w:p>
              </w:tc>
              <w:tc>
                <w:tcPr>
                  <w:tcW w:w="792" w:type="dxa"/>
                </w:tcPr>
                <w:p w14:paraId="1425233E" w14:textId="77777777" w:rsidR="00D075F6" w:rsidRDefault="00734411">
                  <w:pPr>
                    <w:jc w:val="center"/>
                  </w:pPr>
                  <w:r>
                    <w:t>1</w:t>
                  </w:r>
                </w:p>
              </w:tc>
              <w:tc>
                <w:tcPr>
                  <w:tcW w:w="792" w:type="dxa"/>
                </w:tcPr>
                <w:p w14:paraId="6FC5C7F4" w14:textId="77777777" w:rsidR="00D075F6" w:rsidRDefault="00734411">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1194D1F5" w14:textId="77777777" w:rsidR="00D075F6" w:rsidRDefault="00734411">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1547504A" w14:textId="77777777" w:rsidR="00D075F6" w:rsidRDefault="00734411">
                  <w:pPr>
                    <w:jc w:val="center"/>
                  </w:pPr>
                  <w:r>
                    <w:t>74</w:t>
                  </w:r>
                </w:p>
              </w:tc>
              <w:tc>
                <w:tcPr>
                  <w:tcW w:w="792" w:type="dxa"/>
                </w:tcPr>
                <w:p w14:paraId="6BDFE7C5" w14:textId="77777777" w:rsidR="00D075F6" w:rsidRDefault="00734411">
                  <w:pPr>
                    <w:jc w:val="center"/>
                  </w:pPr>
                  <w:r>
                    <w:t>1</w:t>
                  </w:r>
                </w:p>
              </w:tc>
              <w:tc>
                <w:tcPr>
                  <w:tcW w:w="792" w:type="dxa"/>
                </w:tcPr>
                <w:p w14:paraId="07CB55F3" w14:textId="77777777" w:rsidR="00D075F6" w:rsidRDefault="00734411">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075F6" w14:paraId="304BC013" w14:textId="77777777">
              <w:trPr>
                <w:jc w:val="center"/>
              </w:trPr>
              <w:tc>
                <w:tcPr>
                  <w:tcW w:w="792" w:type="dxa"/>
                </w:tcPr>
                <w:p w14:paraId="6C57538F" w14:textId="77777777" w:rsidR="00D075F6" w:rsidRDefault="00734411">
                  <w:pPr>
                    <w:jc w:val="center"/>
                  </w:pPr>
                  <w:r>
                    <w:t>Coste (ms)</w:t>
                  </w:r>
                </w:p>
              </w:tc>
              <w:tc>
                <w:tcPr>
                  <w:tcW w:w="792" w:type="dxa"/>
                </w:tcPr>
                <w:p w14:paraId="6D2D98BF" w14:textId="77777777" w:rsidR="00D075F6" w:rsidRDefault="00734411">
                  <w:pPr>
                    <w:jc w:val="center"/>
                  </w:pPr>
                  <m:oMathPara>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047.6</m:t>
                      </m:r>
                    </m:oMath>
                  </m:oMathPara>
                </w:p>
              </w:tc>
              <w:tc>
                <w:tcPr>
                  <w:tcW w:w="792" w:type="dxa"/>
                </w:tcPr>
                <w:p w14:paraId="0949C4B6" w14:textId="77777777" w:rsidR="00D075F6" w:rsidRDefault="00734411">
                  <w:pPr>
                    <w:jc w:val="center"/>
                  </w:pPr>
                  <m:oMathPara>
                    <m:oMath>
                      <m:r>
                        <w:rPr>
                          <w:rFonts w:ascii="Cambria Math" w:hAnsi="Cambria Math"/>
                        </w:rPr>
                        <m:t>17</m:t>
                      </m:r>
                      <m:r>
                        <m:rPr>
                          <m:sty m:val="p"/>
                        </m:rPr>
                        <w:rPr>
                          <w:rFonts w:ascii="Cambria Math" w:hAnsi="Cambria Math"/>
                        </w:rPr>
                        <m:t>,</m:t>
                      </m:r>
                      <m:r>
                        <w:rPr>
                          <w:rFonts w:ascii="Cambria Math" w:hAnsi="Cambria Math"/>
                        </w:rPr>
                        <m:t>856.6</m:t>
                      </m:r>
                    </m:oMath>
                  </m:oMathPara>
                </w:p>
              </w:tc>
              <w:tc>
                <w:tcPr>
                  <w:tcW w:w="792" w:type="dxa"/>
                </w:tcPr>
                <w:p w14:paraId="6E0C2E31" w14:textId="77777777" w:rsidR="00D075F6" w:rsidRDefault="00734411">
                  <w:pPr>
                    <w:jc w:val="center"/>
                  </w:pPr>
                  <m:oMathPara>
                    <m:oMath>
                      <m:r>
                        <m:rPr>
                          <m:sty m:val="p"/>
                        </m:rPr>
                        <w:rPr>
                          <w:rFonts w:ascii="Cambria Math" w:hAnsi="Cambria Math"/>
                        </w:rPr>
                        <m:t>+</m:t>
                      </m:r>
                      <m:r>
                        <w:rPr>
                          <w:rFonts w:ascii="Cambria Math" w:hAnsi="Cambria Math"/>
                        </w:rPr>
                        <m:t>0.451</m:t>
                      </m:r>
                    </m:oMath>
                  </m:oMathPara>
                </w:p>
              </w:tc>
              <w:tc>
                <w:tcPr>
                  <w:tcW w:w="792" w:type="dxa"/>
                </w:tcPr>
                <w:p w14:paraId="6454F0DB" w14:textId="77777777" w:rsidR="00D075F6" w:rsidRDefault="00734411">
                  <w:pPr>
                    <w:jc w:val="center"/>
                  </w:pPr>
                  <w:r>
                    <w:t>205</w:t>
                  </w:r>
                </w:p>
              </w:tc>
              <w:tc>
                <w:tcPr>
                  <w:tcW w:w="792" w:type="dxa"/>
                </w:tcPr>
                <w:p w14:paraId="29A8E07F" w14:textId="77777777" w:rsidR="00D075F6" w:rsidRDefault="00734411">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4EB920EF" w14:textId="77777777" w:rsidR="00D075F6" w:rsidRDefault="00734411">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2F313E87" w14:textId="77777777" w:rsidR="00D075F6" w:rsidRDefault="00734411">
                  <w:pPr>
                    <w:jc w:val="center"/>
                  </w:pPr>
                  <w:r>
                    <w:t>59</w:t>
                  </w:r>
                </w:p>
              </w:tc>
              <w:tc>
                <w:tcPr>
                  <w:tcW w:w="792" w:type="dxa"/>
                </w:tcPr>
                <w:p w14:paraId="0F388262" w14:textId="77777777" w:rsidR="00D075F6" w:rsidRDefault="00734411">
                  <w:pPr>
                    <w:jc w:val="center"/>
                  </w:pPr>
                  <w:r>
                    <w:t>16</w:t>
                  </w:r>
                </w:p>
              </w:tc>
              <w:tc>
                <w:tcPr>
                  <w:tcW w:w="792" w:type="dxa"/>
                </w:tcPr>
                <w:p w14:paraId="05EEAC11" w14:textId="77777777" w:rsidR="00D075F6" w:rsidRDefault="00734411">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bookmarkEnd w:id="436"/>
          </w:tbl>
          <w:p w14:paraId="65145FB5" w14:textId="77777777" w:rsidR="00D075F6" w:rsidRDefault="00D075F6"/>
        </w:tc>
      </w:tr>
    </w:tbl>
    <w:p w14:paraId="337DD9D3" w14:textId="77777777" w:rsidR="00D075F6" w:rsidRDefault="00734411">
      <w:pPr>
        <w:pStyle w:val="BodyText"/>
      </w:pPr>
      <w:r>
        <w:t xml:space="preserve">La interpretación de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sigue la escala de Cohen: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 efecto muy grande. Los umbrales Holm ajustados se aplican en orden decreciente de </w:t>
      </w:r>
      <m:oMath>
        <m:r>
          <w:rPr>
            <w:rFonts w:ascii="Cambria Math" w:hAnsi="Cambria Math"/>
          </w:rPr>
          <m:t>p</m:t>
        </m:r>
      </m:oMath>
      <w:r>
        <w:t xml:space="preserve">-valor: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0.010</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0.050</m:t>
        </m:r>
      </m:oMath>
      <w:r>
        <w:t>. Todos los p-valores ajustados quedan muy por debajo de sus umbrales correspondientes.</w:t>
      </w:r>
    </w:p>
    <w:p w14:paraId="7E1A55CE" w14:textId="77777777" w:rsidR="00D075F6" w:rsidRDefault="00734411">
      <w:pPr>
        <w:pStyle w:val="BodyText"/>
      </w:pPr>
      <w:r>
        <w:t>La proposición P1 se evalúa sobre el estrato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del nivel de ejecución de EXP2, agregando las cinco semillas: los valores de la </w:t>
      </w:r>
      <w:hyperlink w:anchor="tbl-cv-p1">
        <w:r>
          <w:rPr>
            <w:rStyle w:val="Hyperlink"/>
          </w:rPr>
          <w:t>Tabla 4.6</w:t>
        </w:r>
      </w:hyperlink>
      <w:r>
        <w:t xml:space="preserve"> se re-derivan de outputs/analysis/paper_a_exp2_stats/exp2_run_level_metrics.csv. El perfilado de dispersión de EXP1, documentado de forma independiente en experiments/exp1_adult/reproducibility/reproducibility_report.csv, cubre una cohorte distinta (nueve ejecuciones por configuración, modelos rf/xgb con SHAP y LIME) y sostiene la puerta 6 del protocolo, pero no es la fuente de las cifras de la </w:t>
      </w:r>
      <w:hyperlink w:anchor="tbl-cv-p1">
        <w:r>
          <w:rPr>
            <w:rStyle w:val="Hyperlink"/>
          </w:rPr>
          <w:t>Tabla 4.6</w:t>
        </w:r>
      </w:hyperlink>
      <w:r>
        <w:t xml:space="preserve">. Los artefactos crudos por ejecución se encuentran bajo </w:t>
      </w:r>
      <w:r>
        <w:t>experiments/exp2_scaled/results/; la superposición de recuperación para mlp_shap/svm_shap se documenta en outputs/batch_results.csv.</w:t>
      </w:r>
    </w:p>
    <w:p w14:paraId="535ABE17" w14:textId="77777777" w:rsidR="00D075F6" w:rsidRDefault="00734411">
      <w:pPr>
        <w:pStyle w:val="Heading2"/>
      </w:pPr>
      <w:bookmarkStart w:id="437" w:name="X04860b57595e5decb99c93517a1220202cc7fb5"/>
      <w:bookmarkStart w:id="438" w:name="_Toc241413353"/>
      <w:bookmarkEnd w:id="425"/>
      <w:bookmarkEnd w:id="434"/>
      <w:r>
        <w:t>Apéndice E: Entorno computacional y reproducción</w:t>
      </w:r>
      <w:bookmarkEnd w:id="438"/>
    </w:p>
    <w:p w14:paraId="5B3B54BE" w14:textId="77777777" w:rsidR="00D075F6" w:rsidRDefault="00734411">
      <w:r>
        <w:t>La instantánea de trabajo usada para esta versión de tesis corresponde al commit 553f65d71b077ec181ad36da7bb6e7c9942fe116 (2026-07-24), archivado con DOI Zenodo 10.5281/zenodo.21538180; el DOI de concepto 10.5281/zenodo.19297723 resuelve a la versión más reciente. La instantánea anterior (33fd952a01a752f6988f46ba79b18694838c3f8f</w:t>
      </w:r>
      <w:r>
        <w:t>, DOI 10.5281/zenodo.19297724, abril de 2026) se conserva por procedencia pero es anterior a la superposición de recuperación de SHAP y no reproduce las cifras del Capítulo 4. Los archivos principales de entorno son:</w:t>
      </w:r>
    </w:p>
    <w:tbl>
      <w:tblPr>
        <w:tblW w:w="5000" w:type="pct"/>
        <w:jc w:val="center"/>
        <w:tblLayout w:type="fixed"/>
        <w:tblLook w:val="0000" w:firstRow="0" w:lastRow="0" w:firstColumn="0" w:lastColumn="0" w:noHBand="0" w:noVBand="0"/>
      </w:tblPr>
      <w:tblGrid>
        <w:gridCol w:w="9576"/>
      </w:tblGrid>
      <w:tr w:rsidR="00D075F6" w14:paraId="2FEAB874" w14:textId="77777777">
        <w:trPr>
          <w:jc w:val="center"/>
        </w:trPr>
        <w:tc>
          <w:tcPr>
            <w:tcW w:w="7920" w:type="dxa"/>
          </w:tcPr>
          <w:p w14:paraId="0E2ED571" w14:textId="77777777" w:rsidR="00D075F6" w:rsidRDefault="00734411">
            <w:pPr>
              <w:spacing w:before="200"/>
              <w:jc w:val="center"/>
            </w:pPr>
            <w:bookmarkStart w:id="439" w:name="tbl-appendix-environment"/>
            <w:r>
              <w:t>Tabla 6.16: Archivos de entorno y reproducción.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60"/>
              <w:gridCol w:w="3960"/>
            </w:tblGrid>
            <w:tr w:rsidR="00D075F6" w14:paraId="6A712210" w14:textId="77777777">
              <w:trPr>
                <w:tblHeader/>
                <w:jc w:val="center"/>
              </w:trPr>
              <w:tc>
                <w:tcPr>
                  <w:tcW w:w="3960" w:type="dxa"/>
                </w:tcPr>
                <w:p w14:paraId="35BF106A" w14:textId="77777777" w:rsidR="00D075F6" w:rsidRDefault="00734411">
                  <w:pPr>
                    <w:jc w:val="center"/>
                  </w:pPr>
                  <w:r>
                    <w:rPr>
                      <w:b/>
                      <w:bCs/>
                    </w:rPr>
                    <w:t>Archivo</w:t>
                  </w:r>
                </w:p>
              </w:tc>
              <w:tc>
                <w:tcPr>
                  <w:tcW w:w="3960" w:type="dxa"/>
                </w:tcPr>
                <w:p w14:paraId="7DE58D78" w14:textId="77777777" w:rsidR="00D075F6" w:rsidRDefault="00734411">
                  <w:pPr>
                    <w:jc w:val="center"/>
                  </w:pPr>
                  <w:r>
                    <w:rPr>
                      <w:b/>
                      <w:bCs/>
                    </w:rPr>
                    <w:t>Función</w:t>
                  </w:r>
                </w:p>
              </w:tc>
            </w:tr>
            <w:tr w:rsidR="00D075F6" w14:paraId="2586BAC9" w14:textId="77777777">
              <w:trPr>
                <w:jc w:val="center"/>
              </w:trPr>
              <w:tc>
                <w:tcPr>
                  <w:tcW w:w="3960" w:type="dxa"/>
                </w:tcPr>
                <w:p w14:paraId="1134A831" w14:textId="77777777" w:rsidR="00D075F6" w:rsidRDefault="00734411">
                  <w:pPr>
                    <w:jc w:val="center"/>
                  </w:pPr>
                  <w:r>
                    <w:t>environment.yml</w:t>
                  </w:r>
                </w:p>
              </w:tc>
              <w:tc>
                <w:tcPr>
                  <w:tcW w:w="3960" w:type="dxa"/>
                </w:tcPr>
                <w:p w14:paraId="2C251441" w14:textId="77777777" w:rsidR="00D075F6" w:rsidRDefault="00734411">
                  <w:pPr>
                    <w:jc w:val="center"/>
                  </w:pPr>
                  <w:r>
                    <w:t>Entorno Conda base con Python 3.11</w:t>
                  </w:r>
                </w:p>
              </w:tc>
            </w:tr>
            <w:tr w:rsidR="00D075F6" w14:paraId="1FE58C76" w14:textId="77777777">
              <w:trPr>
                <w:jc w:val="center"/>
              </w:trPr>
              <w:tc>
                <w:tcPr>
                  <w:tcW w:w="3960" w:type="dxa"/>
                </w:tcPr>
                <w:p w14:paraId="3CB87B33" w14:textId="77777777" w:rsidR="00D075F6" w:rsidRDefault="00734411">
                  <w:pPr>
                    <w:jc w:val="center"/>
                  </w:pPr>
                  <w:r>
                    <w:t>requirements.txt</w:t>
                  </w:r>
                </w:p>
              </w:tc>
              <w:tc>
                <w:tcPr>
                  <w:tcW w:w="3960" w:type="dxa"/>
                </w:tcPr>
                <w:p w14:paraId="0C5B26A0" w14:textId="77777777" w:rsidR="00D075F6" w:rsidRDefault="00734411">
                  <w:pPr>
                    <w:jc w:val="center"/>
                  </w:pPr>
                  <w:r>
                    <w:t>Dependencias Python principales</w:t>
                  </w:r>
                </w:p>
              </w:tc>
            </w:tr>
            <w:tr w:rsidR="00D075F6" w14:paraId="3C39733B" w14:textId="77777777">
              <w:trPr>
                <w:jc w:val="center"/>
              </w:trPr>
              <w:tc>
                <w:tcPr>
                  <w:tcW w:w="3960" w:type="dxa"/>
                </w:tcPr>
                <w:p w14:paraId="444A5785" w14:textId="77777777" w:rsidR="00D075F6" w:rsidRDefault="00734411">
                  <w:pPr>
                    <w:jc w:val="center"/>
                  </w:pPr>
                  <w:r>
                    <w:t>requirements-frozen.txt</w:t>
                  </w:r>
                </w:p>
              </w:tc>
              <w:tc>
                <w:tcPr>
                  <w:tcW w:w="3960" w:type="dxa"/>
                </w:tcPr>
                <w:p w14:paraId="730C5C2F" w14:textId="77777777" w:rsidR="00D075F6" w:rsidRDefault="00734411">
                  <w:pPr>
                    <w:jc w:val="center"/>
                  </w:pPr>
                  <w:r>
                    <w:t>Dependencias fijadas para reproducción</w:t>
                  </w:r>
                </w:p>
              </w:tc>
            </w:tr>
            <w:tr w:rsidR="00D075F6" w14:paraId="482E86EE" w14:textId="77777777">
              <w:trPr>
                <w:jc w:val="center"/>
              </w:trPr>
              <w:tc>
                <w:tcPr>
                  <w:tcW w:w="3960" w:type="dxa"/>
                </w:tcPr>
                <w:p w14:paraId="03067787" w14:textId="77777777" w:rsidR="00D075F6" w:rsidRDefault="00734411">
                  <w:pPr>
                    <w:jc w:val="center"/>
                  </w:pPr>
                  <w:r>
                    <w:t>render.yaml</w:t>
                  </w:r>
                </w:p>
              </w:tc>
              <w:tc>
                <w:tcPr>
                  <w:tcW w:w="3960" w:type="dxa"/>
                </w:tcPr>
                <w:p w14:paraId="2A242865" w14:textId="77777777" w:rsidR="00D075F6" w:rsidRDefault="00734411">
                  <w:pPr>
                    <w:jc w:val="center"/>
                  </w:pPr>
                  <w:r>
                    <w:t>Configuración auxiliar de render</w:t>
                  </w:r>
                </w:p>
              </w:tc>
            </w:tr>
            <w:bookmarkEnd w:id="439"/>
          </w:tbl>
          <w:p w14:paraId="3BFB39F1" w14:textId="77777777" w:rsidR="00D075F6" w:rsidRDefault="00D075F6"/>
        </w:tc>
      </w:tr>
    </w:tbl>
    <w:p w14:paraId="5AB3152D" w14:textId="77777777" w:rsidR="00D075F6" w:rsidRDefault="00734411">
      <w:pPr>
        <w:pStyle w:val="BodyText"/>
      </w:pPr>
      <w:r>
        <w:t>La reproducción mínima sigue esta secuencia:</w:t>
      </w:r>
    </w:p>
    <w:p w14:paraId="234053CA" w14:textId="77777777" w:rsidR="00D075F6" w:rsidRDefault="00734411" w:rsidP="00734411">
      <w:pPr>
        <w:numPr>
          <w:ilvl w:val="0"/>
          <w:numId w:val="18"/>
        </w:numPr>
      </w:pPr>
      <w:r>
        <w:t>Crear el entorno desde environment.yml.</w:t>
      </w:r>
    </w:p>
    <w:p w14:paraId="75DB2A32" w14:textId="77777777" w:rsidR="00D075F6" w:rsidRDefault="00734411" w:rsidP="00734411">
      <w:pPr>
        <w:numPr>
          <w:ilvl w:val="0"/>
          <w:numId w:val="18"/>
        </w:numPr>
      </w:pPr>
      <w:r>
        <w:t>Instalar dependencias fijadas desde requirements-frozen.txt.</w:t>
      </w:r>
    </w:p>
    <w:p w14:paraId="73EEBABE" w14:textId="77777777" w:rsidR="00D075F6" w:rsidRDefault="00734411" w:rsidP="00734411">
      <w:pPr>
        <w:numPr>
          <w:ilvl w:val="0"/>
          <w:numId w:val="18"/>
        </w:numPr>
      </w:pPr>
      <w:r>
        <w:t>Verificar artefactos EXP2 con scripts/validate_results.py o scripts/verify_and_repair_results.py.</w:t>
      </w:r>
    </w:p>
    <w:p w14:paraId="287F1186" w14:textId="77777777" w:rsidR="00D075F6" w:rsidRDefault="00734411" w:rsidP="00734411">
      <w:pPr>
        <w:numPr>
          <w:ilvl w:val="0"/>
          <w:numId w:val="18"/>
        </w:numPr>
      </w:pPr>
      <w:r>
        <w:t>Regenerar tablas inferenciales con scripts/run_exp2_statistical_analysis.py.</w:t>
      </w:r>
    </w:p>
    <w:p w14:paraId="2DCFF6F5" w14:textId="77777777" w:rsidR="00D075F6" w:rsidRDefault="00734411" w:rsidP="00734411">
      <w:pPr>
        <w:numPr>
          <w:ilvl w:val="0"/>
          <w:numId w:val="18"/>
        </w:numPr>
      </w:pPr>
      <w:r>
        <w:t>Renderizar la tesis desde thesis/ con quarto render.</w:t>
      </w:r>
    </w:p>
    <w:p w14:paraId="1E41CE1A" w14:textId="77777777" w:rsidR="00D075F6" w:rsidRDefault="00734411">
      <w:pPr>
        <w:pStyle w:val="Heading2"/>
      </w:pPr>
      <w:bookmarkStart w:id="440" w:name="X6203a5fbf2bdeeaed3e02c144db2e542f2870ed"/>
      <w:bookmarkStart w:id="441" w:name="_Toc241413354"/>
      <w:bookmarkEnd w:id="437"/>
      <w:r>
        <w:t>Apéndice F: Artefactos del Estudio EXP4 (fiabilidad de jueces LLM)</w:t>
      </w:r>
      <w:bookmarkEnd w:id="441"/>
    </w:p>
    <w:p w14:paraId="5D8C7EA8" w14:textId="77777777" w:rsidR="00D075F6" w:rsidRDefault="00734411">
      <w:r>
        <w:t>EXP4 (diseñado en §</w:t>
      </w:r>
      <w:hyperlink w:anchor="sec-exp4-diseno">
        <w:r>
          <w:rPr>
            <w:rStyle w:val="Hyperlink"/>
          </w:rPr>
          <w:t>3.11.2</w:t>
        </w:r>
      </w:hyperlink>
      <w:r>
        <w:t>, Capítulo 3; resultados en §</w:t>
      </w:r>
      <w:hyperlink w:anchor="sec-exp4-fiabilidad">
        <w:r>
          <w:rPr>
            <w:rStyle w:val="Hyperlink"/>
          </w:rPr>
          <w:t>5.8</w:t>
        </w:r>
      </w:hyperlink>
      <w:r>
        <w:t xml:space="preserve">, Capítulo 5) cuantifica la fiabilidad inter-juez de evaluadores LLM sobre siete dimensiones semánticas. Los artefactos del estudio se encuentran en las rutas siguientes y sostienen la Tabla </w:t>
      </w:r>
      <w:hyperlink w:anchor="tbl-exp4-icc">
        <w:r>
          <w:rPr>
            <w:rStyle w:val="Hyperlink"/>
          </w:rPr>
          <w:t>5.3</w:t>
        </w:r>
      </w:hyperlink>
      <w:r>
        <w:t xml:space="preserve"> del Capítulo 5.</w:t>
      </w:r>
    </w:p>
    <w:tbl>
      <w:tblPr>
        <w:tblW w:w="5000" w:type="pct"/>
        <w:jc w:val="center"/>
        <w:tblLayout w:type="fixed"/>
        <w:tblLook w:val="0000" w:firstRow="0" w:lastRow="0" w:firstColumn="0" w:lastColumn="0" w:noHBand="0" w:noVBand="0"/>
      </w:tblPr>
      <w:tblGrid>
        <w:gridCol w:w="9576"/>
      </w:tblGrid>
      <w:tr w:rsidR="00D075F6" w14:paraId="0BC360AA" w14:textId="77777777">
        <w:trPr>
          <w:jc w:val="center"/>
        </w:trPr>
        <w:tc>
          <w:tcPr>
            <w:tcW w:w="7920" w:type="dxa"/>
          </w:tcPr>
          <w:p w14:paraId="71E3CA3F" w14:textId="77777777" w:rsidR="00D075F6" w:rsidRDefault="00734411">
            <w:pPr>
              <w:spacing w:before="200"/>
              <w:jc w:val="center"/>
            </w:pPr>
            <w:bookmarkStart w:id="442" w:name="tbl-appendix-llm"/>
            <w:r>
              <w:t>Tabla 6.17: Artefactos de EXP4 y trazabilidad a la 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D075F6" w14:paraId="3C6541BC" w14:textId="77777777">
              <w:trPr>
                <w:tblHeader/>
                <w:jc w:val="center"/>
              </w:trPr>
              <w:tc>
                <w:tcPr>
                  <w:tcW w:w="2640" w:type="dxa"/>
                </w:tcPr>
                <w:p w14:paraId="4AD2BD36" w14:textId="77777777" w:rsidR="00D075F6" w:rsidRDefault="00734411">
                  <w:pPr>
                    <w:jc w:val="center"/>
                  </w:pPr>
                  <w:r>
                    <w:rPr>
                      <w:b/>
                      <w:bCs/>
                    </w:rPr>
                    <w:t>Artefacto</w:t>
                  </w:r>
                </w:p>
              </w:tc>
              <w:tc>
                <w:tcPr>
                  <w:tcW w:w="2640" w:type="dxa"/>
                </w:tcPr>
                <w:p w14:paraId="11B190DE" w14:textId="77777777" w:rsidR="00D075F6" w:rsidRDefault="00734411">
                  <w:pPr>
                    <w:jc w:val="center"/>
                  </w:pPr>
                  <w:r>
                    <w:rPr>
                      <w:b/>
                      <w:bCs/>
                    </w:rPr>
                    <w:t>Contenido</w:t>
                  </w:r>
                </w:p>
              </w:tc>
              <w:tc>
                <w:tcPr>
                  <w:tcW w:w="2640" w:type="dxa"/>
                </w:tcPr>
                <w:p w14:paraId="640F5CBA" w14:textId="77777777" w:rsidR="00D075F6" w:rsidRDefault="00734411">
                  <w:pPr>
                    <w:jc w:val="center"/>
                  </w:pPr>
                  <w:r>
                    <w:rPr>
                      <w:b/>
                      <w:bCs/>
                    </w:rPr>
                    <w:t>Uso en la tesis</w:t>
                  </w:r>
                </w:p>
              </w:tc>
            </w:tr>
            <w:tr w:rsidR="00D075F6" w14:paraId="241319E7" w14:textId="77777777">
              <w:trPr>
                <w:jc w:val="center"/>
              </w:trPr>
              <w:tc>
                <w:tcPr>
                  <w:tcW w:w="2640" w:type="dxa"/>
                </w:tcPr>
                <w:p w14:paraId="13978DEF" w14:textId="77777777" w:rsidR="00D075F6" w:rsidRDefault="00734411">
                  <w:pPr>
                    <w:jc w:val="center"/>
                  </w:pPr>
                  <w:r>
                    <w:t>src/evaluation/exp4_schema.py</w:t>
                  </w:r>
                </w:p>
              </w:tc>
              <w:tc>
                <w:tcPr>
                  <w:tcW w:w="2640" w:type="dxa"/>
                </w:tcPr>
                <w:p w14:paraId="382CCBFD" w14:textId="77777777" w:rsidR="00D075F6" w:rsidRDefault="00734411">
                  <w:pPr>
                    <w:jc w:val="center"/>
                  </w:pPr>
                  <w:r>
                    <w:t>Esquema de puntuación EXP4: las siete dimensiones y la escala 1–5</w:t>
                  </w:r>
                </w:p>
              </w:tc>
              <w:tc>
                <w:tcPr>
                  <w:tcW w:w="2640" w:type="dxa"/>
                </w:tcPr>
                <w:p w14:paraId="299A6B4C" w14:textId="77777777" w:rsidR="00D075F6" w:rsidRDefault="00734411">
                  <w:pPr>
                    <w:jc w:val="center"/>
                  </w:pPr>
                  <w:r>
                    <w:t>Instrumento de medición EXP4 (fuente reconstruida, RCA-002)</w:t>
                  </w:r>
                </w:p>
              </w:tc>
            </w:tr>
            <w:tr w:rsidR="00D075F6" w14:paraId="72E43309" w14:textId="77777777">
              <w:trPr>
                <w:jc w:val="center"/>
              </w:trPr>
              <w:tc>
                <w:tcPr>
                  <w:tcW w:w="2640" w:type="dxa"/>
                </w:tcPr>
                <w:p w14:paraId="0BD57DDA" w14:textId="77777777" w:rsidR="00D075F6" w:rsidRDefault="00734411">
                  <w:pPr>
                    <w:jc w:val="center"/>
                  </w:pPr>
                  <w:r>
                    <w:t>src/prompts/templates/explanation_eval.j2</w:t>
                  </w:r>
                </w:p>
              </w:tc>
              <w:tc>
                <w:tcPr>
                  <w:tcW w:w="2640" w:type="dxa"/>
                </w:tcPr>
                <w:p w14:paraId="1849B9E3" w14:textId="77777777" w:rsidR="00D075F6" w:rsidRDefault="00734411">
                  <w:pPr>
                    <w:jc w:val="center"/>
                  </w:pPr>
                  <w:r>
                    <w:t xml:space="preserve">Plantilla de tres dimensiones de EXP1; </w:t>
                  </w:r>
                  <w:r>
                    <w:rPr>
                      <w:b/>
                      <w:bCs/>
                    </w:rPr>
                    <w:t>no</w:t>
                  </w:r>
                  <w:r>
                    <w:t xml:space="preserve"> es el instrumento de EXP4</w:t>
                  </w:r>
                </w:p>
              </w:tc>
              <w:tc>
                <w:tcPr>
                  <w:tcW w:w="2640" w:type="dxa"/>
                </w:tcPr>
                <w:p w14:paraId="5F6CFAF3" w14:textId="77777777" w:rsidR="00D075F6" w:rsidRDefault="00734411">
                  <w:pPr>
                    <w:jc w:val="center"/>
                  </w:pPr>
                  <w:r>
                    <w:t>Referencia histórica</w:t>
                  </w:r>
                </w:p>
              </w:tc>
            </w:tr>
            <w:tr w:rsidR="00D075F6" w14:paraId="52B52B9F" w14:textId="77777777">
              <w:trPr>
                <w:jc w:val="center"/>
              </w:trPr>
              <w:tc>
                <w:tcPr>
                  <w:tcW w:w="2640" w:type="dxa"/>
                </w:tcPr>
                <w:p w14:paraId="3786DCA7" w14:textId="77777777" w:rsidR="00D075F6" w:rsidRDefault="00734411">
                  <w:pPr>
                    <w:jc w:val="center"/>
                  </w:pPr>
                  <w:r>
                    <w:t>src/prompts/templates/eval_instruction.j2</w:t>
                  </w:r>
                </w:p>
              </w:tc>
              <w:tc>
                <w:tcPr>
                  <w:tcW w:w="2640" w:type="dxa"/>
                </w:tcPr>
                <w:p w14:paraId="4BCBBA39" w14:textId="77777777" w:rsidR="00D075F6" w:rsidRDefault="00734411">
                  <w:pPr>
                    <w:jc w:val="center"/>
                  </w:pPr>
                  <w:r>
                    <w:t>Instrucciones del sistema para el juez LLM (EXP1)</w:t>
                  </w:r>
                </w:p>
              </w:tc>
              <w:tc>
                <w:tcPr>
                  <w:tcW w:w="2640" w:type="dxa"/>
                </w:tcPr>
                <w:p w14:paraId="61B40874" w14:textId="77777777" w:rsidR="00D075F6" w:rsidRDefault="00734411">
                  <w:pPr>
                    <w:jc w:val="center"/>
                  </w:pPr>
                  <w:r>
                    <w:t>Referencia histórica</w:t>
                  </w:r>
                </w:p>
              </w:tc>
            </w:tr>
            <w:tr w:rsidR="00D075F6" w14:paraId="30A67B41" w14:textId="77777777">
              <w:trPr>
                <w:jc w:val="center"/>
              </w:trPr>
              <w:tc>
                <w:tcPr>
                  <w:tcW w:w="2640" w:type="dxa"/>
                </w:tcPr>
                <w:p w14:paraId="0B5758AB" w14:textId="77777777" w:rsidR="00D075F6" w:rsidRDefault="00734411">
                  <w:pPr>
                    <w:jc w:val="center"/>
                  </w:pPr>
                  <w:r>
                    <w:t>outputs/analysis/exp4_llm_evaluation/judge_comparison_summary.csv</w:t>
                  </w:r>
                </w:p>
              </w:tc>
              <w:tc>
                <w:tcPr>
                  <w:tcW w:w="2640" w:type="dxa"/>
                </w:tcPr>
                <w:p w14:paraId="30F14CCC" w14:textId="77777777" w:rsidR="00D075F6" w:rsidRDefault="00734411">
                  <w:pPr>
                    <w:jc w:val="center"/>
                  </w:pPr>
                  <w:r>
                    <w:t>Resumen comparativo de puntuaciones por juez y dimensión</w:t>
                  </w:r>
                </w:p>
              </w:tc>
              <w:tc>
                <w:tcPr>
                  <w:tcW w:w="2640" w:type="dxa"/>
                </w:tcPr>
                <w:p w14:paraId="341BFC30" w14:textId="77777777" w:rsidR="00D075F6" w:rsidRDefault="00734411">
                  <w:pPr>
                    <w:jc w:val="center"/>
                  </w:pPr>
                  <w:r>
                    <w:t xml:space="preserve">Tabla </w:t>
                  </w:r>
                  <w:hyperlink w:anchor="tbl-exp4-icc">
                    <w:r>
                      <w:rPr>
                        <w:rStyle w:val="Hyperlink"/>
                      </w:rPr>
                      <w:t>5.3</w:t>
                    </w:r>
                  </w:hyperlink>
                  <w:r>
                    <w:t xml:space="preserve"> (fuente)</w:t>
                  </w:r>
                </w:p>
              </w:tc>
            </w:tr>
            <w:tr w:rsidR="00D075F6" w14:paraId="649B9C87" w14:textId="77777777">
              <w:trPr>
                <w:jc w:val="center"/>
              </w:trPr>
              <w:tc>
                <w:tcPr>
                  <w:tcW w:w="2640" w:type="dxa"/>
                </w:tcPr>
                <w:p w14:paraId="7DD340D4" w14:textId="77777777" w:rsidR="00D075F6" w:rsidRDefault="00734411">
                  <w:pPr>
                    <w:jc w:val="center"/>
                  </w:pPr>
                  <w:r>
                    <w:t>outputs/analysis/exp4_llm_evaluation/krippendorff_alpha.csv</w:t>
                  </w:r>
                </w:p>
              </w:tc>
              <w:tc>
                <w:tcPr>
                  <w:tcW w:w="2640" w:type="dxa"/>
                </w:tcPr>
                <w:p w14:paraId="2C6B0B83" w14:textId="77777777" w:rsidR="00D075F6" w:rsidRDefault="00734411">
                  <w:pPr>
                    <w:jc w:val="center"/>
                  </w:pPr>
                  <m:oMath>
                    <m:r>
                      <w:rPr>
                        <w:rFonts w:ascii="Cambria Math" w:hAnsi="Cambria Math"/>
                      </w:rPr>
                      <m:t>α</m:t>
                    </m:r>
                  </m:oMath>
                  <w:r>
                    <w:t xml:space="preserve"> de Krippendorff por dimensión</w:t>
                  </w:r>
                </w:p>
              </w:tc>
              <w:tc>
                <w:tcPr>
                  <w:tcW w:w="2640" w:type="dxa"/>
                </w:tcPr>
                <w:p w14:paraId="21A57C3B" w14:textId="77777777" w:rsidR="00D075F6" w:rsidRDefault="00734411">
                  <w:pPr>
                    <w:jc w:val="center"/>
                  </w:pPr>
                  <w:r>
                    <w:t xml:space="preserve">Tabla </w:t>
                  </w:r>
                  <w:hyperlink w:anchor="tbl-exp4-icc">
                    <w:r>
                      <w:rPr>
                        <w:rStyle w:val="Hyperlink"/>
                      </w:rPr>
                      <w:t>5.3</w:t>
                    </w:r>
                  </w:hyperlink>
                  <w:r>
                    <w:t xml:space="preserve"> (fuente)</w:t>
                  </w:r>
                </w:p>
              </w:tc>
            </w:tr>
            <w:tr w:rsidR="00D075F6" w14:paraId="77D15A98" w14:textId="77777777">
              <w:trPr>
                <w:jc w:val="center"/>
              </w:trPr>
              <w:tc>
                <w:tcPr>
                  <w:tcW w:w="2640" w:type="dxa"/>
                </w:tcPr>
                <w:p w14:paraId="40D0D09E" w14:textId="77777777" w:rsidR="00D075F6" w:rsidRDefault="00734411">
                  <w:pPr>
                    <w:jc w:val="center"/>
                  </w:pPr>
                  <w:r>
                    <w:t>outputs/analysis/exp4_llm_evaluation/icc_analysis.csv</w:t>
                  </w:r>
                </w:p>
              </w:tc>
              <w:tc>
                <w:tcPr>
                  <w:tcW w:w="2640" w:type="dxa"/>
                </w:tcPr>
                <w:p w14:paraId="25E0149E" w14:textId="77777777" w:rsidR="00D075F6" w:rsidRDefault="00734411">
                  <w:pPr>
                    <w:jc w:val="center"/>
                  </w:pPr>
                  <w:r>
                    <w:t>ICC(1,1) por dimensión</w:t>
                  </w:r>
                </w:p>
              </w:tc>
              <w:tc>
                <w:tcPr>
                  <w:tcW w:w="2640" w:type="dxa"/>
                </w:tcPr>
                <w:p w14:paraId="2083B55C" w14:textId="77777777" w:rsidR="00D075F6" w:rsidRDefault="00734411">
                  <w:pPr>
                    <w:jc w:val="center"/>
                  </w:pPr>
                  <w:r>
                    <w:t xml:space="preserve">Tabla </w:t>
                  </w:r>
                  <w:hyperlink w:anchor="tbl-exp4-icc">
                    <w:r>
                      <w:rPr>
                        <w:rStyle w:val="Hyperlink"/>
                      </w:rPr>
                      <w:t>5.3</w:t>
                    </w:r>
                  </w:hyperlink>
                  <w:r>
                    <w:t xml:space="preserve"> (fuente)</w:t>
                  </w:r>
                </w:p>
              </w:tc>
            </w:tr>
            <w:bookmarkEnd w:id="442"/>
          </w:tbl>
          <w:p w14:paraId="358D60B2" w14:textId="77777777" w:rsidR="00D075F6" w:rsidRDefault="00D075F6"/>
        </w:tc>
      </w:tr>
    </w:tbl>
    <w:p w14:paraId="615FFE9F" w14:textId="77777777" w:rsidR="00D075F6" w:rsidRDefault="00734411">
      <w:pPr>
        <w:pStyle w:val="BodyText"/>
      </w:pPr>
      <w:r>
        <w:t xml:space="preserve">EXP4 no aporta evidencia confirmativa sobre las hipótesis H1–H3 ni modifica P1; su resultado (P2: jueces LLM no alcanzan ICC </w:t>
      </w:r>
      <m:oMath>
        <m:r>
          <m:rPr>
            <m:sty m:val="p"/>
          </m:rPr>
          <w:rPr>
            <w:rFonts w:ascii="Cambria Math" w:hAnsi="Cambria Math"/>
          </w:rPr>
          <m:t>≥</m:t>
        </m:r>
        <m:r>
          <w:rPr>
            <w:rFonts w:ascii="Cambria Math" w:hAnsi="Cambria Math"/>
          </w:rPr>
          <m:t>0.75</m:t>
        </m:r>
      </m:oMath>
      <w:r>
        <w:t xml:space="preserve"> bajo las rúbricas actuales) es un resultado negativo que delimita el alcance de la evaluación </w:t>
      </w:r>
      <w:r>
        <w:t>semántica automática en XAI y establece los requisitos de formalización para investigación futura (véase §</w:t>
      </w:r>
      <w:hyperlink w:anchor="sec-exp4-fiabilidad">
        <w:r>
          <w:rPr>
            <w:rStyle w:val="Hyperlink"/>
          </w:rPr>
          <w:t>5.8</w:t>
        </w:r>
      </w:hyperlink>
      <w:r>
        <w:t xml:space="preserve"> y §</w:t>
      </w:r>
      <w:hyperlink w:anchor="sec-futuro">
        <w:r>
          <w:rPr>
            <w:rStyle w:val="Hyperlink"/>
          </w:rPr>
          <w:t>6.6</w:t>
        </w:r>
      </w:hyperlink>
      <w:r>
        <w:t>).</w:t>
      </w:r>
      <w:bookmarkEnd w:id="408"/>
      <w:bookmarkEnd w:id="440"/>
    </w:p>
    <w:sectPr w:rsidR="00D075F6" w:rsidSect="0070096E">
      <w:headerReference w:type="even" r:id="rId136"/>
      <w:headerReference w:type="default" r:id="rId137"/>
      <w:pgSz w:w="12240" w:h="15840"/>
      <w:pgMar w:top="1728"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61DF7" w14:textId="77777777" w:rsidR="00734411" w:rsidRDefault="00734411">
      <w:pPr>
        <w:spacing w:after="0" w:line="240" w:lineRule="auto"/>
      </w:pPr>
      <w:r>
        <w:separator/>
      </w:r>
    </w:p>
  </w:endnote>
  <w:endnote w:type="continuationSeparator" w:id="0">
    <w:p w14:paraId="12DE15C7" w14:textId="77777777" w:rsidR="00734411" w:rsidRDefault="007344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F0981" w14:textId="77777777" w:rsidR="00734411" w:rsidRDefault="00734411">
      <w:pPr>
        <w:spacing w:after="0" w:line="240" w:lineRule="auto"/>
      </w:pPr>
      <w:r>
        <w:separator/>
      </w:r>
    </w:p>
  </w:footnote>
  <w:footnote w:type="continuationSeparator" w:id="0">
    <w:p w14:paraId="30C6E3CC" w14:textId="77777777" w:rsidR="00734411" w:rsidRDefault="007344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45B69" w14:textId="77777777" w:rsidR="0070096E" w:rsidRDefault="00734411">
    <w:pPr>
      <w:spacing w:line="200" w:lineRule="exact"/>
      <w:rPr>
        <w:sz w:val="20"/>
        <w:szCs w:val="20"/>
      </w:rPr>
    </w:pPr>
    <w:r>
      <w:rPr>
        <w:noProof/>
        <w:sz w:val="22"/>
      </w:rPr>
      <w:pict w14:anchorId="243C46FE">
        <v:shapetype id="_x0000_t202" coordsize="21600,21600" o:spt="202" path="m,l,21600r21600,l21600,xe">
          <v:stroke joinstyle="miter"/>
          <v:path gradientshapeok="t" o:connecttype="rect"/>
        </v:shapetype>
        <v:shape id="Text Box 1" o:spid="_x0000_s1026" type="#_x0000_t202" style="position:absolute;left:0;text-align:left;margin-left:541.25pt;margin-top:36.15pt;width:16pt;height:14pt;z-index:-25165824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14:paraId="5A1DB409" w14:textId="77777777" w:rsidR="0070096E" w:rsidRDefault="00637ED1">
                <w:pPr>
                  <w:pStyle w:val="BodyText"/>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631411"/>
      <w:docPartObj>
        <w:docPartGallery w:val="Page Numbers (Top of Page)"/>
        <w:docPartUnique/>
      </w:docPartObj>
    </w:sdtPr>
    <w:sdtEndPr>
      <w:rPr>
        <w:noProof/>
      </w:rPr>
    </w:sdtEndPr>
    <w:sdtContent>
      <w:p w14:paraId="0699B82B" w14:textId="77777777" w:rsidR="0070096E" w:rsidRDefault="0070096E">
        <w:pPr>
          <w:pStyle w:val="Header"/>
          <w:jc w:val="right"/>
        </w:pPr>
        <w:r>
          <w:rPr>
            <w:noProof/>
            <w:lang w:val="es-ES" w:eastAsia="es-ES"/>
          </w:rPr>
          <w:drawing>
            <wp:anchor distT="0" distB="0" distL="114300" distR="114300" simplePos="0" relativeHeight="251657216" behindDoc="0" locked="0" layoutInCell="1" allowOverlap="1" wp14:anchorId="377C4E4C" wp14:editId="36D49326">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14:paraId="523AFC6C" w14:textId="77777777" w:rsidR="0070096E" w:rsidRDefault="0070096E">
        <w:pPr>
          <w:pStyle w:val="Header"/>
          <w:jc w:val="right"/>
        </w:pPr>
      </w:p>
      <w:p w14:paraId="3BF29AEB" w14:textId="77777777" w:rsidR="0070096E" w:rsidRDefault="00637ED1" w:rsidP="00FB6C23">
        <w:pPr>
          <w:pStyle w:val="Header"/>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14:paraId="652E017C" w14:textId="77777777" w:rsidR="0070096E" w:rsidRDefault="0070096E">
    <w:pPr>
      <w:spacing w:line="200" w:lineRule="exac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F3E18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5CF476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6152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15351866">
    <w:abstractNumId w:val="0"/>
  </w:num>
  <w:num w:numId="3" w16cid:durableId="1476950745">
    <w:abstractNumId w:val="0"/>
  </w:num>
  <w:num w:numId="4" w16cid:durableId="724644416">
    <w:abstractNumId w:val="0"/>
  </w:num>
  <w:num w:numId="5" w16cid:durableId="13539901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55287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09949723">
    <w:abstractNumId w:val="0"/>
  </w:num>
  <w:num w:numId="8" w16cid:durableId="8854132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6777408">
    <w:abstractNumId w:val="0"/>
  </w:num>
  <w:num w:numId="10" w16cid:durableId="111630320">
    <w:abstractNumId w:val="0"/>
  </w:num>
  <w:num w:numId="11" w16cid:durableId="1857038321">
    <w:abstractNumId w:val="0"/>
  </w:num>
  <w:num w:numId="12" w16cid:durableId="915941053">
    <w:abstractNumId w:val="0"/>
  </w:num>
  <w:num w:numId="13" w16cid:durableId="1004820724">
    <w:abstractNumId w:val="0"/>
  </w:num>
  <w:num w:numId="14" w16cid:durableId="252594392">
    <w:abstractNumId w:val="0"/>
  </w:num>
  <w:num w:numId="15" w16cid:durableId="627466323">
    <w:abstractNumId w:val="0"/>
  </w:num>
  <w:num w:numId="16" w16cid:durableId="341318064">
    <w:abstractNumId w:val="0"/>
  </w:num>
  <w:num w:numId="17" w16cid:durableId="1792624949">
    <w:abstractNumId w:val="0"/>
  </w:num>
  <w:num w:numId="18" w16cid:durableId="9810394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411"/>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091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075F6"/>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D2950"/>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20F25"/>
  <w15:docId w15:val="{D7D9684B-5033-44B0-A05A-B720F3B89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B2"/>
  </w:style>
  <w:style w:type="paragraph" w:styleId="Heading1">
    <w:name w:val="heading 1"/>
    <w:basedOn w:val="Normal"/>
    <w:next w:val="Normal"/>
    <w:link w:val="Heading1Char"/>
    <w:autoRedefine/>
    <w:uiPriority w:val="9"/>
    <w:qFormat/>
    <w:rsid w:val="00587376"/>
    <w:pPr>
      <w:keepNext/>
      <w:keepLines/>
      <w:spacing w:before="240" w:after="0"/>
      <w:outlineLvl w:val="0"/>
    </w:pPr>
    <w:rPr>
      <w:rFonts w:eastAsia="Times New Roman" w:cs="Times New Roman"/>
      <w:b/>
      <w:sz w:val="28"/>
      <w:szCs w:val="24"/>
    </w:rPr>
  </w:style>
  <w:style w:type="paragraph" w:styleId="Heading2">
    <w:name w:val="heading 2"/>
    <w:basedOn w:val="Normal"/>
    <w:next w:val="Normal"/>
    <w:link w:val="Heading2Char"/>
    <w:autoRedefine/>
    <w:uiPriority w:val="9"/>
    <w:unhideWhenUsed/>
    <w:qFormat/>
    <w:rsid w:val="00302EDB"/>
    <w:pPr>
      <w:keepNext/>
      <w:keepLines/>
      <w:spacing w:before="40" w:after="0"/>
      <w:outlineLvl w:val="1"/>
    </w:pPr>
    <w:rPr>
      <w:rFonts w:eastAsia="Times New Roman" w:cs="Times New Roman"/>
      <w:b/>
      <w:szCs w:val="26"/>
    </w:rPr>
  </w:style>
  <w:style w:type="paragraph" w:styleId="Heading3">
    <w:name w:val="heading 3"/>
    <w:basedOn w:val="Normal"/>
    <w:next w:val="Normal"/>
    <w:link w:val="Heading3Char"/>
    <w:uiPriority w:val="9"/>
    <w:unhideWhenUsed/>
    <w:qFormat/>
    <w:rsid w:val="00567910"/>
    <w:pPr>
      <w:keepNext/>
      <w:keepLines/>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AE0CE0"/>
    <w:pPr>
      <w:keepNext/>
      <w:keepLines/>
      <w:spacing w:before="40" w:after="0"/>
      <w:ind w:left="1440"/>
      <w:outlineLvl w:val="3"/>
    </w:pPr>
    <w:rPr>
      <w:rFonts w:eastAsiaTheme="majorEastAsia" w:cstheme="majorBidi"/>
      <w:b/>
      <w:iCs/>
    </w:rPr>
  </w:style>
  <w:style w:type="paragraph" w:styleId="Heading5">
    <w:name w:val="heading 5"/>
    <w:basedOn w:val="Normal"/>
    <w:next w:val="Normal"/>
    <w:link w:val="Heading5Char"/>
    <w:uiPriority w:val="9"/>
    <w:unhideWhenUsed/>
    <w:qFormat/>
    <w:rsid w:val="004323BF"/>
    <w:pPr>
      <w:keepNext/>
      <w:keepLines/>
      <w:spacing w:before="40" w:after="0"/>
      <w:ind w:left="1440"/>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rsid w:val="00781846"/>
    <w:pPr>
      <w:spacing w:after="120"/>
    </w:pPr>
  </w:style>
  <w:style w:type="character" w:customStyle="1" w:styleId="BodyTextChar">
    <w:name w:val="Body Text Char"/>
    <w:basedOn w:val="DefaultParagraphFont"/>
    <w:link w:val="BodyText"/>
    <w:uiPriority w:val="99"/>
    <w:semiHidden/>
    <w:rsid w:val="00781846"/>
  </w:style>
  <w:style w:type="paragraph" w:styleId="Footer">
    <w:name w:val="footer"/>
    <w:basedOn w:val="Normal"/>
    <w:link w:val="FooterChar"/>
    <w:uiPriority w:val="99"/>
    <w:unhideWhenUsed/>
    <w:rsid w:val="00781846"/>
    <w:pPr>
      <w:tabs>
        <w:tab w:val="center" w:pos="4680"/>
        <w:tab w:val="right" w:pos="9360"/>
      </w:tabs>
      <w:spacing w:after="0"/>
    </w:pPr>
  </w:style>
  <w:style w:type="character" w:customStyle="1" w:styleId="FooterChar">
    <w:name w:val="Footer Char"/>
    <w:basedOn w:val="DefaultParagraphFont"/>
    <w:link w:val="Footer"/>
    <w:uiPriority w:val="99"/>
    <w:rsid w:val="00781846"/>
  </w:style>
  <w:style w:type="paragraph" w:styleId="Header">
    <w:name w:val="header"/>
    <w:basedOn w:val="Normal"/>
    <w:link w:val="HeaderChar"/>
    <w:uiPriority w:val="99"/>
    <w:unhideWhenUsed/>
    <w:rsid w:val="00781846"/>
    <w:pPr>
      <w:tabs>
        <w:tab w:val="center" w:pos="4680"/>
        <w:tab w:val="right" w:pos="9360"/>
      </w:tabs>
      <w:spacing w:after="0"/>
    </w:pPr>
  </w:style>
  <w:style w:type="character" w:customStyle="1" w:styleId="HeaderChar">
    <w:name w:val="Header Char"/>
    <w:basedOn w:val="DefaultParagraphFont"/>
    <w:link w:val="Header"/>
    <w:uiPriority w:val="99"/>
    <w:rsid w:val="00781846"/>
  </w:style>
  <w:style w:type="paragraph" w:styleId="BalloonText">
    <w:name w:val="Balloon Text"/>
    <w:basedOn w:val="Normal"/>
    <w:link w:val="BalloonTextChar"/>
    <w:uiPriority w:val="99"/>
    <w:semiHidden/>
    <w:unhideWhenUsed/>
    <w:rsid w:val="00D06AD2"/>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6AD2"/>
    <w:rPr>
      <w:rFonts w:ascii="Segoe UI" w:hAnsi="Segoe UI" w:cs="Segoe UI"/>
      <w:sz w:val="18"/>
      <w:szCs w:val="18"/>
    </w:rPr>
  </w:style>
  <w:style w:type="character" w:styleId="Hyperlink">
    <w:name w:val="Hyperlink"/>
    <w:basedOn w:val="DefaultParagraphFont"/>
    <w:uiPriority w:val="99"/>
    <w:unhideWhenUsed/>
    <w:rsid w:val="00721000"/>
    <w:rPr>
      <w:color w:val="0563C1" w:themeColor="hyperlink"/>
      <w:u w:val="single"/>
    </w:rPr>
  </w:style>
  <w:style w:type="paragraph" w:styleId="ListParagraph">
    <w:name w:val="List Paragraph"/>
    <w:basedOn w:val="Normal"/>
    <w:uiPriority w:val="34"/>
    <w:qFormat/>
    <w:rsid w:val="008E51AD"/>
    <w:pPr>
      <w:ind w:left="720"/>
      <w:contextualSpacing/>
    </w:pPr>
  </w:style>
  <w:style w:type="character" w:styleId="FollowedHyperlink">
    <w:name w:val="FollowedHyperlink"/>
    <w:basedOn w:val="DefaultParagraphFont"/>
    <w:uiPriority w:val="99"/>
    <w:semiHidden/>
    <w:unhideWhenUsed/>
    <w:rsid w:val="00490015"/>
    <w:rPr>
      <w:color w:val="954F72" w:themeColor="followedHyperlink"/>
      <w:u w:val="single"/>
    </w:rPr>
  </w:style>
  <w:style w:type="character" w:styleId="CommentReference">
    <w:name w:val="annotation reference"/>
    <w:basedOn w:val="DefaultParagraphFont"/>
    <w:uiPriority w:val="99"/>
    <w:semiHidden/>
    <w:unhideWhenUsed/>
    <w:rsid w:val="00CC0FFA"/>
    <w:rPr>
      <w:sz w:val="16"/>
      <w:szCs w:val="16"/>
    </w:rPr>
  </w:style>
  <w:style w:type="paragraph" w:styleId="CommentText">
    <w:name w:val="annotation text"/>
    <w:basedOn w:val="Normal"/>
    <w:link w:val="CommentTextChar"/>
    <w:uiPriority w:val="99"/>
    <w:semiHidden/>
    <w:unhideWhenUsed/>
    <w:rsid w:val="00CC0FFA"/>
    <w:rPr>
      <w:sz w:val="20"/>
      <w:szCs w:val="20"/>
    </w:rPr>
  </w:style>
  <w:style w:type="character" w:customStyle="1" w:styleId="CommentTextChar">
    <w:name w:val="Comment Text Char"/>
    <w:basedOn w:val="DefaultParagraphFont"/>
    <w:link w:val="CommentText"/>
    <w:uiPriority w:val="99"/>
    <w:semiHidden/>
    <w:rsid w:val="00CC0FFA"/>
    <w:rPr>
      <w:sz w:val="20"/>
      <w:szCs w:val="20"/>
    </w:rPr>
  </w:style>
  <w:style w:type="paragraph" w:styleId="CommentSubject">
    <w:name w:val="annotation subject"/>
    <w:basedOn w:val="CommentText"/>
    <w:next w:val="CommentText"/>
    <w:link w:val="CommentSubjectChar"/>
    <w:uiPriority w:val="99"/>
    <w:semiHidden/>
    <w:unhideWhenUsed/>
    <w:rsid w:val="00CC0FFA"/>
    <w:rPr>
      <w:b/>
      <w:bCs/>
    </w:rPr>
  </w:style>
  <w:style w:type="character" w:customStyle="1" w:styleId="CommentSubjectChar">
    <w:name w:val="Comment Subject Char"/>
    <w:basedOn w:val="CommentTextChar"/>
    <w:link w:val="CommentSubject"/>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587376"/>
    <w:rPr>
      <w:rFonts w:eastAsia="Times New Roman" w:cs="Times New Roman"/>
      <w:b/>
      <w:sz w:val="28"/>
      <w:szCs w:val="24"/>
      <w:lang w:val="es"/>
    </w:rPr>
  </w:style>
  <w:style w:type="paragraph" w:styleId="TOCHeading">
    <w:name w:val="TOC Heading"/>
    <w:basedOn w:val="Heading1"/>
    <w:next w:val="Normal"/>
    <w:uiPriority w:val="39"/>
    <w:unhideWhenUsed/>
    <w:qFormat/>
    <w:rsid w:val="00A62C67"/>
    <w:pPr>
      <w:outlineLvl w:val="9"/>
    </w:pPr>
    <w:rPr>
      <w:lang w:eastAsia="es-MX"/>
    </w:rPr>
  </w:style>
  <w:style w:type="paragraph" w:styleId="TOC3">
    <w:name w:val="toc 3"/>
    <w:basedOn w:val="Normal"/>
    <w:next w:val="Normal"/>
    <w:autoRedefine/>
    <w:uiPriority w:val="39"/>
    <w:unhideWhenUsed/>
    <w:rsid w:val="00302EDB"/>
    <w:pPr>
      <w:spacing w:after="100"/>
      <w:ind w:left="482"/>
    </w:pPr>
  </w:style>
  <w:style w:type="paragraph" w:styleId="TOC1">
    <w:name w:val="toc 1"/>
    <w:basedOn w:val="Normal"/>
    <w:next w:val="Normal"/>
    <w:autoRedefine/>
    <w:uiPriority w:val="39"/>
    <w:unhideWhenUsed/>
    <w:rsid w:val="00302EDB"/>
    <w:pPr>
      <w:spacing w:after="100"/>
    </w:pPr>
  </w:style>
  <w:style w:type="character" w:customStyle="1" w:styleId="Heading2Char">
    <w:name w:val="Heading 2 Char"/>
    <w:basedOn w:val="DefaultParagraphFont"/>
    <w:link w:val="Heading2"/>
    <w:uiPriority w:val="9"/>
    <w:rsid w:val="00302EDB"/>
    <w:rPr>
      <w:rFonts w:eastAsia="Times New Roman" w:cs="Times New Roman"/>
      <w:b/>
      <w:szCs w:val="26"/>
      <w:lang w:val="es"/>
    </w:rPr>
  </w:style>
  <w:style w:type="paragraph" w:styleId="TOC2">
    <w:name w:val="toc 2"/>
    <w:basedOn w:val="Normal"/>
    <w:next w:val="Normal"/>
    <w:autoRedefine/>
    <w:uiPriority w:val="39"/>
    <w:unhideWhenUsed/>
    <w:rsid w:val="00302EDB"/>
    <w:pPr>
      <w:spacing w:after="100"/>
      <w:ind w:left="238"/>
    </w:pPr>
  </w:style>
  <w:style w:type="character" w:customStyle="1" w:styleId="Heading3Char">
    <w:name w:val="Heading 3 Char"/>
    <w:basedOn w:val="DefaultParagraphFont"/>
    <w:link w:val="Heading3"/>
    <w:uiPriority w:val="9"/>
    <w:rsid w:val="00567910"/>
    <w:rPr>
      <w:rFonts w:eastAsiaTheme="majorEastAsia" w:cstheme="majorBidi"/>
      <w:b/>
      <w:i/>
      <w:szCs w:val="24"/>
      <w:lang w:val="es"/>
    </w:rPr>
  </w:style>
  <w:style w:type="character" w:customStyle="1" w:styleId="Heading4Char">
    <w:name w:val="Heading 4 Char"/>
    <w:basedOn w:val="DefaultParagraphFont"/>
    <w:link w:val="Heading4"/>
    <w:uiPriority w:val="9"/>
    <w:rsid w:val="00AE0CE0"/>
    <w:rPr>
      <w:rFonts w:eastAsiaTheme="majorEastAsia" w:cstheme="majorBidi"/>
      <w:b/>
      <w:iCs/>
      <w:lang w:val="es"/>
    </w:rPr>
  </w:style>
  <w:style w:type="character" w:customStyle="1" w:styleId="Heading5Char">
    <w:name w:val="Heading 5 Char"/>
    <w:basedOn w:val="DefaultParagraphFont"/>
    <w:link w:val="Heading5"/>
    <w:uiPriority w:val="9"/>
    <w:rsid w:val="004323BF"/>
    <w:rPr>
      <w:rFonts w:eastAsiaTheme="majorEastAsia" w:cstheme="majorBidi"/>
      <w:b/>
      <w:i/>
      <w:lang w:val="es"/>
    </w:rPr>
  </w:style>
  <w:style w:type="paragraph" w:styleId="Caption">
    <w:name w:val="caption"/>
    <w:basedOn w:val="Normal"/>
    <w:next w:val="Normal"/>
    <w:uiPriority w:val="35"/>
    <w:unhideWhenUsed/>
    <w:qFormat/>
    <w:rsid w:val="002105DF"/>
    <w:pPr>
      <w:spacing w:after="200"/>
    </w:pPr>
    <w:rPr>
      <w:i/>
      <w:iCs/>
      <w:color w:val="44546A" w:themeColor="text2"/>
      <w:sz w:val="18"/>
      <w:szCs w:val="18"/>
    </w:rPr>
  </w:style>
  <w:style w:type="paragraph" w:styleId="TableofFigures">
    <w:name w:val="table of figures"/>
    <w:basedOn w:val="Normal"/>
    <w:next w:val="Normal"/>
    <w:uiPriority w:val="99"/>
    <w:unhideWhenUsed/>
    <w:rsid w:val="00302EDB"/>
    <w:pPr>
      <w:spacing w:after="0"/>
    </w:pPr>
  </w:style>
  <w:style w:type="table" w:customStyle="1" w:styleId="APAReport">
    <w:name w:val="APA Report"/>
    <w:basedOn w:val="TableNormal"/>
    <w:uiPriority w:val="99"/>
    <w:rsid w:val="00176F02"/>
    <w:pPr>
      <w:spacing w:after="0" w:line="240" w:lineRule="auto"/>
    </w:pPr>
    <w:rPr>
      <w:rFonts w:eastAsia="SimSu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DefaultParagraphFont"/>
    <w:uiPriority w:val="99"/>
    <w:semiHidden/>
    <w:unhideWhenUsed/>
    <w:rsid w:val="002D5888"/>
    <w:rPr>
      <w:color w:val="605E5C"/>
      <w:shd w:val="clear" w:color="auto" w:fill="E1DFDD"/>
    </w:rPr>
  </w:style>
  <w:style w:type="paragraph" w:styleId="TOC4">
    <w:name w:val="toc 4"/>
    <w:basedOn w:val="Normal"/>
    <w:next w:val="Normal"/>
    <w:autoRedefine/>
    <w:uiPriority w:val="39"/>
    <w:unhideWhenUsed/>
    <w:rsid w:val="00302EDB"/>
    <w:pPr>
      <w:spacing w:after="100"/>
      <w:ind w:left="720"/>
    </w:pPr>
  </w:style>
  <w:style w:type="paragraph" w:styleId="TOC5">
    <w:name w:val="toc 5"/>
    <w:basedOn w:val="Normal"/>
    <w:next w:val="Normal"/>
    <w:autoRedefine/>
    <w:uiPriority w:val="39"/>
    <w:unhideWhenUsed/>
    <w:rsid w:val="00302EDB"/>
    <w:pPr>
      <w:spacing w:after="100"/>
      <w:ind w:left="958"/>
    </w:pPr>
  </w:style>
  <w:style w:type="paragraph" w:customStyle="1" w:styleId="Default">
    <w:name w:val="Default"/>
    <w:rsid w:val="003C25F6"/>
    <w:pPr>
      <w:autoSpaceDE w:val="0"/>
      <w:autoSpaceDN w:val="0"/>
      <w:adjustRightInd w:val="0"/>
      <w:spacing w:after="0"/>
    </w:pPr>
    <w:rPr>
      <w:rFonts w:cs="Times New Roman"/>
      <w:color w:val="000000"/>
      <w:szCs w:val="24"/>
    </w:rPr>
  </w:style>
  <w:style w:type="character" w:customStyle="1" w:styleId="Encabezadoopiedepgina">
    <w:name w:val="Encabezado o pie de página_"/>
    <w:basedOn w:val="DefaultParagraphFont"/>
    <w:link w:val="Encabezadoopiedepgina0"/>
    <w:rsid w:val="00FB6C23"/>
    <w:rPr>
      <w:rFonts w:eastAsia="Times New Roman" w:cs="Times New Roman"/>
      <w:shd w:val="clear" w:color="auto" w:fill="FFFFFF"/>
      <w:lang w:val="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pPr>
    <w:rPr>
      <w:rFonts w:eastAsia="Times New Roman" w:cs="Times New Roman"/>
      <w:lang w:eastAsia="es-ES" w:bidi="es-ES"/>
    </w:rPr>
  </w:style>
  <w:style w:type="character" w:styleId="PlaceholderText">
    <w:name w:val="Placeholder Text"/>
    <w:basedOn w:val="DefaultParagraphFont"/>
    <w:uiPriority w:val="99"/>
    <w:semiHidden/>
    <w:rsid w:val="000F41AE"/>
    <w:rPr>
      <w:color w:val="808080"/>
    </w:rPr>
  </w:style>
  <w:style w:type="table" w:styleId="TableGrid">
    <w:name w:val="Table Grid"/>
    <w:basedOn w:val="TableNormal"/>
    <w:uiPriority w:val="39"/>
    <w:rsid w:val="000F4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OC6">
    <w:name w:val="toc 6"/>
    <w:basedOn w:val="Normal"/>
    <w:next w:val="Normal"/>
    <w:autoRedefine/>
    <w:uiPriority w:val="39"/>
    <w:unhideWhenUsed/>
    <w:rsid w:val="008E091D"/>
    <w:pPr>
      <w:spacing w:after="100" w:line="278" w:lineRule="auto"/>
      <w:ind w:left="1200"/>
      <w:jc w:val="left"/>
    </w:pPr>
    <w:rPr>
      <w:rFonts w:asciiTheme="minorHAnsi" w:eastAsiaTheme="minorEastAsia" w:hAnsiTheme="minorHAnsi"/>
      <w:kern w:val="2"/>
      <w:szCs w:val="24"/>
      <w:lang w:val="en-US"/>
    </w:rPr>
  </w:style>
  <w:style w:type="paragraph" w:styleId="TOC7">
    <w:name w:val="toc 7"/>
    <w:basedOn w:val="Normal"/>
    <w:next w:val="Normal"/>
    <w:autoRedefine/>
    <w:uiPriority w:val="39"/>
    <w:unhideWhenUsed/>
    <w:rsid w:val="008E091D"/>
    <w:pPr>
      <w:spacing w:after="100" w:line="278" w:lineRule="auto"/>
      <w:ind w:left="1440"/>
      <w:jc w:val="left"/>
    </w:pPr>
    <w:rPr>
      <w:rFonts w:asciiTheme="minorHAnsi" w:eastAsiaTheme="minorEastAsia" w:hAnsiTheme="minorHAnsi"/>
      <w:kern w:val="2"/>
      <w:szCs w:val="24"/>
      <w:lang w:val="en-US"/>
    </w:rPr>
  </w:style>
  <w:style w:type="paragraph" w:styleId="TOC8">
    <w:name w:val="toc 8"/>
    <w:basedOn w:val="Normal"/>
    <w:next w:val="Normal"/>
    <w:autoRedefine/>
    <w:uiPriority w:val="39"/>
    <w:unhideWhenUsed/>
    <w:rsid w:val="008E091D"/>
    <w:pPr>
      <w:spacing w:after="100" w:line="278" w:lineRule="auto"/>
      <w:ind w:left="1680"/>
      <w:jc w:val="left"/>
    </w:pPr>
    <w:rPr>
      <w:rFonts w:asciiTheme="minorHAnsi" w:eastAsiaTheme="minorEastAsia" w:hAnsiTheme="minorHAnsi"/>
      <w:kern w:val="2"/>
      <w:szCs w:val="24"/>
      <w:lang w:val="en-US"/>
    </w:rPr>
  </w:style>
  <w:style w:type="paragraph" w:styleId="TOC9">
    <w:name w:val="toc 9"/>
    <w:basedOn w:val="Normal"/>
    <w:next w:val="Normal"/>
    <w:autoRedefine/>
    <w:uiPriority w:val="39"/>
    <w:unhideWhenUsed/>
    <w:rsid w:val="008E091D"/>
    <w:pPr>
      <w:spacing w:after="100" w:line="278" w:lineRule="auto"/>
      <w:ind w:left="1920"/>
      <w:jc w:val="left"/>
    </w:pPr>
    <w:rPr>
      <w:rFonts w:asciiTheme="minorHAnsi" w:eastAsiaTheme="minorEastAsia" w:hAnsiTheme="minorHAnsi"/>
      <w:kern w:val="2"/>
      <w:szCs w:val="24"/>
      <w:lang w:val="en-US"/>
    </w:rPr>
  </w:style>
  <w:style w:type="character" w:styleId="UnresolvedMention">
    <w:name w:val="Unresolved Mention"/>
    <w:basedOn w:val="DefaultParagraphFont"/>
    <w:uiPriority w:val="99"/>
    <w:semiHidden/>
    <w:unhideWhenUsed/>
    <w:rsid w:val="008E0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07/978-3-030-28954-6" TargetMode="External"/><Relationship Id="rId21" Type="http://schemas.openxmlformats.org/officeDocument/2006/relationships/hyperlink" Target="https://doi.org/10.1007/978-3-032-06744-9_14" TargetMode="External"/><Relationship Id="rId42" Type="http://schemas.openxmlformats.org/officeDocument/2006/relationships/hyperlink" Target="https://doi.org/10.1177/001316446002000104" TargetMode="External"/><Relationship Id="rId63" Type="http://schemas.openxmlformats.org/officeDocument/2006/relationships/hyperlink" Target="https://doi.org/10.1007/s12559-023-10179-8" TargetMode="External"/><Relationship Id="rId84" Type="http://schemas.openxmlformats.org/officeDocument/2006/relationships/hyperlink" Target="https://doi.org/10.48550/arxiv.1705.07874" TargetMode="External"/><Relationship Id="rId138" Type="http://schemas.openxmlformats.org/officeDocument/2006/relationships/fontTable" Target="fontTable.xml"/><Relationship Id="rId16" Type="http://schemas.openxmlformats.org/officeDocument/2006/relationships/hyperlink" Target="https://doi.org/10.2139/ssrn.4710037" TargetMode="External"/><Relationship Id="rId107" Type="http://schemas.openxmlformats.org/officeDocument/2006/relationships/hyperlink" Target="https://doi.org/10.1073/pnas.2426766122" TargetMode="External"/><Relationship Id="rId11" Type="http://schemas.openxmlformats.org/officeDocument/2006/relationships/image" Target="media/image5.png"/><Relationship Id="rId32" Type="http://schemas.openxmlformats.org/officeDocument/2006/relationships/hyperlink" Target="https://doi.org/10.1145/3670685" TargetMode="External"/><Relationship Id="rId37" Type="http://schemas.openxmlformats.org/officeDocument/2006/relationships/hyperlink" Target="https://doi.org/10.1145/3672359.3672363" TargetMode="External"/><Relationship Id="rId53" Type="http://schemas.openxmlformats.org/officeDocument/2006/relationships/hyperlink" Target="https://doi.org/10.1007/s11023-018-9482-5" TargetMode="External"/><Relationship Id="rId58" Type="http://schemas.openxmlformats.org/officeDocument/2006/relationships/hyperlink" Target="https://doi.org/10.1109/dsaa.2018.00018" TargetMode="External"/><Relationship Id="rId74" Type="http://schemas.openxmlformats.org/officeDocument/2006/relationships/hyperlink" Target="https://doi.org/10.1145/3613905.3638184" TargetMode="External"/><Relationship Id="rId79" Type="http://schemas.openxmlformats.org/officeDocument/2006/relationships/hyperlink" Target="https://doi.org/10.1016/j.artint.2021.103473" TargetMode="External"/><Relationship Id="rId102" Type="http://schemas.openxmlformats.org/officeDocument/2006/relationships/hyperlink" Target="https://doi.org/10.1038/s41467-022-33417-3" TargetMode="External"/><Relationship Id="rId123" Type="http://schemas.openxmlformats.org/officeDocument/2006/relationships/hyperlink" Target="https://doi.org/10.1007/s13218-020-00637-y" TargetMode="External"/><Relationship Id="rId128" Type="http://schemas.openxmlformats.org/officeDocument/2006/relationships/hyperlink" Target="https://doi.org/10.1145/3643491.3660292" TargetMode="External"/><Relationship Id="rId5" Type="http://schemas.openxmlformats.org/officeDocument/2006/relationships/footnotes" Target="footnotes.xml"/><Relationship Id="rId90" Type="http://schemas.openxmlformats.org/officeDocument/2006/relationships/hyperlink" Target="https://doi.org/10.1145/3287560.3287574" TargetMode="External"/><Relationship Id="rId95" Type="http://schemas.openxmlformats.org/officeDocument/2006/relationships/hyperlink" Target="https://doi.org/10.1145/3704522.3704524" TargetMode="External"/><Relationship Id="rId22" Type="http://schemas.openxmlformats.org/officeDocument/2006/relationships/hyperlink" Target="https://doi.org/10.1146/annurev-statistics-040120-030919" TargetMode="External"/><Relationship Id="rId27" Type="http://schemas.openxmlformats.org/officeDocument/2006/relationships/hyperlink" Target="https://doi.org/10.1111/rssb.12377" TargetMode="External"/><Relationship Id="rId43" Type="http://schemas.openxmlformats.org/officeDocument/2006/relationships/hyperlink" Target="https://doi.org/10.1145/3638380.3638426" TargetMode="External"/><Relationship Id="rId48" Type="http://schemas.openxmlformats.org/officeDocument/2006/relationships/hyperlink" Target="https://doi.org/10.1145/3561048" TargetMode="External"/><Relationship Id="rId64" Type="http://schemas.openxmlformats.org/officeDocument/2006/relationships/hyperlink" Target="https://doi.org/10.1007/s13218-023-00806-9" TargetMode="External"/><Relationship Id="rId69" Type="http://schemas.openxmlformats.org/officeDocument/2006/relationships/hyperlink" Target="https://doi.org/10.1145/3571730" TargetMode="External"/><Relationship Id="rId113" Type="http://schemas.openxmlformats.org/officeDocument/2006/relationships/hyperlink" Target="https://doi.org/10.1214/21-ss133" TargetMode="External"/><Relationship Id="rId118" Type="http://schemas.openxmlformats.org/officeDocument/2006/relationships/hyperlink" Target="https://doi.org/10.1145/3677374" TargetMode="External"/><Relationship Id="rId134" Type="http://schemas.openxmlformats.org/officeDocument/2006/relationships/hyperlink" Target="https://doi.org/10.2307/3001968" TargetMode="External"/><Relationship Id="rId139" Type="http://schemas.openxmlformats.org/officeDocument/2006/relationships/theme" Target="theme/theme1.xml"/><Relationship Id="rId80" Type="http://schemas.openxmlformats.org/officeDocument/2006/relationships/hyperlink" Target="https://doi.org/10.24963/ijcai.2019/388" TargetMode="External"/><Relationship Id="rId85" Type="http://schemas.openxmlformats.org/officeDocument/2006/relationships/hyperlink" Target="https://doi.org/10.1145/3647444.3647912" TargetMode="External"/><Relationship Id="rId12" Type="http://schemas.openxmlformats.org/officeDocument/2006/relationships/image" Target="media/image6.png"/><Relationship Id="rId17" Type="http://schemas.openxmlformats.org/officeDocument/2006/relationships/hyperlink" Target="https://doi.org/10.1109/access.2018.2870052" TargetMode="External"/><Relationship Id="rId33" Type="http://schemas.openxmlformats.org/officeDocument/2006/relationships/hyperlink" Target="https://doi.org/10.1145/3643834.3660722" TargetMode="External"/><Relationship Id="rId38" Type="http://schemas.openxmlformats.org/officeDocument/2006/relationships/hyperlink" Target="https://doi.org/10.18653/v1/2023.emnlp-main.792" TargetMode="External"/><Relationship Id="rId59" Type="http://schemas.openxmlformats.org/officeDocument/2006/relationships/hyperlink" Target="https://doi.org/10.1080/10618600.2014.907095" TargetMode="External"/><Relationship Id="rId103" Type="http://schemas.openxmlformats.org/officeDocument/2006/relationships/hyperlink" Target="https://doi.org/10.1016/j.neucom.2024.128282" TargetMode="External"/><Relationship Id="rId108" Type="http://schemas.openxmlformats.org/officeDocument/2006/relationships/hyperlink" Target="https://doi.org/10.1145/2939672.2939778" TargetMode="External"/><Relationship Id="rId124" Type="http://schemas.openxmlformats.org/officeDocument/2006/relationships/hyperlink" Target="https://doi.org/10.1145/3580305.3599337" TargetMode="External"/><Relationship Id="rId129" Type="http://schemas.openxmlformats.org/officeDocument/2006/relationships/hyperlink" Target="https://doi.org/10.1145/3705724" TargetMode="External"/><Relationship Id="rId54" Type="http://schemas.openxmlformats.org/officeDocument/2006/relationships/hyperlink" Target="https://doi.org/10.1214/07-aoas148" TargetMode="External"/><Relationship Id="rId70" Type="http://schemas.openxmlformats.org/officeDocument/2006/relationships/hyperlink" Target="https://doi.org/10.1109/access.2025.3546681" TargetMode="External"/><Relationship Id="rId75" Type="http://schemas.openxmlformats.org/officeDocument/2006/relationships/hyperlink" Target="https://archive.ics.uci.edu/dataset/2/adult" TargetMode="External"/><Relationship Id="rId91" Type="http://schemas.openxmlformats.org/officeDocument/2006/relationships/hyperlink" Target="https://doi.org/10.1145/3387166" TargetMode="External"/><Relationship Id="rId96" Type="http://schemas.openxmlformats.org/officeDocument/2006/relationships/hyperlink" Target="https://doi.org/10.1073/pnas.1900654116"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3390/technologies13030093" TargetMode="External"/><Relationship Id="rId28" Type="http://schemas.openxmlformats.org/officeDocument/2006/relationships/hyperlink" Target="https://doi.org/10.1016/j.inffus.2019.12.012" TargetMode="External"/><Relationship Id="rId49" Type="http://schemas.openxmlformats.org/officeDocument/2006/relationships/hyperlink" Target="https://doi.org/10.1145/3686169.3686185" TargetMode="External"/><Relationship Id="rId114" Type="http://schemas.openxmlformats.org/officeDocument/2006/relationships/hyperlink" Target="https://doi.org/10.1038/s42256-019-0048-x" TargetMode="External"/><Relationship Id="rId119" Type="http://schemas.openxmlformats.org/officeDocument/2006/relationships/hyperlink" Target="https://doi.org/10.1007/s10618-022-00867-8" TargetMode="External"/><Relationship Id="rId44" Type="http://schemas.openxmlformats.org/officeDocument/2006/relationships/hyperlink" Target="https://doi.org/10.1145/3702038.3702093" TargetMode="External"/><Relationship Id="rId60" Type="http://schemas.openxmlformats.org/officeDocument/2006/relationships/hyperlink" Target="https://doi.org/10.1145/3605098.3636109" TargetMode="External"/><Relationship Id="rId65" Type="http://schemas.openxmlformats.org/officeDocument/2006/relationships/hyperlink" Target="https://doi.org/10.1007/978-3-031-04083-2_2" TargetMode="External"/><Relationship Id="rId81" Type="http://schemas.openxmlformats.org/officeDocument/2006/relationships/hyperlink" Target="https://doi.org/10.3390/e23010018" TargetMode="External"/><Relationship Id="rId86" Type="http://schemas.openxmlformats.org/officeDocument/2006/relationships/hyperlink" Target="https://doi.org/10.1002/widm.1493" TargetMode="External"/><Relationship Id="rId130" Type="http://schemas.openxmlformats.org/officeDocument/2006/relationships/hyperlink" Target="https://doi.org/10.1145/3599974" TargetMode="External"/><Relationship Id="rId135" Type="http://schemas.openxmlformats.org/officeDocument/2006/relationships/hyperlink" Target="https://trustai4s-lab.github.io/ffidelity" TargetMode="External"/><Relationship Id="rId13" Type="http://schemas.openxmlformats.org/officeDocument/2006/relationships/image" Target="media/image7.png"/><Relationship Id="rId18" Type="http://schemas.openxmlformats.org/officeDocument/2006/relationships/hyperlink" Target="https://doi.org/10.1145/3533381" TargetMode="External"/><Relationship Id="rId39" Type="http://schemas.openxmlformats.org/officeDocument/2006/relationships/hyperlink" Target="https://doi.org/10.1145/3737445" TargetMode="External"/><Relationship Id="rId109" Type="http://schemas.openxmlformats.org/officeDocument/2006/relationships/hyperlink" Target="https://doi.org/10.1609/aaai.v32i1.11491" TargetMode="External"/><Relationship Id="rId34" Type="http://schemas.openxmlformats.org/officeDocument/2006/relationships/hyperlink" Target="https://doi.org/10.1145/3631700.3664911" TargetMode="External"/><Relationship Id="rId50" Type="http://schemas.openxmlformats.org/officeDocument/2006/relationships/hyperlink" Target="https://doi.org/10.1145/3544549.3573832" TargetMode="External"/><Relationship Id="rId55" Type="http://schemas.openxmlformats.org/officeDocument/2006/relationships/hyperlink" Target="https://doi.org/10.1214/aos/1013203451" TargetMode="External"/><Relationship Id="rId76" Type="http://schemas.openxmlformats.org/officeDocument/2006/relationships/hyperlink" Target="https://doi.org/10.1016/j.jcm.2016.02.012" TargetMode="External"/><Relationship Id="rId97" Type="http://schemas.openxmlformats.org/officeDocument/2006/relationships/hyperlink" Target="https://doi.org/10.1007/s10676-024-09773-7" TargetMode="External"/><Relationship Id="rId104" Type="http://schemas.openxmlformats.org/officeDocument/2006/relationships/hyperlink" Target="https://doi.org/10.1613/jair.1.14888" TargetMode="External"/><Relationship Id="rId120" Type="http://schemas.openxmlformats.org/officeDocument/2006/relationships/hyperlink" Target="https://www.rand.org/pubs/papers/P0295.html" TargetMode="External"/><Relationship Id="rId125" Type="http://schemas.openxmlformats.org/officeDocument/2006/relationships/hyperlink" Target="https://doi.org/10.1109/TNNLS.2020.3027314" TargetMode="External"/><Relationship Id="rId7" Type="http://schemas.openxmlformats.org/officeDocument/2006/relationships/image" Target="media/image1.png"/><Relationship Id="rId71" Type="http://schemas.openxmlformats.org/officeDocument/2006/relationships/hyperlink" Target="https://doi.org/10.1145/3527848" TargetMode="External"/><Relationship Id="rId92" Type="http://schemas.openxmlformats.org/officeDocument/2006/relationships/hyperlink" Target="https://doi.org/10.1007/978-3-030-65965-3_28" TargetMode="External"/><Relationship Id="rId2" Type="http://schemas.openxmlformats.org/officeDocument/2006/relationships/styles" Target="styles.xml"/><Relationship Id="rId29" Type="http://schemas.openxmlformats.org/officeDocument/2006/relationships/hyperlink" Target="https://doi.org/10.1145/3649144" TargetMode="External"/><Relationship Id="rId24" Type="http://schemas.openxmlformats.org/officeDocument/2006/relationships/hyperlink" Target="https://arxiv.org/abs/1806.08049" TargetMode="External"/><Relationship Id="rId40" Type="http://schemas.openxmlformats.org/officeDocument/2006/relationships/hyperlink" Target="https://doi.org/10.3390/electronics8080832" TargetMode="External"/><Relationship Id="rId45" Type="http://schemas.openxmlformats.org/officeDocument/2006/relationships/hyperlink" Target="https://www.jmlr.org/papers/v7/demsar06a.html" TargetMode="External"/><Relationship Id="rId66" Type="http://schemas.openxmlformats.org/officeDocument/2006/relationships/hyperlink" Target="https://doi.org/10.1016/j.array.2025.100399" TargetMode="External"/><Relationship Id="rId87" Type="http://schemas.openxmlformats.org/officeDocument/2006/relationships/hyperlink" Target="https://doi.org/10.1007/978-3-031-75387-9_12" TargetMode="External"/><Relationship Id="rId110" Type="http://schemas.openxmlformats.org/officeDocument/2006/relationships/hyperlink" Target="https://doi.org/10.65109/vllw9552" TargetMode="External"/><Relationship Id="rId115" Type="http://schemas.openxmlformats.org/officeDocument/2006/relationships/hyperlink" Target="https://doi.org/10.3390/app14198884" TargetMode="External"/><Relationship Id="rId131" Type="http://schemas.openxmlformats.org/officeDocument/2006/relationships/hyperlink" Target="https://doi.org/10.1613/jair.1.13283" TargetMode="External"/><Relationship Id="rId136" Type="http://schemas.openxmlformats.org/officeDocument/2006/relationships/header" Target="header1.xml"/><Relationship Id="rId61" Type="http://schemas.openxmlformats.org/officeDocument/2006/relationships/hyperlink" Target="https://doi.org/10.1145/3236009" TargetMode="External"/><Relationship Id="rId82" Type="http://schemas.openxmlformats.org/officeDocument/2006/relationships/hyperlink" Target="https://doi.org/10.1145/3236386.3241340" TargetMode="External"/><Relationship Id="rId19" Type="http://schemas.openxmlformats.org/officeDocument/2006/relationships/hyperlink" Target="https://doi.org/10.1038/s41597-023-01974-x" TargetMode="External"/><Relationship Id="rId14" Type="http://schemas.openxmlformats.org/officeDocument/2006/relationships/hyperlink" Target="https://doi.org/10.1145/3173574.3174156" TargetMode="External"/><Relationship Id="rId30" Type="http://schemas.openxmlformats.org/officeDocument/2006/relationships/hyperlink" Target="https://doi.org/10.18653/v1/2020.blackboxnlp-1.14" TargetMode="External"/><Relationship Id="rId35" Type="http://schemas.openxmlformats.org/officeDocument/2006/relationships/hyperlink" Target="https://doi.org/10.3390/electronics13112198" TargetMode="External"/><Relationship Id="rId56" Type="http://schemas.openxmlformats.org/officeDocument/2006/relationships/hyperlink" Target="https://doi.org/10.1080/01621459.1937.10503522" TargetMode="External"/><Relationship Id="rId77" Type="http://schemas.openxmlformats.org/officeDocument/2006/relationships/hyperlink" Target="https://doi.org/10.1145/3592307.3592342" TargetMode="External"/><Relationship Id="rId100" Type="http://schemas.openxmlformats.org/officeDocument/2006/relationships/hyperlink" Target="https://doi.org/10.1145/3711123" TargetMode="External"/><Relationship Id="rId105" Type="http://schemas.openxmlformats.org/officeDocument/2006/relationships/hyperlink" Target="https://doi.org/10.1145/3678884.3682046" TargetMode="External"/><Relationship Id="rId126" Type="http://schemas.openxmlformats.org/officeDocument/2006/relationships/hyperlink" Target="https://doi.org/10.1609/aaai.v34i04.6064" TargetMode="External"/><Relationship Id="rId8" Type="http://schemas.openxmlformats.org/officeDocument/2006/relationships/image" Target="media/image2.png"/><Relationship Id="rId51" Type="http://schemas.openxmlformats.org/officeDocument/2006/relationships/hyperlink" Target="https://doi.org/10.2139/ssrn.6847479" TargetMode="External"/><Relationship Id="rId72" Type="http://schemas.openxmlformats.org/officeDocument/2006/relationships/hyperlink" Target="https://doi.org/10.1145/3651593" TargetMode="External"/><Relationship Id="rId93" Type="http://schemas.openxmlformats.org/officeDocument/2006/relationships/hyperlink" Target="https://doi.org/10.1145/3610064" TargetMode="External"/><Relationship Id="rId98" Type="http://schemas.openxmlformats.org/officeDocument/2006/relationships/hyperlink" Target="https://doi.org/10.1145/3583558" TargetMode="External"/><Relationship Id="rId121" Type="http://schemas.openxmlformats.org/officeDocument/2006/relationships/hyperlink" Target="https://doi.org/10.1007/978-3-031-63787-2_23" TargetMode="External"/><Relationship Id="rId3" Type="http://schemas.openxmlformats.org/officeDocument/2006/relationships/settings" Target="settings.xml"/><Relationship Id="rId25" Type="http://schemas.openxmlformats.org/officeDocument/2006/relationships/hyperlink" Target="https://doi.org/10.1609/aimag.v35i4.2513" TargetMode="External"/><Relationship Id="rId46" Type="http://schemas.openxmlformats.org/officeDocument/2006/relationships/hyperlink" Target="https://doi.org/10.48550/arxiv.1702.08608" TargetMode="External"/><Relationship Id="rId67" Type="http://schemas.openxmlformats.org/officeDocument/2006/relationships/hyperlink" Target="https://doi.org/10.1126/science.359.6377.725" TargetMode="External"/><Relationship Id="rId116" Type="http://schemas.openxmlformats.org/officeDocument/2006/relationships/hyperlink" Target="https://doi.org/10.1016/j.knosys.2023.110273" TargetMode="External"/><Relationship Id="rId137" Type="http://schemas.openxmlformats.org/officeDocument/2006/relationships/header" Target="header2.xml"/><Relationship Id="rId20" Type="http://schemas.openxmlformats.org/officeDocument/2006/relationships/hyperlink" Target="https://doi.org/10.1016/j.inffus.2023.101805" TargetMode="External"/><Relationship Id="rId41" Type="http://schemas.openxmlformats.org/officeDocument/2006/relationships/hyperlink" Target="https://doi.org/10.2139/ssrn.5040613" TargetMode="External"/><Relationship Id="rId62" Type="http://schemas.openxmlformats.org/officeDocument/2006/relationships/hyperlink" Target="https://doi.org/10.18653/v1/2020.acl-main.491" TargetMode="External"/><Relationship Id="rId83" Type="http://schemas.openxmlformats.org/officeDocument/2006/relationships/hyperlink" Target="https://doi.org/10.1016/j.inffus.2024.102301" TargetMode="External"/><Relationship Id="rId88" Type="http://schemas.openxmlformats.org/officeDocument/2006/relationships/hyperlink" Target="https://doi.org/10.1016/j.artint.2018.07.007" TargetMode="External"/><Relationship Id="rId111" Type="http://schemas.openxmlformats.org/officeDocument/2006/relationships/hyperlink" Target="https://proceedings.mlr.press/v162/rong22a.html" TargetMode="External"/><Relationship Id="rId132" Type="http://schemas.openxmlformats.org/officeDocument/2006/relationships/hyperlink" Target="https://doi.org/10.1007/978-3-319-57959-7" TargetMode="External"/><Relationship Id="rId15" Type="http://schemas.openxmlformats.org/officeDocument/2006/relationships/hyperlink" Target="https://doi.org/10.1109/INES59045.2023.1030000" TargetMode="External"/><Relationship Id="rId36" Type="http://schemas.openxmlformats.org/officeDocument/2006/relationships/hyperlink" Target="https://doi.org/10.1023/a:1010933404324" TargetMode="External"/><Relationship Id="rId57" Type="http://schemas.openxmlformats.org/officeDocument/2006/relationships/hyperlink" Target="https://doi.org/10.1145/3626203.3670522" TargetMode="External"/><Relationship Id="rId106" Type="http://schemas.openxmlformats.org/officeDocument/2006/relationships/hyperlink" Target="https://doi.org/10.1145/3375627.3375850" TargetMode="External"/><Relationship Id="rId127" Type="http://schemas.openxmlformats.org/officeDocument/2006/relationships/hyperlink" Target="https://doi.org/10.1201/9781003442509" TargetMode="External"/><Relationship Id="rId10" Type="http://schemas.openxmlformats.org/officeDocument/2006/relationships/image" Target="media/image4.png"/><Relationship Id="rId31" Type="http://schemas.openxmlformats.org/officeDocument/2006/relationships/hyperlink" Target="https://doi.org/10.3389/fdata.2021.688969" TargetMode="External"/><Relationship Id="rId52" Type="http://schemas.openxmlformats.org/officeDocument/2006/relationships/hyperlink" Target="https://doi.org/10.1145/3573900.3591114" TargetMode="External"/><Relationship Id="rId73" Type="http://schemas.openxmlformats.org/officeDocument/2006/relationships/hyperlink" Target="https://doi.org/10.1145/3313831.3376219" TargetMode="External"/><Relationship Id="rId78" Type="http://schemas.openxmlformats.org/officeDocument/2006/relationships/hyperlink" Target="https://doi.org/10.3389/fpsyg.2013.00863" TargetMode="External"/><Relationship Id="rId94" Type="http://schemas.openxmlformats.org/officeDocument/2006/relationships/hyperlink" Target="https://doi.org/10.1145/3351095.3372850" TargetMode="External"/><Relationship Id="rId99" Type="http://schemas.openxmlformats.org/officeDocument/2006/relationships/hyperlink" Target="https://catalog.princeton.edu/catalog/2081365" TargetMode="External"/><Relationship Id="rId101" Type="http://schemas.openxmlformats.org/officeDocument/2006/relationships/hyperlink" Target="https://doi.org/10.1145/3613904.3642352" TargetMode="External"/><Relationship Id="rId122" Type="http://schemas.openxmlformats.org/officeDocument/2006/relationships/hyperlink" Target="https://doi.org/10.1145/3375627.3375830"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oi.org/10.1002/widm.1424" TargetMode="External"/><Relationship Id="rId47" Type="http://schemas.openxmlformats.org/officeDocument/2006/relationships/hyperlink" Target="http://archive.ics.uci.edu/ml" TargetMode="External"/><Relationship Id="rId68" Type="http://schemas.openxmlformats.org/officeDocument/2006/relationships/hyperlink" Target="https://doi.org/10.1145/3631908.3631925" TargetMode="External"/><Relationship Id="rId89" Type="http://schemas.openxmlformats.org/officeDocument/2006/relationships/hyperlink" Target="https://doi.org/10.1145/3607947.3608059" TargetMode="External"/><Relationship Id="rId112" Type="http://schemas.openxmlformats.org/officeDocument/2006/relationships/hyperlink" Target="https://doi.org/10.1109/TPAMI.2023.3331846" TargetMode="External"/><Relationship Id="rId133" Type="http://schemas.openxmlformats.org/officeDocument/2006/relationships/hyperlink" Target="https://doi.org/10.2139/ssrn.3063289"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48618</Words>
  <Characters>277124</Characters>
  <Application>Microsoft Office Word</Application>
  <DocSecurity>0</DocSecurity>
  <Lines>2309</Lines>
  <Paragraphs>650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cp:keywords/>
  <cp:lastModifiedBy>Jonathan Herrera</cp:lastModifiedBy>
  <cp:revision>2</cp:revision>
  <dcterms:created xsi:type="dcterms:W3CDTF">2026-09-27T20:48:00Z</dcterms:created>
  <dcterms:modified xsi:type="dcterms:W3CDTF">2026-09-27T20:51:00Z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