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por lo que su uso queda acotado a un papel exploratorio y de calibración instrumental.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which confines such judges to an exploratory, instrument-calibration role.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w:t>
      </w:r>
      <w:r>
        <w:t xml:space="preserve"> </w:t>
      </w:r>
      <w:hyperlink w:anchor="tbl-model-performance">
        <w:r>
          <w:rPr>
            <w:rStyle w:val="Hipervnculo"/>
          </w:rPr>
          <w:t xml:space="preserve">3.1</w:t>
        </w:r>
      </w:hyperlink>
      <w:r>
        <w:t xml:space="preserve">.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0.064</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0.045</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w:t>
      </w:r>
      <w:r>
        <w:t xml:space="preserve"> </w:t>
      </w:r>
      <w:hyperlink w:anchor="sec-fom7">
        <w:r>
          <w:rPr>
            <w:rStyle w:val="Hipervnculo"/>
          </w:rPr>
          <w:t xml:space="preserve">3.6</w:t>
        </w:r>
      </w:hyperlink>
      <w:r>
        <w:t xml:space="preserve">.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w:t>
      </w:r>
      <w:r>
        <w:t xml:space="preserve"> </w:t>
      </w:r>
      <w:hyperlink w:anchor="sec-muestreo">
        <w:r>
          <w:rPr>
            <w:rStyle w:val="Hipervnculo"/>
          </w:rPr>
          <w:t xml:space="preserve">3.4</w:t>
        </w:r>
      </w:hyperlink>
      <w:r>
        <w:t xml:space="preserve">.</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sec-muestreo"/>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sec-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w:t>
      </w:r>
      <w:r>
        <w:t xml:space="preserve"> </w:t>
      </w:r>
      <w:hyperlink w:anchor="sec-cobertura">
        <w:r>
          <w:rPr>
            <w:rStyle w:val="Hipervnculo"/>
          </w:rPr>
          <w:t xml:space="preserve">3.7</w:t>
        </w:r>
      </w:hyperlink>
      <w:r>
        <w:t xml:space="preserve">)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sec-cobertura"/>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2026-09-06T04:11:24Z</dcterms:created>
  <dcterms:modified xsi:type="dcterms:W3CDTF">2026-09-06T04:11:24Z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