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6.png" ContentType="image/png"/>
  <Override PartName="/word/media/rId142.png" ContentType="image/png"/>
  <Override PartName="/word/media/rId138.png" ContentType="image/png"/>
  <Override PartName="/word/media/rId134.png" ContentType="image/png"/>
  <Override PartName="/word/media/rId150.png" ContentType="image/png"/>
  <Override PartName="/word/media/rId130.png" ContentType="image/png"/>
  <Override PartName="/word/media/rId154.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Subtitle"/>
        <w:spacing w:line="240" w:lineRule="auto"/>
        <w:jc w:val="center"/>
      </w:pPr>
      <w:r>
        <w:t xml:space="preserve">Doctorado en Informática</w:t>
      </w:r>
    </w:p>
    <w:p>
      <w:pPr>
        <w:spacing w:line="240" w:lineRule="auto"/>
        <w:jc w:val="center"/>
      </w:pPr>
    </w:p>
    <w:p>
      <w:pPr>
        <w:spacing w:line="240" w:lineRule="auto"/>
        <w:jc w:val="center"/>
      </w:pPr>
    </w:p>
    <w:p>
      <w:pPr>
        <w:pStyle w:val="Title"/>
        <w:spacing w:line="240" w:lineRule="auto"/>
        <w:jc w:val="center"/>
      </w:pPr>
      <w:r>
        <w:t xml:space="preserve">Arquitectura Agnóstica para la Interpretabilidad de Modelos de Inteligencia Artificial de Caja Negra</w:t>
      </w:r>
    </w:p>
    <w:p>
      <w:pPr>
        <w:spacing w:line="240" w:lineRule="auto"/>
        <w:jc w:val="center"/>
      </w:pPr>
    </w:p>
    <w:p>
      <w:pPr>
        <w:spacing w:line="240" w:lineRule="auto"/>
        <w:jc w:val="center"/>
      </w:pPr>
    </w:p>
    <w:p>
      <w:pPr>
        <w:spacing w:line="240" w:lineRule="auto"/>
        <w:jc w:val="center"/>
      </w:pPr>
    </w:p>
    <w:p>
      <w:pPr>
        <w:pStyle w:val="Author"/>
        <w:spacing w:line="240" w:lineRule="auto"/>
        <w:jc w:val="center"/>
      </w:pPr>
      <w:r>
        <w:t xml:space="preserve">Jonathan Herrera Vásquez</w:t>
      </w:r>
    </w:p>
    <w:p>
      <w:pPr>
        <w:pStyle w:val="Author"/>
        <w:spacing w:line="240" w:lineRule="auto"/>
        <w:jc w:val="center"/>
      </w:pPr>
      <w:r>
        <w:t xml:space="preserve">Director: Dr. Miguel Herrero Uceda</w:t>
      </w:r>
    </w:p>
    <w:p>
      <w:pPr>
        <w:spacing w:line="240" w:lineRule="auto"/>
        <w:jc w:val="center"/>
      </w:pPr>
    </w:p>
    <w:p>
      <w:pPr>
        <w:spacing w:line="240" w:lineRule="auto"/>
        <w:jc w:val="center"/>
      </w:pPr>
    </w:p>
    <w:p>
      <w:pPr>
        <w:spacing w:line="240" w:lineRule="auto"/>
        <w:jc w:val="center"/>
      </w:pPr>
    </w:p>
    <w:p>
      <w:pPr>
        <w:pStyle w:val="Date"/>
        <w:spacing w:line="240" w:lineRule="auto"/>
        <w:jc w:val="center"/>
      </w:pPr>
      <w:r>
        <w:t xml:space="preserve">Cancún, México</w:t>
      </w:r>
    </w:p>
    <w:p>
      <w:r>
        <w:br w:type="page"/>
      </w:r>
    </w:p>
    <w:sdt>
      <w:sdtPr>
        <w:docPartObj>
          <w:docPartGallery w:val="Table of Contents"/>
          <w:docPartUnique/>
        </w:docPartObj>
      </w:sdtPr>
      <w:sdtContent>
        <w:p>
          <w:pPr>
            <w:pStyle w:val="TtulodeTDC"/>
            <w:spacing w:line="360" w:lineRule="auto"/>
            <w:jc w:val="both"/>
          </w:pPr>
          <w:r>
            <w:t xml:space="preserve">Tabla de contenidos</w:t>
          </w:r>
        </w:p>
        <w:p>
          <w:pPr>
            <w:spacing w:line="360" w:lineRule="auto"/>
            <w:jc w:val="both"/>
          </w:pPr>
          <w:r>
            <w:fldChar w:fldCharType="begin" w:dirty="true"/>
            <w:instrText xml:space="preserve">TOC \o "1-3" \h \z \u</w:instrText>
            <w:fldChar w:fldCharType="separate"/>
            <w:fldChar w:fldCharType="end"/>
          </w:r>
        </w:p>
      </w:sdtContent>
    </w:sdt>
    <w:p>
      <w:r>
        <w:br w:type="page"/>
      </w:r>
    </w:p>
    <w:bookmarkStart w:id="25" w:name="dedicatoria"/>
    <w:p>
      <w:pPr>
        <w:pStyle w:val="Ttulo1"/>
        <w:spacing w:line="360" w:lineRule="auto"/>
        <w:jc w:val="both"/>
      </w:pPr>
      <w:r>
        <w:t xml:space="preserve">Dedicatoria</w:t>
      </w:r>
    </w:p>
    <w:p>
      <w:pPr>
        <w:pStyle w:val="FirstParagraph"/>
        <w:spacing w:line="360" w:lineRule="auto"/>
        <w:jc w:val="both"/>
      </w:pPr>
      <w:r>
        <w:t xml:space="preserve">A mi hijo, Alejandro, su curiosidad es mi inspiración para seguir buscando</w:t>
      </w:r>
      <w:r>
        <w:t xml:space="preserve"> </w:t>
      </w:r>
      <w:r>
        <w:t xml:space="preserve">respuesta a todas las preguntas.</w:t>
      </w:r>
    </w:p>
    <w:p>
      <w:pPr>
        <w:pStyle w:val="Textoindependiente"/>
        <w:spacing w:line="360" w:lineRule="auto"/>
        <w:jc w:val="both"/>
      </w:pPr>
      <w:r>
        <w:t xml:space="preserve">A mi esposa, Liena, tu presencia en mi vida me ha hecho una mejor persona.</w:t>
      </w:r>
    </w:p>
    <w:p>
      <w:pPr>
        <w:pStyle w:val="Textoindependiente"/>
        <w:spacing w:line="360" w:lineRule="auto"/>
        <w:jc w:val="both"/>
      </w:pPr>
      <w:r>
        <w:t xml:space="preserve">A mi madre, Alis, sin tu guía no hubiese podido llegar aquí.</w:t>
      </w:r>
    </w:p>
    <w:p>
      <w:pPr>
        <w:pStyle w:val="Textoindependiente"/>
        <w:spacing w:line="360" w:lineRule="auto"/>
        <w:jc w:val="both"/>
      </w:pPr>
      <w:r>
        <w:t xml:space="preserve">Jonathan Herrera Vásquez</w:t>
      </w:r>
    </w:p>
    <w:p>
      <w:pPr>
        <w:spacing w:line="360" w:lineRule="auto"/>
        <w:jc w:val="both"/>
      </w:pPr>
      <w:r>
        <w:br w:type="page"/>
      </w:r>
    </w:p>
    <w:bookmarkEnd w:id="25"/>
    <w:bookmarkStart w:id="26" w:name="agradecimientos"/>
    <w:p>
      <w:pPr>
        <w:pStyle w:val="Ttulo1"/>
        <w:spacing w:line="360" w:lineRule="auto"/>
        <w:jc w:val="both"/>
      </w:pPr>
      <w:r>
        <w:t xml:space="preserve">Agradecimientos</w:t>
      </w:r>
    </w:p>
    <w:p>
      <w:pPr>
        <w:pStyle w:val="FirstParagraph"/>
        <w:spacing w:line="360" w:lineRule="auto"/>
        <w:jc w:val="both"/>
      </w:pPr>
      <w:r>
        <w:t xml:space="preserve">Agradezco a mi familia por todo su apoyo en el camino a través de los años.</w:t>
      </w:r>
    </w:p>
    <w:p>
      <w:pPr>
        <w:pStyle w:val="Textoindependiente"/>
        <w:spacing w:line="360" w:lineRule="auto"/>
        <w:jc w:val="both"/>
      </w:pPr>
      <w:r>
        <w:t xml:space="preserve">Agradezco al Dr. Miguel Herrero Uceda por su apoyo en el proceso de elaboración</w:t>
      </w:r>
      <w:r>
        <w:t xml:space="preserve"> </w:t>
      </w:r>
      <w:r>
        <w:t xml:space="preserve">de esta tesis.</w:t>
      </w:r>
    </w:p>
    <w:p>
      <w:pPr>
        <w:spacing w:line="360" w:lineRule="auto"/>
        <w:jc w:val="both"/>
      </w:pPr>
      <w:r>
        <w:br w:type="page"/>
      </w:r>
    </w:p>
    <w:bookmarkEnd w:id="26"/>
    <w:bookmarkStart w:id="27"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7"/>
    <w:bookmarkStart w:id="28"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8"/>
    <w:bookmarkStart w:id="29"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y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y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 y</w:t>
      </w:r>
      <w:r>
        <w:t xml:space="preserve"> </w:t>
      </w:r>
      <w:r>
        <w:t xml:space="preserve">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w:t>
      </w:r>
      <w:r>
        <w:t xml:space="preserve"> </w:t>
      </w:r>
      <w:r>
        <w:t xml:space="preserve">conjunto de datos, el diseño factorial, la operacionalización de métricas, el</w:t>
      </w:r>
      <w:r>
        <w:t xml:space="preserve"> </w:t>
      </w:r>
      <w:r>
        <w:t xml:space="preserve">análisis de cobertura y el plan de inferencia estadística. El</w:t>
      </w:r>
      <w:r>
        <w:t xml:space="preserve"> </w:t>
      </w:r>
      <w:r>
        <w:rPr>
          <w:b/>
          <w:bCs/>
        </w:rPr>
        <w:t xml:space="preserve">Capítulo 4</w:t>
      </w:r>
      <w:r>
        <w:t xml:space="preserve"> </w:t>
      </w:r>
      <w:r>
        <w:t xml:space="preserve">expone y discute los resultados empíricos del Estudio Omnibus Multimétrico y</w:t>
      </w:r>
      <w:r>
        <w:t xml:space="preserve"> </w:t>
      </w:r>
      <w:r>
        <w:t xml:space="preserve">del Estudio Pareado LIME–SHAP, con plena trazabilidad de afirmaciones. El</w:t>
      </w:r>
      <w:r>
        <w:t xml:space="preserve"> </w:t>
      </w:r>
      <w:r>
        <w:rPr>
          <w:b/>
          <w:bCs/>
        </w:rPr>
        <w:t xml:space="preserve">Capítulo 5</w:t>
      </w:r>
      <w:r>
        <w:t xml:space="preserve"> </w:t>
      </w:r>
      <w:r>
        <w:t xml:space="preserve">desarrolla la taxonomía de métricas XAI como contribución</w:t>
      </w:r>
      <w:r>
        <w:t xml:space="preserve"> </w:t>
      </w:r>
      <w:r>
        <w:t xml:space="preserve">teórica autónoma. El</w:t>
      </w:r>
      <w:r>
        <w:t xml:space="preserve"> </w:t>
      </w:r>
      <w:r>
        <w:rPr>
          <w:b/>
          <w:bCs/>
        </w:rPr>
        <w:t xml:space="preserve">Capítulo 6</w:t>
      </w:r>
      <w:r>
        <w:t xml:space="preserve"> </w:t>
      </w:r>
      <w:r>
        <w:t xml:space="preserve">sintetiza las conclusiones, separa las</w:t>
      </w:r>
      <w:r>
        <w:t xml:space="preserve"> </w:t>
      </w:r>
      <w:r>
        <w:t xml:space="preserve">contribuciones de la literatura previa, reconoce las limitaciones y propone</w:t>
      </w:r>
      <w:r>
        <w:t xml:space="preserve"> </w:t>
      </w:r>
      <w:r>
        <w:t xml:space="preserve">líneas de investigación futura. Los apéndices documentan los datos, modelos,</w:t>
      </w:r>
      <w:r>
        <w:t xml:space="preserve"> </w:t>
      </w:r>
      <w:r>
        <w:t xml:space="preserve">configuraciones, salidas estadísticas y entorno de reproducción.</w:t>
      </w:r>
    </w:p>
    <w:bookmarkEnd w:id="29"/>
    <w:bookmarkStart w:id="46" w:name="X5ee05387dee19c69da16f23956e4a7b7da9e28f"/>
    <w:p>
      <w:pPr>
        <w:pStyle w:val="Ttulo1"/>
        <w:spacing w:line="360" w:lineRule="auto"/>
        <w:jc w:val="both"/>
      </w:pPr>
      <w:r>
        <w:t xml:space="preserve">Capítulo 1. 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30" w:name="problema-de-investigación"/>
    <w:p>
      <w:pPr>
        <w:pStyle w:val="Ttulo2"/>
        <w:spacing w:line="360" w:lineRule="auto"/>
        <w:jc w:val="both"/>
      </w:pP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y Verbert 2024; Lipton 2018)</w:t>
      </w:r>
      <w:r>
        <w:t xml:space="preserve">. Las</w:t>
      </w:r>
      <w:r>
        <w:t xml:space="preserve"> </w:t>
      </w:r>
      <w:r>
        <w:t xml:space="preserve">revisiones panorámicas del campo coinciden en el diagnóstico: el catálogo de</w:t>
      </w:r>
      <w:r>
        <w:t xml:space="preserve"> </w:t>
      </w:r>
      <w:r>
        <w:t xml:space="preserve">técnicas ha crecido con rapidez</w:t>
      </w:r>
      <w:r>
        <w:t xml:space="preserve"> </w:t>
      </w:r>
      <w:r>
        <w:t xml:space="preserve">(Dwivedi 2022)</w:t>
      </w:r>
      <w:r>
        <w:t xml:space="preserve">, mientras que los retos abiertos</w:t>
      </w:r>
      <w:r>
        <w:t xml:space="preserve"> </w:t>
      </w:r>
      <w:r>
        <w:t xml:space="preserve">de evaluación permanecen en buena medida sin resolver a lo largo de sucesivas</w:t>
      </w:r>
      <w:r>
        <w:t xml:space="preserve"> </w:t>
      </w:r>
      <w:r>
        <w:t xml:space="preserve">meta-revisiones</w:t>
      </w:r>
      <w:r>
        <w:t xml:space="preserve"> </w:t>
      </w:r>
      <w:r>
        <w:t xml:space="preserve">(Saeed 2023)</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y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y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30"/>
    <w:bookmarkStart w:id="31" w:name="justificación-científica-y-práctica"/>
    <w:p>
      <w:pPr>
        <w:pStyle w:val="Ttulo2"/>
        <w:spacing w:line="360" w:lineRule="auto"/>
        <w:jc w:val="both"/>
      </w:pP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y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p>
      <w:pPr>
        <w:pStyle w:val="Textoindependiente"/>
        <w:spacing w:line="360" w:lineRule="auto"/>
        <w:jc w:val="both"/>
      </w:pPr>
      <w:r>
        <w:t xml:space="preserve">La amplitud de dominios en que la explicabilidad se despliega refuerza la</w:t>
      </w:r>
      <w:r>
        <w:t xml:space="preserve"> </w:t>
      </w:r>
      <w:r>
        <w:t xml:space="preserve">necesidad de criterios de selección fundamentados. La literatura reciente</w:t>
      </w:r>
      <w:r>
        <w:t xml:space="preserve"> </w:t>
      </w:r>
      <w:r>
        <w:t xml:space="preserve">documenta aplicaciones en seguridad informática —análisis de programas</w:t>
      </w:r>
      <w:r>
        <w:t xml:space="preserve"> </w:t>
      </w:r>
      <w:r>
        <w:t xml:space="preserve">maliciosos</w:t>
      </w:r>
      <w:r>
        <w:t xml:space="preserve"> </w:t>
      </w:r>
      <w:r>
        <w:t xml:space="preserve">(Saqib et al. 2024)</w:t>
      </w:r>
      <w:r>
        <w:t xml:space="preserve">, detección de URL fraudulentas</w:t>
      </w:r>
      <w:r>
        <w:t xml:space="preserve"> </w:t>
      </w:r>
      <w:r>
        <w:t xml:space="preserve">(Mittal 2023)</w:t>
      </w:r>
      <w:r>
        <w:t xml:space="preserve"> </w:t>
      </w:r>
      <w:r>
        <w:t xml:space="preserve">y robustez</w:t>
      </w:r>
      <w:r>
        <w:t xml:space="preserve"> </w:t>
      </w:r>
      <w:r>
        <w:t xml:space="preserve">frente a ejemplos adversarios</w:t>
      </w:r>
      <w:r>
        <w:t xml:space="preserve"> </w:t>
      </w:r>
      <w:r>
        <w:t xml:space="preserve">(Gafur et al. 2024)</w:t>
      </w:r>
      <w:r>
        <w:t xml:space="preserve">—, en educación</w:t>
      </w:r>
      <w:r>
        <w:t xml:space="preserve"> </w:t>
      </w:r>
      <w:r>
        <w:t xml:space="preserve">(Iatrellis et al. 2023; Gomez et al. 2024)</w:t>
      </w:r>
      <w:r>
        <w:t xml:space="preserve">, en agricultura digital</w:t>
      </w:r>
      <w:r>
        <w:t xml:space="preserve"> </w:t>
      </w:r>
      <w:r>
        <w:t xml:space="preserve">(Porfírio 2024)</w:t>
      </w:r>
      <w:r>
        <w:t xml:space="preserve">, en biología estructural</w:t>
      </w:r>
      <w:r>
        <w:t xml:space="preserve"> </w:t>
      </w:r>
      <w:r>
        <w:t xml:space="preserve">(Tan y Zhang 2023)</w:t>
      </w:r>
      <w:r>
        <w:t xml:space="preserve">, en la auditoría de sesgos en sistemas de clasificación de texto</w:t>
      </w:r>
      <w:r>
        <w:t xml:space="preserve"> </w:t>
      </w:r>
      <w:r>
        <w:t xml:space="preserve">(Muntasir y Noor 2024)</w:t>
      </w:r>
      <w:r>
        <w:t xml:space="preserve"> </w:t>
      </w:r>
      <w:r>
        <w:t xml:space="preserve">y en la anticipación de necesidades formativas</w:t>
      </w:r>
      <w:r>
        <w:t xml:space="preserve"> </w:t>
      </w:r>
      <w:r>
        <w:t xml:space="preserve">(Bobitan et al. 2024)</w:t>
      </w:r>
      <w:r>
        <w:t xml:space="preserve">.</w:t>
      </w:r>
      <w:r>
        <w:t xml:space="preserve"> </w:t>
      </w:r>
      <w:r>
        <w:t xml:space="preserve">El mismo desplazamiento alcanza a la simulación</w:t>
      </w:r>
      <w:r>
        <w:t xml:space="preserve"> </w:t>
      </w:r>
      <w:r>
        <w:t xml:space="preserve">(Feldkamp y Strassburger 2023)</w:t>
      </w:r>
      <w:r>
        <w:t xml:space="preserve">, a la computación</w:t>
      </w:r>
      <w:r>
        <w:t xml:space="preserve"> </w:t>
      </w:r>
      <w:r>
        <w:t xml:space="preserve">evolutiva</w:t>
      </w:r>
      <w:r>
        <w:t xml:space="preserve"> </w:t>
      </w:r>
      <w:r>
        <w:t xml:space="preserve">(Bacardit et al. 2024)</w:t>
      </w:r>
      <w:r>
        <w:t xml:space="preserve"> </w:t>
      </w:r>
      <w:r>
        <w:t xml:space="preserve">y al diseño de agentes autónomos, donde la exigencia de</w:t>
      </w:r>
      <w:r>
        <w:t xml:space="preserve"> </w:t>
      </w:r>
      <w:r>
        <w:t xml:space="preserve">explicabilidad se plantea ya como requisito arquitectónico</w:t>
      </w:r>
      <w:r>
        <w:t xml:space="preserve"> </w:t>
      </w:r>
      <w:r>
        <w:t xml:space="preserve">(Rodriguez y Thangarajah 2024; Hosseini y Seilani 2025)</w:t>
      </w:r>
      <w:r>
        <w:t xml:space="preserve">. En todos estos contextos la pregunta operativa es la misma —qué</w:t>
      </w:r>
      <w:r>
        <w:t xml:space="preserve"> </w:t>
      </w:r>
      <w:r>
        <w:t xml:space="preserve">método explicador elegir y con qué garantías— y en ninguno se responde con un</w:t>
      </w:r>
      <w:r>
        <w:t xml:space="preserve"> </w:t>
      </w:r>
      <w:r>
        <w:t xml:space="preserve">criterio único: cada dominio prioriza dimensiones de calidad distintas, lo que</w:t>
      </w:r>
      <w:r>
        <w:t xml:space="preserve"> </w:t>
      </w:r>
      <w:r>
        <w:t xml:space="preserve">justifica un marco de evaluación multidimensional en lugar de un ranking</w:t>
      </w:r>
      <w:r>
        <w:t xml:space="preserve"> </w:t>
      </w:r>
      <w:r>
        <w:t xml:space="preserve">absoluto.</w:t>
      </w:r>
    </w:p>
    <w:bookmarkEnd w:id="31"/>
    <w:bookmarkStart w:id="37" w:name="objetivos-e-hipótesis"/>
    <w:p>
      <w:pPr>
        <w:pStyle w:val="Ttulo2"/>
        <w:spacing w:line="360" w:lineRule="auto"/>
        <w:jc w:val="both"/>
      </w:pPr>
      <w:r>
        <w:t xml:space="preserve">Objetivos e hipótesis</w:t>
      </w:r>
    </w:p>
    <w:bookmarkStart w:id="32" w:name="objetivo-general"/>
    <w:p>
      <w:pPr>
        <w:pStyle w:val="Ttulo3"/>
        <w:spacing w:line="360" w:lineRule="auto"/>
        <w:jc w:val="both"/>
      </w:pP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2"/>
    <w:bookmarkStart w:id="33" w:name="objetivos-específicos"/>
    <w:p>
      <w:pPr>
        <w:pStyle w:val="Ttulo3"/>
        <w:spacing w:line="360" w:lineRule="auto"/>
        <w:jc w:val="both"/>
      </w:pP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el Estudio Omnibus Multimétrico —la comparación de los</w:t>
      </w:r>
      <w:r>
        <w:t xml:space="preserve"> </w:t>
      </w:r>
      <w:r>
        <w:t xml:space="preserve">cuatro métodos agnósticos— y el Estudio Pareado LIME–SHAP, y que haga</w:t>
      </w:r>
      <w:r>
        <w:t xml:space="preserve"> </w:t>
      </w:r>
      <w:r>
        <w:t xml:space="preserve">explícitas las brechas de constructo del campo.</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w:t>
      </w:r>
      <w:r>
        <w:t xml:space="preserve"> </w:t>
      </w:r>
      <w:r>
        <w:t xml:space="preserve">de determinar si dicho instrumento alcanza la convergencia necesaria para</w:t>
      </w:r>
      <w:r>
        <w:t xml:space="preserve"> </w:t>
      </w:r>
      <w:r>
        <w:t xml:space="preserve">sostener afirmaciones confirmativas. Derivado de la Brecha 3 del Capítulo 5,</w:t>
      </w:r>
      <w:r>
        <w:t xml:space="preserve"> </w:t>
      </w:r>
      <w:r>
        <w:t xml:space="preserve">su alcance es exploratorio y de calibración instrumental, no confirmativo;</w:t>
      </w:r>
      <w:r>
        <w:t xml:space="preserve"> </w:t>
      </w:r>
      <w:r>
        <w:t xml:space="preserve">el estatuto epistémico de la proposición asociada se argumenta junto a P2.</w:t>
      </w:r>
    </w:p>
    <w:bookmarkEnd w:id="33"/>
    <w:bookmarkStart w:id="35" w:name="nomenclatura-de-los-estudios"/>
    <w:p>
      <w:pPr>
        <w:pStyle w:val="Ttulo3"/>
        <w:spacing w:line="360" w:lineRule="auto"/>
        <w:jc w:val="both"/>
      </w:pPr>
      <w:r>
        <w:t xml:space="preserve">Nomenclatura de los estudios</w:t>
      </w:r>
    </w:p>
    <w:p>
      <w:pPr>
        <w:pStyle w:val="FirstParagraph"/>
        <w:spacing w:line="360" w:lineRule="auto"/>
        <w:jc w:val="both"/>
      </w:pPr>
      <w:r>
        <w:t xml:space="preserve">La investigación se articula en cuatro estudios, cuya denominación se emplea de</w:t>
      </w:r>
      <w:r>
        <w:t xml:space="preserve"> </w:t>
      </w:r>
      <w:r>
        <w:t xml:space="preserve">forma uniforme en el resto del documento. Los objetivos 1 y 4 —formalización del</w:t>
      </w:r>
      <w:r>
        <w:t xml:space="preserve"> </w:t>
      </w:r>
      <w:r>
        <w:t xml:space="preserve">protocolo FOM-7 y caracterización de su reproducibilidad— son transversales a los</w:t>
      </w:r>
      <w:r>
        <w:t xml:space="preserve"> </w:t>
      </w:r>
      <w:r>
        <w:t xml:space="preserve">dos estudios empíricos y no se adscriben a uno solo de ellos.</w:t>
      </w:r>
    </w:p>
    <w:tbl>
      <w:tblPr>
        <w:tblStyle w:val="Table"/>
        <w:tblW w:type="pct" w:w="5000"/>
        <w:tblLayout w:type="fixed"/>
        <w:tblLook w:firstRow="0" w:lastRow="0" w:firstColumn="0" w:lastColumn="0" w:noHBand="0" w:noVBand="0" w:val="0000"/>
      </w:tblPr>
      <w:tblGrid>
        <w:gridCol w:w="7920"/>
      </w:tblGrid>
      <w:tr>
        <w:tc>
          <w:tcPr/>
          <w:bookmarkStart w:id="34" w:name="tbl-estudios"/>
          <w:p>
            <w:pPr>
              <w:jc w:val="both"/>
              <w:spacing w:line="360" w:lineRule="auto"/>
            </w:pPr>
            <w:pPr>
              <w:jc w:val="left"/>
              <w:spacing w:before="200"/>
              <w:pStyle w:val="ImageCaption"/>
            </w:pPr>
            <w:r>
              <w:t xml:space="preserve">Tabla 1.1: Nomenclatura, alcance y trazabilidad de los cuatro estudios.</w:t>
            </w:r>
          </w:p>
          <w:tbl>
            <w:tblPr>
              <w:tblStyle w:val="Table"/>
              <w:tblW w:type="pct" w:w="5000"/>
              <w:tblLayout w:type="fixed"/>
              <w:tblLook w:firstRow="1" w:lastRow="0" w:firstColumn="0" w:lastColumn="0" w:noHBand="0" w:noVBand="0" w:val="0020"/>
            </w:tblPr>
            <w:tblGrid>
              <w:gridCol w:w="1344"/>
              <w:gridCol w:w="3436"/>
              <w:gridCol w:w="1494"/>
              <w:gridCol w:w="1643"/>
            </w:tblGrid>
            <w:tr>
              <w:trPr>
                <w:tblHeader w:val="on"/>
              </w:trPr>
              <w:tc>
                <w:tcPr/>
                <w:p>
                  <w:pPr>
                    <w:pStyle w:val="Compact"/>
                    <w:jc w:val="both"/>
                    <w:jc w:val="center"/>
                    <w:spacing w:line="360" w:lineRule="auto"/>
                  </w:pPr>
                  <w:r>
                    <w:t xml:space="preserve">Estudio</w:t>
                  </w:r>
                </w:p>
              </w:tc>
              <w:tc>
                <w:tcPr/>
                <w:p>
                  <w:pPr>
                    <w:pStyle w:val="Compact"/>
                    <w:jc w:val="both"/>
                    <w:jc w:val="center"/>
                    <w:spacing w:line="360" w:lineRule="auto"/>
                  </w:pPr>
                  <w:r>
                    <w:t xml:space="preserve">Pregunta que responde</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Capítulos</w:t>
                  </w:r>
                </w:p>
              </w:tc>
            </w:tr>
            <w:tr>
              <w:tc>
                <w:tcPr/>
                <w:p>
                  <w:pPr>
                    <w:pStyle w:val="Compact"/>
                    <w:jc w:val="both"/>
                    <w:jc w:val="center"/>
                    <w:spacing w:line="360" w:lineRule="auto"/>
                  </w:pPr>
                  <w:r>
                    <w:rPr>
                      <w:b/>
                      <w:bCs/>
                    </w:rPr>
                    <w:t xml:space="preserve">Estudio Omnibus Multimétrico</w:t>
                  </w:r>
                </w:p>
              </w:tc>
              <w:tc>
                <w:tcPr/>
                <w:p>
                  <w:pPr>
                    <w:pStyle w:val="Compact"/>
                    <w:jc w:val="both"/>
                    <w:jc w:val="center"/>
                    <w:spacing w:line="360" w:lineRule="auto"/>
                  </w:pPr>
                  <w:r>
                    <w:t xml:space="preserve">¿Difieren SHAP, LIME, Anchors y DiCE en las cinco métricas de calidad sobre el diseño factorial completo?</w:t>
                  </w:r>
                </w:p>
              </w:tc>
              <w:tc>
                <w:tcPr/>
                <w:p>
                  <w:pPr>
                    <w:pStyle w:val="Compact"/>
                    <w:jc w:val="both"/>
                    <w:jc w:val="center"/>
                    <w:spacing w:line="360" w:lineRule="auto"/>
                  </w:pPr>
                  <w:r>
                    <w:t xml:space="preserve">OE2</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Pareado LIME–SHAP</w:t>
                  </w:r>
                </w:p>
              </w:tc>
              <w:tc>
                <w:tcPr/>
                <w:p>
                  <w:pPr>
                    <w:pStyle w:val="Compact"/>
                    <w:jc w:val="both"/>
                    <w:jc w:val="center"/>
                    <w:spacing w:line="360" w:lineRule="auto"/>
                  </w:pPr>
                  <w:r>
                    <w:t xml:space="preserve">¿Cómo se comporta la relación calidad-coste entre LIME y SHAP sobre celdas coincidentes de modelo, semilla y tamaño de muestra?</w:t>
                  </w:r>
                </w:p>
              </w:tc>
              <w:tc>
                <w:tcPr/>
                <w:p>
                  <w:pPr>
                    <w:pStyle w:val="Compact"/>
                    <w:jc w:val="both"/>
                    <w:jc w:val="center"/>
                    <w:spacing w:line="360" w:lineRule="auto"/>
                  </w:pPr>
                  <w:r>
                    <w:t xml:space="preserve">OE3</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Taxonómico</w:t>
                  </w:r>
                </w:p>
              </w:tc>
              <w:tc>
                <w:tcPr/>
                <w:p>
                  <w:pPr>
                    <w:pStyle w:val="Compact"/>
                    <w:jc w:val="both"/>
                    <w:jc w:val="center"/>
                    <w:spacing w:line="360" w:lineRule="auto"/>
                  </w:pPr>
                  <w:r>
                    <w:t xml:space="preserve">¿Qué estructura conceptual organiza el espacio de métricas de evaluación XAI y qué brechas de constructo revela?</w:t>
                  </w:r>
                </w:p>
              </w:tc>
              <w:tc>
                <w:tcPr/>
                <w:p>
                  <w:pPr>
                    <w:pStyle w:val="Compact"/>
                    <w:jc w:val="both"/>
                    <w:jc w:val="center"/>
                    <w:spacing w:line="360" w:lineRule="auto"/>
                  </w:pPr>
                  <w:r>
                    <w:t xml:space="preserve">OE5</w:t>
                  </w:r>
                </w:p>
              </w:tc>
              <w:tc>
                <w:tcPr/>
                <w:p>
                  <w:pPr>
                    <w:pStyle w:val="Compact"/>
                    <w:jc w:val="both"/>
                    <w:jc w:val="center"/>
                    <w:spacing w:line="360" w:lineRule="auto"/>
                  </w:pPr>
                  <w:r>
                    <w:t xml:space="preserve">5</w:t>
                  </w:r>
                </w:p>
              </w:tc>
            </w:tr>
            <w:tr>
              <w:tc>
                <w:tcPr/>
                <w:p>
                  <w:pPr>
                    <w:pStyle w:val="Compact"/>
                    <w:jc w:val="both"/>
                    <w:jc w:val="center"/>
                    <w:spacing w:line="360" w:lineRule="auto"/>
                  </w:pPr>
                  <w:r>
                    <w:rPr>
                      <w:b/>
                      <w:bCs/>
                    </w:rPr>
                    <w:t xml:space="preserve">Estudio de Fiabilidad Inter-juez</w:t>
                  </w:r>
                </w:p>
              </w:tc>
              <w:tc>
                <w:tcPr/>
                <w:p>
                  <w:pPr>
                    <w:pStyle w:val="Compact"/>
                    <w:jc w:val="both"/>
                    <w:jc w:val="center"/>
                    <w:spacing w:line="360" w:lineRule="auto"/>
                  </w:pPr>
                  <w:r>
                    <w:t xml:space="preserve">¿Alcanzan los evaluadores semánticos basados en LLM la convergencia inter-juez necesaria para sostener afirmaciones confirmativas?</w:t>
                  </w:r>
                </w:p>
              </w:tc>
              <w:tc>
                <w:tcPr/>
                <w:p>
                  <w:pPr>
                    <w:pStyle w:val="Compact"/>
                    <w:jc w:val="both"/>
                    <w:jc w:val="center"/>
                    <w:spacing w:line="360" w:lineRule="auto"/>
                  </w:pPr>
                  <w:r>
                    <w:t xml:space="preserve">OE6</w:t>
                  </w:r>
                </w:p>
              </w:tc>
              <w:tc>
                <w:tcPr/>
                <w:p>
                  <w:pPr>
                    <w:pStyle w:val="Compact"/>
                    <w:jc w:val="both"/>
                    <w:jc w:val="center"/>
                    <w:spacing w:line="360" w:lineRule="auto"/>
                  </w:pPr>
                  <w:r>
                    <w:t xml:space="preserve">3 y 5</w:t>
                  </w:r>
                </w:p>
              </w:tc>
            </w:tr>
          </w:tbl>
          <w:bookmarkEnd w:id="34"/>
          <w:p>
            <w:pPr>
              <w:spacing w:line="360" w:lineRule="auto"/>
              <w:jc w:val="both"/>
            </w:pPr>
          </w:p>
        </w:tc>
      </w:tr>
    </w:tbl>
    <w:p>
      <w:pPr>
        <w:pStyle w:val="Textoindependiente"/>
        <w:spacing w:line="360" w:lineRule="auto"/>
        <w:jc w:val="both"/>
      </w:pPr>
      <w:r>
        <w:t xml:space="preserve">Estos nombres sustituyen a las letras identificadoras (Estudios A, B y C)</w:t>
      </w:r>
      <w:r>
        <w:t xml:space="preserve"> </w:t>
      </w:r>
      <w:r>
        <w:t xml:space="preserve">empleadas en versiones previas del documento.</w:t>
      </w:r>
    </w:p>
    <w:bookmarkEnd w:id="35"/>
    <w:bookmarkStart w:id="36" w:name="hipótesis-o-proposiciones-de-trabajo"/>
    <w:p>
      <w:pPr>
        <w:pStyle w:val="Ttulo3"/>
        <w:spacing w:line="360" w:lineRule="auto"/>
        <w:jc w:val="both"/>
      </w:pP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y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w:t>
      </w:r>
      <w:r>
        <w:t xml:space="preserve"> </w:t>
      </w:r>
      <w:r>
        <w:t xml:space="preserve">(Krippendorff 2018)</w:t>
      </w:r>
      <w:r>
        <w:t xml:space="preserve">. La proposición se</w:t>
      </w:r>
      <w:r>
        <w:t xml:space="preserve"> </w:t>
      </w:r>
      <w:r>
        <w:t xml:space="preserve">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w:t>
      </w:r>
      <w:r>
        <w:t xml:space="preserve"> </w:t>
      </w:r>
      <w:r>
        <w:t xml:space="preserve">la taxonomía del Capítulo 5 identificó la Brecha 3 —la evaluación semántica</w:t>
      </w:r>
      <w:r>
        <w:t xml:space="preserve"> </w:t>
      </w:r>
      <w:r>
        <w:t xml:space="preserve">crece más rápido que su base de validación empírica— y su función es calibrar</w:t>
      </w:r>
      <w:r>
        <w:t xml:space="preserve"> </w:t>
      </w:r>
      <w:r>
        <w:t xml:space="preserve">un</w:t>
      </w:r>
      <w:r>
        <w:t xml:space="preserve"> </w:t>
      </w:r>
      <w:r>
        <w:rPr>
          <w:i/>
          <w:iCs/>
        </w:rPr>
        <w:t xml:space="preserve">instrumento de medida</w:t>
      </w:r>
      <w:r>
        <w:t xml:space="preserve">, no evaluar los métodos explicadores. Esta</w:t>
      </w:r>
      <w:r>
        <w:t xml:space="preserve"> </w:t>
      </w:r>
      <w:r>
        <w:t xml:space="preserve">distinción se declara aquí de forma explícita, y no</w:t>
      </w:r>
      <w:r>
        <w:t xml:space="preserve"> </w:t>
      </w:r>
      <w:r>
        <w:rPr>
          <w:i/>
          <w:iCs/>
        </w:rPr>
        <w:t xml:space="preserve">a posteriori</w:t>
      </w:r>
      <w:r>
        <w:t xml:space="preserve">, porque el</w:t>
      </w:r>
      <w:r>
        <w:t xml:space="preserve"> </w:t>
      </w:r>
      <w:r>
        <w:t xml:space="preserve">propio protocolo que esta tesis propone exige que el alcance inferencial</w:t>
      </w:r>
      <w:r>
        <w:t xml:space="preserve"> </w:t>
      </w:r>
      <w:r>
        <w:t xml:space="preserve">admisible de cada afirmación sea declarado junto con la afirmación misma:</w:t>
      </w:r>
      <w:r>
        <w:t xml:space="preserve"> </w:t>
      </w:r>
      <w:r>
        <w:t xml:space="preserve">presentar P2 como si hubiera sido preespecificada junto a H1–H3 sería</w:t>
      </w:r>
      <w:r>
        <w:t xml:space="preserve"> </w:t>
      </w:r>
      <w:r>
        <w:t xml:space="preserve">precisamente el modo de fallo que la puerta 7 está diseñada para impedir. En</w:t>
      </w:r>
      <w:r>
        <w:t xml:space="preserve"> </w:t>
      </w:r>
      <w:r>
        <w:t xml:space="preserve">consecuencia, el resultado de P2 —cualquiera que sea— no modifica las</w:t>
      </w:r>
      <w:r>
        <w:t xml:space="preserve"> </w:t>
      </w:r>
      <w:r>
        <w:t xml:space="preserve">conclusiones confirmativas del Estudio Omnibus Multimétrico ni del Estudio</w:t>
      </w:r>
      <w:r>
        <w:t xml:space="preserve"> </w:t>
      </w:r>
      <w:r>
        <w:t xml:space="preserve">Pareado LIME–SHAP, y se reporta como evidencia de calibración del instrumento</w:t>
      </w:r>
      <w:r>
        <w:t xml:space="preserve"> </w:t>
      </w:r>
      <w:r>
        <w:t xml:space="preserve">semántico (Capítulos 3, 5 y 6).</w:t>
      </w:r>
    </w:p>
    <w:bookmarkEnd w:id="36"/>
    <w:bookmarkEnd w:id="37"/>
    <w:bookmarkStart w:id="45" w:name="metodología-general-de-la-investigación"/>
    <w:p>
      <w:pPr>
        <w:pStyle w:val="Ttulo2"/>
        <w:spacing w:line="360" w:lineRule="auto"/>
        <w:jc w:val="both"/>
      </w:pPr>
      <w:r>
        <w:t xml:space="preserve">Metodología general de la investigación</w:t>
      </w:r>
    </w:p>
    <w:bookmarkStart w:id="38" w:name="enfoque"/>
    <w:p>
      <w:pPr>
        <w:pStyle w:val="Ttulo3"/>
        <w:spacing w:line="360" w:lineRule="auto"/>
        <w:jc w:val="both"/>
      </w:pP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del Estudio Omnibus Multimétrico y del</w:t>
      </w:r>
      <w:r>
        <w:t xml:space="preserve"> </w:t>
      </w:r>
      <w:r>
        <w:t xml:space="preserve">Estudio Pareado LIME–SHAP descansa en el análisis estadístico de métricas</w:t>
      </w:r>
      <w:r>
        <w:t xml:space="preserve"> </w:t>
      </w:r>
      <w:r>
        <w:t xml:space="preserve">computadas sobre experimentos controlados y reproducibles, siguiendo una</w:t>
      </w:r>
      <w:r>
        <w:t xml:space="preserve"> </w:t>
      </w:r>
      <w:r>
        <w:t xml:space="preserve">lógica hipotético-deductiva. El Estudio Taxonómico —que actúa como puente</w:t>
      </w:r>
      <w:r>
        <w:t xml:space="preserve"> </w:t>
      </w:r>
      <w:r>
        <w:t xml:space="preserve">conceptual integrador— adopta una metodología de revisión estructurada con</w:t>
      </w:r>
      <w:r>
        <w:t xml:space="preserve"> </w:t>
      </w:r>
      <w:r>
        <w:t xml:space="preserve">codificación explícita de dimensiones, siguiendo protocolos de síntesis</w:t>
      </w:r>
      <w:r>
        <w:t xml:space="preserve"> </w:t>
      </w:r>
      <w:r>
        <w:t xml:space="preserve">narrativa rigurosa</w:t>
      </w:r>
      <w:r>
        <w:t xml:space="preserve"> </w:t>
      </w:r>
      <w:r>
        <w:t xml:space="preserve">(Linardatos 2020; Gilpin 2018; Schwalbe 2023; Abdul Kadir et al. 2023)</w:t>
      </w:r>
      <w:r>
        <w:t xml:space="preserve">.</w:t>
      </w:r>
    </w:p>
    <w:bookmarkEnd w:id="38"/>
    <w:bookmarkStart w:id="39" w:name="tipo-de-investigación"/>
    <w:p>
      <w:pPr>
        <w:pStyle w:val="Ttulo3"/>
        <w:spacing w:line="360" w:lineRule="auto"/>
        <w:jc w:val="both"/>
      </w:pPr>
      <w:r>
        <w:t xml:space="preserve">Tipo de investigación</w:t>
      </w:r>
    </w:p>
    <w:p>
      <w:pPr>
        <w:pStyle w:val="FirstParagraph"/>
        <w:spacing w:line="360" w:lineRule="auto"/>
        <w:jc w:val="both"/>
      </w:pPr>
      <w:r>
        <w:t xml:space="preserve">El Estudio Omnibus Multimétrico y el Estudio Pareado LIME–SHAP corresponden a</w:t>
      </w:r>
      <w:r>
        <w:t xml:space="preserve"> </w:t>
      </w:r>
      <w:r>
        <w:t xml:space="preserve">investigación comparativa-experimental no intervencional: los métodos XAI son</w:t>
      </w:r>
      <w:r>
        <w:t xml:space="preserve"> </w:t>
      </w:r>
      <w:r>
        <w:t xml:space="preserve">los factores de tratamiento, los modelos predictivos son el contexto</w:t>
      </w:r>
      <w:r>
        <w:t xml:space="preserve"> </w:t>
      </w:r>
      <w:r>
        <w:t xml:space="preserve">experimental y las métricas de calidad son las variables de resultado. El</w:t>
      </w:r>
      <w:r>
        <w:t xml:space="preserve"> </w:t>
      </w:r>
      <w:r>
        <w:t xml:space="preserve">Estudio Taxonómico corresponde a una revisión sistemática estructurada con</w:t>
      </w:r>
      <w:r>
        <w:t xml:space="preserve"> </w:t>
      </w:r>
      <w:r>
        <w:t xml:space="preserve">propósito taxonómico y de síntesis de brechas de constructo en el campo de la</w:t>
      </w:r>
      <w:r>
        <w:t xml:space="preserve"> </w:t>
      </w:r>
      <w:r>
        <w:t xml:space="preserve">evaluación XAI.</w:t>
      </w:r>
    </w:p>
    <w:bookmarkEnd w:id="39"/>
    <w:bookmarkStart w:id="40" w:name="universo-y-contexto-experimental"/>
    <w:p>
      <w:pPr>
        <w:pStyle w:val="Ttulo3"/>
        <w:spacing w:line="360" w:lineRule="auto"/>
        <w:jc w:val="both"/>
      </w:pP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y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40"/>
    <w:bookmarkStart w:id="41" w:name="Xdcd1be9d99c262f87a75615ad9164d40f630ac9"/>
    <w:p>
      <w:pPr>
        <w:pStyle w:val="Ttulo3"/>
        <w:spacing w:line="360" w:lineRule="auto"/>
        <w:jc w:val="both"/>
      </w:pP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w:t>
      </w:r>
      <w:r>
        <w:t xml:space="preserve"> </w:t>
      </w:r>
      <w:r>
        <w:t xml:space="preserve">(Friedman 2001)</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Omnibus Multimétrico)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Estudio Pareado LIME–SHAP opera</w:t>
      </w:r>
      <w:r>
        <w:t xml:space="preserve"> </w:t>
      </w:r>
      <w:r>
        <w:t xml:space="preserve">sobre 75 celdas coincidentes.</w:t>
      </w:r>
    </w:p>
    <w:bookmarkEnd w:id="41"/>
    <w:bookmarkStart w:id="42" w:name="criterios-de-inclusión-y-exclusión"/>
    <w:p>
      <w:pPr>
        <w:pStyle w:val="Ttulo3"/>
        <w:spacing w:line="360" w:lineRule="auto"/>
        <w:jc w:val="both"/>
      </w:pP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Estudio Pareado LIME–SHAP.</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42"/>
    <w:bookmarkStart w:id="43" w:name="variables-dimensiones-y-métricas"/>
    <w:p>
      <w:pPr>
        <w:pStyle w:val="Ttulo3"/>
        <w:spacing w:line="360" w:lineRule="auto"/>
        <w:jc w:val="both"/>
      </w:pP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y Verbert 2024; Canha et al. 2025; Zheng et al. 2025)</w:t>
      </w:r>
      <w:r>
        <w:t xml:space="preserve">.</w:t>
      </w:r>
    </w:p>
    <w:bookmarkEnd w:id="43"/>
    <w:bookmarkStart w:id="44" w:name="estrategia-procedimental"/>
    <w:p>
      <w:pPr>
        <w:pStyle w:val="Ttulo3"/>
        <w:spacing w:line="360" w:lineRule="auto"/>
        <w:jc w:val="both"/>
      </w:pP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4"/>
    <w:bookmarkEnd w:id="45"/>
    <w:bookmarkEnd w:id="46"/>
    <w:bookmarkStart w:id="62" w:name="X587877c059e148afe8ac7b49bc2f79b5a4d81f2"/>
    <w:p>
      <w:pPr>
        <w:pStyle w:val="Ttulo1"/>
        <w:spacing w:line="360" w:lineRule="auto"/>
        <w:jc w:val="both"/>
      </w:pPr>
      <w:r>
        <w:t xml:space="preserve">Capítulo 2. Marco teórico específico / fundamentos conceptuales</w:t>
      </w:r>
    </w:p>
    <w:bookmarkStart w:id="47" w:name="propósito-del-capítulo"/>
    <w:p>
      <w:pPr>
        <w:pStyle w:val="Ttulo2"/>
        <w:spacing w:line="360" w:lineRule="auto"/>
        <w:jc w:val="both"/>
      </w:pP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7"/>
    <w:bookmarkStart w:id="48" w:name="Xe6760546a452d6306b93a783545f3c51ee07c22"/>
    <w:p>
      <w:pPr>
        <w:pStyle w:val="Ttulo2"/>
        <w:spacing w:line="360" w:lineRule="auto"/>
        <w:jc w:val="both"/>
      </w:pP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alternativa a explicar</w:t>
      </w:r>
      <w:r>
        <w:t xml:space="preserve"> </w:t>
      </w:r>
      <w:r>
        <w:rPr>
          <w:i/>
          <w:iCs/>
        </w:rPr>
        <w:t xml:space="preserve">a posteriori</w:t>
      </w:r>
      <w:r>
        <w:t xml:space="preserve"> </w:t>
      </w:r>
      <w:r>
        <w:t xml:space="preserve">es diseñar modelos intrínsecamente</w:t>
      </w:r>
      <w:r>
        <w:t xml:space="preserve"> </w:t>
      </w:r>
      <w:r>
        <w:t xml:space="preserve">interpretables. Esta posición ha sido defendida con fuerza para decisiones de</w:t>
      </w:r>
      <w:r>
        <w:t xml:space="preserve"> </w:t>
      </w:r>
      <w:r>
        <w:t xml:space="preserve">alto riesgo, argumentando que la explicación post-hoc de una caja negra no</w:t>
      </w:r>
      <w:r>
        <w:t xml:space="preserve"> </w:t>
      </w:r>
      <w:r>
        <w:t xml:space="preserve">sustituye a un modelo comprensible por construcción</w:t>
      </w:r>
      <w:r>
        <w:t xml:space="preserve"> </w:t>
      </w:r>
      <w:r>
        <w:t xml:space="preserve">(Rudin 2019)</w:t>
      </w:r>
      <w:r>
        <w:t xml:space="preserve">, y se ha</w:t>
      </w:r>
      <w:r>
        <w:t xml:space="preserve"> </w:t>
      </w:r>
      <w:r>
        <w:t xml:space="preserve">materializado en arquitecturas que incorporan la interpretabilidad como</w:t>
      </w:r>
      <w:r>
        <w:t xml:space="preserve"> </w:t>
      </w:r>
      <w:r>
        <w:t xml:space="preserve">restricción de diseño: modelos con cuello de botella conceptual</w:t>
      </w:r>
      <w:r>
        <w:t xml:space="preserve"> </w:t>
      </w:r>
      <w:r>
        <w:t xml:space="preserve">(Koh et al. 2020)</w:t>
      </w:r>
      <w:r>
        <w:t xml:space="preserve">,</w:t>
      </w:r>
      <w:r>
        <w:t xml:space="preserve"> </w:t>
      </w:r>
      <w:r>
        <w:t xml:space="preserve">redes con características monótonas</w:t>
      </w:r>
      <w:r>
        <w:t xml:space="preserve"> </w:t>
      </w:r>
      <w:r>
        <w:t xml:space="preserve">(Nguyen y Martinez 2019)</w:t>
      </w:r>
      <w:r>
        <w:t xml:space="preserve">, arquitecturas prototípicas</w:t>
      </w:r>
      <w:r>
        <w:t xml:space="preserve"> </w:t>
      </w:r>
      <w:r>
        <w:t xml:space="preserve">(Hess y Ditzler 2023)</w:t>
      </w:r>
      <w:r>
        <w:t xml:space="preserve"> </w:t>
      </w:r>
      <w:r>
        <w:t xml:space="preserve">o representaciones funcionales explícitas</w:t>
      </w:r>
      <w:r>
        <w:t xml:space="preserve"> </w:t>
      </w:r>
      <w:r>
        <w:t xml:space="preserve">(Liu et al. 2024)</w:t>
      </w:r>
      <w:r>
        <w:t xml:space="preserve">. En paralelo,</w:t>
      </w:r>
      <w:r>
        <w:t xml:space="preserve"> </w:t>
      </w:r>
      <w:r>
        <w:t xml:space="preserve">una línea formal explora la explicabilidad basada en lógica, con garantías de</w:t>
      </w:r>
      <w:r>
        <w:t xml:space="preserve"> </w:t>
      </w:r>
      <w:r>
        <w:t xml:space="preserve">corrección de las que carecen los métodos aproximados</w:t>
      </w:r>
      <w:r>
        <w:t xml:space="preserve"> </w:t>
      </w:r>
      <w:r>
        <w:t xml:space="preserve">(Marques-Silva 2024)</w:t>
      </w:r>
      <w:r>
        <w:t xml:space="preserve">. Esta</w:t>
      </w:r>
      <w:r>
        <w:t xml:space="preserve"> </w:t>
      </w:r>
      <w:r>
        <w:t xml:space="preserve">tesis no adopta esa vía —su objeto son explicadores agnósticos aplicados a</w:t>
      </w:r>
      <w:r>
        <w:t xml:space="preserve"> </w:t>
      </w:r>
      <w:r>
        <w:t xml:space="preserve">modelos ya entrenados— pero la frontera importa para interpretar sus resultados:</w:t>
      </w:r>
      <w:r>
        <w:t xml:space="preserve"> </w:t>
      </w:r>
      <w:r>
        <w:t xml:space="preserve">la crítica de fondo, que las explicaciones aproximadas pueden ser plausibles sin</w:t>
      </w:r>
      <w:r>
        <w:t xml:space="preserve"> </w:t>
      </w:r>
      <w:r>
        <w:t xml:space="preserve">ser fieles, es exactamente la que motiva medir fidelidad en lugar de suponerla.</w:t>
      </w:r>
      <w:r>
        <w:t xml:space="preserve"> </w:t>
      </w:r>
      <w:r>
        <w:t xml:space="preserve">Advertencias equivalentes se han formulado sobre el uso de mecanismos internos</w:t>
      </w:r>
      <w:r>
        <w:t xml:space="preserve"> </w:t>
      </w:r>
      <w:r>
        <w:t xml:space="preserve">del modelo, como la atención, en calidad de explicación</w:t>
      </w:r>
      <w:r>
        <w:t xml:space="preserve"> </w:t>
      </w:r>
      <w:r>
        <w:t xml:space="preserve">(Bastings y Filippova 2020)</w:t>
      </w:r>
      <w:r>
        <w:t xml:space="preserve">.</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—como las curvas de expectativa</w:t>
      </w:r>
      <w:r>
        <w:t xml:space="preserve"> </w:t>
      </w:r>
      <w:r>
        <w:t xml:space="preserve">condicional individual</w:t>
      </w:r>
      <w:r>
        <w:t xml:space="preserve"> </w:t>
      </w:r>
      <w:r>
        <w:t xml:space="preserve">(Goldstein 2014)</w:t>
      </w:r>
      <w:r>
        <w:t xml:space="preserve"> </w:t>
      </w:r>
      <w:r>
        <w:t xml:space="preserve">o los gráficos de efectos locales</w:t>
      </w:r>
      <w:r>
        <w:t xml:space="preserve"> </w:t>
      </w:r>
      <w:r>
        <w:t xml:space="preserve">acumulados</w:t>
      </w:r>
      <w:r>
        <w:t xml:space="preserve"> </w:t>
      </w:r>
      <w:r>
        <w:t xml:space="preserve">(Apley 2020)</w:t>
      </w:r>
      <w:r>
        <w:t xml:space="preserve">, que describen el efecto marginal de una característica</w:t>
      </w:r>
      <w:r>
        <w:t xml:space="preserve"> </w:t>
      </w:r>
      <w:r>
        <w:t xml:space="preserve">sobre el conjunto de datos en lugar de atribuir importancia a una predicción</w:t>
      </w:r>
      <w:r>
        <w:t xml:space="preserve"> </w:t>
      </w:r>
      <w:r>
        <w:t xml:space="preserve">concreta—.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 Hedström et al. 2023)</w:t>
      </w:r>
      <w:r>
        <w:t xml:space="preserve">. Esta tesis acota su evaluación a explicaciones</w:t>
      </w:r>
      <w:r>
        <w:t xml:space="preserve"> </w:t>
      </w:r>
      <w:r>
        <w:t xml:space="preserve">locales por instancia, de modo que las familias de visualización global antes</w:t>
      </w:r>
      <w:r>
        <w:t xml:space="preserve"> </w:t>
      </w:r>
      <w:r>
        <w:t xml:space="preserve">citadas quedan fuera de su alcance experimental.</w:t>
      </w:r>
    </w:p>
    <w:p>
      <w:pPr>
        <w:pStyle w:val="Textoindependiente"/>
        <w:spacing w:line="360" w:lineRule="auto"/>
        <w:jc w:val="both"/>
      </w:pPr>
      <w:r>
        <w:t xml:space="preserve">La literatura también distingue métodos agnósticos y específicos del modelo</w:t>
      </w:r>
      <w:r>
        <w:t xml:space="preserve"> </w:t>
      </w:r>
      <w:r>
        <w:t xml:space="preserve">(Arrieta 2019;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8"/>
    <w:bookmarkStart w:id="49" w:name="distinciones-conceptuales-fundamentales"/>
    <w:p>
      <w:pPr>
        <w:pStyle w:val="Ttulo2"/>
        <w:spacing w:line="360" w:lineRule="auto"/>
        <w:jc w:val="both"/>
      </w:pP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9"/>
    <w:bookmarkStart w:id="54" w:name="Xa854bcdfe02171eee67e88340a3233edf48569f"/>
    <w:p>
      <w:pPr>
        <w:pStyle w:val="Ttulo2"/>
        <w:spacing w:line="360" w:lineRule="auto"/>
        <w:jc w:val="both"/>
      </w:pPr>
      <w:r>
        <w:t xml:space="preserve">Métodos de explicación evaluados en esta tesis</w:t>
      </w:r>
    </w:p>
    <w:bookmarkStart w:id="50" w:name="Xbbcfa782e2d35f160f8750f56befcd9ee8cf14e"/>
    <w:p>
      <w:pPr>
        <w:pStyle w:val="Ttulo3"/>
        <w:spacing w:line="360" w:lineRule="auto"/>
        <w:jc w:val="both"/>
      </w:pP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50"/>
    <w:bookmarkStart w:id="51" w:name="X187de0a2f0f332efaa60a19888eaffd7cc2e7b5"/>
    <w:p>
      <w:pPr>
        <w:pStyle w:val="Ttulo3"/>
        <w:spacing w:line="360" w:lineRule="auto"/>
        <w:jc w:val="both"/>
      </w:pP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(Shapley 1952)</w:t>
      </w:r>
      <w:r>
        <w:t xml:space="preserve">, formulado</w:t>
      </w:r>
      <w:r>
        <w:t xml:space="preserve"> </w:t>
      </w:r>
      <w:r>
        <w:t xml:space="preserve">originalmente para repartir de forma única la ganancia de un juego cooperativo</w:t>
      </w:r>
      <w:r>
        <w:t xml:space="preserve"> </w:t>
      </w:r>
      <w:r>
        <w:t xml:space="preserve">entre sus participantes y trasladado por</w:t>
      </w:r>
      <w:r>
        <w:t xml:space="preserve"> </w:t>
      </w:r>
      <w:r>
        <w:t xml:space="preserve">Lundberg (2017)</w:t>
      </w:r>
      <w:r>
        <w:t xml:space="preserve"> </w:t>
      </w:r>
      <w:r>
        <w:t xml:space="preserve">al problema de atribuir</w:t>
      </w:r>
      <w:r>
        <w:t xml:space="preserve"> </w:t>
      </w:r>
      <w:r>
        <w:t xml:space="preserve">importancia entre características. La predicción se</w:t>
      </w:r>
      <w:r>
        <w:t xml:space="preserve"> </w:t>
      </w:r>
      <w:r>
        <w:t xml:space="preserve">expresa como una suma de contribuciones atribuibles a cada característica, bajo</w:t>
      </w:r>
      <w:r>
        <w:t xml:space="preserve"> </w:t>
      </w:r>
      <w:r>
        <w:t xml:space="preserve">un conjunto de propiedades deseables para explicaciones aditivas.</w:t>
      </w:r>
    </w:p>
    <w:p>
      <w:pPr>
        <w:pStyle w:val="Textoindependiente"/>
        <w:spacing w:line="360" w:lineRule="auto"/>
        <w:jc w:val="both"/>
      </w:pPr>
      <w:r>
        <w:t xml:space="preserve">El coste de calcular exactamente el valor de Shapley crece de forma exponencial</w:t>
      </w:r>
      <w:r>
        <w:t xml:space="preserve"> </w:t>
      </w:r>
      <w:r>
        <w:t xml:space="preserve">con el número de características, de modo que su uso práctico descansa en</w:t>
      </w:r>
      <w:r>
        <w:t xml:space="preserve"> </w:t>
      </w:r>
      <w:r>
        <w:t xml:space="preserve">estimadores muestrales cuyas garantías han sido estudiadas de forma específica</w:t>
      </w:r>
      <w:r>
        <w:t xml:space="preserve"> </w:t>
      </w:r>
      <w:r>
        <w:t xml:space="preserve">(Mitchell et al. 2022)</w:t>
      </w:r>
      <w:r>
        <w:t xml:space="preserve">, y su complejidad computacional se ha caracterizado también para</w:t>
      </w:r>
      <w:r>
        <w:t xml:space="preserve"> </w:t>
      </w:r>
      <w:r>
        <w:t xml:space="preserve">familias de funciones concretas</w:t>
      </w:r>
      <w:r>
        <w:t xml:space="preserve"> </w:t>
      </w:r>
      <w:r>
        <w:t xml:space="preserve">(Karmakar et al. 2024)</w:t>
      </w:r>
      <w:r>
        <w:t xml:space="preserve">. La formulación aditiva original</w:t>
      </w:r>
      <w:r>
        <w:t xml:space="preserve"> </w:t>
      </w:r>
      <w:r>
        <w:t xml:space="preserve">tiene además límites conocidos que han motivado extensiones: no captura</w:t>
      </w:r>
      <w:r>
        <w:t xml:space="preserve"> </w:t>
      </w:r>
      <w:r>
        <w:t xml:space="preserve">interacciones entre características, lo que ha dado lugar a índices de</w:t>
      </w:r>
      <w:r>
        <w:t xml:space="preserve"> </w:t>
      </w:r>
      <w:r>
        <w:t xml:space="preserve">interacción con garantías de fidelidad</w:t>
      </w:r>
      <w:r>
        <w:t xml:space="preserve"> </w:t>
      </w:r>
      <w:r>
        <w:t xml:space="preserve">(Tsai et al. 2023)</w:t>
      </w:r>
      <w:r>
        <w:t xml:space="preserve">; asume independencia entre</w:t>
      </w:r>
      <w:r>
        <w:t xml:space="preserve"> </w:t>
      </w:r>
      <w:r>
        <w:t xml:space="preserve">características, supuesto que se viola en datos tabulares reales y que ha</w:t>
      </w:r>
      <w:r>
        <w:t xml:space="preserve"> </w:t>
      </w:r>
      <w:r>
        <w:t xml:space="preserve">motivado estimadores sensibles a la dependencia</w:t>
      </w:r>
      <w:r>
        <w:t xml:space="preserve"> </w:t>
      </w:r>
      <w:r>
        <w:t xml:space="preserve">(Olsen et al. 2022)</w:t>
      </w:r>
      <w:r>
        <w:t xml:space="preserve">; y se ha extendido</w:t>
      </w:r>
      <w:r>
        <w:t xml:space="preserve"> </w:t>
      </w:r>
      <w:r>
        <w:t xml:space="preserve">recientemente a escenarios multimodales</w:t>
      </w:r>
      <w:r>
        <w:t xml:space="preserve"> </w:t>
      </w:r>
      <w:r>
        <w:t xml:space="preserve">(Wang y Wang 2025)</w:t>
      </w:r>
      <w:r>
        <w:t xml:space="preserve">. Esta familia de trabajos es</w:t>
      </w:r>
      <w:r>
        <w:t xml:space="preserve"> </w:t>
      </w:r>
      <w:r>
        <w:t xml:space="preserve">relevante para el Capítulo 3 porque delimita qué significa exactamente «SHAP» en</w:t>
      </w:r>
      <w:r>
        <w:t xml:space="preserve"> </w:t>
      </w:r>
      <w:r>
        <w:t xml:space="preserve">un experimento: la etiqueta cubre estimadores distintos con supuestos distintos.</w:t>
      </w:r>
      <w:r>
        <w:t xml:space="preserve"> </w:t>
      </w:r>
      <w:r>
        <w:t xml:space="preserve">Una preocupación análoga por la dependencia entre características subyace a las</w:t>
      </w:r>
      <w:r>
        <w:t xml:space="preserve"> </w:t>
      </w:r>
      <w:r>
        <w:t xml:space="preserve">medidas de importancia por permutación, cuya interpretación exige razonar sobre</w:t>
      </w:r>
      <w:r>
        <w:t xml:space="preserve"> </w:t>
      </w:r>
      <w:r>
        <w:t xml:space="preserve">clases enteras de modelos y no sobre un único ajuste</w:t>
      </w:r>
      <w:r>
        <w:t xml:space="preserve"> </w:t>
      </w:r>
      <w:r>
        <w:t xml:space="preserve">(Fisher et al. 2019)</w:t>
      </w:r>
      <w:r>
        <w:t xml:space="preserve">.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51"/>
    <w:bookmarkStart w:id="52" w:name="X029215b3a63b0848a75a7aa70454b1144c0f31f"/>
    <w:p>
      <w:pPr>
        <w:pStyle w:val="Ttulo3"/>
        <w:spacing w:line="360" w:lineRule="auto"/>
        <w:jc w:val="both"/>
      </w:pP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continuando una tradición que había explorado ya las reglas como</w:t>
      </w:r>
      <w:r>
        <w:t xml:space="preserve"> </w:t>
      </w:r>
      <w:r>
        <w:t xml:space="preserve">formato explicativo mediante ensembles de reglas ajustados sobre el modelo</w:t>
      </w:r>
      <w:r>
        <w:t xml:space="preserve"> </w:t>
      </w:r>
      <w:r>
        <w:t xml:space="preserve">predictivo</w:t>
      </w:r>
      <w:r>
        <w:t xml:space="preserve"> </w:t>
      </w:r>
      <w:r>
        <w:t xml:space="preserve">(Friedman 2008)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52"/>
    <w:bookmarkStart w:id="53" w:name="Xd196f32f12fd1cc1850af93995e5a1615dfcb83"/>
    <w:p>
      <w:pPr>
        <w:pStyle w:val="Ttulo3"/>
        <w:spacing w:line="360" w:lineRule="auto"/>
        <w:jc w:val="both"/>
      </w:pP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3"/>
    <w:bookmarkEnd w:id="54"/>
    <w:bookmarkStart w:id="58" w:name="marcos-y-protocolos-de-evaluación-xai"/>
    <w:p>
      <w:pPr>
        <w:pStyle w:val="Ttulo2"/>
        <w:spacing w:line="360" w:lineRule="auto"/>
        <w:jc w:val="both"/>
      </w:pPr>
      <w:r>
        <w:t xml:space="preserve">Marcos y protocolos de evaluación XAI</w:t>
      </w:r>
    </w:p>
    <w:p>
      <w:pPr>
        <w:pStyle w:val="FirstParagraph"/>
        <w:spacing w:line="360" w:lineRule="auto"/>
        <w:jc w:val="both"/>
      </w:pPr>
      <w:r>
        <w:t xml:space="preserve">La última década ha producido, junto a los toolkits ya citados, un conjunto</w:t>
      </w:r>
      <w:r>
        <w:t xml:space="preserve"> </w:t>
      </w:r>
      <w:r>
        <w:t xml:space="preserve">creciente de marcos y bancos de prueba orientados específicamente a</w:t>
      </w:r>
      <w:r>
        <w:t xml:space="preserve"> </w:t>
      </w:r>
      <w:r>
        <w:rPr>
          <w:i/>
          <w:iCs/>
        </w:rPr>
        <w:t xml:space="preserve">evaluar</w:t>
      </w:r>
      <w:r>
        <w:t xml:space="preserve"> </w:t>
      </w:r>
      <w:r>
        <w:t xml:space="preserve">explicaciones en lugar de generarlas. Los trabajos recientes incluyen bancos de</w:t>
      </w:r>
      <w:r>
        <w:t xml:space="preserve"> </w:t>
      </w:r>
      <w:r>
        <w:t xml:space="preserve">prueba multi-métrica de propósito general</w:t>
      </w:r>
      <w:r>
        <w:t xml:space="preserve"> </w:t>
      </w:r>
      <w:r>
        <w:t xml:space="preserve">(Sithakoul et al. 2024)</w:t>
      </w:r>
      <w:r>
        <w:t xml:space="preserve">, revisiones y</w:t>
      </w:r>
      <w:r>
        <w:t xml:space="preserve"> </w:t>
      </w:r>
      <w:r>
        <w:t xml:space="preserve">taxonomías de métricas de evaluación</w:t>
      </w:r>
      <w:r>
        <w:t xml:space="preserve"> </w:t>
      </w:r>
      <w:r>
        <w:t xml:space="preserve">(Kadir et al. 2023)</w:t>
      </w:r>
      <w:r>
        <w:t xml:space="preserve">, protocolos para dominios</w:t>
      </w:r>
      <w:r>
        <w:t xml:space="preserve"> </w:t>
      </w:r>
      <w:r>
        <w:t xml:space="preserve">concretos como las redes neuronales sobre grafos</w:t>
      </w:r>
      <w:r>
        <w:t xml:space="preserve"> </w:t>
      </w:r>
      <w:r>
        <w:t xml:space="preserve">(Agarwal et al. 2023; Proszewska et al. 2025)</w:t>
      </w:r>
      <w:r>
        <w:t xml:space="preserve"> </w:t>
      </w:r>
      <w:r>
        <w:t xml:space="preserve">o la detección de contenido sintético</w:t>
      </w:r>
      <w:r>
        <w:t xml:space="preserve"> </w:t>
      </w:r>
      <w:r>
        <w:t xml:space="preserve">(Tsigos et al. 2024)</w:t>
      </w:r>
      <w:r>
        <w:t xml:space="preserve">, evaluaciones centradas en la</w:t>
      </w:r>
      <w:r>
        <w:t xml:space="preserve"> </w:t>
      </w:r>
      <w:r>
        <w:t xml:space="preserve">representación visual de las atribuciones</w:t>
      </w:r>
      <w:r>
        <w:t xml:space="preserve"> </w:t>
      </w:r>
      <w:r>
        <w:t xml:space="preserve">(Cunha y Barbosa 2024)</w:t>
      </w:r>
      <w:r>
        <w:t xml:space="preserve">, estudios que miden la</w:t>
      </w:r>
      <w:r>
        <w:t xml:space="preserve"> </w:t>
      </w:r>
      <w:r>
        <w:t xml:space="preserve">interpretabilidad percibida del propio artefacto explicativo</w:t>
      </w:r>
      <w:r>
        <w:t xml:space="preserve"> </w:t>
      </w:r>
      <w:r>
        <w:t xml:space="preserve">(Morrison et al. 2023)</w:t>
      </w:r>
      <w:r>
        <w:t xml:space="preserve">, y</w:t>
      </w:r>
      <w:r>
        <w:t xml:space="preserve"> </w:t>
      </w:r>
      <w:r>
        <w:t xml:space="preserve">pruebas de robustez de las explicaciones frente a ejemplos adversarios</w:t>
      </w:r>
      <w:r>
        <w:t xml:space="preserve"> </w:t>
      </w:r>
      <w:r>
        <w:t xml:space="preserve">(Kumagai et al. 2023)</w:t>
      </w:r>
      <w:r>
        <w:t xml:space="preserve">. A ellos se suman las bibliotecas que instrumentan la generación y</w:t>
      </w:r>
      <w:r>
        <w:t xml:space="preserve"> </w:t>
      </w:r>
      <w:r>
        <w:t xml:space="preserve">el análisis de explicaciones de forma reproducible</w:t>
      </w:r>
      <w:r>
        <w:t xml:space="preserve"> </w:t>
      </w:r>
      <w:r>
        <w:t xml:space="preserve">(Li et al. 2022)</w:t>
      </w:r>
      <w:r>
        <w:t xml:space="preserve">, los tutoriales</w:t>
      </w:r>
      <w:r>
        <w:t xml:space="preserve"> </w:t>
      </w:r>
      <w:r>
        <w:t xml:space="preserve">metodológicos que consolidan buenas prácticas de aplicación</w:t>
      </w:r>
      <w:r>
        <w:t xml:space="preserve"> </w:t>
      </w:r>
      <w:r>
        <w:t xml:space="preserve">(Bennetot et al. 2024)</w:t>
      </w:r>
      <w:r>
        <w:t xml:space="preserve"> </w:t>
      </w:r>
      <w:r>
        <w:t xml:space="preserve">y las</w:t>
      </w:r>
      <w:r>
        <w:t xml:space="preserve"> </w:t>
      </w:r>
      <w:r>
        <w:t xml:space="preserve">propuestas que desplazan la evaluación desde la atribución por característica</w:t>
      </w:r>
      <w:r>
        <w:t xml:space="preserve"> </w:t>
      </w:r>
      <w:r>
        <w:t xml:space="preserve">hacia conceptos de alto nivel definidos por el usuario</w:t>
      </w:r>
      <w:r>
        <w:t xml:space="preserve"> </w:t>
      </w:r>
      <w:r>
        <w:t xml:space="preserve">(Kim et al. 2018)</w:t>
      </w:r>
      <w:r>
        <w:t xml:space="preserve">. El panorama</w:t>
      </w:r>
      <w:r>
        <w:t xml:space="preserve"> </w:t>
      </w:r>
      <w:r>
        <w:t xml:space="preserve">resultante confirma la premisa de esta tesis: existe abundancia de instrumentos</w:t>
      </w:r>
      <w:r>
        <w:t xml:space="preserve"> </w:t>
      </w:r>
      <w:r>
        <w:t xml:space="preserve">de medida y escasez de protocolos que gobiernen su uso.</w:t>
      </w:r>
    </w:p>
    <w:p>
      <w:pPr>
        <w:pStyle w:val="Textoindependiente"/>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y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2.1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tblLayout w:type="fixed"/>
        <w:tblLook w:firstRow="0" w:lastRow="0" w:firstColumn="0" w:lastColumn="0" w:noHBand="0" w:noVBand="0" w:val="0000"/>
      </w:tblPr>
      <w:tblGrid>
        <w:gridCol w:w="7920"/>
      </w:tblGrid>
      <w:tr>
        <w:tc>
          <w:tcPr/>
          <w:bookmarkStart w:id="55" w:name="tbl-framework-comparison"/>
          <w:p>
            <w:pPr>
              <w:jc w:val="both"/>
              <w:spacing w:line="360" w:lineRule="auto"/>
            </w:pPr>
            <w:pPr>
              <w:jc w:val="left"/>
              <w:spacing w:before="200"/>
              <w:pStyle w:val="ImageCaption"/>
            </w:pPr>
            <w:r>
              <w:t xml:space="preserve">Tabla 2.1: Comparación de marcos de evaluación XAI según cobertura, reproducibilidad, gobernanza y tipo de evaluación.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Marco / protocolo</w:t>
                  </w:r>
                </w:p>
              </w:tc>
              <w:tc>
                <w:tcPr/>
                <w:p>
                  <w:pPr>
                    <w:pStyle w:val="Compact"/>
                    <w:jc w:val="both"/>
                    <w:jc w:val="center"/>
                    <w:spacing w:line="360" w:lineRule="auto"/>
                  </w:pPr>
                  <w:r>
                    <w:t xml:space="preserve">Cobertura de métricas</w:t>
                  </w:r>
                </w:p>
              </w:tc>
              <w:tc>
                <w:tcPr/>
                <w:p>
                  <w:pPr>
                    <w:pStyle w:val="Compact"/>
                    <w:jc w:val="both"/>
                    <w:jc w:val="center"/>
                    <w:spacing w:line="360" w:lineRule="auto"/>
                  </w:pPr>
                  <w:r>
                    <w:t xml:space="preserve">Soporte a reproducibilidad</w:t>
                  </w:r>
                </w:p>
              </w:tc>
              <w:tc>
                <w:tcPr/>
                <w:p>
                  <w:pPr>
                    <w:pStyle w:val="Compact"/>
                    <w:jc w:val="both"/>
                    <w:jc w:val="center"/>
                    <w:spacing w:line="360" w:lineRule="auto"/>
                  </w:pPr>
                  <w:r>
                    <w:t xml:space="preserve">Protocolo de gobernanza</w:t>
                  </w:r>
                </w:p>
              </w:tc>
              <w:tc>
                <w:tcPr/>
                <w:p>
                  <w:pPr>
                    <w:pStyle w:val="Compact"/>
                    <w:jc w:val="both"/>
                    <w:jc w:val="center"/>
                    <w:spacing w:line="360" w:lineRule="auto"/>
                  </w:pPr>
                  <w: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5"/>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y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y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6" w:name="X900f39c64f84f209bdf33df61ada6c5cfa8ef2d"/>
    <w:p>
      <w:pPr>
        <w:pStyle w:val="Ttulo3"/>
        <w:spacing w:line="360" w:lineRule="auto"/>
        <w:jc w:val="both"/>
      </w:pPr>
      <w:r>
        <w:t xml:space="preserve">Evaluación human-centered: usuarios, tareas y calidad explicativa</w:t>
      </w:r>
    </w:p>
    <w:p>
      <w:pPr>
        <w:pStyle w:val="FirstParagraph"/>
        <w:spacing w:line="360" w:lineRule="auto"/>
        <w:jc w:val="both"/>
      </w:pPr>
      <w:r>
        <w:t xml:space="preserve">Esta rama ha alcanzado en los últimos años una madurez propia, con agendas</w:t>
      </w:r>
      <w:r>
        <w:t xml:space="preserve"> </w:t>
      </w:r>
      <w:r>
        <w:t xml:space="preserve">explícitas de consolidación</w:t>
      </w:r>
      <w:r>
        <w:t xml:space="preserve"> </w:t>
      </w:r>
      <w:r>
        <w:t xml:space="preserve">(Ehsan et al. 2023)</w:t>
      </w:r>
      <w:r>
        <w:t xml:space="preserve"> </w:t>
      </w:r>
      <w:r>
        <w:t xml:space="preserve">y revisiones críticas que cuestionan los</w:t>
      </w:r>
      <w:r>
        <w:t xml:space="preserve"> </w:t>
      </w:r>
      <w:r>
        <w:t xml:space="preserve">supuestos dominantes del campo</w:t>
      </w:r>
      <w:r>
        <w:t xml:space="preserve"> </w:t>
      </w:r>
      <w:r>
        <w:t xml:space="preserve">(Ehsan y Riedl 2024)</w:t>
      </w:r>
      <w:r>
        <w:t xml:space="preserve">. La investigación reciente muestra</w:t>
      </w:r>
      <w:r>
        <w:t xml:space="preserve"> </w:t>
      </w:r>
      <w:r>
        <w:t xml:space="preserve">que la calidad percibida de una explicación depende de variables que ninguna</w:t>
      </w:r>
      <w:r>
        <w:t xml:space="preserve"> </w:t>
      </w:r>
      <w:r>
        <w:t xml:space="preserve">métrica computacional recoge: las características y el nivel de experiencia del</w:t>
      </w:r>
      <w:r>
        <w:t xml:space="preserve"> </w:t>
      </w:r>
      <w:r>
        <w:t xml:space="preserve">destinatario</w:t>
      </w:r>
      <w:r>
        <w:t xml:space="preserve"> </w:t>
      </w:r>
      <w:r>
        <w:t xml:space="preserve">(Nimmo et al. 2024)</w:t>
      </w:r>
      <w:r>
        <w:t xml:space="preserve">, el contexto cultural desde el que se interpreta</w:t>
      </w:r>
      <w:r>
        <w:t xml:space="preserve"> </w:t>
      </w:r>
      <w:r>
        <w:t xml:space="preserve">(Peters y Carman 2024)</w:t>
      </w:r>
      <w:r>
        <w:t xml:space="preserve">, el diseño de la interfaz que la presenta</w:t>
      </w:r>
      <w:r>
        <w:t xml:space="preserve"> </w:t>
      </w:r>
      <w:r>
        <w:t xml:space="preserve">(Bhat y Long 2024; Alkhateeb y Solaiman 2025)</w:t>
      </w:r>
      <w:r>
        <w:t xml:space="preserve">, e incluso su materialización física en artefactos tangibles</w:t>
      </w:r>
      <w:r>
        <w:t xml:space="preserve"> </w:t>
      </w:r>
      <w:r>
        <w:t xml:space="preserve">(Colley et al. 2023)</w:t>
      </w:r>
      <w:r>
        <w:t xml:space="preserve">. La transparencia y la explicabilidad se han estudiado también como</w:t>
      </w:r>
      <w:r>
        <w:t xml:space="preserve"> </w:t>
      </w:r>
      <w:r>
        <w:t xml:space="preserve">antecedentes de la confianza calibrada</w:t>
      </w:r>
      <w:r>
        <w:t xml:space="preserve"> </w:t>
      </w:r>
      <w:r>
        <w:t xml:space="preserve">(Kim 2024)</w:t>
      </w:r>
      <w:r>
        <w:t xml:space="preserve"> </w:t>
      </w:r>
      <w:r>
        <w:t xml:space="preserve">y como práctica organizativa</w:t>
      </w:r>
      <w:r>
        <w:t xml:space="preserve"> </w:t>
      </w:r>
      <w:r>
        <w:t xml:space="preserve">más que como propiedad técnica</w:t>
      </w:r>
      <w:r>
        <w:t xml:space="preserve"> </w:t>
      </w:r>
      <w:r>
        <w:t xml:space="preserve">(Ramachandram et al. 2025)</w:t>
      </w:r>
      <w:r>
        <w:t xml:space="preserve">, mientras que otros trabajos</w:t>
      </w:r>
      <w:r>
        <w:t xml:space="preserve"> </w:t>
      </w:r>
      <w:r>
        <w:t xml:space="preserve">documentan las contrapartidas que impone perseguir explicabilidad</w:t>
      </w:r>
      <w:r>
        <w:t xml:space="preserve"> </w:t>
      </w:r>
      <w:r>
        <w:t xml:space="preserve">(Brown y Hawe 2024)</w:t>
      </w:r>
      <w:r>
        <w:t xml:space="preserve"> </w:t>
      </w:r>
      <w:r>
        <w:t xml:space="preserve">e incluso el coste reputacional que puede acarrear el uso declarado</w:t>
      </w:r>
      <w:r>
        <w:t xml:space="preserve"> </w:t>
      </w:r>
      <w:r>
        <w:t xml:space="preserve">de IA</w:t>
      </w:r>
      <w:r>
        <w:t xml:space="preserve"> </w:t>
      </w:r>
      <w:r>
        <w:t xml:space="preserve">(Reif et al. 2025)</w:t>
      </w:r>
      <w:r>
        <w:t xml:space="preserve">. A ello se añade una literatura sobre las implicaciones éticas</w:t>
      </w:r>
      <w:r>
        <w:t xml:space="preserve"> </w:t>
      </w:r>
      <w:r>
        <w:t xml:space="preserve">del campo</w:t>
      </w:r>
      <w:r>
        <w:t xml:space="preserve"> </w:t>
      </w:r>
      <w:r>
        <w:t xml:space="preserve">(Nannini et al. 2024; Vainio-Pekka et al. 2023)</w:t>
      </w:r>
      <w:r>
        <w:t xml:space="preserve"> </w:t>
      </w:r>
      <w:r>
        <w:t xml:space="preserve">y sobre la distancia entre la</w:t>
      </w:r>
      <w:r>
        <w:t xml:space="preserve"> </w:t>
      </w:r>
      <w:r>
        <w:t xml:space="preserve">inteligencia de la máquina y la comprensión humana</w:t>
      </w:r>
      <w:r>
        <w:t xml:space="preserve"> </w:t>
      </w:r>
      <w:r>
        <w:t xml:space="preserve">(Choudhari et al. 2025)</w:t>
      </w:r>
      <w:r>
        <w:t xml:space="preserve">.</w:t>
      </w:r>
    </w:p>
    <w:p>
      <w:pPr>
        <w:pStyle w:val="Textoindependiente"/>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premisa enlaza con una línea previa que ya</w:t>
      </w:r>
      <w:r>
        <w:t xml:space="preserve"> </w:t>
      </w:r>
      <w:r>
        <w:t xml:space="preserve">situaba a la persona como participante activo del ciclo de aprendizaje, y no como</w:t>
      </w:r>
      <w:r>
        <w:t xml:space="preserve"> </w:t>
      </w:r>
      <w:r>
        <w:t xml:space="preserve">receptor pasivo de su salida</w:t>
      </w:r>
      <w:r>
        <w:t xml:space="preserve"> </w:t>
      </w:r>
      <w:r>
        <w:t xml:space="preserve">(Amershi 2014)</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y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y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6"/>
    <w:bookmarkStart w:id="57" w:name="Xcb28a5da8e0ee4c37a7111d109b1f7262846e3e"/>
    <w:p>
      <w:pPr>
        <w:pStyle w:val="Ttulo3"/>
        <w:spacing w:line="360" w:lineRule="auto"/>
        <w:jc w:val="both"/>
      </w:pP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7"/>
    <w:bookmarkEnd w:id="58"/>
    <w:bookmarkStart w:id="59" w:name="X1ac049df9037bab7d9ddedb9eb6dfc246d0f001"/>
    <w:p>
      <w:pPr>
        <w:pStyle w:val="Ttulo2"/>
        <w:spacing w:line="360" w:lineRule="auto"/>
        <w:jc w:val="both"/>
      </w:pPr>
      <w:r>
        <w:t xml:space="preserve">Taxonomias de métricas y brechas de constructo</w:t>
      </w:r>
    </w:p>
    <w:p>
      <w:pPr>
        <w:pStyle w:val="FirstParagraph"/>
        <w:spacing w:line="360" w:lineRule="auto"/>
        <w:jc w:val="both"/>
      </w:pPr>
      <w:r>
        <w:t xml:space="preserve">El esfuerzo por ordenar este espacio ha generado una literatura de síntesis</w:t>
      </w:r>
      <w:r>
        <w:t xml:space="preserve"> </w:t>
      </w:r>
      <w:r>
        <w:t xml:space="preserve">abundante y heterogénea. Existen historias breves del campo que sitúan la</w:t>
      </w:r>
      <w:r>
        <w:t xml:space="preserve"> </w:t>
      </w:r>
      <w:r>
        <w:t xml:space="preserve">interpretabilidad en una tradición estadística de más de dos siglos</w:t>
      </w:r>
      <w:r>
        <w:t xml:space="preserve"> </w:t>
      </w:r>
      <w:r>
        <w:t xml:space="preserve">(Molnar et al. 2020)</w:t>
      </w:r>
      <w:r>
        <w:t xml:space="preserve">, panorámicas compactas de métodos</w:t>
      </w:r>
      <w:r>
        <w:t xml:space="preserve"> </w:t>
      </w:r>
      <w:r>
        <w:t xml:space="preserve">(Holzinger et al. 2022; Long et al. 2019)</w:t>
      </w:r>
      <w:r>
        <w:t xml:space="preserve">,</w:t>
      </w:r>
      <w:r>
        <w:t xml:space="preserve"> </w:t>
      </w:r>
      <w:r>
        <w:t xml:space="preserve">revisiones sistemáticas de técnicas y retos abiertos</w:t>
      </w:r>
      <w:r>
        <w:t xml:space="preserve"> </w:t>
      </w:r>
      <w:r>
        <w:t xml:space="preserve">(Abusitta et al. 2024; Ullah et al. 2024)</w:t>
      </w:r>
      <w:r>
        <w:t xml:space="preserve">,</w:t>
      </w:r>
      <w:r>
        <w:t xml:space="preserve"> </w:t>
      </w:r>
      <w:r>
        <w:t xml:space="preserve">inventarios de aplicaciones por dominio</w:t>
      </w:r>
      <w:r>
        <w:t xml:space="preserve"> </w:t>
      </w:r>
      <w:r>
        <w:t xml:space="preserve">(Kalasampath et al. 2025)</w:t>
      </w:r>
      <w:r>
        <w:t xml:space="preserve"> </w:t>
      </w:r>
      <w:r>
        <w:t xml:space="preserve">y revisiones</w:t>
      </w:r>
      <w:r>
        <w:t xml:space="preserve"> </w:t>
      </w:r>
      <w:r>
        <w:t xml:space="preserve">focalizadas en tareas concretas</w:t>
      </w:r>
      <w:r>
        <w:t xml:space="preserve"> </w:t>
      </w:r>
      <w:r>
        <w:t xml:space="preserve">(Ngueajio et al. 2025; Fan et al. 2026)</w:t>
      </w:r>
      <w:r>
        <w:t xml:space="preserve">. La reflexión más</w:t>
      </w:r>
      <w:r>
        <w:t xml:space="preserve"> </w:t>
      </w:r>
      <w:r>
        <w:t xml:space="preserve">articulada sobre el estado del campo es el manifiesto que propone una segunda</w:t>
      </w:r>
      <w:r>
        <w:t xml:space="preserve"> </w:t>
      </w:r>
      <w:r>
        <w:t xml:space="preserve">generación de XAI y enumera los desafíos abiertos que la primera no resolvió</w:t>
      </w:r>
      <w:r>
        <w:t xml:space="preserve"> </w:t>
      </w:r>
      <w:r>
        <w:t xml:space="preserve">(Longo et al. 2024)</w:t>
      </w:r>
      <w:r>
        <w:t xml:space="preserve">. La proliferación de estas síntesis es, en sí misma, un síntoma del</w:t>
      </w:r>
      <w:r>
        <w:t xml:space="preserve"> </w:t>
      </w:r>
      <w:r>
        <w:t xml:space="preserve">problema que esta tesis aborda: se acumulan mapas del territorio con mayor</w:t>
      </w:r>
      <w:r>
        <w:t xml:space="preserve"> </w:t>
      </w:r>
      <w:r>
        <w:t xml:space="preserve">rapidez que protocolos para transitarlo.</w:t>
      </w:r>
    </w:p>
    <w:p>
      <w:pPr>
        <w:pStyle w:val="Textoindependiente"/>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y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t xml:space="preserve">Método</w:t>
            </w:r>
          </w:p>
        </w:tc>
        <w:tc>
          <w:tcPr/>
          <w:p>
            <w:pPr>
              <w:pStyle w:val="Compact"/>
              <w:spacing w:line="360" w:lineRule="auto"/>
              <w:jc w:val="both"/>
            </w:pPr>
            <w:r>
              <w:t xml:space="preserve">Objeto explicativo principal</w:t>
            </w:r>
          </w:p>
        </w:tc>
        <w:tc>
          <w:tcPr/>
          <w:p>
            <w:pPr>
              <w:pStyle w:val="Compact"/>
              <w:spacing w:line="360" w:lineRule="auto"/>
              <w:jc w:val="both"/>
            </w:pPr>
            <w:r>
              <w:t xml:space="preserve">Constructos naturalmente alineados</w:t>
            </w:r>
          </w:p>
        </w:tc>
        <w:tc>
          <w:tcPr/>
          <w:p>
            <w:pPr>
              <w:pStyle w:val="Compact"/>
              <w:spacing w:line="360" w:lineRule="auto"/>
              <w:jc w:val="both"/>
            </w:pPr>
            <w:r>
              <w:t xml:space="preserve">Riesgos de evaluación</w:t>
            </w:r>
          </w:p>
        </w:tc>
        <w:tc>
          <w:tcPr/>
          <w:p>
            <w:pPr>
              <w:pStyle w:val="Compact"/>
              <w:spacing w:line="360" w:lineRule="auto"/>
              <w:jc w:val="both"/>
            </w:pPr>
            <w: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9"/>
    <w:bookmarkStart w:id="60" w:name="X56f8700cbeeed185eff27b2505360753d99a361"/>
    <w:p>
      <w:pPr>
        <w:pStyle w:val="Ttulo2"/>
        <w:spacing w:line="360" w:lineRule="auto"/>
        <w:jc w:val="both"/>
      </w:pP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60"/>
    <w:bookmarkStart w:id="61" w:name="síntesis-crítica-justificación-de-fom-7"/>
    <w:p>
      <w:pPr>
        <w:pStyle w:val="Ttulo2"/>
        <w:spacing w:line="360" w:lineRule="auto"/>
        <w:jc w:val="both"/>
      </w:pP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y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61"/>
    <w:bookmarkEnd w:id="62"/>
    <w:bookmarkStart w:id="105" w:name="X5646f5ca87d0648c2ffdbe43cde235ede1b8dab"/>
    <w:p>
      <w:pPr>
        <w:pStyle w:val="Ttulo1"/>
        <w:spacing w:line="360" w:lineRule="auto"/>
        <w:jc w:val="both"/>
      </w:pPr>
      <w:r>
        <w:t xml:space="preserve">Capítulo 3. 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(el Estudio Omnibus Multimétrico) y la comparación pareada enfocada entre LIME</w:t>
      </w:r>
      <w:r>
        <w:t xml:space="preserve"> </w:t>
      </w:r>
      <w:r>
        <w:t xml:space="preserve">y SHAP (el Estudio Pareado LIME–SHAP). Ambos estudios comparten el mismo</w:t>
      </w:r>
      <w:r>
        <w:t xml:space="preserve"> </w:t>
      </w:r>
      <w:r>
        <w:t xml:space="preserve">pipeline experimental, el mismo conjunto de datos y los mismos artefactos de</w:t>
      </w:r>
      <w:r>
        <w:t xml:space="preserve"> </w:t>
      </w:r>
      <w:r>
        <w:t xml:space="preserve">modelo, y se distinguen por el alcance del análisis inferencial: el estudio</w:t>
      </w:r>
      <w:r>
        <w:t xml:space="preserve"> </w:t>
      </w:r>
      <w:r>
        <w:t xml:space="preserve">omnibus evalúa los cuatro métodos sobre el diseño factorial completo; el</w:t>
      </w:r>
      <w:r>
        <w:t xml:space="preserve"> </w:t>
      </w:r>
      <w:r>
        <w:t xml:space="preserve">estudio pareado restringe la inferencia confirmativa al subconjunto pareado</w:t>
      </w:r>
      <w:r>
        <w:t xml:space="preserve"> </w:t>
      </w:r>
      <w:r>
        <w:t xml:space="preserve">LIME-SHAP. El capítulo se organiza en ocho secciones: las dos fases</w:t>
      </w:r>
      <w:r>
        <w:t xml:space="preserve"> </w:t>
      </w:r>
      <w:r>
        <w:t xml:space="preserve">experimentales (EXP1 y EXP2), el conjunto de datos y el protocolo de</w:t>
      </w:r>
      <w:r>
        <w:t xml:space="preserve"> </w:t>
      </w:r>
      <w:r>
        <w:t xml:space="preserve">preprocesamiento, el diseño factorial, las configuraciones de los</w:t>
      </w:r>
      <w:r>
        <w:t xml:space="preserve"> </w:t>
      </w:r>
      <w:r>
        <w:t xml:space="preserve">explicadores, la operacionalización de las métricas, el protocolo FOM-7, el</w:t>
      </w:r>
      <w:r>
        <w:t xml:space="preserve"> </w:t>
      </w:r>
      <w:r>
        <w:t xml:space="preserve">análisis de cobertura de artefactos, y el plan de inferencia estadística. Las</w:t>
      </w:r>
      <w:r>
        <w:t xml:space="preserve"> </w:t>
      </w:r>
      <w:r>
        <w:t xml:space="preserve">amenazas a la validez y el inventario de recursos de reproducibilidad figuran</w:t>
      </w:r>
      <w:r>
        <w:t xml:space="preserve"> </w:t>
      </w:r>
      <w:r>
        <w:t xml:space="preserve">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6" w:name="fases-experimentales-exp1-y-exp2"/>
    <w:p>
      <w:pPr>
        <w:pStyle w:val="Ttulo2"/>
        <w:spacing w:line="360" w:lineRule="auto"/>
        <w:jc w:val="both"/>
      </w:pP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4" w:name="X32cac70d6076bcfbcdceb21da7e13d3984b2a1d"/>
    <w:p>
      <w:pPr>
        <w:pStyle w:val="Ttulo3"/>
        <w:spacing w:line="360" w:lineRule="auto"/>
        <w:jc w:val="both"/>
      </w:pP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63" w:name="tbl-model-performance"/>
          <w:p>
            <w:pPr>
              <w:jc w:val="both"/>
              <w:spacing w:line="360" w:lineRule="auto"/>
            </w:pPr>
            <w:pPr>
              <w:jc w:val="left"/>
              <w:spacing w:before="200"/>
              <w:pStyle w:val="ImageCaption"/>
            </w:pPr>
            <w:r>
              <w:t xml:space="preserve">Tabla 3.1: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Exactitud</w:t>
                  </w:r>
                </w:p>
              </w:tc>
              <w:tc>
                <w:tcPr/>
                <w:p>
                  <w:pPr>
                    <w:pStyle w:val="Compact"/>
                    <w:jc w:val="both"/>
                    <w:jc w:val="center"/>
                    <w:spacing w:line="360" w:lineRule="auto"/>
                  </w:pPr>
                  <w:r>
                    <w:t xml:space="preserve">Precisión</w:t>
                  </w:r>
                </w:p>
              </w:tc>
              <w:tc>
                <w:tcPr/>
                <w:p>
                  <w:pPr>
                    <w:pStyle w:val="Compact"/>
                    <w:jc w:val="both"/>
                    <w:jc w:val="center"/>
                    <w:spacing w:line="360" w:lineRule="auto"/>
                  </w:pPr>
                  <w:r>
                    <w:t xml:space="preserve">Recall</w:t>
                  </w:r>
                </w:p>
              </w:tc>
              <w:tc>
                <w:tcPr/>
                <w:p>
                  <w:pPr>
                    <w:pStyle w:val="Compact"/>
                    <w:jc w:val="both"/>
                    <w:jc w:val="center"/>
                    <w:spacing w:line="360" w:lineRule="auto"/>
                  </w:pPr>
                  <w:r>
                    <w:t xml:space="preserve">F1</w:t>
                  </w:r>
                </w:p>
              </w:tc>
              <w:tc>
                <w:tcPr/>
                <w:p>
                  <w:pPr>
                    <w:pStyle w:val="Compact"/>
                    <w:jc w:val="both"/>
                    <w:jc w:val="center"/>
                    <w:spacing w:line="360" w:lineRule="auto"/>
                  </w:pPr>
                  <w: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3"/>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4"/>
    <w:bookmarkStart w:id="65" w:name="X88dee61532cae681dfa2cfeee2779c5c9929176"/>
    <w:p>
      <w:pPr>
        <w:pStyle w:val="Ttulo3"/>
        <w:spacing w:line="360" w:lineRule="auto"/>
        <w:jc w:val="both"/>
      </w:pP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del Estudio Omnibus Multimétrico y del Estudio Pareado LIME–SHAP.</w:t>
      </w:r>
    </w:p>
    <w:bookmarkEnd w:id="65"/>
    <w:bookmarkEnd w:id="66"/>
    <w:bookmarkStart w:id="70" w:name="Xb179eb5e9b7cbdb0e78e991d72b8aeee41d8932"/>
    <w:p>
      <w:pPr>
        <w:pStyle w:val="Ttulo2"/>
        <w:spacing w:line="360" w:lineRule="auto"/>
        <w:jc w:val="both"/>
      </w:pPr>
      <w:r>
        <w:t xml:space="preserve">Conjunto de datos y protocolo de preprocesamiento</w:t>
      </w:r>
    </w:p>
    <w:bookmarkStart w:id="67" w:name="descripción-del-conjunto-de-datos"/>
    <w:p>
      <w:pPr>
        <w:pStyle w:val="Ttulo3"/>
        <w:spacing w:line="360" w:lineRule="auto"/>
        <w:jc w:val="both"/>
      </w:pP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y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7"/>
    <w:bookmarkStart w:id="68" w:name="carga-limpieza-y-partición"/>
    <w:p>
      <w:pPr>
        <w:pStyle w:val="Ttulo3"/>
        <w:spacing w:line="360" w:lineRule="auto"/>
        <w:jc w:val="both"/>
      </w:pP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8"/>
    <w:bookmarkStart w:id="69" w:name="controles-de-fuga-de-datos"/>
    <w:p>
      <w:pPr>
        <w:pStyle w:val="Ttulo3"/>
        <w:spacing w:line="360" w:lineRule="auto"/>
        <w:jc w:val="both"/>
      </w:pP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9"/>
    <w:bookmarkEnd w:id="70"/>
    <w:bookmarkStart w:id="72" w:name="X810bf4db8899260d734480c9f59b02e6a2182a3"/>
    <w:p>
      <w:pPr>
        <w:pStyle w:val="Ttulo2"/>
        <w:spacing w:line="360" w:lineRule="auto"/>
        <w:jc w:val="both"/>
      </w:pP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71" w:name="X7f3be01e797123bdbedac923d646584591998bc"/>
    <w:p>
      <w:pPr>
        <w:pStyle w:val="Ttulo3"/>
        <w:spacing w:line="360" w:lineRule="auto"/>
        <w:jc w:val="both"/>
      </w:pP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Pareado LIME–SHAP es la</w:t>
      </w:r>
      <w:r>
        <w:t xml:space="preserve"> </w:t>
      </w:r>
      <w:r>
        <w:rPr>
          <w:b/>
          <w:bCs/>
        </w:rPr>
        <w:t xml:space="preserve">celda</w:t>
      </w:r>
      <w:r>
        <w:rPr>
          <w:b/>
          <w:bCs/>
        </w:rPr>
        <w:t xml:space="preserve"> </w:t>
      </w:r>
      <w:r>
        <w:rPr>
          <w:b/>
          <w:bCs/>
        </w:rPr>
        <w:t xml:space="preserve">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w:t>
      </w:r>
      <w:r>
        <w:t xml:space="preserve"> </w:t>
      </w:r>
      <w:r>
        <w:t xml:space="preserve">calificados de SHAP y LIME con coordenadas idénticas.</w:t>
      </w:r>
    </w:p>
    <w:bookmarkEnd w:id="71"/>
    <w:bookmarkEnd w:id="72"/>
    <w:bookmarkStart w:id="75" w:name="Xa1b63f5b80ef9314faeb5aae6b8d7e743e4217a"/>
    <w:p>
      <w:pPr>
        <w:pStyle w:val="Ttulo2"/>
        <w:spacing w:line="360" w:lineRule="auto"/>
        <w:jc w:val="both"/>
      </w:pPr>
      <w:r>
        <w:t xml:space="preserve">Protocolo de muestreo de instancias y configuración de explicadores</w:t>
      </w:r>
    </w:p>
    <w:bookmarkStart w:id="73" w:name="X22a27531824c8c7d79a9c6abca6e13f987fd35c"/>
    <w:p>
      <w:pPr>
        <w:pStyle w:val="Ttulo3"/>
        <w:spacing w:line="360" w:lineRule="auto"/>
        <w:jc w:val="both"/>
      </w:pP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3"/>
    <w:bookmarkStart w:id="74" w:name="configuración-de-los-explicadores"/>
    <w:p>
      <w:pPr>
        <w:pStyle w:val="Ttulo3"/>
        <w:spacing w:line="360" w:lineRule="auto"/>
        <w:jc w:val="both"/>
      </w:pP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4"/>
    <w:bookmarkEnd w:id="75"/>
    <w:bookmarkStart w:id="83" w:name="operacionalización-de-las-métricas"/>
    <w:p>
      <w:pPr>
        <w:pStyle w:val="Ttulo2"/>
        <w:spacing w:line="360" w:lineRule="auto"/>
        <w:jc w:val="both"/>
      </w:pP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6" w:name="fidelidad"/>
    <w:p>
      <w:pPr>
        <w:pStyle w:val="Ttulo3"/>
        <w:spacing w:line="360" w:lineRule="auto"/>
        <w:jc w:val="both"/>
      </w:pP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6"/>
    <w:bookmarkStart w:id="77" w:name="estabilidad"/>
    <w:p>
      <w:pPr>
        <w:pStyle w:val="Ttulo3"/>
        <w:spacing w:line="360" w:lineRule="auto"/>
        <w:jc w:val="both"/>
      </w:pP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7"/>
    <w:bookmarkStart w:id="78" w:name="parsimonia"/>
    <w:p>
      <w:pPr>
        <w:pStyle w:val="Ttulo3"/>
        <w:spacing w:line="360" w:lineRule="auto"/>
        <w:jc w:val="both"/>
      </w:pP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8"/>
    <w:bookmarkStart w:id="79" w:name="brecha-de-fidelidad"/>
    <w:p>
      <w:pPr>
        <w:pStyle w:val="Ttulo3"/>
        <w:spacing w:line="360" w:lineRule="auto"/>
        <w:jc w:val="both"/>
      </w:pP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9"/>
    <w:bookmarkStart w:id="80" w:name="coste-computacional"/>
    <w:p>
      <w:pPr>
        <w:pStyle w:val="Ttulo3"/>
        <w:spacing w:line="360" w:lineRule="auto"/>
        <w:jc w:val="both"/>
      </w:pP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80"/>
    <w:bookmarkStart w:id="82" w:name="resumen-de-métricas-primarias"/>
    <w:p>
      <w:pPr>
        <w:pStyle w:val="Ttulo3"/>
        <w:spacing w:line="360" w:lineRule="auto"/>
        <w:jc w:val="both"/>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81" w:name="tbl-metrics"/>
          <w:p>
            <w:pPr>
              <w:jc w:val="both"/>
              <w:spacing w:line="360" w:lineRule="auto"/>
            </w:pPr>
            <w:pPr>
              <w:jc w:val="left"/>
              <w:spacing w:before="200"/>
              <w:pStyle w:val="ImageCaption"/>
            </w:pPr>
            <w:r>
              <w:t xml:space="preserve">Tabla 3.2: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Símbolo</w:t>
                  </w:r>
                </w:p>
              </w:tc>
              <w:tc>
                <w:tcPr/>
                <w:p>
                  <w:pPr>
                    <w:pStyle w:val="Compact"/>
                    <w:jc w:val="both"/>
                    <w:jc w:val="center"/>
                    <w:spacing w:line="360" w:lineRule="auto"/>
                  </w:pPr>
                  <w:r>
                    <w:t xml:space="preserve">Unidad</w:t>
                  </w:r>
                </w:p>
              </w:tc>
              <w:tc>
                <w:tcPr/>
                <w:p>
                  <w:pPr>
                    <w:pStyle w:val="Compact"/>
                    <w:jc w:val="both"/>
                    <w:jc w:val="center"/>
                    <w:spacing w:line="360" w:lineRule="auto"/>
                  </w:pPr>
                  <w: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81"/>
          <w:p>
            <w:pPr>
              <w:spacing w:line="360" w:lineRule="auto"/>
              <w:jc w:val="both"/>
            </w:pPr>
          </w:p>
        </w:tc>
      </w:tr>
    </w:tbl>
    <w:bookmarkEnd w:id="82"/>
    <w:bookmarkEnd w:id="83"/>
    <w:bookmarkStart w:id="85" w:name="protocolo-de-operación-fom-7"/>
    <w:p>
      <w:pPr>
        <w:pStyle w:val="Ttulo2"/>
        <w:spacing w:line="360" w:lineRule="auto"/>
        <w:jc w:val="both"/>
      </w:pP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 Esta decisión descarta</w:t>
      </w:r>
      <w:r>
        <w:t xml:space="preserve"> </w:t>
      </w:r>
      <w:r>
        <w:t xml:space="preserve">deliberadamente las estrategias de imputación habituales en presencia de datos</w:t>
      </w:r>
      <w:r>
        <w:t xml:space="preserve"> </w:t>
      </w:r>
      <w:r>
        <w:t xml:space="preserve">faltantes</w:t>
      </w:r>
      <w:r>
        <w:t xml:space="preserve"> </w:t>
      </w:r>
      <w:r>
        <w:t xml:space="preserve">(Adhikari 2022)</w:t>
      </w:r>
      <w:r>
        <w:t xml:space="preserve">: imputar una métrica de calidad equivaldría a fabricar</w:t>
      </w:r>
      <w:r>
        <w:t xml:space="preserve"> </w:t>
      </w:r>
      <w:r>
        <w:t xml:space="preserve">evidencia sobre el comportamiento de un explicador que no llegó a ejecutarse, de</w:t>
      </w:r>
      <w:r>
        <w:t xml:space="preserve"> </w:t>
      </w:r>
      <w:r>
        <w:t xml:space="preserve">modo que la cobertura reducida se declara y se cuantifica (Sección 3.7) en lugar</w:t>
      </w:r>
      <w:r>
        <w:t xml:space="preserve"> </w:t>
      </w:r>
      <w:r>
        <w:t xml:space="preserve">de completarse.</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3.3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tblLayout w:type="fixed"/>
        <w:tblLook w:firstRow="0" w:lastRow="0" w:firstColumn="0" w:lastColumn="0" w:noHBand="0" w:noVBand="0" w:val="0000"/>
      </w:tblPr>
      <w:tblGrid>
        <w:gridCol w:w="7920"/>
      </w:tblGrid>
      <w:tr>
        <w:tc>
          <w:tcPr/>
          <w:bookmarkStart w:id="84" w:name="tbl-fom7-gates"/>
          <w:p>
            <w:pPr>
              <w:jc w:val="both"/>
              <w:spacing w:line="360" w:lineRule="auto"/>
            </w:pPr>
            <w:pPr>
              <w:jc w:val="left"/>
              <w:spacing w:before="200"/>
              <w:pStyle w:val="ImageCaption"/>
            </w:pPr>
            <w:r>
              <w:t xml:space="preserve">Tabla 3.3: Puertas FOM-7, artefactos y modos de fallo controlados.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Puerta</w:t>
                  </w:r>
                </w:p>
              </w:tc>
              <w:tc>
                <w:tcPr/>
                <w:p>
                  <w:pPr>
                    <w:pStyle w:val="Compact"/>
                    <w:jc w:val="both"/>
                    <w:jc w:val="center"/>
                    <w:spacing w:line="360" w:lineRule="auto"/>
                  </w:pPr>
                  <w:r>
                    <w:t xml:space="preserve">Propósito</w:t>
                  </w:r>
                </w:p>
              </w:tc>
              <w:tc>
                <w:tcPr/>
                <w:p>
                  <w:pPr>
                    <w:pStyle w:val="Compact"/>
                    <w:jc w:val="both"/>
                    <w:jc w:val="center"/>
                    <w:spacing w:line="360" w:lineRule="auto"/>
                  </w:pPr>
                  <w:r>
                    <w:t xml:space="preserve">Artefacto de entrada</w:t>
                  </w:r>
                </w:p>
              </w:tc>
              <w:tc>
                <w:tcPr/>
                <w:p>
                  <w:pPr>
                    <w:pStyle w:val="Compact"/>
                    <w:jc w:val="both"/>
                    <w:jc w:val="center"/>
                    <w:spacing w:line="360" w:lineRule="auto"/>
                  </w:pPr>
                  <w:r>
                    <w:t xml:space="preserve">Artefacto de salida</w:t>
                  </w:r>
                </w:p>
              </w:tc>
              <w:tc>
                <w:tcPr/>
                <w:p>
                  <w:pPr>
                    <w:pStyle w:val="Compact"/>
                    <w:jc w:val="both"/>
                    <w:jc w:val="center"/>
                    <w:spacing w:line="360" w:lineRule="auto"/>
                  </w:pPr>
                  <w:r>
                    <w:t xml:space="preserve">Fallo controlado</w:t>
                  </w:r>
                </w:p>
              </w:tc>
              <w:tc>
                <w:tcPr/>
                <w:p>
                  <w:pPr>
                    <w:pStyle w:val="Compact"/>
                    <w:jc w:val="both"/>
                    <w:jc w:val="center"/>
                    <w:spacing w:line="360" w:lineRule="auto"/>
                  </w:pPr>
                  <w: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4.1</w:t>
                    </w:r>
                  </w:hyperlink>
                  <w:r>
                    <w:t xml:space="preserve"> </w:t>
                  </w:r>
                  <w:r>
                    <w:t xml:space="preserve">y</w:t>
                  </w:r>
                  <w:r>
                    <w:t xml:space="preserve"> </w:t>
                  </w:r>
                  <w:hyperlink w:anchor="tbl-claim-traceability">
                    <w:r>
                      <w:rPr>
                        <w:rStyle w:val="Hipervnculo"/>
                      </w:rPr>
                      <w:t xml:space="preserve">4.7</w:t>
                    </w:r>
                  </w:hyperlink>
                </w:p>
              </w:tc>
            </w:tr>
          </w:tbl>
          <w:bookmarkEnd w:id="84"/>
          <w:p>
            <w:pPr>
              <w:spacing w:line="360" w:lineRule="auto"/>
              <w:jc w:val="both"/>
            </w:pPr>
          </w:p>
        </w:tc>
      </w:tr>
    </w:tbl>
    <w:bookmarkEnd w:id="85"/>
    <w:bookmarkStart w:id="90" w:name="X70736bc07e73377e919d2c60f119994d057bf14"/>
    <w:p>
      <w:pPr>
        <w:pStyle w:val="Ttulo2"/>
        <w:spacing w:line="360" w:lineRule="auto"/>
        <w:jc w:val="both"/>
      </w:pPr>
      <w:r>
        <w:t xml:space="preserve">Cobertura de artefactos y análisis del impacto de datos faltantes</w:t>
      </w:r>
    </w:p>
    <w:bookmarkStart w:id="88" w:name="inventario-de-cobertura"/>
    <w:p>
      <w:pPr>
        <w:pStyle w:val="Ttulo3"/>
        <w:spacing w:line="360" w:lineRule="auto"/>
        <w:jc w:val="both"/>
      </w:pP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86" w:name="tbl-coverage"/>
          <w:p>
            <w:pPr>
              <w:jc w:val="both"/>
              <w:spacing w:line="360" w:lineRule="auto"/>
            </w:pPr>
            <w:pPr>
              <w:jc w:val="left"/>
              <w:spacing w:before="200"/>
              <w:pStyle w:val="ImageCaption"/>
            </w:pPr>
            <w:r>
              <w:t xml:space="preserve">Tabla 3.4: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Cohorte</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Presentes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6"/>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7" w:name="tbl-coverage-method"/>
          <w:p>
            <w:pPr>
              <w:jc w:val="both"/>
              <w:spacing w:line="360" w:lineRule="auto"/>
            </w:pPr>
            <w:pPr>
              <w:jc w:val="left"/>
              <w:spacing w:before="200"/>
              <w:pStyle w:val="ImageCaption"/>
            </w:pPr>
            <w:r>
              <w:t xml:space="preserve">Tabla 3.5: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Método</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7"/>
          <w:p>
            <w:pPr>
              <w:spacing w:line="360" w:lineRule="auto"/>
              <w:jc w:val="both"/>
            </w:pPr>
          </w:p>
        </w:tc>
      </w:tr>
    </w:tbl>
    <w:bookmarkEnd w:id="88"/>
    <w:bookmarkStart w:id="89" w:name="Xcb4396ffd8bf23e7b418105a9e8d3fef7075c0b"/>
    <w:p>
      <w:pPr>
        <w:pStyle w:val="Ttulo3"/>
        <w:spacing w:line="360" w:lineRule="auto"/>
        <w:jc w:val="both"/>
      </w:pP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Estudio Pareado LIME–SHAP.</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omnibus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w:t>
      </w:r>
      <w:r>
        <w:t xml:space="preserve"> </w:t>
      </w:r>
      <w:r>
        <w:t xml:space="preserve">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Estudio Pareado LIME–SHAP.</w:t>
      </w:r>
      <w:r>
        <w:t xml:space="preserve"> </w:t>
      </w:r>
      <w:r>
        <w:t xml:space="preserve">Con cobertura completa de</w:t>
      </w:r>
      <w:r>
        <w:t xml:space="preserve"> </w:t>
      </w:r>
      <w:r>
        <w:t xml:space="preserve">SHAP (75/75) y LIME (75/75), su cobertura pareada es del 100%. Los datos</w:t>
      </w:r>
      <w:r>
        <w:t xml:space="preserve"> </w:t>
      </w:r>
      <w:r>
        <w:t xml:space="preserve">faltantes de Anchors y DiCE</w:t>
      </w:r>
      <w:r>
        <w:t xml:space="preserve"> </w:t>
      </w:r>
      <w:r>
        <w:rPr>
          <w:b/>
          <w:bCs/>
        </w:rPr>
        <w:t xml:space="preserve">no afectan</w:t>
      </w:r>
      <w:r>
        <w:t xml:space="preserve"> </w:t>
      </w:r>
      <w:r>
        <w:t xml:space="preserve">a este estudio.</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Tabla 6.10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6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Estudio Pareado LIME–SHAP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9"/>
    <w:bookmarkEnd w:id="90"/>
    <w:bookmarkStart w:id="98" w:name="plan-de-inferencia-estadística"/>
    <w:p>
      <w:pPr>
        <w:pStyle w:val="Ttulo2"/>
        <w:spacing w:line="360" w:lineRule="auto"/>
        <w:jc w:val="both"/>
      </w:pPr>
      <w:r>
        <w:t xml:space="preserve">Plan de inferencia estadística</w:t>
      </w:r>
    </w:p>
    <w:bookmarkStart w:id="91" w:name="Xb1cf6929af397b34ac8b341602720570fd1cf16"/>
    <w:p>
      <w:pPr>
        <w:pStyle w:val="Ttulo3"/>
        <w:spacing w:line="360" w:lineRule="auto"/>
        <w:jc w:val="both"/>
      </w:pPr>
      <w:r>
        <w:t xml:space="preserve">Estudio Omnibus Multimétrico: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91"/>
    <w:bookmarkStart w:id="92" w:name="localización-post-hoc-nemenyi"/>
    <w:p>
      <w:pPr>
        <w:pStyle w:val="Ttulo3"/>
        <w:spacing w:line="360" w:lineRule="auto"/>
        <w:jc w:val="both"/>
      </w:pP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92"/>
    <w:bookmarkStart w:id="93" w:name="X82a710d830240cc18776e0ef609d9e71b3f53e7"/>
    <w:p>
      <w:pPr>
        <w:pStyle w:val="Ttulo3"/>
        <w:spacing w:line="360" w:lineRule="auto"/>
        <w:jc w:val="both"/>
      </w:pP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3"/>
    <w:bookmarkStart w:id="95" w:name="control-de-multiplicidad"/>
    <w:p>
      <w:pPr>
        <w:pStyle w:val="Ttulo3"/>
        <w:spacing w:line="360" w:lineRule="auto"/>
        <w:jc w:val="both"/>
      </w:pP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94" w:name="tbl-stat-plan"/>
          <w:p>
            <w:pPr>
              <w:jc w:val="both"/>
              <w:spacing w:line="360" w:lineRule="auto"/>
            </w:pPr>
            <w:pPr>
              <w:jc w:val="left"/>
              <w:spacing w:before="200"/>
              <w:pStyle w:val="ImageCaption"/>
            </w:pPr>
            <w:r>
              <w:t xml:space="preserve">Tabla 3.6: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Corrección</w:t>
                  </w:r>
                </w:p>
              </w:tc>
            </w:tr>
            <w:tr>
              <w:tc>
                <w:tcPr/>
                <w:p>
                  <w:pPr>
                    <w:pStyle w:val="Compact"/>
                    <w:jc w:val="both"/>
                    <w:jc w:val="center"/>
                    <w:spacing w:line="360" w:lineRule="auto"/>
                  </w:pPr>
                  <w:r>
                    <w:t xml:space="preserve">Friedman (estudio omnibus)</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omnibus)</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(omnibus y pareado)</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4"/>
          <w:p>
            <w:pPr>
              <w:spacing w:line="360" w:lineRule="auto"/>
              <w:jc w:val="both"/>
            </w:pPr>
          </w:p>
        </w:tc>
      </w:tr>
    </w:tbl>
    <w:bookmarkEnd w:id="95"/>
    <w:bookmarkStart w:id="97" w:name="X8d8a6fe44143f1c1b581a8bcb7389a6bd938df3"/>
    <w:p>
      <w:pPr>
        <w:pStyle w:val="Ttulo3"/>
        <w:spacing w:line="360" w:lineRule="auto"/>
        <w:jc w:val="both"/>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96" w:name="tbl-hypo-plan"/>
          <w:p>
            <w:pPr>
              <w:jc w:val="both"/>
              <w:spacing w:line="360" w:lineRule="auto"/>
            </w:pPr>
            <w:pPr>
              <w:jc w:val="left"/>
              <w:spacing w:before="200"/>
              <w:pStyle w:val="ImageCaption"/>
            </w:pPr>
            <w:r>
              <w:t xml:space="preserve">Tabla 3.7: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t xml:space="preserve">Hipótesis</w:t>
                  </w:r>
                </w:p>
              </w:tc>
              <w:tc>
                <w:tcPr/>
                <w:p>
                  <w:pPr>
                    <w:pStyle w:val="Compact"/>
                    <w:jc w:val="both"/>
                    <w:jc w:val="center"/>
                    <w:spacing w:line="360" w:lineRule="auto"/>
                  </w:pPr>
                  <w: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6"/>
          <w:p>
            <w:pPr>
              <w:spacing w:line="360" w:lineRule="auto"/>
              <w:jc w:val="both"/>
            </w:pPr>
          </w:p>
        </w:tc>
      </w:tr>
    </w:tbl>
    <w:bookmarkEnd w:id="97"/>
    <w:bookmarkEnd w:id="98"/>
    <w:bookmarkStart w:id="100" w:name="amenazas-a-la-validez"/>
    <w:p>
      <w:pPr>
        <w:pStyle w:val="Ttulo2"/>
        <w:spacing w:line="360" w:lineRule="auto"/>
        <w:jc w:val="both"/>
      </w:pP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tblLayout w:type="fixed"/>
        <w:tblLook w:firstRow="0" w:lastRow="0" w:firstColumn="0" w:lastColumn="0" w:noHBand="0" w:noVBand="0" w:val="0000"/>
      </w:tblPr>
      <w:tblGrid>
        <w:gridCol w:w="7920"/>
      </w:tblGrid>
      <w:tr>
        <w:tc>
          <w:tcPr/>
          <w:bookmarkStart w:id="99" w:name="tbl-validity-threats"/>
          <w:p>
            <w:pPr>
              <w:jc w:val="both"/>
              <w:spacing w:line="360" w:lineRule="auto"/>
            </w:pPr>
            <w:pPr>
              <w:jc w:val="left"/>
              <w:spacing w:before="200"/>
              <w:pStyle w:val="ImageCaption"/>
            </w:pPr>
            <w:r>
              <w:t xml:space="preserve">Tabla 3.8: Amenazas a la validez, controles y riesgo residual.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Amenaza principal</w:t>
                  </w:r>
                </w:p>
              </w:tc>
              <w:tc>
                <w:tcPr/>
                <w:p>
                  <w:pPr>
                    <w:pStyle w:val="Compact"/>
                    <w:jc w:val="both"/>
                    <w:jc w:val="center"/>
                    <w:spacing w:line="360" w:lineRule="auto"/>
                  </w:pPr>
                  <w:r>
                    <w:t xml:space="preserve">Control aplicado</w:t>
                  </w:r>
                </w:p>
              </w:tc>
              <w:tc>
                <w:tcPr/>
                <w:p>
                  <w:pPr>
                    <w:pStyle w:val="Compact"/>
                    <w:jc w:val="both"/>
                    <w:jc w:val="center"/>
                    <w:spacing w:line="360" w:lineRule="auto"/>
                  </w:pPr>
                  <w: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9"/>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100"/>
    <w:bookmarkStart w:id="101" w:name="trazabilidad-y-reproducibilidad"/>
    <w:p>
      <w:pPr>
        <w:pStyle w:val="Ttulo2"/>
        <w:spacing w:line="360" w:lineRule="auto"/>
        <w:jc w:val="both"/>
      </w:pP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101"/>
    <w:bookmarkStart w:id="104" w:name="sec-estudios-complementarios"/>
    <w:p>
      <w:pPr>
        <w:pStyle w:val="Ttulo2"/>
        <w:spacing w:line="360" w:lineRule="auto"/>
        <w:jc w:val="both"/>
      </w:pP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102" w:name="sec-exp3-diseno"/>
    <w:p>
      <w:pPr>
        <w:pStyle w:val="Ttulo3"/>
        <w:spacing w:line="360" w:lineRule="auto"/>
        <w:jc w:val="both"/>
      </w:pP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y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y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102"/>
    <w:bookmarkStart w:id="103" w:name="sec-exp4-diseno"/>
    <w:p>
      <w:pPr>
        <w:pStyle w:val="Ttulo3"/>
        <w:spacing w:line="360" w:lineRule="auto"/>
        <w:jc w:val="both"/>
      </w:pP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§sec-taxonomia-brechas: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5.3</w:t>
        </w:r>
      </w:hyperlink>
      <w:r>
        <w:t xml:space="preserve"> </w:t>
      </w:r>
      <w:r>
        <w:t xml:space="preserve">del Capítulo 5).</w:t>
      </w:r>
      <w:r>
        <w:t xml:space="preserve"> </w:t>
      </w:r>
      <w:r>
        <w:t xml:space="preserve">El uso de modelos de lenguaje como instrumento de medida exige cautela: estos</w:t>
      </w:r>
      <w:r>
        <w:t xml:space="preserve"> </w:t>
      </w:r>
      <w:r>
        <w:t xml:space="preserve">sistemas producen salidas fluidas y plausibles con independencia de su</w:t>
      </w:r>
      <w:r>
        <w:t xml:space="preserve"> </w:t>
      </w:r>
      <w:r>
        <w:t xml:space="preserve">corrección factual, un modo de fallo ampliamente documentado en generación de</w:t>
      </w:r>
      <w:r>
        <w:t xml:space="preserve"> </w:t>
      </w:r>
      <w:r>
        <w:t xml:space="preserve">lenguaje natural</w:t>
      </w:r>
      <w:r>
        <w:t xml:space="preserve"> </w:t>
      </w:r>
      <w:r>
        <w:t xml:space="preserve">(Ji 2022)</w:t>
      </w:r>
      <w:r>
        <w:t xml:space="preserve">, por lo que su convergencia inter-juez debe</w:t>
      </w:r>
      <w:r>
        <w:t xml:space="preserve"> </w:t>
      </w:r>
      <w:r>
        <w:t xml:space="preserve">establecerse empíricamente antes de tratarla como evidencia.</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w:t>
      </w:r>
      <w:r>
        <w:t xml:space="preserve"> </w:t>
      </w:r>
      <w:r>
        <w:t xml:space="preserve">(Krippendorff 2018)</w:t>
      </w:r>
      <w:r>
        <w:t xml:space="preserve">, estadístico que tolera</w:t>
      </w:r>
      <w:r>
        <w:t xml:space="preserve"> </w:t>
      </w:r>
      <w:r>
        <w:t xml:space="preserve">puntuaciones ausentes y admite escalas ordinales. Se prefieren ambos al</w:t>
      </w:r>
      <w:r>
        <w:t xml:space="preserve"> </w:t>
      </w:r>
      <w:r>
        <w:t xml:space="preserve">coeficiente</w:t>
      </w:r>
      <w:r>
        <w:t xml:space="preserve"> </w:t>
      </w:r>
      <ns1:oMath>
        <ns1:r>
          <ns1:t>κ</ns1:t>
        </ns1:r>
      </ns1:oMath>
      <w:r>
        <w:t xml:space="preserve"> </w:t>
      </w:r>
      <w:r>
        <w:t xml:space="preserve">de Cohen</w:t>
      </w:r>
      <w:r>
        <w:t xml:space="preserve"> </w:t>
      </w:r>
      <w:r>
        <w:t xml:space="preserve">(Cohen 1960)</w:t>
      </w:r>
      <w:r>
        <w:t xml:space="preserve"> </w:t>
      </w:r>
      <w:r>
        <w:t xml:space="preserve">porque este último se define para dos</w:t>
      </w:r>
      <w:r>
        <w:t xml:space="preserve"> </w:t>
      </w:r>
      <w:r>
        <w:t xml:space="preserve">evaluadores y escalas nominales, mientras que el diseño de EXP4 involucra tres</w:t>
      </w:r>
      <w:r>
        <w:t xml:space="preserve"> </w:t>
      </w:r>
      <w:r>
        <w:t xml:space="preserve">jueces y puntuaciones ordinales de 1 a 5. El umbral de fiabilidad</w:t>
      </w:r>
      <w:r>
        <w:t xml:space="preserve"> </w:t>
      </w:r>
      <w:r>
        <w:t xml:space="preserve">aceptable es</w:t>
      </w:r>
      <w:r>
        <w:t xml:space="preserve"> </w:t>
      </w:r>
      <ns1:oMath>
        <ns1:r>
          <ns1:rPr>
            <ns1:sty ns1:val="p"/>
          </ns1:rPr>
          <ns1:t>≥</ns1:t>
        </ns1:r>
        <ns1:r>
          <ns1:t>0.75</ns1:t>
        </ns1:r>
      </ns1:oMath>
      <w:r>
        <w:t xml:space="preserve"> </w:t>
      </w:r>
      <w:r>
        <w:t xml:space="preserve">(Koo y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y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y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3"/>
    <w:bookmarkEnd w:id="104"/>
    <w:bookmarkEnd w:id="105"/>
    <w:bookmarkStart w:id="163" w:name="capítulo-4.-resultados-y-discusión"/>
    <w:p>
      <w:pPr>
        <w:pStyle w:val="Ttulo1"/>
        <w:spacing w:line="360" w:lineRule="auto"/>
        <w:jc w:val="both"/>
      </w:pPr>
      <w:r>
        <w:t xml:space="preserve">Capítulo 4. Resultados y discusión</w:t>
      </w:r>
    </w:p>
    <w:p>
      <w:pPr>
        <w:pStyle w:val="FirstParagraph"/>
        <w:spacing w:line="360" w:lineRule="auto"/>
        <w:jc w:val="both"/>
      </w:pPr>
      <w:r>
        <w:t xml:space="preserve">Este capítulo presenta los resultados empíricos del Estudio Omnibus</w:t>
      </w:r>
      <w:r>
        <w:t xml:space="preserve"> </w:t>
      </w:r>
      <w:r>
        <w:t xml:space="preserve">Multimétrico y del Estudio Pareado LIME–SHAP, organizados conforme a las</w:t>
      </w:r>
      <w:r>
        <w:t xml:space="preserve"> </w:t>
      </w:r>
      <w:r>
        <w:t xml:space="preserve">hipótesis y proposición de trabajo establecidas en el Capítulo 1. La</w:t>
      </w:r>
      <w:r>
        <w:t xml:space="preserve"> </w:t>
      </w:r>
      <w:r>
        <w:t xml:space="preserve">exposición sigue la secuencia lógica del protocolo FOM-7: primero se</w:t>
      </w:r>
      <w:r>
        <w:t xml:space="preserve"> </w:t>
      </w:r>
      <w:r>
        <w:t xml:space="preserve">documentan los resultados del análisis omnibus multimétrico, luego el análisis</w:t>
      </w:r>
      <w:r>
        <w:t xml:space="preserve"> </w:t>
      </w:r>
      <w:r>
        <w:t xml:space="preserve">pareado SHAP-LIME, y finalmente la verificación de la proposición de</w:t>
      </w:r>
      <w:r>
        <w:t xml:space="preserve"> </w:t>
      </w:r>
      <w:r>
        <w:t xml:space="preserve">reproducibilidad (P1). La discusión integradora al final del capítulo articula</w:t>
      </w:r>
      <w:r>
        <w:t xml:space="preserve"> </w:t>
      </w:r>
      <w:r>
        <w:t xml:space="preserve">los hallazgos con la literatura y deriva criterios operativos de selección de</w:t>
      </w:r>
      <w:r>
        <w:t xml:space="preserve"> </w:t>
      </w:r>
      <w:r>
        <w:t xml:space="preserve">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7" w:name="X265f56e886428ba30debc49e85dcc5a7469d3ae"/>
    <w:p>
      <w:pPr>
        <w:pStyle w:val="Ttulo2"/>
        <w:spacing w:line="360" w:lineRule="auto"/>
        <w:jc w:val="both"/>
      </w:pP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4.1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tblLayout w:type="fixed"/>
        <w:tblLook w:firstRow="0" w:lastRow="0" w:firstColumn="0" w:lastColumn="0" w:noHBand="0" w:noVBand="0" w:val="0000"/>
      </w:tblPr>
      <w:tblGrid>
        <w:gridCol w:w="7920"/>
      </w:tblGrid>
      <w:tr>
        <w:tc>
          <w:tcPr/>
          <w:bookmarkStart w:id="106" w:name="tbl-results-overview"/>
          <w:p>
            <w:pPr>
              <w:jc w:val="both"/>
              <w:spacing w:line="360" w:lineRule="auto"/>
            </w:pPr>
            <w:pPr>
              <w:jc w:val="left"/>
              <w:spacing w:before="200"/>
              <w:pStyle w:val="ImageCaption"/>
            </w:pPr>
            <w:r>
              <w:t xml:space="preserve">Tabla 4.1: Resumen auditable de hipótesis, pruebas y decisiones.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Test</w:t>
                  </w:r>
                </w:p>
              </w:tc>
              <w:tc>
                <w:tcPr/>
                <w:p>
                  <w:pPr>
                    <w:pStyle w:val="Compact"/>
                    <w:jc w:val="both"/>
                    <w:jc w:val="center"/>
                    <w:spacing w:line="360" w:lineRule="auto"/>
                  </w:pPr>
                  <w:r>
                    <w:t xml:space="preserve">Unidad /</w:t>
                  </w:r>
                  <w:r>
                    <w:t xml:space="preserve"> </w:t>
                  </w:r>
                  <ns1:oMath>
                    <ns1:r>
                      <ns1:t>n</ns1:t>
                    </ns1:r>
                  </ns1:oMath>
                </w:p>
              </w:tc>
              <w:tc>
                <w:tcPr/>
                <w:p>
                  <w:pPr>
                    <w:pStyle w:val="Compact"/>
                    <w:jc w:val="both"/>
                    <w:jc w:val="center"/>
                    <w:spacing w:line="360" w:lineRule="auto"/>
                  </w:pPr>
                  <w: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Efecto</w:t>
                  </w:r>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6"/>
          <w:p>
            <w:pPr>
              <w:spacing w:line="360" w:lineRule="auto"/>
              <w:jc w:val="both"/>
            </w:pPr>
          </w:p>
        </w:tc>
      </w:tr>
    </w:tbl>
    <w:bookmarkEnd w:id="107"/>
    <w:bookmarkStart w:id="113" w:name="sec-estudio-a"/>
    <w:p>
      <w:pPr>
        <w:pStyle w:val="Ttulo2"/>
        <w:spacing w:line="360" w:lineRule="auto"/>
        <w:jc w:val="both"/>
      </w:pPr>
      <w:r>
        <w:t xml:space="preserve">Estudio Omnibus Multimétrico: H1 y H2</w:t>
      </w:r>
    </w:p>
    <w:bookmarkStart w:id="110" w:name="X41be5df394949178755daa825e68dc45d5470c0"/>
    <w:p>
      <w:pPr>
        <w:pStyle w:val="Ttulo3"/>
        <w:spacing w:line="360" w:lineRule="auto"/>
        <w:jc w:val="both"/>
      </w:pP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tblLayout w:type="fixed"/>
        <w:tblLook w:firstRow="0" w:lastRow="0" w:firstColumn="0" w:lastColumn="0" w:noHBand="0" w:noVBand="0" w:val="0000"/>
      </w:tblPr>
      <w:tblGrid>
        <w:gridCol w:w="7920"/>
      </w:tblGrid>
      <w:tr>
        <w:tc>
          <w:tcPr/>
          <w:bookmarkStart w:id="108" w:name="tbl-friedman-fidelity"/>
          <w:p>
            <w:pPr>
              <w:jc w:val="both"/>
              <w:spacing w:line="360" w:lineRule="auto"/>
            </w:pPr>
            <w:pPr>
              <w:jc w:val="left"/>
              <w:spacing w:before="200"/>
              <w:pStyle w:val="ImageCaption"/>
            </w:pPr>
            <w:r>
              <w:t xml:space="preserve">Tabla 4.2: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8"/>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109" w:name="tbl-nemenyi-fidelity"/>
          <w:p>
            <w:pPr>
              <w:jc w:val="both"/>
              <w:spacing w:line="360" w:lineRule="auto"/>
            </w:pPr>
            <w:pPr>
              <w:jc w:val="left"/>
              <w:spacing w:before="200"/>
              <w:pStyle w:val="ImageCaption"/>
            </w:pPr>
            <w:r>
              <w:t xml:space="preserve">Tabla 4.3: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t xml:space="preserve">CD</w:t>
                  </w:r>
                </w:p>
              </w:tc>
              <w:tc>
                <w:tcPr/>
                <w:p>
                  <w:pPr>
                    <w:pStyle w:val="Compact"/>
                    <w:jc w:val="both"/>
                    <w:spacing w:line="360" w:lineRule="auto"/>
                  </w:pPr>
                  <w: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9"/>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w:t>
      </w:r>
      <w:r>
        <w:t xml:space="preserve"> </w:t>
      </w:r>
      <w:r>
        <w:t xml:space="preserve">pareado del Estudio Pareado LIME–SHAP.</w:t>
      </w:r>
    </w:p>
    <w:bookmarkEnd w:id="110"/>
    <w:bookmarkStart w:id="112" w:name="X117d71016dd8839ee57c9e60cc09d0400ac5f3d"/>
    <w:p>
      <w:pPr>
        <w:pStyle w:val="Ttulo3"/>
        <w:spacing w:line="360" w:lineRule="auto"/>
        <w:jc w:val="both"/>
      </w:pP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111" w:name="tbl-friedman-stability"/>
          <w:p>
            <w:pPr>
              <w:jc w:val="both"/>
              <w:spacing w:line="360" w:lineRule="auto"/>
            </w:pPr>
            <w:pPr>
              <w:jc w:val="left"/>
              <w:spacing w:before="200"/>
              <w:pStyle w:val="ImageCaption"/>
            </w:pPr>
            <w:r>
              <w:t xml:space="preserve">Tabla 4.4: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11"/>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12"/>
    <w:bookmarkEnd w:id="113"/>
    <w:bookmarkStart w:id="117" w:name="sec-estudio-b"/>
    <w:p>
      <w:pPr>
        <w:pStyle w:val="Ttulo2"/>
        <w:spacing w:line="360" w:lineRule="auto"/>
        <w:jc w:val="both"/>
      </w:pPr>
      <w:r>
        <w:t xml:space="preserve">Estudio Pareado LIME–SHAP: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5" w:name="diferencias-en-métricas-de-calidad"/>
    <w:p>
      <w:pPr>
        <w:pStyle w:val="Ttulo3"/>
        <w:spacing w:line="360" w:lineRule="auto"/>
        <w:jc w:val="both"/>
      </w:pP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14" w:name="tbl-paired-shap-lime"/>
          <w:p>
            <w:pPr>
              <w:jc w:val="both"/>
              <w:spacing w:line="360" w:lineRule="auto"/>
            </w:pPr>
            <w:pPr>
              <w:jc w:val="left"/>
              <w:spacing w:before="200"/>
              <w:pStyle w:val="ImageCaption"/>
            </w:pPr>
            <w:r>
              <w:t xml:space="preserve">Tabla 4.5: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t xml:space="preserve">Pos.</w:t>
                  </w:r>
                </w:p>
              </w:tc>
              <w:tc>
                <w:tcPr/>
                <w:p>
                  <w:pPr>
                    <w:pStyle w:val="Compact"/>
                    <w:jc w:val="both"/>
                    <w:spacing w:line="360" w:lineRule="auto"/>
                  </w:pPr>
                  <w: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4"/>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5"/>
    <w:bookmarkStart w:id="116" w:name="X2c15e0a178907c68bf437d0d85cae845d1c590b"/>
    <w:p>
      <w:pPr>
        <w:pStyle w:val="Ttulo3"/>
        <w:spacing w:line="360" w:lineRule="auto"/>
        <w:jc w:val="both"/>
      </w:pP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6"/>
    <w:bookmarkEnd w:id="117"/>
    <w:bookmarkStart w:id="119" w:name="sec-p1"/>
    <w:p>
      <w:pPr>
        <w:pStyle w:val="Ttulo2"/>
        <w:spacing w:line="360" w:lineRule="auto"/>
        <w:jc w:val="both"/>
      </w:pP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18" w:name="tbl-cv-p1"/>
          <w:p>
            <w:pPr>
              <w:jc w:val="both"/>
              <w:spacing w:line="360" w:lineRule="auto"/>
            </w:pPr>
            <w:pPr>
              <w:jc w:val="left"/>
              <w:spacing w:before="200"/>
              <w:pStyle w:val="ImageCaption"/>
            </w:pPr>
            <w:r>
              <w:t xml:space="preserve">Tabla 4.6: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Métrica</w:t>
                  </w:r>
                </w:p>
              </w:tc>
              <w:tc>
                <w:tcPr/>
                <w:p>
                  <w:pPr>
                    <w:pStyle w:val="Compact"/>
                    <w:jc w:val="both"/>
                    <w:spacing w:line="360" w:lineRule="auto"/>
                  </w:pPr>
                  <w:r>
                    <w:t xml:space="preserve">Media</w:t>
                  </w:r>
                </w:p>
              </w:tc>
              <w:tc>
                <w:tcPr/>
                <w:p>
                  <w:pPr>
                    <w:pStyle w:val="Compact"/>
                    <w:jc w:val="both"/>
                    <w:spacing w:line="360" w:lineRule="auto"/>
                  </w:pPr>
                  <w:r>
                    <w:t xml:space="preserve">Desv. típica</w:t>
                  </w:r>
                </w:p>
              </w:tc>
              <w:tc>
                <w:tcPr/>
                <w:p>
                  <w:pPr>
                    <w:pStyle w:val="Compact"/>
                    <w:jc w:val="both"/>
                    <w:spacing w:line="360" w:lineRule="auto"/>
                  </w:pPr>
                  <w:r>
                    <w:t xml:space="preserve">CV (%)</w:t>
                  </w:r>
                </w:p>
              </w:tc>
              <w:tc>
                <w:tcPr/>
                <w:p>
                  <w:pPr>
                    <w:pStyle w:val="Compact"/>
                    <w:jc w:val="both"/>
                    <w:spacing w:line="360" w:lineRule="auto"/>
                  </w:pPr>
                  <w: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8"/>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9"/>
    <w:bookmarkStart w:id="124" w:name="sec-perfiles"/>
    <w:p>
      <w:pPr>
        <w:pStyle w:val="Ttulo2"/>
        <w:spacing w:line="360" w:lineRule="auto"/>
        <w:jc w:val="both"/>
      </w:pP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20" w:name="shap"/>
    <w:p>
      <w:pPr>
        <w:pStyle w:val="Ttulo3"/>
        <w:spacing w:line="360" w:lineRule="auto"/>
        <w:jc w:val="both"/>
      </w:pP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(§sec-metricas),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20"/>
    <w:bookmarkStart w:id="121" w:name="lime"/>
    <w:p>
      <w:pPr>
        <w:pStyle w:val="Ttulo3"/>
        <w:spacing w:line="360" w:lineRule="auto"/>
        <w:jc w:val="both"/>
      </w:pP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y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21"/>
    <w:bookmarkStart w:id="122" w:name="anchors"/>
    <w:p>
      <w:pPr>
        <w:pStyle w:val="Ttulo3"/>
        <w:spacing w:line="360" w:lineRule="auto"/>
        <w:jc w:val="both"/>
      </w:pP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Tabla 4.2</w:t>
        </w:r>
      </w:hyperlink>
      <w:r>
        <w:t xml:space="preserve">,</w:t>
      </w:r>
      <w:r>
        <w:t xml:space="preserve"> </w:t>
      </w:r>
      <w:hyperlink w:anchor="tbl-friedman-stability">
        <w:r>
          <w:rPr>
            <w:rStyle w:val="Hipervnculo"/>
          </w:rPr>
          <w:t xml:space="preserve">Tabla 4.4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22"/>
    <w:bookmarkStart w:id="123" w:name="dice"/>
    <w:p>
      <w:pPr>
        <w:pStyle w:val="Ttulo3"/>
        <w:spacing w:line="360" w:lineRule="auto"/>
        <w:jc w:val="both"/>
      </w:pP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3"/>
    <w:bookmarkEnd w:id="124"/>
    <w:bookmarkStart w:id="127" w:name="sec-transversal"/>
    <w:p>
      <w:pPr>
        <w:pStyle w:val="Ttulo2"/>
        <w:spacing w:line="360" w:lineRule="auto"/>
        <w:jc w:val="both"/>
      </w:pPr>
      <w:r>
        <w:t xml:space="preserve">Análisis transversal: efecto del modelo base y del tamaño de muestra</w:t>
      </w:r>
    </w:p>
    <w:bookmarkStart w:id="125" w:name="Xd0dc4cebb30e80d859f681a41b6366a7a2cd5a6"/>
    <w:p>
      <w:pPr>
        <w:pStyle w:val="Ttulo3"/>
        <w:spacing w:line="360" w:lineRule="auto"/>
        <w:jc w:val="both"/>
      </w:pP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Tabla 6.9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5"/>
    <w:bookmarkStart w:id="126" w:name="X4b1cce5291d3b83ee4e2fe33ac88be27315f5a8"/>
    <w:p>
      <w:pPr>
        <w:pStyle w:val="Ttulo3"/>
        <w:spacing w:line="360" w:lineRule="auto"/>
        <w:jc w:val="both"/>
      </w:pP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6"/>
    <w:bookmarkEnd w:id="127"/>
    <w:bookmarkStart w:id="129" w:name="sec-trazabilidad-resultados"/>
    <w:p>
      <w:pPr>
        <w:pStyle w:val="Ttulo2"/>
        <w:spacing w:line="360" w:lineRule="auto"/>
        <w:jc w:val="both"/>
      </w:pP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4.7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tblLayout w:type="fixed"/>
        <w:tblLook w:firstRow="0" w:lastRow="0" w:firstColumn="0" w:lastColumn="0" w:noHBand="0" w:noVBand="0" w:val="0000"/>
      </w:tblPr>
      <w:tblGrid>
        <w:gridCol w:w="7920"/>
      </w:tblGrid>
      <w:tr>
        <w:tc>
          <w:tcPr/>
          <w:bookmarkStart w:id="128" w:name="tbl-claim-traceability"/>
          <w:p>
            <w:pPr>
              <w:jc w:val="both"/>
              <w:spacing w:line="360" w:lineRule="auto"/>
            </w:pPr>
            <w:pPr>
              <w:jc w:val="left"/>
              <w:spacing w:before="200"/>
              <w:pStyle w:val="ImageCaption"/>
            </w:pPr>
            <w:r>
              <w:t xml:space="preserve">Tabla 4.7: Trazabilidad de claims, artefactos y alcance inferencial.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Evidencia en tesis</w:t>
                  </w:r>
                </w:p>
              </w:tc>
              <w:tc>
                <w:tcPr/>
                <w:p>
                  <w:pPr>
                    <w:pStyle w:val="Compact"/>
                    <w:jc w:val="both"/>
                    <w:jc w:val="center"/>
                    <w:spacing w:line="360" w:lineRule="auto"/>
                  </w:pPr>
                  <w:r>
                    <w:t xml:space="preserve">Artefacto fuente</w:t>
                  </w:r>
                </w:p>
              </w:tc>
              <w:tc>
                <w:tcPr/>
                <w:p>
                  <w:pPr>
                    <w:pStyle w:val="Compact"/>
                    <w:jc w:val="both"/>
                    <w:jc w:val="center"/>
                    <w:spacing w:line="360" w:lineRule="auto"/>
                  </w:pPr>
                  <w:r>
                    <w:t xml:space="preserve">Script / proceso</w:t>
                  </w:r>
                </w:p>
              </w:tc>
              <w:tc>
                <w:tcPr/>
                <w:p>
                  <w:pPr>
                    <w:pStyle w:val="Compact"/>
                    <w:jc w:val="both"/>
                    <w:jc w:val="center"/>
                    <w:spacing w:line="360" w:lineRule="auto"/>
                  </w:pPr>
                  <w: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4.2</w:t>
                    </w:r>
                  </w:hyperlink>
                  <w:r>
                    <w:t xml:space="preserve"> </w:t>
                  </w:r>
                  <w:r>
                    <w:t xml:space="preserve">y</w:t>
                  </w:r>
                  <w:r>
                    <w:t xml:space="preserve"> </w:t>
                  </w:r>
                  <w:hyperlink w:anchor="tbl-nemenyi-fidelity">
                    <w:r>
                      <w:rPr>
                        <w:rStyle w:val="Hipervnculo"/>
                      </w:rPr>
                      <w:t xml:space="preserve">4.3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4.4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4.5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4.6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8"/>
          <w:p>
            <w:pPr>
              <w:spacing w:line="360" w:lineRule="auto"/>
              <w:jc w:val="both"/>
            </w:pPr>
          </w:p>
        </w:tc>
      </w:tr>
    </w:tbl>
    <w:bookmarkEnd w:id="129"/>
    <w:bookmarkStart w:id="158" w:name="sec-visualizaciones-resultados"/>
    <w:p>
      <w:pPr>
        <w:pStyle w:val="Ttulo2"/>
        <w:spacing w:line="360" w:lineRule="auto"/>
        <w:jc w:val="both"/>
      </w:pP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tblLayout w:type="fixed"/>
        <w:tblLook w:firstRow="0" w:lastRow="0" w:firstColumn="0" w:lastColumn="0" w:noHBand="0" w:noVBand="0" w:val="0000"/>
      </w:tblPr>
      <w:tblGrid>
        <w:gridCol w:w="7920"/>
      </w:tblGrid>
      <w:tr>
        <w:tc>
          <w:tcPr/>
          <w:bookmarkStart w:id="133" w:name="fig-estabilidad-coste"/>
          <w:p>
            <w:pPr>
              <w:pStyle w:val="Compact"/>
              <w:jc w:val="both"/>
              <w:spacing w:line="360" w:lineRule="auto"/>
            </w:pPr>
            <w:r>
              <w:drawing>
                <ns2:inline>
                  <ns2:extent cx="5052060" cy="3154709"/>
                  <ns2:effectExtent b="0" l="0" r="0" t="0"/>
                  <ns2:docPr descr="" title="" id="131" name="Picture"/>
                  <ns3:graphic>
                    <ns3:graphicData uri="http://schemas.openxmlformats.org/drawingml/2006/picture">
                      <ns4:pic>
                        <ns4:nvPicPr>
                          <ns4:cNvPr descr="assets/figures/fig_estabilidad_coste_es.png" id="132" name="Picture"/>
                          <ns4:cNvPicPr>
                            <ns3:picLocks noChangeArrowheads="1" noChangeAspect="1"/>
                          </ns4:cNvPicPr>
                        </ns4:nvPicPr>
                        <ns4:blipFill>
                          <ns3:blip ns5:embed="rId130"/>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Figura 4.1: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3"/>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7" w:name="fig-correlacion-metricas"/>
          <w:p>
            <w:pPr>
              <w:pStyle w:val="Compact"/>
              <w:jc w:val="both"/>
              <w:spacing w:line="360" w:lineRule="auto"/>
            </w:pPr>
            <w:r>
              <w:drawing>
                <ns2:inline>
                  <ns2:extent cx="5052060" cy="3860951"/>
                  <ns2:effectExtent b="0" l="0" r="0" t="0"/>
                  <ns2:docPr descr="" title="" id="135" name="Picture"/>
                  <ns3:graphic>
                    <ns3:graphicData uri="http://schemas.openxmlformats.org/drawingml/2006/picture">
                      <ns4:pic>
                        <ns4:nvPicPr>
                          <ns4:cNvPr descr="assets/figures/fig_correlacion_metricas_es.png" id="136" name="Picture"/>
                          <ns4:cNvPicPr>
                            <ns3:picLocks noChangeArrowheads="1" noChangeAspect="1"/>
                          </ns4:cNvPicPr>
                        </ns4:nvPicPr>
                        <ns4:blipFill>
                          <ns3:blip ns5:embed="rId134"/>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Figura 4.2: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7"/>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1" w:name="fig-cobertura-exp2"/>
          <w:p>
            <w:pPr>
              <w:pStyle w:val="Compact"/>
              <w:jc w:val="both"/>
              <w:spacing w:line="360" w:lineRule="auto"/>
            </w:pPr>
            <w:r>
              <w:drawing>
                <ns2:inline>
                  <ns2:extent cx="5052060" cy="3412866"/>
                  <ns2:effectExtent b="0" l="0" r="0" t="0"/>
                  <ns2:docPr descr="" title="" id="139" name="Picture"/>
                  <ns3:graphic>
                    <ns3:graphicData uri="http://schemas.openxmlformats.org/drawingml/2006/picture">
                      <ns4:pic>
                        <ns4:nvPicPr>
                          <ns4:cNvPr descr="assets/figures/fig_cobertura_exp2_es.png" id="140" name="Picture"/>
                          <ns4:cNvPicPr>
                            <ns3:picLocks noChangeArrowheads="1" noChangeAspect="1"/>
                          </ns4:cNvPicPr>
                        </ns4:nvPicPr>
                        <ns4:blipFill>
                          <ns3:blip ns5:embed="rId138"/>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Figura 4.3: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41"/>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5" w:name="fig-cd-diagram"/>
          <w:p>
            <w:pPr>
              <w:pStyle w:val="Compact"/>
              <w:jc w:val="both"/>
              <w:spacing w:line="360" w:lineRule="auto"/>
            </w:pPr>
            <w:r>
              <w:drawing>
                <ns2:inline>
                  <ns2:extent cx="5646420" cy="1801452"/>
                  <ns2:effectExtent b="0" l="0" r="0" t="0"/>
                  <ns2:docPr descr="" title="" id="143" name="Picture"/>
                  <ns3:graphic>
                    <ns3:graphicData uri="http://schemas.openxmlformats.org/drawingml/2006/picture">
                      <ns4:pic>
                        <ns4:nvPicPr>
                          <ns4:cNvPr descr="assets/figures/fig_cd_diagram_es.png" id="144" name="Picture"/>
                          <ns4:cNvPicPr>
                            <ns3:picLocks noChangeArrowheads="1" noChangeAspect="1"/>
                          </ns4:cNvPicPr>
                        </ns4:nvPicPr>
                        <ns4:blipFill>
                          <ns3:blip ns5:embed="rId142"/>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Figura 4.4: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5"/>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9" w:name="fig-boxplots-metricas"/>
          <w:p>
            <w:pPr>
              <w:pStyle w:val="Compact"/>
              <w:jc w:val="both"/>
              <w:spacing w:line="360" w:lineRule="auto"/>
            </w:pPr>
            <w:r>
              <w:drawing>
                <ns2:inline>
                  <ns2:extent cx="5646420" cy="2662237"/>
                  <ns2:effectExtent b="0" l="0" r="0" t="0"/>
                  <ns2:docPr descr="" title="" id="147" name="Picture"/>
                  <ns3:graphic>
                    <ns3:graphicData uri="http://schemas.openxmlformats.org/drawingml/2006/picture">
                      <ns4:pic>
                        <ns4:nvPicPr>
                          <ns4:cNvPr descr="assets/figures/fig_boxplots_metricas_es.png" id="148" name="Picture"/>
                          <ns4:cNvPicPr>
                            <ns3:picLocks noChangeArrowheads="1" noChangeAspect="1"/>
                          </ns4:cNvPicPr>
                        </ns4:nvPicPr>
                        <ns4:blipFill>
                          <ns3:blip ns5:embed="rId146"/>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Figura 4.5: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que la inestabilidad afecta a todos los bloques del</w:t>
            </w:r>
            <w:r>
              <w:t xml:space="preserve"> </w:t>
            </w:r>
            <w:r>
              <w:t xml:space="preserve">benchmark y no a un subconjunto de modelos.</w:t>
            </w:r>
          </w:p>
          <w:bookmarkEnd w:id="149"/>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3" w:name="fig-diferencias-pareadas"/>
          <w:p>
            <w:pPr>
              <w:pStyle w:val="Compact"/>
              <w:jc w:val="both"/>
              <w:spacing w:line="360" w:lineRule="auto"/>
            </w:pPr>
            <w:r>
              <w:drawing>
                <ns2:inline>
                  <ns2:extent cx="5646420" cy="2357586"/>
                  <ns2:effectExtent b="0" l="0" r="0" t="0"/>
                  <ns2:docPr descr="" title="" id="151" name="Picture"/>
                  <ns3:graphic>
                    <ns3:graphicData uri="http://schemas.openxmlformats.org/drawingml/2006/picture">
                      <ns4:pic>
                        <ns4:nvPicPr>
                          <ns4:cNvPr descr="assets/figures/fig_diferencias_pareadas_es.png" id="152" name="Picture"/>
                          <ns4:cNvPicPr>
                            <ns3:picLocks noChangeArrowheads="1" noChangeAspect="1"/>
                          </ns4:cNvPicPr>
                        </ns4:nvPicPr>
                        <ns4:blipFill>
                          <ns3:blip ns5:embed="rId150"/>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Figura 4.6: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3"/>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7" w:name="fig-radar-metodos"/>
          <w:p>
            <w:pPr>
              <w:pStyle w:val="Compact"/>
              <w:jc w:val="both"/>
              <w:spacing w:line="360" w:lineRule="auto"/>
            </w:pPr>
            <w:r>
              <w:drawing>
                <ns2:inline>
                  <ns2:extent cx="4160520" cy="3582746"/>
                  <ns2:effectExtent b="0" l="0" r="0" t="0"/>
                  <ns2:docPr descr="" title="" id="155" name="Picture"/>
                  <ns3:graphic>
                    <ns3:graphicData uri="http://schemas.openxmlformats.org/drawingml/2006/picture">
                      <ns4:pic>
                        <ns4:nvPicPr>
                          <ns4:cNvPr descr="assets/figures/fig_radar_metodos_es.png" id="156" name="Picture"/>
                          <ns4:cNvPicPr>
                            <ns3:picLocks noChangeArrowheads="1" noChangeAspect="1"/>
                          </ns4:cNvPicPr>
                        </ns4:nvPicPr>
                        <ns4:blipFill>
                          <ns3:blip ns5:embed="rId154"/>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Figura 4.7: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7"/>
        </w:tc>
      </w:tr>
    </w:tbl>
    <w:bookmarkEnd w:id="158"/>
    <w:bookmarkStart w:id="162" w:name="sec-discusion"/>
    <w:p>
      <w:pPr>
        <w:pStyle w:val="Ttulo2"/>
        <w:spacing w:line="360" w:lineRule="auto"/>
        <w:jc w:val="both"/>
      </w:pPr>
      <w:r>
        <w:t xml:space="preserve">Discusión</w:t>
      </w:r>
    </w:p>
    <w:bookmarkStart w:id="159" w:name="interpretación-conjunta-de-h1-h2-y-h3"/>
    <w:p>
      <w:pPr>
        <w:pStyle w:val="Ttulo3"/>
        <w:spacing w:line="360" w:lineRule="auto"/>
        <w:jc w:val="both"/>
      </w:pP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9"/>
    <w:bookmarkStart w:id="160" w:name="Xbd024e4a7bd7bf8de011157bde8f5cf667c76a0"/>
    <w:p>
      <w:pPr>
        <w:pStyle w:val="Ttulo3"/>
        <w:spacing w:line="360" w:lineRule="auto"/>
        <w:jc w:val="both"/>
      </w:pP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60"/>
    <w:bookmarkStart w:id="161" w:name="X99626a17a471bd5fb48825a2c4d4fcdcb69bcee"/>
    <w:p>
      <w:pPr>
        <w:pStyle w:val="Ttulo3"/>
        <w:spacing w:line="360" w:lineRule="auto"/>
        <w:jc w:val="both"/>
      </w:pP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y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61"/>
    <w:bookmarkEnd w:id="162"/>
    <w:bookmarkEnd w:id="163"/>
    <w:bookmarkStart w:id="175" w:name="X285709a9814d081856a04f1c87cc98028b2b49d"/>
    <w:p>
      <w:pPr>
        <w:pStyle w:val="Ttulo1"/>
        <w:spacing w:line="360" w:lineRule="auto"/>
        <w:jc w:val="both"/>
      </w:pPr>
      <w:r>
        <w:t xml:space="preserve">Capítulo 5. 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Figura 4.2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Figura 4.7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Taxonómico de la tesis: una taxonomía</w:t>
      </w:r>
      <w:r>
        <w:t xml:space="preserve"> </w:t>
      </w:r>
      <w:r>
        <w:t xml:space="preserve">estructurada del espacio de métricas de evaluación XAI. Su función es dar peso</w:t>
      </w:r>
      <w:r>
        <w:t xml:space="preserve"> </w:t>
      </w:r>
      <w:r>
        <w:t xml:space="preserve">conceptual propio a la tercera contribución doctoral. Los capítulos anteriores</w:t>
      </w:r>
      <w:r>
        <w:t xml:space="preserve"> </w:t>
      </w:r>
      <w:r>
        <w:t xml:space="preserve">mostraron que FOM-7 necesita distinguir objetos explicativos, constructos de</w:t>
      </w:r>
      <w:r>
        <w:t xml:space="preserve"> </w:t>
      </w:r>
      <w:r>
        <w:t xml:space="preserve">calidad, fuentes de evidencia y contextos de uso. Este capítulo convierte esa</w:t>
      </w:r>
      <w:r>
        <w:t xml:space="preserve"> </w:t>
      </w:r>
      <w:r>
        <w:t xml:space="preserve">necesidad en una matriz de clasificación que permite interpretar el benchmark</w:t>
      </w:r>
      <w:r>
        <w:t xml:space="preserve"> </w:t>
      </w:r>
      <w:r>
        <w:t xml:space="preserve">y, al mismo 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4" w:name="sec-taxonomia-metodo"/>
    <w:p>
      <w:pPr>
        <w:pStyle w:val="Ttulo2"/>
        <w:spacing w:line="360" w:lineRule="auto"/>
        <w:jc w:val="both"/>
      </w:pP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Primero, revisiones y</w:t>
      </w:r>
      <w:r>
        <w:t xml:space="preserve"> </w:t>
      </w:r>
      <w:r>
        <w:t xml:space="preserve">taxonomías de interpretabilidad y XAI que establecen el vocabulario conceptual</w:t>
      </w:r>
      <w:r>
        <w:t xml:space="preserve"> </w:t>
      </w:r>
      <w:r>
        <w:t xml:space="preserve">del campo, incluyendo las revisiones fundacionales de</w:t>
      </w:r>
      <w:r>
        <w:t xml:space="preserve"> </w:t>
      </w:r>
      <w:r>
        <w:t xml:space="preserve">Arrieta (2019)</w:t>
      </w:r>
      <w:r>
        <w:t xml:space="preserve">,</w:t>
      </w:r>
      <w:r>
        <w:t xml:space="preserve"> </w:t>
      </w:r>
      <w:r>
        <w:t xml:space="preserve">Lipton (2018)</w:t>
      </w:r>
      <w:r>
        <w:t xml:space="preserve">,</w:t>
      </w:r>
      <w:r>
        <w:t xml:space="preserve"> </w:t>
      </w:r>
      <w:r>
        <w:t xml:space="preserve">Linardatos (2020)</w:t>
      </w:r>
      <w:r>
        <w:t xml:space="preserve">, la historia breve del campo de</w:t>
      </w:r>
      <w:r>
        <w:t xml:space="preserve"> </w:t>
      </w:r>
      <w:r>
        <w:t xml:space="preserve">Molnar et al.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el banco de</w:t>
      </w:r>
      <w:r>
        <w:t xml:space="preserve"> </w:t>
      </w:r>
      <w:r>
        <w:t xml:space="preserve">pruebas de</w:t>
      </w:r>
      <w:r>
        <w:t xml:space="preserve"> </w:t>
      </w:r>
      <w:r>
        <w:t xml:space="preserve">Sithakoul et al. (2024)</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y Verbert (2024)</w:t>
      </w:r>
      <w:r>
        <w:t xml:space="preserve">, la agenda</w:t>
      </w:r>
      <w:r>
        <w:t xml:space="preserve"> </w:t>
      </w:r>
      <w:r>
        <w:t xml:space="preserve">de</w:t>
      </w:r>
      <w:r>
        <w:t xml:space="preserve"> </w:t>
      </w:r>
      <w:r>
        <w:t xml:space="preserve">Ehsan et al. (2023)</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El corpus se amplió durante la revisión hasta las</w:t>
      </w:r>
      <w:r>
        <w:t xml:space="preserve"> </w:t>
      </w:r>
      <w:r>
        <w:rPr>
          <w:b/>
          <w:bCs/>
        </w:rPr>
        <w:t xml:space="preserve">127 referencias de contenido</w:t>
      </w:r>
      <w:r>
        <w:rPr>
          <w:b/>
          <w:bCs/>
        </w:rPr>
        <w:t xml:space="preserve"> </w:t>
      </w:r>
      <w:r>
        <w:rPr>
          <w:b/>
          <w:bCs/>
        </w:rPr>
        <w:t xml:space="preserve">XAI</w:t>
      </w:r>
      <w:r>
        <w:t xml:space="preserve"> </w:t>
      </w:r>
      <w:r>
        <w:t xml:space="preserve">que sostienen esta tesis —la bibliografía completa suma 140 entradas, de</w:t>
      </w:r>
      <w:r>
        <w:t xml:space="preserve"> </w:t>
      </w:r>
      <w:r>
        <w:t xml:space="preserve">las cuales 13 corresponden a infraestructura estadística, conjuntos de datos y</w:t>
      </w:r>
      <w:r>
        <w:t xml:space="preserve"> </w:t>
      </w:r>
      <w:r>
        <w:t xml:space="preserve">familias de modelo, no al objeto de la taxonomía—. De ese corpus,</w:t>
      </w:r>
      <w:r>
        <w:t xml:space="preserve"> </w:t>
      </w:r>
      <w:r>
        <w:rPr>
          <w:b/>
          <w:bCs/>
        </w:rPr>
        <w:t xml:space="preserve">107</w:t>
      </w:r>
      <w:r>
        <w:rPr>
          <w:b/>
          <w:bCs/>
        </w:rPr>
        <w:t xml:space="preserve"> </w:t>
      </w:r>
      <w:r>
        <w:rPr>
          <w:b/>
          <w:bCs/>
        </w:rPr>
        <w:t xml:space="preserve">documentos se conservan a texto completo</w:t>
      </w:r>
      <w:r>
        <w:t xml:space="preserve"> </w:t>
      </w:r>
      <w:r>
        <w:t xml:space="preserve">en el repositorio público de la tesis</w:t>
      </w:r>
      <w:r>
        <w:t xml:space="preserve"> </w:t>
      </w:r>
      <w:r>
        <w:t xml:space="preserve">(</w:t>
      </w:r>
      <w:r>
        <w:rPr>
          <w:rStyle w:val="VerbatimChar"/>
        </w:rPr>
        <w:t xml:space="preserve">thesis/papers/</w:t>
      </w:r>
      <w:r>
        <w:t xml:space="preserve">), de modo que la base documental de la taxonomía es auditable</w:t>
      </w:r>
      <w:r>
        <w:t xml:space="preserve"> </w:t>
      </w:r>
      <w:r>
        <w:t xml:space="preserve">y no solamente declarada: cada entrada de la bibliografía está citada en el</w:t>
      </w:r>
      <w:r>
        <w:t xml:space="preserve"> </w:t>
      </w:r>
      <w:r>
        <w:t xml:space="preserve">cuerpo del texto, y no existen referencias registradas sin uso.</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5.1</w:t>
        </w:r>
      </w:hyperlink>
      <w:r>
        <w:t xml:space="preserve"> </w:t>
      </w:r>
      <w:r>
        <w:t xml:space="preserve">son el resultado de consolidar y desambiguar los constructos identificados en el</w:t>
      </w:r>
      <w:r>
        <w:t xml:space="preserve"> </w:t>
      </w:r>
      <w:r>
        <w:t xml:space="preserve">corpus descrito; se reportan como una selección representativa, no como</w:t>
      </w:r>
      <w:r>
        <w:t xml:space="preserve"> </w:t>
      </w:r>
      <w:r>
        <w:t xml:space="preserve">un catálogo exhaustivo.</w:t>
      </w:r>
    </w:p>
    <w:bookmarkEnd w:id="164"/>
    <w:bookmarkStart w:id="165" w:name="sec-taxonomia-motivacion"/>
    <w:p>
      <w:pPr>
        <w:pStyle w:val="Ttulo2"/>
        <w:spacing w:line="360" w:lineRule="auto"/>
        <w:jc w:val="both"/>
      </w:pP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y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dos estudios empíricos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5"/>
    <w:bookmarkStart w:id="166" w:name="sec-taxonomia-ejes"/>
    <w:p>
      <w:pPr>
        <w:pStyle w:val="Ttulo2"/>
        <w:spacing w:line="360" w:lineRule="auto"/>
        <w:jc w:val="both"/>
      </w:pP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y Verbert 2024; Arrieta 2019;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 Bhattacharya y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6"/>
    <w:bookmarkStart w:id="168" w:name="sec-taxonomia-matriz"/>
    <w:p>
      <w:pPr>
        <w:pStyle w:val="Ttulo2"/>
        <w:spacing w:line="360" w:lineRule="auto"/>
        <w:jc w:val="both"/>
      </w:pP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5.1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tblLayout w:type="fixed"/>
        <w:tblLook w:firstRow="0" w:lastRow="0" w:firstColumn="0" w:lastColumn="0" w:noHBand="0" w:noVBand="0" w:val="0000"/>
      </w:tblPr>
      <w:tblGrid>
        <w:gridCol w:w="7920"/>
      </w:tblGrid>
      <w:tr>
        <w:tc>
          <w:tcPr/>
          <w:bookmarkStart w:id="167" w:name="tbl-taxonomia-ampliada"/>
          <w:p>
            <w:pPr>
              <w:jc w:val="both"/>
              <w:spacing w:line="360" w:lineRule="auto"/>
            </w:pPr>
            <w:pPr>
              <w:jc w:val="left"/>
              <w:spacing w:before="200"/>
              <w:pStyle w:val="ImageCaption"/>
            </w:pPr>
            <w:r>
              <w:t xml:space="preserve">Tabla 5.1: Taxonomía ampliada de métricas y constructos de evaluación XAI.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Métrica / constructo</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Fuente de evidencia</w:t>
                  </w:r>
                </w:p>
              </w:tc>
              <w:tc>
                <w:tcPr/>
                <w:p>
                  <w:pPr>
                    <w:pStyle w:val="Compact"/>
                    <w:jc w:val="both"/>
                    <w:jc w:val="center"/>
                    <w:spacing w:line="360" w:lineRule="auto"/>
                  </w:pPr>
                  <w:r>
                    <w:t xml:space="preserve">Propiedad</w:t>
                  </w:r>
                </w:p>
              </w:tc>
              <w:tc>
                <w:tcPr/>
                <w:p>
                  <w:pPr>
                    <w:pStyle w:val="Compact"/>
                    <w:jc w:val="both"/>
                    <w:jc w:val="center"/>
                    <w:spacing w:line="360" w:lineRule="auto"/>
                  </w:pPr>
                  <w:r>
                    <w:t xml:space="preserve">Contexto típico</w:t>
                  </w:r>
                </w:p>
              </w:tc>
              <w:tc>
                <w:tcPr/>
                <w:p>
                  <w:pPr>
                    <w:pStyle w:val="Compact"/>
                    <w:jc w:val="both"/>
                    <w:jc w:val="center"/>
                    <w:spacing w:line="360" w:lineRule="auto"/>
                  </w:pPr>
                  <w: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7"/>
          <w:p>
            <w:pPr>
              <w:spacing w:line="360" w:lineRule="auto"/>
              <w:jc w:val="both"/>
            </w:pPr>
          </w:p>
        </w:tc>
      </w:tr>
    </w:tbl>
    <w:bookmarkEnd w:id="168"/>
    <w:bookmarkStart w:id="170" w:name="sec-taxonomia-benchmark"/>
    <w:p>
      <w:pPr>
        <w:pStyle w:val="Ttulo2"/>
        <w:spacing w:line="360" w:lineRule="auto"/>
        <w:jc w:val="both"/>
      </w:pPr>
      <w:r>
        <w:t xml:space="preserve">Mapeo del benchmark a la taxonomía</w:t>
      </w:r>
    </w:p>
    <w:p>
      <w:pPr>
        <w:pStyle w:val="FirstParagraph"/>
        <w:spacing w:line="360" w:lineRule="auto"/>
        <w:jc w:val="both"/>
      </w:pPr>
      <w:r>
        <w:t xml:space="preserve">Las cinco métricas operacionalizadas en el Estudio Omnibus Multimétrico y el</w:t>
      </w:r>
      <w:r>
        <w:t xml:space="preserve"> </w:t>
      </w:r>
      <w:r>
        <w:t xml:space="preserve">Estudio Pareado LIME–SHAP se localizan en la taxonomía de la siguiente manera:</w:t>
      </w:r>
    </w:p>
    <w:tbl>
      <w:tblPr>
        <w:tblStyle w:val="Table"/>
        <w:tblW w:type="pct" w:w="5000"/>
        <w:tblLayout w:type="fixed"/>
        <w:tblLook w:firstRow="0" w:lastRow="0" w:firstColumn="0" w:lastColumn="0" w:noHBand="0" w:noVBand="0" w:val="0000"/>
      </w:tblPr>
      <w:tblGrid>
        <w:gridCol w:w="7920"/>
      </w:tblGrid>
      <w:tr>
        <w:tc>
          <w:tcPr/>
          <w:bookmarkStart w:id="169" w:name="tbl-taxonomia-benchmark"/>
          <w:p>
            <w:pPr>
              <w:jc w:val="both"/>
              <w:spacing w:line="360" w:lineRule="auto"/>
            </w:pPr>
            <w:pPr>
              <w:jc w:val="left"/>
              <w:spacing w:before="200"/>
              <w:pStyle w:val="ImageCaption"/>
            </w:pPr>
            <w:r>
              <w:t xml:space="preserve">Tabla 5.2: Mapeo de las métricas del benchmark a los cuatro ejes de la taxonomía.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Eje 1: objetivo</w:t>
                  </w:r>
                </w:p>
              </w:tc>
              <w:tc>
                <w:tcPr/>
                <w:p>
                  <w:pPr>
                    <w:pStyle w:val="Compact"/>
                    <w:jc w:val="both"/>
                    <w:jc w:val="center"/>
                    <w:spacing w:line="360" w:lineRule="auto"/>
                  </w:pPr>
                  <w:r>
                    <w:t xml:space="preserve">Eje 2: fuente de evidencia</w:t>
                  </w:r>
                </w:p>
              </w:tc>
              <w:tc>
                <w:tcPr/>
                <w:p>
                  <w:pPr>
                    <w:pStyle w:val="Compact"/>
                    <w:jc w:val="both"/>
                    <w:jc w:val="center"/>
                    <w:spacing w:line="360" w:lineRule="auto"/>
                  </w:pPr>
                  <w:r>
                    <w:t xml:space="preserve">Eje 3: propiedad</w:t>
                  </w:r>
                </w:p>
              </w:tc>
              <w:tc>
                <w:tcPr/>
                <w:p>
                  <w:pPr>
                    <w:pStyle w:val="Compact"/>
                    <w:jc w:val="both"/>
                    <w:jc w:val="center"/>
                    <w:spacing w:line="360" w:lineRule="auto"/>
                  </w:pPr>
                  <w: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9"/>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70"/>
    <w:bookmarkStart w:id="171" w:name="sec-taxonomia-brechas"/>
    <w:p>
      <w:pPr>
        <w:pStyle w:val="Ttulo2"/>
        <w:spacing w:line="360" w:lineRule="auto"/>
        <w:jc w:val="both"/>
      </w:pP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5.1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5.2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dos estudios empíricos.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§sec-exp4-fiabilidad.</w:t>
      </w:r>
    </w:p>
    <w:bookmarkEnd w:id="171"/>
    <w:bookmarkStart w:id="172" w:name="sec-taxonomia-contribucion"/>
    <w:p>
      <w:pPr>
        <w:pStyle w:val="Ttulo2"/>
        <w:spacing w:line="360" w:lineRule="auto"/>
        <w:jc w:val="both"/>
      </w:pP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y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72"/>
    <w:bookmarkStart w:id="174" w:name="sec-exp4-fiabilidad"/>
    <w:p>
      <w:pPr>
        <w:pStyle w:val="Ttulo2"/>
        <w:spacing w:line="360" w:lineRule="auto"/>
        <w:jc w:val="both"/>
      </w:pPr>
      <w:r>
        <w:t xml:space="preserve">Estudio de Fiabilidad Inter-juez (EXP4)</w:t>
      </w:r>
    </w:p>
    <w:p>
      <w:pPr>
        <w:pStyle w:val="FirstParagraph"/>
        <w:spacing w:line="360" w:lineRule="auto"/>
        <w:jc w:val="both"/>
      </w:pPr>
      <w:r>
        <w:t xml:space="preserve">La Brecha 3 (§sec-taxonomia-brechas) identifica que la evaluación semántica</w:t>
      </w:r>
      <w:r>
        <w:t xml:space="preserve"> </w:t>
      </w:r>
      <w:r>
        <w:t xml:space="preserve">crece más rápido que su base de validación empírica. EXP4 (diseñado en</w:t>
      </w:r>
      <w:r>
        <w:t xml:space="preserve"> </w:t>
      </w:r>
      <w:r>
        <w:t xml:space="preserve">§sec-exp4-diseno,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5.3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y Li 2016)</w:t>
      </w:r>
      <w:r>
        <w:t xml:space="preserve">.</w:t>
      </w:r>
    </w:p>
    <w:tbl>
      <w:tblPr>
        <w:tblStyle w:val="Table"/>
        <w:tblW w:type="pct" w:w="5000"/>
        <w:tblLayout w:type="fixed"/>
        <w:tblLook w:firstRow="0" w:lastRow="0" w:firstColumn="0" w:lastColumn="0" w:noHBand="0" w:noVBand="0" w:val="0000"/>
      </w:tblPr>
      <w:tblGrid>
        <w:gridCol w:w="7920"/>
      </w:tblGrid>
      <w:tr>
        <w:tc>
          <w:tcPr/>
          <w:bookmarkStart w:id="173" w:name="tbl-exp4-icc"/>
          <w:p>
            <w:pPr>
              <w:jc w:val="both"/>
              <w:spacing w:line="360" w:lineRule="auto"/>
            </w:pPr>
            <w:pPr>
              <w:jc w:val="left"/>
              <w:spacing w:before="200"/>
              <w:pStyle w:val="ImageCaption"/>
            </w:pPr>
            <w:r>
              <w:t xml:space="preserve">Tabla 5.3: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y Li 2016)</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Dimensión</w:t>
                  </w:r>
                </w:p>
              </w:tc>
              <w:tc>
                <w:tcPr/>
                <w:p>
                  <w:pPr>
                    <w:pStyle w:val="Compact"/>
                    <w:jc w:val="both"/>
                    <w:jc w:val="center"/>
                    <w:spacing w:line="360" w:lineRule="auto"/>
                  </w:pPr>
                  <w:r>
                    <w:t xml:space="preserve">ICC(1,1)</w:t>
                  </w:r>
                </w:p>
              </w:tc>
              <w:tc>
                <w:tcPr/>
                <w:p>
                  <w:pPr>
                    <w:pStyle w:val="Compact"/>
                    <w:jc w:val="both"/>
                    <w:jc w:val="center"/>
                    <w:spacing w:line="360" w:lineRule="auto"/>
                  </w:pPr>
                  <w:r>
                    <w:t xml:space="preserve">Krippendorff</w:t>
                  </w:r>
                  <w: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3"/>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y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4"/>
    <w:bookmarkEnd w:id="175"/>
    <w:bookmarkStart w:id="191" w:name="capítulo-6.-conclusiones"/>
    <w:p>
      <w:pPr>
        <w:pStyle w:val="Ttulo1"/>
        <w:spacing w:line="360" w:lineRule="auto"/>
        <w:jc w:val="both"/>
      </w:pPr>
      <w:r>
        <w:t xml:space="preserve">Capítulo 6. 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8" w:name="sec-respuesta"/>
    <w:p>
      <w:pPr>
        <w:pStyle w:val="Ttulo2"/>
        <w:spacing w:line="360" w:lineRule="auto"/>
        <w:jc w:val="both"/>
      </w:pP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76" w:name="tbl-hipotesis"/>
          <w:p>
            <w:pPr>
              <w:jc w:val="both"/>
              <w:spacing w:line="360" w:lineRule="auto"/>
            </w:pPr>
            <w:pPr>
              <w:jc w:val="left"/>
              <w:spacing w:before="200"/>
              <w:pStyle w:val="ImageCaption"/>
            </w:pPr>
            <w:r>
              <w:t xml:space="preserve">Tabla 6.1: Síntesis de hipótesis y proposiciones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t xml:space="preserve">Hipótesis / Proposición</w:t>
                  </w:r>
                </w:p>
              </w:tc>
              <w:tc>
                <w:tcPr/>
                <w:p>
                  <w:pPr>
                    <w:pStyle w:val="Compact"/>
                    <w:jc w:val="both"/>
                    <w:spacing w:line="360" w:lineRule="auto"/>
                  </w:pPr>
                  <w:r>
                    <w:t xml:space="preserve">Resultado</w:t>
                  </w:r>
                </w:p>
              </w:tc>
              <w:tc>
                <w:tcPr/>
                <w:p>
                  <w:pPr>
                    <w:pStyle w:val="Compact"/>
                    <w:jc w:val="both"/>
                    <w:spacing w:line="360" w:lineRule="auto"/>
                  </w:pPr>
                  <w: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6"/>
          <w:p>
            <w:pPr>
              <w:spacing w:line="360" w:lineRule="auto"/>
              <w:jc w:val="both"/>
            </w:pPr>
          </w:p>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77" w:name="tbl-objetivos"/>
          <w:p>
            <w:pPr>
              <w:jc w:val="both"/>
              <w:spacing w:line="360" w:lineRule="auto"/>
            </w:pPr>
            <w:pPr>
              <w:jc w:val="left"/>
              <w:spacing w:before="200"/>
              <w:pStyle w:val="ImageCaption"/>
            </w:pPr>
            <w:r>
              <w:t xml:space="preserve">Tabla 6.2: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t xml:space="preserve">Objetivo específico</w:t>
                  </w:r>
                </w:p>
              </w:tc>
              <w:tc>
                <w:tcPr/>
                <w:p>
                  <w:pPr>
                    <w:pStyle w:val="Compact"/>
                    <w:jc w:val="both"/>
                    <w:spacing w:line="360" w:lineRule="auto"/>
                  </w:pPr>
                  <w: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 y explicitar brechas de constructo</w:t>
                  </w:r>
                </w:p>
              </w:tc>
              <w:tc>
                <w:tcPr/>
                <w:p>
                  <w:pPr>
                    <w:pStyle w:val="Compact"/>
                    <w:jc w:val="both"/>
                    <w:spacing w:line="360" w:lineRule="auto"/>
                  </w:pPr>
                  <w:r>
                    <w:t xml:space="preserve">Completado. Taxonomía de cuatro ejes en el Capítulo 5; tres brechas enunciadas en §sec-taxonomia-brechas, de las que la Brecha 3 origina OE6.</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§sec-exp4-fiabilidad.</w:t>
                  </w:r>
                </w:p>
              </w:tc>
            </w:tr>
          </w:tbl>
          <w:bookmarkEnd w:id="177"/>
          <w:p>
            <w:pPr>
              <w:spacing w:line="360" w:lineRule="auto"/>
              <w:jc w:val="both"/>
            </w:pPr>
          </w:p>
        </w:tc>
      </w:tr>
    </w:tbl>
    <w:bookmarkEnd w:id="178"/>
    <w:bookmarkStart w:id="182" w:name="sec-contribuciones"/>
    <w:p>
      <w:pPr>
        <w:pStyle w:val="Ttulo2"/>
        <w:spacing w:line="360" w:lineRule="auto"/>
        <w:jc w:val="both"/>
      </w:pPr>
      <w:r>
        <w:t xml:space="preserve">Contribuciones científicas</w:t>
      </w:r>
    </w:p>
    <w:bookmarkStart w:id="179" w:name="X2e7af289f3df14f7e31f2445fc83a79cfc8b431"/>
    <w:p>
      <w:pPr>
        <w:pStyle w:val="Ttulo3"/>
        <w:spacing w:line="360" w:lineRule="auto"/>
        <w:jc w:val="both"/>
      </w:pP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9"/>
    <w:bookmarkStart w:id="180" w:name="X93d1d918ce055ba24ba9e9f0b305f424c9a5ca8"/>
    <w:p>
      <w:pPr>
        <w:pStyle w:val="Ttulo3"/>
        <w:spacing w:line="360" w:lineRule="auto"/>
        <w:jc w:val="both"/>
      </w:pP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y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§sec-limitaciones y §sec-exp3-nota,</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y Verbert 2024; Arrieta 2019)</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80"/>
    <w:bookmarkStart w:id="181" w:name="X6583905c1b1630bf3acfdae91528ca52ef61481"/>
    <w:p>
      <w:pPr>
        <w:pStyle w:val="Ttulo3"/>
        <w:spacing w:line="360" w:lineRule="auto"/>
        <w:jc w:val="both"/>
      </w:pP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Tabla 6.4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81"/>
    <w:bookmarkEnd w:id="182"/>
    <w:bookmarkStart w:id="184" w:name="sec-posicionamiento"/>
    <w:p>
      <w:pPr>
        <w:pStyle w:val="Ttulo2"/>
        <w:spacing w:line="360" w:lineRule="auto"/>
        <w:jc w:val="both"/>
      </w:pP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6.3</w:t>
        </w:r>
      </w:hyperlink>
      <w:r>
        <w:t xml:space="preserve"> </w:t>
      </w:r>
      <w:r>
        <w:t xml:space="preserve">realiza esta separación de forma explícita.</w:t>
      </w:r>
    </w:p>
    <w:tbl>
      <w:tblPr>
        <w:tblStyle w:val="Table"/>
        <w:tblW w:type="pct" w:w="5000"/>
        <w:tblLayout w:type="fixed"/>
        <w:tblLook w:firstRow="0" w:lastRow="0" w:firstColumn="0" w:lastColumn="0" w:noHBand="0" w:noVBand="0" w:val="0000"/>
      </w:tblPr>
      <w:tblGrid>
        <w:gridCol w:w="7920"/>
      </w:tblGrid>
      <w:tr>
        <w:tc>
          <w:tcPr/>
          <w:bookmarkStart w:id="183" w:name="tbl-contribucion-separacion"/>
          <w:p>
            <w:pPr>
              <w:jc w:val="both"/>
              <w:spacing w:line="360" w:lineRule="auto"/>
            </w:pPr>
            <w:pPr>
              <w:jc w:val="left"/>
              <w:spacing w:before="200"/>
              <w:pStyle w:val="ImageCaption"/>
            </w:pPr>
            <w:r>
              <w:t xml:space="preserve">Tabla 6.3: Separación de contribuciones respecto a los trabajos más cercanos.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Contribución</w:t>
                  </w:r>
                </w:p>
              </w:tc>
              <w:tc>
                <w:tcPr/>
                <w:p>
                  <w:pPr>
                    <w:pStyle w:val="Compact"/>
                    <w:jc w:val="both"/>
                    <w:jc w:val="center"/>
                    <w:spacing w:line="360" w:lineRule="auto"/>
                  </w:pPr>
                  <w:r>
                    <w:t xml:space="preserve">Trabajos más cercanos</w:t>
                  </w:r>
                </w:p>
              </w:tc>
              <w:tc>
                <w:tcPr/>
                <w:p>
                  <w:pPr>
                    <w:pStyle w:val="Compact"/>
                    <w:jc w:val="both"/>
                    <w:jc w:val="center"/>
                    <w:spacing w:line="360" w:lineRule="auto"/>
                  </w:pPr>
                  <w:r>
                    <w:t xml:space="preserve">En qué se solapa</w:t>
                  </w:r>
                </w:p>
              </w:tc>
              <w:tc>
                <w:tcPr/>
                <w:p>
                  <w:pPr>
                    <w:pStyle w:val="Compact"/>
                    <w:jc w:val="both"/>
                    <w:jc w:val="center"/>
                    <w:spacing w:line="360" w:lineRule="auto"/>
                  </w:pPr>
                  <w: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3"/>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4"/>
    <w:bookmarkStart w:id="185" w:name="sec-limitaciones"/>
    <w:p>
      <w:pPr>
        <w:pStyle w:val="Ttulo2"/>
        <w:spacing w:line="360" w:lineRule="auto"/>
        <w:jc w:val="both"/>
      </w:pP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y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Tabla 6.11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(§sec-exp3-nota)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5"/>
    <w:bookmarkStart w:id="188" w:name="sec-fronteras"/>
    <w:p>
      <w:pPr>
        <w:pStyle w:val="Ttulo2"/>
        <w:spacing w:line="360" w:lineRule="auto"/>
        <w:jc w:val="both"/>
      </w:pP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6.4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tblLayout w:type="fixed"/>
        <w:tblLook w:firstRow="0" w:lastRow="0" w:firstColumn="0" w:lastColumn="0" w:noHBand="0" w:noVBand="0" w:val="0000"/>
      </w:tblPr>
      <w:tblGrid>
        <w:gridCol w:w="7920"/>
      </w:tblGrid>
      <w:tr>
        <w:tc>
          <w:tcPr/>
          <w:bookmarkStart w:id="186" w:name="tbl-fronteras-generalizacion"/>
          <w:p>
            <w:pPr>
              <w:jc w:val="both"/>
              <w:spacing w:line="360" w:lineRule="auto"/>
            </w:pPr>
            <w:pPr>
              <w:jc w:val="left"/>
              <w:spacing w:before="200"/>
              <w:pStyle w:val="ImageCaption"/>
            </w:pPr>
            <w:r>
              <w:t xml:space="preserve">Tabla 6.4: Fronteras de generalización de los hallazgos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Afirmación</w:t>
                  </w:r>
                </w:p>
              </w:tc>
              <w:tc>
                <w:tcPr/>
                <w:p>
                  <w:pPr>
                    <w:pStyle w:val="Compact"/>
                    <w:jc w:val="both"/>
                    <w:jc w:val="center"/>
                    <w:spacing w:line="360" w:lineRule="auto"/>
                  </w:pPr>
                  <w:r>
                    <w:t xml:space="preserve">Soportada para</w:t>
                  </w:r>
                </w:p>
              </w:tc>
              <w:tc>
                <w:tcPr/>
                <w:p>
                  <w:pPr>
                    <w:pStyle w:val="Compact"/>
                    <w:jc w:val="both"/>
                    <w:jc w:val="center"/>
                    <w:spacing w:line="360" w:lineRule="auto"/>
                  </w:pPr>
                  <w:r>
                    <w:t xml:space="preserve">No soportada para</w:t>
                  </w:r>
                </w:p>
              </w:tc>
              <w:tc>
                <w:tcPr/>
                <w:p>
                  <w:pPr>
                    <w:pStyle w:val="Compact"/>
                    <w:jc w:val="both"/>
                    <w:jc w:val="center"/>
                    <w:spacing w:line="360" w:lineRule="auto"/>
                  </w:pPr>
                  <w: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§sec-exp3-nota).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—§sec-exp3-nota 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6"/>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7" w:name="sec-exp3-nota"/>
    <w:p>
      <w:pPr>
        <w:pStyle w:val="Ttulo3"/>
        <w:spacing w:line="360" w:lineRule="auto"/>
        <w:jc w:val="both"/>
      </w:pP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y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y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7"/>
    <w:bookmarkEnd w:id="188"/>
    <w:bookmarkStart w:id="189" w:name="sec-futuro"/>
    <w:p>
      <w:pPr>
        <w:pStyle w:val="Ttulo2"/>
        <w:spacing w:line="360" w:lineRule="auto"/>
        <w:jc w:val="both"/>
      </w:pP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(§sec-exp4-fiabilidad)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§sec-exp4-fiabilidad (especificación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9"/>
    <w:bookmarkStart w:id="190" w:name="sec-sintesis"/>
    <w:p>
      <w:pPr>
        <w:pStyle w:val="Ttulo2"/>
        <w:spacing w:line="360" w:lineRule="auto"/>
        <w:jc w:val="both"/>
      </w:pP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y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(§sec-limitaciones).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Sección 6.6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90"/>
    <w:bookmarkEnd w:id="191"/>
    <w:bookmarkStart w:id="454" w:name="referencias"/>
    <w:p>
      <w:pPr>
        <w:pStyle w:val="Ttulo1"/>
        <w:spacing w:line="360" w:lineRule="auto"/>
        <w:jc w:val="both"/>
      </w:pPr>
      <w:r>
        <w:t xml:space="preserve">Referencias</w:t>
      </w:r>
    </w:p>
    <w:bookmarkStart w:id="453" w:name="refs"/>
    <w:bookmarkStart w:id="193" w:name="ref-abdul2018"/>
    <w:p>
      <w:pPr>
        <w:pStyle w:val="Bibliography"/>
        <w:spacing w:line="360" w:lineRule="auto"/>
        <w:jc w:val="both"/>
      </w:pPr>
      <w:r>
        <w:t xml:space="preserve">Abdul, Ashraf, Jo Vermeulen, Danding Wang, Brian Y. Lim, y Mohan Kankanhalli. 2018.</w:t>
      </w:r>
      <w:r>
        <w:t xml:space="preserve"> </w:t>
      </w:r>
      <w:r>
        <w:t xml:space="preserve">«Trends and Trajectories for Explainable, Accountable and Intelligible Systems: An HCI Research Agenda»</w:t>
      </w:r>
      <w:r>
        <w:t xml:space="preserve">.</w:t>
      </w:r>
      <w:r>
        <w:t xml:space="preserve"> </w:t>
      </w:r>
      <w:r>
        <w:rPr>
          <w:i/>
          <w:iCs/>
        </w:rPr>
        <w:t xml:space="preserve">Proceedings of the 2018 CHI Conference on Human Factors in Computing Systems</w:t>
      </w:r>
      <w:r>
        <w:t xml:space="preserve">, 1-18.</w:t>
      </w:r>
      <w:r>
        <w:t xml:space="preserve"> </w:t>
      </w:r>
      <w:hyperlink ns5:id="rId192">
        <w:r>
          <w:rPr>
            <w:rStyle w:val="Hipervnculo"/>
          </w:rPr>
          <w:t xml:space="preserve">https://doi.org/10.1145/3173574.3174156</w:t>
        </w:r>
      </w:hyperlink>
      <w:r>
        <w:t xml:space="preserve">.</w:t>
      </w:r>
    </w:p>
    <w:bookmarkEnd w:id="193"/>
    <w:bookmarkStart w:id="195" w:name="ref-abdulkadir2023"/>
    <w:p>
      <w:pPr>
        <w:pStyle w:val="Bibliography"/>
        <w:spacing w:line="360" w:lineRule="auto"/>
        <w:jc w:val="both"/>
      </w:pPr>
      <w:r>
        <w:t xml:space="preserve">Abdul Kadir, M., A. Mosavi, y D. Sonntag. 2023.</w:t>
      </w:r>
      <w:r>
        <w:t xml:space="preserve"> </w:t>
      </w:r>
      <w:r>
        <w:t xml:space="preserve">«Evaluation Metrics for XAI: A Review, Taxonomy, and Practical Applications»</w:t>
      </w:r>
      <w:r>
        <w:t xml:space="preserve">.</w:t>
      </w:r>
      <w:r>
        <w:t xml:space="preserve"> </w:t>
      </w:r>
      <w:r>
        <w:rPr>
          <w:i/>
          <w:iCs/>
        </w:rPr>
        <w:t xml:space="preserve">INES 2023 Proceedings</w:t>
      </w:r>
      <w:r>
        <w:t xml:space="preserve">, advance online publication.</w:t>
      </w:r>
      <w:r>
        <w:t xml:space="preserve"> </w:t>
      </w:r>
      <w:hyperlink ns5:id="rId194">
        <w:r>
          <w:rPr>
            <w:rStyle w:val="Hipervnculo"/>
          </w:rPr>
          <w:t xml:space="preserve">https://doi.org/10.1109/INES59045.2023.1030000</w:t>
        </w:r>
      </w:hyperlink>
      <w:r>
        <w:t xml:space="preserve">.</w:t>
      </w:r>
    </w:p>
    <w:bookmarkEnd w:id="195"/>
    <w:bookmarkStart w:id="197" w:name="ref-abusitta2024"/>
    <w:p>
      <w:pPr>
        <w:pStyle w:val="Bibliography"/>
        <w:spacing w:line="360" w:lineRule="auto"/>
        <w:jc w:val="both"/>
      </w:pPr>
      <w:r>
        <w:t xml:space="preserve">Abusitta, Adel, Miles Q. Li, y Benjamin C. M. Fung. 2024.</w:t>
      </w:r>
      <w:r>
        <w:t xml:space="preserve"> </w:t>
      </w:r>
      <w:r>
        <w:rPr>
          <w:i/>
          <w:iCs/>
        </w:rPr>
        <w:t xml:space="preserve">Survey on Explainable Ai: Techniques, Challenges and Open Issues</w:t>
      </w:r>
      <w:r>
        <w:t xml:space="preserve">. Elsevier BV.</w:t>
      </w:r>
      <w:r>
        <w:t xml:space="preserve"> </w:t>
      </w:r>
      <w:hyperlink ns5:id="rId196">
        <w:r>
          <w:rPr>
            <w:rStyle w:val="Hipervnculo"/>
          </w:rPr>
          <w:t xml:space="preserve">https://doi.org/10.2139/ssrn.4710037</w:t>
        </w:r>
      </w:hyperlink>
      <w:r>
        <w:t xml:space="preserve">.</w:t>
      </w:r>
    </w:p>
    <w:bookmarkEnd w:id="197"/>
    <w:bookmarkStart w:id="199"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w:t>
      </w:r>
      <w:r>
        <w:t xml:space="preserve"> </w:t>
      </w:r>
      <w:r>
        <w:rPr>
          <w:i/>
          <w:iCs/>
        </w:rPr>
        <w:t xml:space="preserve">IEEE Access</w:t>
      </w:r>
      <w:r>
        <w:t xml:space="preserve"> </w:t>
      </w:r>
      <w:r>
        <w:t xml:space="preserve">6: 52138-60.</w:t>
      </w:r>
      <w:r>
        <w:t xml:space="preserve"> </w:t>
      </w:r>
      <w:hyperlink ns5:id="rId198">
        <w:r>
          <w:rPr>
            <w:rStyle w:val="Hipervnculo"/>
          </w:rPr>
          <w:t xml:space="preserve">https://doi.org/10.1109/access.2018.2870052</w:t>
        </w:r>
      </w:hyperlink>
      <w:r>
        <w:t xml:space="preserve">.</w:t>
      </w:r>
    </w:p>
    <w:bookmarkEnd w:id="199"/>
    <w:bookmarkStart w:id="201" w:name="ref-adhikari2022"/>
    <w:p>
      <w:pPr>
        <w:pStyle w:val="Bibliography"/>
        <w:spacing w:line="360" w:lineRule="auto"/>
        <w:jc w:val="both"/>
      </w:pPr>
      <w:r>
        <w:t xml:space="preserve">Adhikari, Jiang, D. 2022.</w:t>
      </w:r>
      <w:r>
        <w:t xml:space="preserve"> </w:t>
      </w:r>
      <w:r>
        <w:t xml:space="preserve">«A comprehensive survey on imputation of missing data in Internet of Things»</w:t>
      </w:r>
      <w:r>
        <w:t xml:space="preserve">.</w:t>
      </w:r>
      <w:r>
        <w:t xml:space="preserve"> </w:t>
      </w:r>
      <w:r>
        <w:rPr>
          <w:i/>
          <w:iCs/>
        </w:rPr>
        <w:t xml:space="preserve">ACM Computing Surveys</w:t>
      </w:r>
      <w:r>
        <w:t xml:space="preserve"> </w:t>
      </w:r>
      <w:r>
        <w:t xml:space="preserve">55 (7): 1-38.</w:t>
      </w:r>
      <w:r>
        <w:t xml:space="preserve"> </w:t>
      </w:r>
      <w:hyperlink ns5:id="rId200">
        <w:r>
          <w:rPr>
            <w:rStyle w:val="Hipervnculo"/>
          </w:rPr>
          <w:t xml:space="preserve">https://doi.org/10.1145/3533381</w:t>
        </w:r>
      </w:hyperlink>
      <w:r>
        <w:t xml:space="preserve">.</w:t>
      </w:r>
    </w:p>
    <w:bookmarkEnd w:id="201"/>
    <w:bookmarkStart w:id="203" w:name="ref-agarwal2023"/>
    <w:p>
      <w:pPr>
        <w:pStyle w:val="Bibliography"/>
        <w:spacing w:line="360" w:lineRule="auto"/>
        <w:jc w:val="both"/>
      </w:pPr>
      <w:r>
        <w:t xml:space="preserve">Agarwal, Chirag, Owen Queen, Himabindu Lakkaraju, y Marinka Zitnik. 2023.</w:t>
      </w:r>
      <w:r>
        <w:t xml:space="preserve"> </w:t>
      </w:r>
      <w:r>
        <w:t xml:space="preserve">«Evaluating explainability for graph neural networks»</w:t>
      </w:r>
      <w:r>
        <w:t xml:space="preserve">.</w:t>
      </w:r>
      <w:r>
        <w:t xml:space="preserve"> </w:t>
      </w:r>
      <w:r>
        <w:rPr>
          <w:i/>
          <w:iCs/>
        </w:rPr>
        <w:t xml:space="preserve">Scientific Data</w:t>
      </w:r>
      <w:r>
        <w:t xml:space="preserve"> </w:t>
      </w:r>
      <w:r>
        <w:t xml:space="preserve">10 (1).</w:t>
      </w:r>
      <w:r>
        <w:t xml:space="preserve"> </w:t>
      </w:r>
      <w:hyperlink ns5:id="rId202">
        <w:r>
          <w:rPr>
            <w:rStyle w:val="Hipervnculo"/>
          </w:rPr>
          <w:t xml:space="preserve">https://doi.org/10.1038/s41597-023-01974-x</w:t>
        </w:r>
      </w:hyperlink>
      <w:r>
        <w:t xml:space="preserve">.</w:t>
      </w:r>
    </w:p>
    <w:bookmarkEnd w:id="203"/>
    <w:bookmarkStart w:id="204"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w:t>
      </w:r>
      <w:r>
        <w:t xml:space="preserve"> </w:t>
      </w:r>
      <w:r>
        <w:rPr>
          <w:i/>
          <w:iCs/>
        </w:rPr>
        <w:t xml:space="preserve">Advances in Neural Information Processing Systems (NeurIPS)</w:t>
      </w:r>
      <w:r>
        <w:t xml:space="preserve">.</w:t>
      </w:r>
    </w:p>
    <w:bookmarkEnd w:id="204"/>
    <w:bookmarkStart w:id="206"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w:t>
      </w:r>
      <w:r>
        <w:t xml:space="preserve"> </w:t>
      </w:r>
      <w:r>
        <w:rPr>
          <w:i/>
          <w:iCs/>
        </w:rPr>
        <w:t xml:space="preserve">Information Fusion</w:t>
      </w:r>
      <w:r>
        <w:t xml:space="preserve"> </w:t>
      </w:r>
      <w:r>
        <w:t xml:space="preserve">99: 101805.</w:t>
      </w:r>
      <w:r>
        <w:t xml:space="preserve"> </w:t>
      </w:r>
      <w:hyperlink ns5:id="rId205">
        <w:r>
          <w:rPr>
            <w:rStyle w:val="Hipervnculo"/>
          </w:rPr>
          <w:t xml:space="preserve">https://doi.org/10.1016/j.inffus.2023.101805</w:t>
        </w:r>
      </w:hyperlink>
      <w:r>
        <w:t xml:space="preserve">.</w:t>
      </w:r>
    </w:p>
    <w:bookmarkEnd w:id="206"/>
    <w:bookmarkStart w:id="208" w:name="ref-alkhateeb2025"/>
    <w:p>
      <w:pPr>
        <w:pStyle w:val="Bibliography"/>
        <w:spacing w:line="360" w:lineRule="auto"/>
        <w:jc w:val="both"/>
      </w:pPr>
      <w:r>
        <w:t xml:space="preserve">Alkhateeb, Banan Mohammad, y Ellis Solaiman. 2025.</w:t>
      </w:r>
      <w:r>
        <w:t xml:space="preserve"> </w:t>
      </w:r>
      <w:r>
        <w:rPr>
          <w:i/>
          <w:iCs/>
        </w:rPr>
        <w:t xml:space="preserve">Context-Aware Visualization for Explainable AI Recommendations in Social Media: A Vision for User-Aligned Explanations</w:t>
      </w:r>
      <w:r>
        <w:t xml:space="preserve">. Springer Nature Switzerland.</w:t>
      </w:r>
      <w:r>
        <w:t xml:space="preserve"> </w:t>
      </w:r>
      <w:hyperlink ns5:id="rId207">
        <w:r>
          <w:rPr>
            <w:rStyle w:val="Hipervnculo"/>
          </w:rPr>
          <w:t xml:space="preserve">https://doi.org/10.1007/978-3-032-06744-9_14</w:t>
        </w:r>
      </w:hyperlink>
      <w:r>
        <w:t xml:space="preserve">.</w:t>
      </w:r>
    </w:p>
    <w:bookmarkEnd w:id="208"/>
    <w:bookmarkStart w:id="210"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w:t>
      </w:r>
      <w:r>
        <w:t xml:space="preserve"> </w:t>
      </w:r>
      <w:r>
        <w:rPr>
          <w:i/>
          <w:iCs/>
        </w:rPr>
        <w:t xml:space="preserve">Annual Review of Statistics and Its Application</w:t>
      </w:r>
      <w:r>
        <w:t xml:space="preserve"> </w:t>
      </w:r>
      <w:r>
        <w:t xml:space="preserve">11 (1): 97-121.</w:t>
      </w:r>
      <w:r>
        <w:t xml:space="preserve"> </w:t>
      </w:r>
      <w:hyperlink ns5:id="rId209">
        <w:r>
          <w:rPr>
            <w:rStyle w:val="Hipervnculo"/>
          </w:rPr>
          <w:t xml:space="preserve">https://doi.org/10.1146/annurev-statistics-040120-030919</w:t>
        </w:r>
      </w:hyperlink>
      <w:r>
        <w:t xml:space="preserve">.</w:t>
      </w:r>
    </w:p>
    <w:bookmarkEnd w:id="210"/>
    <w:bookmarkStart w:id="212"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w:t>
      </w:r>
      <w:r>
        <w:t xml:space="preserve"> </w:t>
      </w:r>
      <w:r>
        <w:rPr>
          <w:i/>
          <w:iCs/>
        </w:rPr>
        <w:t xml:space="preserve">Technologies</w:t>
      </w:r>
      <w:r>
        <w:t xml:space="preserve"> </w:t>
      </w:r>
      <w:r>
        <w:t xml:space="preserve">13 (3): 93.</w:t>
      </w:r>
      <w:r>
        <w:t xml:space="preserve"> </w:t>
      </w:r>
      <w:hyperlink ns5:id="rId211">
        <w:r>
          <w:rPr>
            <w:rStyle w:val="Hipervnculo"/>
          </w:rPr>
          <w:t xml:space="preserve">https://doi.org/10.3390/technologies13030093</w:t>
        </w:r>
      </w:hyperlink>
      <w:r>
        <w:t xml:space="preserve">.</w:t>
      </w:r>
    </w:p>
    <w:bookmarkEnd w:id="212"/>
    <w:bookmarkStart w:id="214" w:name="ref-alvarezmelis2018"/>
    <w:p>
      <w:pPr>
        <w:pStyle w:val="Bibliography"/>
        <w:spacing w:line="360" w:lineRule="auto"/>
        <w:jc w:val="both"/>
      </w:pPr>
      <w:r>
        <w:t xml:space="preserve">Alvarez-Melis, David, y Tommi S. Jaakkola. 2018.</w:t>
      </w:r>
      <w:r>
        <w:t xml:space="preserve"> </w:t>
      </w:r>
      <w:r>
        <w:rPr>
          <w:i/>
          <w:iCs/>
        </w:rPr>
        <w:t xml:space="preserve">On the Robustness of Interpretability Methods</w:t>
      </w:r>
      <w:r>
        <w:t xml:space="preserve">.</w:t>
      </w:r>
      <w:r>
        <w:t xml:space="preserve"> </w:t>
      </w:r>
      <w:hyperlink ns5:id="rId213">
        <w:r>
          <w:rPr>
            <w:rStyle w:val="Hipervnculo"/>
          </w:rPr>
          <w:t xml:space="preserve">https://arxiv.org/abs/1806.08049</w:t>
        </w:r>
      </w:hyperlink>
      <w:r>
        <w:t xml:space="preserve">.</w:t>
      </w:r>
    </w:p>
    <w:bookmarkEnd w:id="214"/>
    <w:bookmarkStart w:id="216" w:name="ref-amershi2014"/>
    <w:p>
      <w:pPr>
        <w:pStyle w:val="Bibliography"/>
        <w:spacing w:line="360" w:lineRule="auto"/>
        <w:jc w:val="both"/>
      </w:pPr>
      <w:r>
        <w:t xml:space="preserve">Amershi, Cakmak, S. 2014.</w:t>
      </w:r>
      <w:r>
        <w:t xml:space="preserve"> </w:t>
      </w:r>
      <w:r>
        <w:t xml:space="preserve">«Power to the People: The role of Humans in Interactive Machine Learning»</w:t>
      </w:r>
      <w:r>
        <w:t xml:space="preserve">.</w:t>
      </w:r>
      <w:r>
        <w:t xml:space="preserve"> </w:t>
      </w:r>
      <w:r>
        <w:rPr>
          <w:i/>
          <w:iCs/>
        </w:rPr>
        <w:t xml:space="preserve">AI Magazine</w:t>
      </w:r>
      <w:r>
        <w:t xml:space="preserve"> </w:t>
      </w:r>
      <w:r>
        <w:t xml:space="preserve">35 (4): 105-20.</w:t>
      </w:r>
      <w:r>
        <w:t xml:space="preserve"> </w:t>
      </w:r>
      <w:hyperlink ns5:id="rId215">
        <w:r>
          <w:rPr>
            <w:rStyle w:val="Hipervnculo"/>
          </w:rPr>
          <w:t xml:space="preserve">https://doi.org/10.1609/aimag.v35i4.2513</w:t>
        </w:r>
      </w:hyperlink>
      <w:r>
        <w:t xml:space="preserve">.</w:t>
      </w:r>
    </w:p>
    <w:bookmarkEnd w:id="216"/>
    <w:bookmarkStart w:id="218"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w:t>
      </w:r>
      <w:r>
        <w:t xml:space="preserve"> </w:t>
      </w:r>
      <w:r>
        <w:rPr>
          <w:i/>
          <w:iCs/>
        </w:rPr>
        <w:t xml:space="preserve">Wiley Interdisciplinary Reviews Data Mining and Knowledge Discovery</w:t>
      </w:r>
      <w:r>
        <w:t xml:space="preserve"> </w:t>
      </w:r>
      <w:r>
        <w:t xml:space="preserve">11 (5).</w:t>
      </w:r>
      <w:r>
        <w:t xml:space="preserve"> </w:t>
      </w:r>
      <w:hyperlink ns5:id="rId217">
        <w:r>
          <w:rPr>
            <w:rStyle w:val="Hipervnculo"/>
          </w:rPr>
          <w:t xml:space="preserve">https://doi.org/10.1002/widm.1424</w:t>
        </w:r>
      </w:hyperlink>
      <w:r>
        <w:t xml:space="preserve">.</w:t>
      </w:r>
    </w:p>
    <w:bookmarkEnd w:id="218"/>
    <w:bookmarkStart w:id="220" w:name="ref-apley2020"/>
    <w:p>
      <w:pPr>
        <w:pStyle w:val="Bibliography"/>
        <w:spacing w:line="360" w:lineRule="auto"/>
        <w:jc w:val="both"/>
      </w:pPr>
      <w:r>
        <w:t xml:space="preserve">Apley, &amp; Zhu, D. W. 2020.</w:t>
      </w:r>
      <w:r>
        <w:t xml:space="preserve"> </w:t>
      </w:r>
      <w:r>
        <w:t xml:space="preserve">«Visualizing the effects of predictor variables in black box supervised learning models»</w:t>
      </w:r>
      <w:r>
        <w:t xml:space="preserve">.</w:t>
      </w:r>
      <w:r>
        <w:t xml:space="preserve"> </w:t>
      </w:r>
      <w:r>
        <w:rPr>
          <w:i/>
          <w:iCs/>
        </w:rPr>
        <w:t xml:space="preserve">Journal of the Royal Statistical Society Series B (Statistical Methodology)</w:t>
      </w:r>
      <w:r>
        <w:t xml:space="preserve"> </w:t>
      </w:r>
      <w:r>
        <w:t xml:space="preserve">82 (4): 1059-86.</w:t>
      </w:r>
      <w:r>
        <w:t xml:space="preserve"> </w:t>
      </w:r>
      <w:hyperlink ns5:id="rId219">
        <w:r>
          <w:rPr>
            <w:rStyle w:val="Hipervnculo"/>
          </w:rPr>
          <w:t xml:space="preserve">https://doi.org/10.1111/rssb.12377</w:t>
        </w:r>
      </w:hyperlink>
      <w:r>
        <w:t xml:space="preserve">.</w:t>
      </w:r>
    </w:p>
    <w:bookmarkEnd w:id="220"/>
    <w:bookmarkStart w:id="222" w:name="ref-arrieta2019a"/>
    <w:p>
      <w:pPr>
        <w:pStyle w:val="Bibliography"/>
        <w:spacing w:line="360" w:lineRule="auto"/>
        <w:jc w:val="both"/>
      </w:pPr>
      <w:r>
        <w:t xml:space="preserve">Arrieta, Díaz-Rodríguez, A. B. 2019.</w:t>
      </w:r>
      <w:r>
        <w:t xml:space="preserve"> </w:t>
      </w:r>
      <w:r>
        <w:t xml:space="preserve">«Explainable Artificial Intelligence (XAI): Concepts, taxonomies, opportunities and challenges toward responsible AI»</w:t>
      </w:r>
      <w:r>
        <w:t xml:space="preserve">.</w:t>
      </w:r>
      <w:r>
        <w:t xml:space="preserve"> </w:t>
      </w:r>
      <w:r>
        <w:rPr>
          <w:i/>
          <w:iCs/>
        </w:rPr>
        <w:t xml:space="preserve">Information Fusion</w:t>
      </w:r>
      <w:r>
        <w:t xml:space="preserve"> </w:t>
      </w:r>
      <w:r>
        <w:t xml:space="preserve">58: 82-115.</w:t>
      </w:r>
      <w:r>
        <w:t xml:space="preserve"> </w:t>
      </w:r>
      <w:hyperlink ns5:id="rId221">
        <w:r>
          <w:rPr>
            <w:rStyle w:val="Hipervnculo"/>
          </w:rPr>
          <w:t xml:space="preserve">https://doi.org/10.1016/j.inffus.2019.12.012</w:t>
        </w:r>
      </w:hyperlink>
      <w:r>
        <w:t xml:space="preserve">.</w:t>
      </w:r>
    </w:p>
    <w:bookmarkEnd w:id="222"/>
    <w:bookmarkStart w:id="224" w:name="ref-bacardit2024"/>
    <w:p>
      <w:pPr>
        <w:pStyle w:val="Bibliography"/>
        <w:spacing w:line="360" w:lineRule="auto"/>
        <w:jc w:val="both"/>
      </w:pPr>
      <w:r>
        <w:t xml:space="preserve">Bacardit, Jaume, Alexander Brownlee, Stefano Cagnoni, Giovanni Iacca, John McCall, y David Walker. 2024.</w:t>
      </w:r>
      <w:r>
        <w:t xml:space="preserve"> </w:t>
      </w:r>
      <w:r>
        <w:t xml:space="preserve">«Introduction to the Special Issue on Explainable AI in Evolutionary Computation»</w:t>
      </w:r>
      <w:r>
        <w:t xml:space="preserve">.</w:t>
      </w:r>
      <w:r>
        <w:t xml:space="preserve"> </w:t>
      </w:r>
      <w:r>
        <w:rPr>
          <w:i/>
          <w:iCs/>
        </w:rPr>
        <w:t xml:space="preserve">ACM Transactions on Evolutionary Learning and Optimization</w:t>
      </w:r>
      <w:r>
        <w:t xml:space="preserve"> </w:t>
      </w:r>
      <w:r>
        <w:t xml:space="preserve">4 (1): 1-2.</w:t>
      </w:r>
      <w:r>
        <w:t xml:space="preserve"> </w:t>
      </w:r>
      <w:hyperlink ns5:id="rId223">
        <w:r>
          <w:rPr>
            <w:rStyle w:val="Hipervnculo"/>
          </w:rPr>
          <w:t xml:space="preserve">https://doi.org/10.1145/3649144</w:t>
        </w:r>
      </w:hyperlink>
      <w:r>
        <w:t xml:space="preserve">.</w:t>
      </w:r>
    </w:p>
    <w:bookmarkEnd w:id="224"/>
    <w:bookmarkStart w:id="226" w:name="ref-bastings2020"/>
    <w:p>
      <w:pPr>
        <w:pStyle w:val="Bibliography"/>
        <w:spacing w:line="360" w:lineRule="auto"/>
        <w:jc w:val="both"/>
      </w:pPr>
      <w:r>
        <w:t xml:space="preserve">Bastings, Jasmijn, y Katja Filippova. 2020.</w:t>
      </w:r>
      <w:r>
        <w:t xml:space="preserve"> </w:t>
      </w:r>
      <w:r>
        <w:t xml:space="preserve">«The elephant in the interpretability room: Why use attention as explanation when we have saliency methods?»</w:t>
      </w:r>
      <w:r>
        <w:t xml:space="preserve"> </w:t>
      </w:r>
      <w:r>
        <w:rPr>
          <w:i/>
          <w:iCs/>
        </w:rPr>
        <w:t xml:space="preserve">Proceedings of the Third BlackboxNLP Workshop on Analyzing and Interpreting Neural Networks for NLP</w:t>
      </w:r>
      <w:r>
        <w:t xml:space="preserve">, 149-55.</w:t>
      </w:r>
      <w:r>
        <w:t xml:space="preserve"> </w:t>
      </w:r>
      <w:hyperlink ns5:id="rId225">
        <w:r>
          <w:rPr>
            <w:rStyle w:val="Hipervnculo"/>
          </w:rPr>
          <w:t xml:space="preserve">https://doi.org/10.18653/v1/2020.blackboxnlp-1.14</w:t>
        </w:r>
      </w:hyperlink>
      <w:r>
        <w:t xml:space="preserve">.</w:t>
      </w:r>
    </w:p>
    <w:bookmarkEnd w:id="226"/>
    <w:bookmarkStart w:id="228"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w:t>
      </w:r>
      <w:r>
        <w:t xml:space="preserve"> </w:t>
      </w:r>
      <w:r>
        <w:rPr>
          <w:i/>
          <w:iCs/>
        </w:rPr>
        <w:t xml:space="preserve">Frontiers in Big Data</w:t>
      </w:r>
      <w:r>
        <w:t xml:space="preserve"> </w:t>
      </w:r>
      <w:r>
        <w:t xml:space="preserve">4.</w:t>
      </w:r>
      <w:r>
        <w:t xml:space="preserve"> </w:t>
      </w:r>
      <w:hyperlink ns5:id="rId227">
        <w:r>
          <w:rPr>
            <w:rStyle w:val="Hipervnculo"/>
          </w:rPr>
          <w:t xml:space="preserve">https://doi.org/10.3389/fdata.2021.688969</w:t>
        </w:r>
      </w:hyperlink>
      <w:r>
        <w:t xml:space="preserve">.</w:t>
      </w:r>
    </w:p>
    <w:bookmarkEnd w:id="228"/>
    <w:bookmarkStart w:id="230" w:name="ref-bennetot2024"/>
    <w:p>
      <w:pPr>
        <w:pStyle w:val="Bibliography"/>
        <w:spacing w:line="360" w:lineRule="auto"/>
        <w:jc w:val="both"/>
      </w:pPr>
      <w:r>
        <w:t xml:space="preserve">Bennetot, Adrien, Ivan Donadello, Ayoub El Qadi El Haouari, et al. 2024.</w:t>
      </w:r>
      <w:r>
        <w:t xml:space="preserve"> </w:t>
      </w:r>
      <w:r>
        <w:t xml:space="preserve">«A Practical Tutorial on Explainable AI Techniques»</w:t>
      </w:r>
      <w:r>
        <w:t xml:space="preserve">.</w:t>
      </w:r>
      <w:r>
        <w:t xml:space="preserve"> </w:t>
      </w:r>
      <w:r>
        <w:rPr>
          <w:i/>
          <w:iCs/>
        </w:rPr>
        <w:t xml:space="preserve">ACM Computing Surveys</w:t>
      </w:r>
      <w:r>
        <w:t xml:space="preserve"> </w:t>
      </w:r>
      <w:r>
        <w:t xml:space="preserve">57 (2): 1-44.</w:t>
      </w:r>
      <w:r>
        <w:t xml:space="preserve"> </w:t>
      </w:r>
      <w:hyperlink ns5:id="rId229">
        <w:r>
          <w:rPr>
            <w:rStyle w:val="Hipervnculo"/>
          </w:rPr>
          <w:t xml:space="preserve">https://doi.org/10.1145/3670685</w:t>
        </w:r>
      </w:hyperlink>
      <w:r>
        <w:t xml:space="preserve">.</w:t>
      </w:r>
    </w:p>
    <w:bookmarkEnd w:id="230"/>
    <w:bookmarkStart w:id="232" w:name="ref-bhat2024"/>
    <w:p>
      <w:pPr>
        <w:pStyle w:val="Bibliography"/>
        <w:spacing w:line="360" w:lineRule="auto"/>
        <w:jc w:val="both"/>
      </w:pPr>
      <w:r>
        <w:t xml:space="preserve">Bhat, Maalvika, y Duri Long. 2024.</w:t>
      </w:r>
      <w:r>
        <w:t xml:space="preserve"> </w:t>
      </w:r>
      <w:r>
        <w:t xml:space="preserve">«Designing Interactive Explainable AI Tools for Algorithmic Literacy and Transparency»</w:t>
      </w:r>
      <w:r>
        <w:t xml:space="preserve">.</w:t>
      </w:r>
      <w:r>
        <w:t xml:space="preserve"> </w:t>
      </w:r>
      <w:r>
        <w:rPr>
          <w:i/>
          <w:iCs/>
        </w:rPr>
        <w:t xml:space="preserve">Designing Interactive Systems Conference</w:t>
      </w:r>
      <w:r>
        <w:t xml:space="preserve">, 939-57.</w:t>
      </w:r>
      <w:r>
        <w:t xml:space="preserve"> </w:t>
      </w:r>
      <w:hyperlink ns5:id="rId231">
        <w:r>
          <w:rPr>
            <w:rStyle w:val="Hipervnculo"/>
          </w:rPr>
          <w:t xml:space="preserve">https://doi.org/10.1145/3643834.3660722</w:t>
        </w:r>
      </w:hyperlink>
      <w:r>
        <w:t xml:space="preserve">.</w:t>
      </w:r>
    </w:p>
    <w:bookmarkEnd w:id="232"/>
    <w:bookmarkStart w:id="234" w:name="ref-bhattacharya2024"/>
    <w:p>
      <w:pPr>
        <w:pStyle w:val="Bibliography"/>
        <w:spacing w:line="360" w:lineRule="auto"/>
        <w:jc w:val="both"/>
      </w:pPr>
      <w:r>
        <w:t xml:space="preserve">Bhattacharya, A., y K. Verbert. 2024.</w:t>
      </w:r>
      <w:r>
        <w:t xml:space="preserve"> </w:t>
      </w:r>
      <w:r>
        <w:t xml:space="preserve">«How Good Is Your Explanation?: Towards a Standardised Evaluation Approach for Diverse XAI Methods on Multiple Dimensions of Explainability»</w:t>
      </w:r>
      <w:r>
        <w:t xml:space="preserve">.</w:t>
      </w:r>
      <w:r>
        <w:t xml:space="preserve"> </w:t>
      </w:r>
      <w:r>
        <w:rPr>
          <w:i/>
          <w:iCs/>
        </w:rPr>
        <w:t xml:space="preserve">Proceedings of the 32nd ACM Conference on User Modeling, Adaptation and Personalization (UMAP Adjunct ’24)</w:t>
      </w:r>
      <w:r>
        <w:t xml:space="preserve">.</w:t>
      </w:r>
      <w:r>
        <w:t xml:space="preserve"> </w:t>
      </w:r>
      <w:hyperlink ns5:id="rId233">
        <w:r>
          <w:rPr>
            <w:rStyle w:val="Hipervnculo"/>
          </w:rPr>
          <w:t xml:space="preserve">https://doi.org/10.1145/3631700.3664911</w:t>
        </w:r>
      </w:hyperlink>
      <w:r>
        <w:t xml:space="preserve">.</w:t>
      </w:r>
    </w:p>
    <w:bookmarkEnd w:id="234"/>
    <w:bookmarkStart w:id="236" w:name="ref-bobitan2024"/>
    <w:p>
      <w:pPr>
        <w:pStyle w:val="Bibliography"/>
        <w:spacing w:line="360" w:lineRule="auto"/>
        <w:jc w:val="both"/>
      </w:pPr>
      <w:r>
        <w:t xml:space="preserve">Bobitan, Nicolae, Diana Dumitrescu, Adriana Florina Popa, Daniela Nicoleta Sahlian, y Ioan Codrut Turlea. 2024.</w:t>
      </w:r>
      <w:r>
        <w:t xml:space="preserve"> </w:t>
      </w:r>
      <w:r>
        <w:t xml:space="preserve">«Shaping Tomorrow: Anticipating Skills Requirements Based on the Integration of Artificial Intelligence in Business Organizations—A Foresight Analysis Using the Scenario Method»</w:t>
      </w:r>
      <w:r>
        <w:t xml:space="preserve">.</w:t>
      </w:r>
      <w:r>
        <w:t xml:space="preserve"> </w:t>
      </w:r>
      <w:r>
        <w:rPr>
          <w:i/>
          <w:iCs/>
        </w:rPr>
        <w:t xml:space="preserve">Electronics</w:t>
      </w:r>
      <w:r>
        <w:t xml:space="preserve"> </w:t>
      </w:r>
      <w:r>
        <w:t xml:space="preserve">13 (11): 2198.</w:t>
      </w:r>
      <w:r>
        <w:t xml:space="preserve"> </w:t>
      </w:r>
      <w:hyperlink ns5:id="rId235">
        <w:r>
          <w:rPr>
            <w:rStyle w:val="Hipervnculo"/>
          </w:rPr>
          <w:t xml:space="preserve">https://doi.org/10.3390/electronics13112198</w:t>
        </w:r>
      </w:hyperlink>
      <w:r>
        <w:t xml:space="preserve">.</w:t>
      </w:r>
    </w:p>
    <w:bookmarkEnd w:id="236"/>
    <w:bookmarkStart w:id="238" w:name="ref-breiman2001"/>
    <w:p>
      <w:pPr>
        <w:pStyle w:val="Bibliography"/>
        <w:spacing w:line="360" w:lineRule="auto"/>
        <w:jc w:val="both"/>
      </w:pPr>
      <w:r>
        <w:t xml:space="preserve">Breiman, L. 2001.</w:t>
      </w:r>
      <w:r>
        <w:t xml:space="preserve"> </w:t>
      </w:r>
      <w:r>
        <w:t xml:space="preserve">«Random forests»</w:t>
      </w:r>
      <w:r>
        <w:t xml:space="preserve">.</w:t>
      </w:r>
      <w:r>
        <w:t xml:space="preserve"> </w:t>
      </w:r>
      <w:r>
        <w:rPr>
          <w:i/>
          <w:iCs/>
        </w:rPr>
        <w:t xml:space="preserve">Machine Learning</w:t>
      </w:r>
      <w:r>
        <w:t xml:space="preserve"> </w:t>
      </w:r>
      <w:r>
        <w:t xml:space="preserve">45 (1): 5-32.</w:t>
      </w:r>
      <w:r>
        <w:t xml:space="preserve"> </w:t>
      </w:r>
      <w:hyperlink ns5:id="rId237">
        <w:r>
          <w:rPr>
            <w:rStyle w:val="Hipervnculo"/>
          </w:rPr>
          <w:t xml:space="preserve">https://doi.org/10.1023/a:1010933404324</w:t>
        </w:r>
      </w:hyperlink>
      <w:r>
        <w:t xml:space="preserve">.</w:t>
      </w:r>
    </w:p>
    <w:bookmarkEnd w:id="238"/>
    <w:bookmarkStart w:id="240" w:name="ref-brown2024"/>
    <w:p>
      <w:pPr>
        <w:pStyle w:val="Bibliography"/>
        <w:spacing w:line="360" w:lineRule="auto"/>
        <w:jc w:val="both"/>
      </w:pPr>
      <w:r>
        <w:t xml:space="preserve">Brown, Dene, y Glenn Hawe. 2024.</w:t>
      </w:r>
      <w:r>
        <w:t xml:space="preserve"> </w:t>
      </w:r>
      <w:r>
        <w:t xml:space="preserve">«Exploring Trade-offs in Explainable AI»</w:t>
      </w:r>
      <w:r>
        <w:t xml:space="preserve">.</w:t>
      </w:r>
      <w:r>
        <w:t xml:space="preserve"> </w:t>
      </w:r>
      <w:r>
        <w:rPr>
          <w:i/>
          <w:iCs/>
        </w:rPr>
        <w:t xml:space="preserve">ACM SIGAda Ada Letters</w:t>
      </w:r>
      <w:r>
        <w:t xml:space="preserve"> </w:t>
      </w:r>
      <w:r>
        <w:t xml:space="preserve">43 (2): 36-42.</w:t>
      </w:r>
      <w:r>
        <w:t xml:space="preserve"> </w:t>
      </w:r>
      <w:hyperlink ns5:id="rId239">
        <w:r>
          <w:rPr>
            <w:rStyle w:val="Hipervnculo"/>
          </w:rPr>
          <w:t xml:space="preserve">https://doi.org/10.1145/3672359.3672363</w:t>
        </w:r>
      </w:hyperlink>
      <w:r>
        <w:t xml:space="preserve">.</w:t>
      </w:r>
    </w:p>
    <w:bookmarkEnd w:id="240"/>
    <w:bookmarkStart w:id="242" w:name="ref-burger2023"/>
    <w:p>
      <w:pPr>
        <w:pStyle w:val="Bibliography"/>
        <w:spacing w:line="360" w:lineRule="auto"/>
        <w:jc w:val="both"/>
      </w:pPr>
      <w:r>
        <w:t xml:space="preserve">Burger, Christopher, Lingwei Chen, y Thai Le. 2023.</w:t>
      </w:r>
      <w:r>
        <w:t xml:space="preserve"> </w:t>
      </w:r>
      <w:r>
        <w:t xml:space="preserve">«Are Your Explanations Reliable? Investigating the Stability of LIME in Explaining Text Classifiers by Marrying XAI and Adversarial Attack»</w:t>
      </w:r>
      <w:r>
        <w:t xml:space="preserve">.</w:t>
      </w:r>
      <w:r>
        <w:t xml:space="preserve"> </w:t>
      </w:r>
      <w:r>
        <w:rPr>
          <w:i/>
          <w:iCs/>
        </w:rPr>
        <w:t xml:space="preserve">Proceedings of the 2023 Conference on Empirical Methods in Natural Language Processing</w:t>
      </w:r>
      <w:r>
        <w:t xml:space="preserve">, 12931-44.</w:t>
      </w:r>
      <w:r>
        <w:t xml:space="preserve"> </w:t>
      </w:r>
      <w:hyperlink ns5:id="rId241">
        <w:r>
          <w:rPr>
            <w:rStyle w:val="Hipervnculo"/>
          </w:rPr>
          <w:t xml:space="preserve">https://doi.org/10.18653/v1/2023.emnlp-main.792</w:t>
        </w:r>
      </w:hyperlink>
      <w:r>
        <w:t xml:space="preserve">.</w:t>
      </w:r>
    </w:p>
    <w:bookmarkEnd w:id="242"/>
    <w:bookmarkStart w:id="244" w:name="ref-canha2025"/>
    <w:p>
      <w:pPr>
        <w:pStyle w:val="Bibliography"/>
        <w:spacing w:line="360" w:lineRule="auto"/>
        <w:jc w:val="both"/>
      </w:pPr>
      <w:r>
        <w:t xml:space="preserve">Canha, D., S. Kubler, K. Främling, y G. Fagherazzi. 2025.</w:t>
      </w:r>
      <w:r>
        <w:t xml:space="preserve"> </w:t>
      </w:r>
      <w:r>
        <w:t xml:space="preserve">«A Functionally-Grounded Benchmark Framework for XAI Methods: Insights and Foundations from a Systematic Literature Review»</w:t>
      </w:r>
      <w:r>
        <w:t xml:space="preserve">.</w:t>
      </w:r>
      <w:r>
        <w:t xml:space="preserve"> </w:t>
      </w:r>
      <w:r>
        <w:rPr>
          <w:i/>
          <w:iCs/>
        </w:rPr>
        <w:t xml:space="preserve">ACM Computing Surveys</w:t>
      </w:r>
      <w:r>
        <w:t xml:space="preserve"> </w:t>
      </w:r>
      <w:r>
        <w:t xml:space="preserve">57 (12).</w:t>
      </w:r>
      <w:r>
        <w:t xml:space="preserve"> </w:t>
      </w:r>
      <w:hyperlink ns5:id="rId243">
        <w:r>
          <w:rPr>
            <w:rStyle w:val="Hipervnculo"/>
          </w:rPr>
          <w:t xml:space="preserve">https://doi.org/10.1145/3737445</w:t>
        </w:r>
      </w:hyperlink>
      <w:r>
        <w:t xml:space="preserve">.</w:t>
      </w:r>
    </w:p>
    <w:bookmarkEnd w:id="244"/>
    <w:bookmarkStart w:id="246" w:name="ref-carvalho2019"/>
    <w:p>
      <w:pPr>
        <w:pStyle w:val="Bibliography"/>
        <w:spacing w:line="360" w:lineRule="auto"/>
        <w:jc w:val="both"/>
      </w:pPr>
      <w:r>
        <w:t xml:space="preserve">Carvalho, Diogo V., Eduardo M. Pereira, y Jaime S. Cardoso. 2019.</w:t>
      </w:r>
      <w:r>
        <w:t xml:space="preserve"> </w:t>
      </w:r>
      <w:r>
        <w:t xml:space="preserve">«Machine Learning Interpretability: A Survey on Methods and Metrics»</w:t>
      </w:r>
      <w:r>
        <w:t xml:space="preserve">.</w:t>
      </w:r>
      <w:r>
        <w:t xml:space="preserve"> </w:t>
      </w:r>
      <w:r>
        <w:rPr>
          <w:i/>
          <w:iCs/>
        </w:rPr>
        <w:t xml:space="preserve">Electronics</w:t>
      </w:r>
      <w:r>
        <w:t xml:space="preserve"> </w:t>
      </w:r>
      <w:r>
        <w:t xml:space="preserve">8 (8): 832.</w:t>
      </w:r>
      <w:r>
        <w:t xml:space="preserve"> </w:t>
      </w:r>
      <w:hyperlink ns5:id="rId245">
        <w:r>
          <w:rPr>
            <w:rStyle w:val="Hipervnculo"/>
          </w:rPr>
          <w:t xml:space="preserve">https://doi.org/10.3390/electronics8080832</w:t>
        </w:r>
      </w:hyperlink>
      <w:r>
        <w:t xml:space="preserve">.</w:t>
      </w:r>
    </w:p>
    <w:bookmarkEnd w:id="246"/>
    <w:bookmarkStart w:id="248" w:name="ref-choudhari2025"/>
    <w:p>
      <w:pPr>
        <w:pStyle w:val="Bibliography"/>
        <w:spacing w:line="360" w:lineRule="auto"/>
        <w:jc w:val="both"/>
      </w:pPr>
      <w:r>
        <w:t xml:space="preserve">Choudhari, Anaya, Tejal Ambhore, y Ninad Mehendale. 2025.</w:t>
      </w:r>
      <w:r>
        <w:t xml:space="preserve"> </w:t>
      </w:r>
      <w:r>
        <w:rPr>
          <w:i/>
          <w:iCs/>
        </w:rPr>
        <w:t xml:space="preserve">Explainable AI: Bridging the Gap Between Machine Intelligence and Human Understanding</w:t>
      </w:r>
      <w:r>
        <w:t xml:space="preserve">. Elsevier BV.</w:t>
      </w:r>
      <w:r>
        <w:t xml:space="preserve"> </w:t>
      </w:r>
      <w:hyperlink ns5:id="rId247">
        <w:r>
          <w:rPr>
            <w:rStyle w:val="Hipervnculo"/>
          </w:rPr>
          <w:t xml:space="preserve">https://doi.org/10.2139/ssrn.5040613</w:t>
        </w:r>
      </w:hyperlink>
      <w:r>
        <w:t xml:space="preserve">.</w:t>
      </w:r>
    </w:p>
    <w:bookmarkEnd w:id="248"/>
    <w:bookmarkStart w:id="250" w:name="ref-cohen1960"/>
    <w:p>
      <w:pPr>
        <w:pStyle w:val="Bibliography"/>
        <w:spacing w:line="360" w:lineRule="auto"/>
        <w:jc w:val="both"/>
      </w:pPr>
      <w:r>
        <w:t xml:space="preserve">Cohen, J. 1960.</w:t>
      </w:r>
      <w:r>
        <w:t xml:space="preserve"> </w:t>
      </w:r>
      <w:r>
        <w:t xml:space="preserve">«A coefficient of agreement for nominal scales»</w:t>
      </w:r>
      <w:r>
        <w:t xml:space="preserve">.</w:t>
      </w:r>
      <w:r>
        <w:t xml:space="preserve"> </w:t>
      </w:r>
      <w:r>
        <w:rPr>
          <w:i/>
          <w:iCs/>
        </w:rPr>
        <w:t xml:space="preserve">Educational and Psychological Measurement</w:t>
      </w:r>
      <w:r>
        <w:t xml:space="preserve"> </w:t>
      </w:r>
      <w:r>
        <w:t xml:space="preserve">20 (1): 37-46.</w:t>
      </w:r>
      <w:r>
        <w:t xml:space="preserve"> </w:t>
      </w:r>
      <w:hyperlink ns5:id="rId249">
        <w:r>
          <w:rPr>
            <w:rStyle w:val="Hipervnculo"/>
          </w:rPr>
          <w:t xml:space="preserve">https://doi.org/10.1177/001316446002000104</w:t>
        </w:r>
      </w:hyperlink>
      <w:r>
        <w:t xml:space="preserve">.</w:t>
      </w:r>
    </w:p>
    <w:bookmarkEnd w:id="250"/>
    <w:bookmarkStart w:id="252" w:name="ref-colley2023"/>
    <w:p>
      <w:pPr>
        <w:pStyle w:val="Bibliography"/>
        <w:spacing w:line="360" w:lineRule="auto"/>
        <w:jc w:val="both"/>
      </w:pPr>
      <w:r>
        <w:t xml:space="preserve">Colley, Ashley, Matilda Kalving, Jonna Häkkilä, y Kaisa Väänänen. 2023.</w:t>
      </w:r>
      <w:r>
        <w:t xml:space="preserve"> </w:t>
      </w:r>
      <w:r>
        <w:t xml:space="preserve">«Exploring Tangible Explainable AI (TangXAI): A User Study of Two XAI Approaches»</w:t>
      </w:r>
      <w:r>
        <w:t xml:space="preserve">.</w:t>
      </w:r>
      <w:r>
        <w:t xml:space="preserve"> </w:t>
      </w:r>
      <w:r>
        <w:rPr>
          <w:i/>
          <w:iCs/>
        </w:rPr>
        <w:t xml:space="preserve">Proceedings of the 35th Australian Computer-Human Interaction Conference</w:t>
      </w:r>
      <w:r>
        <w:t xml:space="preserve">, 679-83.</w:t>
      </w:r>
      <w:r>
        <w:t xml:space="preserve"> </w:t>
      </w:r>
      <w:hyperlink ns5:id="rId251">
        <w:r>
          <w:rPr>
            <w:rStyle w:val="Hipervnculo"/>
          </w:rPr>
          <w:t xml:space="preserve">https://doi.org/10.1145/3638380.3638426</w:t>
        </w:r>
      </w:hyperlink>
      <w:r>
        <w:t xml:space="preserve">.</w:t>
      </w:r>
    </w:p>
    <w:bookmarkEnd w:id="252"/>
    <w:bookmarkStart w:id="254" w:name="ref-cunha2024"/>
    <w:p>
      <w:pPr>
        <w:pStyle w:val="Bibliography"/>
        <w:spacing w:line="360" w:lineRule="auto"/>
        <w:jc w:val="both"/>
      </w:pPr>
      <w:r>
        <w:t xml:space="preserve">Cunha, Bianca Moreira, y Simone Diniz Junqueira Barbosa. 2024.</w:t>
      </w:r>
      <w:r>
        <w:t xml:space="preserve"> </w:t>
      </w:r>
      <w:r>
        <w:t xml:space="preserve">«Evaluating the Effectiveness of Visual Representations of SHAP Values Toward Explainable Artificial Intelligence»</w:t>
      </w:r>
      <w:r>
        <w:t xml:space="preserve">.</w:t>
      </w:r>
      <w:r>
        <w:t xml:space="preserve"> </w:t>
      </w:r>
      <w:r>
        <w:rPr>
          <w:i/>
          <w:iCs/>
        </w:rPr>
        <w:t xml:space="preserve">Proceedings of the XXIII Brazilian Symposium on Human Factors in Computing Systems</w:t>
      </w:r>
      <w:r>
        <w:t xml:space="preserve">, 1-11.</w:t>
      </w:r>
      <w:r>
        <w:t xml:space="preserve"> </w:t>
      </w:r>
      <w:hyperlink ns5:id="rId253">
        <w:r>
          <w:rPr>
            <w:rStyle w:val="Hipervnculo"/>
          </w:rPr>
          <w:t xml:space="preserve">https://doi.org/10.1145/3702038.3702093</w:t>
        </w:r>
      </w:hyperlink>
      <w:r>
        <w:t xml:space="preserve">.</w:t>
      </w:r>
    </w:p>
    <w:bookmarkEnd w:id="254"/>
    <w:bookmarkStart w:id="256"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w:t>
      </w:r>
      <w:r>
        <w:t xml:space="preserve"> </w:t>
      </w:r>
      <w:r>
        <w:rPr>
          <w:i/>
          <w:iCs/>
        </w:rPr>
        <w:t xml:space="preserve">Journal of Machine Learning Research</w:t>
      </w:r>
      <w:r>
        <w:t xml:space="preserve"> </w:t>
      </w:r>
      <w:r>
        <w:t xml:space="preserve">7: 1-30.</w:t>
      </w:r>
      <w:r>
        <w:t xml:space="preserve"> </w:t>
      </w:r>
      <w:hyperlink ns5:id="rId255">
        <w:r>
          <w:rPr>
            <w:rStyle w:val="Hipervnculo"/>
          </w:rPr>
          <w:t xml:space="preserve">https://www.jmlr.org/papers/v7/demsar06a.html</w:t>
        </w:r>
      </w:hyperlink>
      <w:r>
        <w:t xml:space="preserve">.</w:t>
      </w:r>
    </w:p>
    <w:bookmarkEnd w:id="256"/>
    <w:bookmarkStart w:id="258"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w:t>
      </w:r>
      <w:r>
        <w:t xml:space="preserve"> </w:t>
      </w:r>
      <w:r>
        <w:rPr>
          <w:i/>
          <w:iCs/>
        </w:rPr>
        <w:t xml:space="preserve">arXiv (Cornell University)</w:t>
      </w:r>
      <w:r>
        <w:t xml:space="preserve">, advance online publication.</w:t>
      </w:r>
      <w:r>
        <w:t xml:space="preserve"> </w:t>
      </w:r>
      <w:hyperlink ns5:id="rId257">
        <w:r>
          <w:rPr>
            <w:rStyle w:val="Hipervnculo"/>
          </w:rPr>
          <w:t xml:space="preserve">https://doi.org/10.48550/arxiv.1702.08608</w:t>
        </w:r>
      </w:hyperlink>
      <w:r>
        <w:t xml:space="preserve">.</w:t>
      </w:r>
    </w:p>
    <w:bookmarkEnd w:id="258"/>
    <w:bookmarkStart w:id="260" w:name="ref-dua2019uci"/>
    <w:p>
      <w:pPr>
        <w:pStyle w:val="Bibliography"/>
        <w:spacing w:line="360" w:lineRule="auto"/>
        <w:jc w:val="both"/>
      </w:pPr>
      <w:r>
        <w:t xml:space="preserve">Dua, Dheeru, y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59">
        <w:r>
          <w:rPr>
            <w:rStyle w:val="Hipervnculo"/>
          </w:rPr>
          <w:t xml:space="preserve">http://archive.ics.uci.edu/ml</w:t>
        </w:r>
      </w:hyperlink>
      <w:r>
        <w:t xml:space="preserve">.</w:t>
      </w:r>
    </w:p>
    <w:bookmarkEnd w:id="260"/>
    <w:bookmarkStart w:id="262" w:name="ref-dwivedi2022"/>
    <w:p>
      <w:pPr>
        <w:pStyle w:val="Bibliography"/>
        <w:spacing w:line="360" w:lineRule="auto"/>
        <w:jc w:val="both"/>
      </w:pPr>
      <w:r>
        <w:t xml:space="preserve">Dwivedi, Dave, R. 2022.</w:t>
      </w:r>
      <w:r>
        <w:t xml:space="preserve"> </w:t>
      </w:r>
      <w:r>
        <w:t xml:space="preserve">«Explainable AI (XAI): core ideas, techniques, and solutions»</w:t>
      </w:r>
      <w:r>
        <w:t xml:space="preserve">.</w:t>
      </w:r>
      <w:r>
        <w:t xml:space="preserve"> </w:t>
      </w:r>
      <w:r>
        <w:rPr>
          <w:i/>
          <w:iCs/>
        </w:rPr>
        <w:t xml:space="preserve">ACM Computing Surveys</w:t>
      </w:r>
      <w:r>
        <w:t xml:space="preserve"> </w:t>
      </w:r>
      <w:r>
        <w:t xml:space="preserve">55 (9): 1-33.</w:t>
      </w:r>
      <w:r>
        <w:t xml:space="preserve"> </w:t>
      </w:r>
      <w:hyperlink ns5:id="rId261">
        <w:r>
          <w:rPr>
            <w:rStyle w:val="Hipervnculo"/>
          </w:rPr>
          <w:t xml:space="preserve">https://doi.org/10.1145/3561048</w:t>
        </w:r>
      </w:hyperlink>
      <w:r>
        <w:t xml:space="preserve">.</w:t>
      </w:r>
    </w:p>
    <w:bookmarkEnd w:id="262"/>
    <w:bookmarkStart w:id="264" w:name="ref-ehsan2024"/>
    <w:p>
      <w:pPr>
        <w:pStyle w:val="Bibliography"/>
        <w:spacing w:line="360" w:lineRule="auto"/>
        <w:jc w:val="both"/>
      </w:pPr>
      <w:r>
        <w:t xml:space="preserve">Ehsan, Upol, y Mark Riedl. 2024.</w:t>
      </w:r>
      <w:r>
        <w:t xml:space="preserve"> </w:t>
      </w:r>
      <w:r>
        <w:t xml:space="preserve">«Explainable AI Reloaded: Challenging the XAI Status Quo in the Era of Large Language Models»</w:t>
      </w:r>
      <w:r>
        <w:t xml:space="preserve">.</w:t>
      </w:r>
      <w:r>
        <w:t xml:space="preserve"> </w:t>
      </w:r>
      <w:r>
        <w:rPr>
          <w:i/>
          <w:iCs/>
        </w:rPr>
        <w:t xml:space="preserve">Proceedings of the Halfway to the Future Symposium</w:t>
      </w:r>
      <w:r>
        <w:t xml:space="preserve">, 1-8.</w:t>
      </w:r>
      <w:r>
        <w:t xml:space="preserve"> </w:t>
      </w:r>
      <w:hyperlink ns5:id="rId263">
        <w:r>
          <w:rPr>
            <w:rStyle w:val="Hipervnculo"/>
          </w:rPr>
          <w:t xml:space="preserve">https://doi.org/10.1145/3686169.3686185</w:t>
        </w:r>
      </w:hyperlink>
      <w:r>
        <w:t xml:space="preserve">.</w:t>
      </w:r>
    </w:p>
    <w:bookmarkEnd w:id="264"/>
    <w:bookmarkStart w:id="266" w:name="ref-ehsan2023"/>
    <w:p>
      <w:pPr>
        <w:pStyle w:val="Bibliography"/>
        <w:spacing w:line="360" w:lineRule="auto"/>
        <w:jc w:val="both"/>
      </w:pPr>
      <w:r>
        <w:t xml:space="preserve">Ehsan, Upol, Philipp Wintersberger, Elizabeth A Watkins, et al. 2023.</w:t>
      </w:r>
      <w:r>
        <w:t xml:space="preserve"> </w:t>
      </w:r>
      <w:r>
        <w:t xml:space="preserve">«Human-Centered Explainable AI (HCXAI): Coming of Age»</w:t>
      </w:r>
      <w:r>
        <w:t xml:space="preserve">.</w:t>
      </w:r>
      <w:r>
        <w:t xml:space="preserve"> </w:t>
      </w:r>
      <w:r>
        <w:rPr>
          <w:i/>
          <w:iCs/>
        </w:rPr>
        <w:t xml:space="preserve">Extended Abstracts of the 2023 CHI Conference on Human Factors in Computing Systems</w:t>
      </w:r>
      <w:r>
        <w:t xml:space="preserve">, 1-7.</w:t>
      </w:r>
      <w:r>
        <w:t xml:space="preserve"> </w:t>
      </w:r>
      <w:hyperlink ns5:id="rId265">
        <w:r>
          <w:rPr>
            <w:rStyle w:val="Hipervnculo"/>
          </w:rPr>
          <w:t xml:space="preserve">https://doi.org/10.1145/3544549.3573832</w:t>
        </w:r>
      </w:hyperlink>
      <w:r>
        <w:t xml:space="preserve">.</w:t>
      </w:r>
    </w:p>
    <w:bookmarkEnd w:id="266"/>
    <w:bookmarkStart w:id="268" w:name="ref-fan2026"/>
    <w:p>
      <w:pPr>
        <w:pStyle w:val="Bibliography"/>
        <w:spacing w:line="360" w:lineRule="auto"/>
        <w:jc w:val="both"/>
      </w:pPr>
      <w:r>
        <w:t xml:space="preserve">Fan, Siyuan, Derui Zhu, y Zhe Yu. 2026.</w:t>
      </w:r>
      <w:r>
        <w:t xml:space="preserve"> </w:t>
      </w:r>
      <w:r>
        <w:rPr>
          <w:i/>
          <w:iCs/>
        </w:rPr>
        <w:t xml:space="preserve">A Systematic Literature Review of Explainability-Based Model Editing</w:t>
      </w:r>
      <w:r>
        <w:t xml:space="preserve">. Elsevier BV.</w:t>
      </w:r>
      <w:r>
        <w:t xml:space="preserve"> </w:t>
      </w:r>
      <w:hyperlink ns5:id="rId267">
        <w:r>
          <w:rPr>
            <w:rStyle w:val="Hipervnculo"/>
          </w:rPr>
          <w:t xml:space="preserve">https://doi.org/10.2139/ssrn.6847479</w:t>
        </w:r>
      </w:hyperlink>
      <w:r>
        <w:t xml:space="preserve">.</w:t>
      </w:r>
    </w:p>
    <w:bookmarkEnd w:id="268"/>
    <w:bookmarkStart w:id="270" w:name="ref-feldkamp2023"/>
    <w:p>
      <w:pPr>
        <w:pStyle w:val="Bibliography"/>
        <w:spacing w:line="360" w:lineRule="auto"/>
        <w:jc w:val="both"/>
      </w:pPr>
      <w:r>
        <w:t xml:space="preserve">Feldkamp, Niclas, y Steffen Strassburger. 2023.</w:t>
      </w:r>
      <w:r>
        <w:t xml:space="preserve"> </w:t>
      </w:r>
      <w:r>
        <w:t xml:space="preserve">«From Explainable AI to Explainable Simulation: Using Machine Learning and XAI to understand System Robustness»</w:t>
      </w:r>
      <w:r>
        <w:t xml:space="preserve">.</w:t>
      </w:r>
      <w:r>
        <w:t xml:space="preserve"> </w:t>
      </w:r>
      <w:r>
        <w:rPr>
          <w:i/>
          <w:iCs/>
        </w:rPr>
        <w:t xml:space="preserve">ACM SIGSIM Conference on Principles of Advanced Discrete Simulation</w:t>
      </w:r>
      <w:r>
        <w:t xml:space="preserve">, 96-106.</w:t>
      </w:r>
      <w:r>
        <w:t xml:space="preserve"> </w:t>
      </w:r>
      <w:hyperlink ns5:id="rId269">
        <w:r>
          <w:rPr>
            <w:rStyle w:val="Hipervnculo"/>
          </w:rPr>
          <w:t xml:space="preserve">https://doi.org/10.1145/3573900.3591114</w:t>
        </w:r>
      </w:hyperlink>
      <w:r>
        <w:t xml:space="preserve">.</w:t>
      </w:r>
    </w:p>
    <w:bookmarkEnd w:id="270"/>
    <w:bookmarkStart w:id="271" w:name="ref-fisher2019"/>
    <w:p>
      <w:pPr>
        <w:pStyle w:val="Bibliography"/>
        <w:spacing w:line="360" w:lineRule="auto"/>
        <w:jc w:val="both"/>
      </w:pPr>
      <w:r>
        <w:t xml:space="preserve">Fisher, Aaron, Cynthia Rudin, y Francesca Dominici. 2019.</w:t>
      </w:r>
      <w:r>
        <w:t xml:space="preserve"> </w:t>
      </w:r>
      <w:r>
        <w:t xml:space="preserve">«All Models are Wrong, but Many are Useful: Learning a Variable’s Importance by Studying an Entire Class of Prediction Models Simultaneously»</w:t>
      </w:r>
      <w:r>
        <w:t xml:space="preserve">.</w:t>
      </w:r>
      <w:r>
        <w:t xml:space="preserve"> </w:t>
      </w:r>
      <w:r>
        <w:rPr>
          <w:i/>
          <w:iCs/>
        </w:rPr>
        <w:t xml:space="preserve">Journal of Machine Learning Research</w:t>
      </w:r>
      <w:r>
        <w:t xml:space="preserve">.</w:t>
      </w:r>
    </w:p>
    <w:bookmarkEnd w:id="271"/>
    <w:bookmarkStart w:id="273"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w:t>
      </w:r>
      <w:r>
        <w:t xml:space="preserve"> </w:t>
      </w:r>
      <w:r>
        <w:rPr>
          <w:i/>
          <w:iCs/>
        </w:rPr>
        <w:t xml:space="preserve">Minds and Machines</w:t>
      </w:r>
      <w:r>
        <w:t xml:space="preserve"> </w:t>
      </w:r>
      <w:r>
        <w:t xml:space="preserve">28 (4): 689-707.</w:t>
      </w:r>
      <w:r>
        <w:t xml:space="preserve"> </w:t>
      </w:r>
      <w:hyperlink ns5:id="rId272">
        <w:r>
          <w:rPr>
            <w:rStyle w:val="Hipervnculo"/>
          </w:rPr>
          <w:t xml:space="preserve">https://doi.org/10.1007/s11023-018-9482-5</w:t>
        </w:r>
      </w:hyperlink>
      <w:r>
        <w:t xml:space="preserve">.</w:t>
      </w:r>
    </w:p>
    <w:bookmarkEnd w:id="273"/>
    <w:bookmarkStart w:id="275" w:name="ref-friedman2008"/>
    <w:p>
      <w:pPr>
        <w:pStyle w:val="Bibliography"/>
        <w:spacing w:line="360" w:lineRule="auto"/>
        <w:jc w:val="both"/>
      </w:pPr>
      <w:r>
        <w:t xml:space="preserve">Friedman, &amp; Popescu, J. H. 2008.</w:t>
      </w:r>
      <w:r>
        <w:t xml:space="preserve"> </w:t>
      </w:r>
      <w:r>
        <w:t xml:space="preserve">«Predictive learning via rule ensembles»</w:t>
      </w:r>
      <w:r>
        <w:t xml:space="preserve">.</w:t>
      </w:r>
      <w:r>
        <w:t xml:space="preserve"> </w:t>
      </w:r>
      <w:r>
        <w:rPr>
          <w:i/>
          <w:iCs/>
        </w:rPr>
        <w:t xml:space="preserve">The Annals of Applied Statistics</w:t>
      </w:r>
      <w:r>
        <w:t xml:space="preserve"> </w:t>
      </w:r>
      <w:r>
        <w:t xml:space="preserve">2 (3).</w:t>
      </w:r>
      <w:r>
        <w:t xml:space="preserve"> </w:t>
      </w:r>
      <w:hyperlink ns5:id="rId274">
        <w:r>
          <w:rPr>
            <w:rStyle w:val="Hipervnculo"/>
          </w:rPr>
          <w:t xml:space="preserve">https://doi.org/10.1214/07-aoas148</w:t>
        </w:r>
      </w:hyperlink>
      <w:r>
        <w:t xml:space="preserve">.</w:t>
      </w:r>
    </w:p>
    <w:bookmarkEnd w:id="275"/>
    <w:bookmarkStart w:id="277" w:name="ref-friedman2001"/>
    <w:p>
      <w:pPr>
        <w:pStyle w:val="Bibliography"/>
        <w:spacing w:line="360" w:lineRule="auto"/>
        <w:jc w:val="both"/>
      </w:pPr>
      <w:r>
        <w:t xml:space="preserve">Friedman, J. H. 2001.</w:t>
      </w:r>
      <w:r>
        <w:t xml:space="preserve"> </w:t>
      </w:r>
      <w:r>
        <w:t xml:space="preserve">«Greedy function approximation: A gradient boosting machine»</w:t>
      </w:r>
      <w:r>
        <w:t xml:space="preserve">.</w:t>
      </w:r>
      <w:r>
        <w:t xml:space="preserve"> </w:t>
      </w:r>
      <w:r>
        <w:rPr>
          <w:i/>
          <w:iCs/>
        </w:rPr>
        <w:t xml:space="preserve">The Annals of Statistics</w:t>
      </w:r>
      <w:r>
        <w:t xml:space="preserve"> </w:t>
      </w:r>
      <w:r>
        <w:t xml:space="preserve">29 (5).</w:t>
      </w:r>
      <w:r>
        <w:t xml:space="preserve"> </w:t>
      </w:r>
      <w:hyperlink ns5:id="rId276">
        <w:r>
          <w:rPr>
            <w:rStyle w:val="Hipervnculo"/>
          </w:rPr>
          <w:t xml:space="preserve">https://doi.org/10.1214/aos/1013203451</w:t>
        </w:r>
      </w:hyperlink>
      <w:r>
        <w:t xml:space="preserve">.</w:t>
      </w:r>
    </w:p>
    <w:bookmarkEnd w:id="277"/>
    <w:bookmarkStart w:id="279"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w:t>
      </w:r>
      <w:r>
        <w:t xml:space="preserve"> </w:t>
      </w:r>
      <w:r>
        <w:rPr>
          <w:i/>
          <w:iCs/>
        </w:rPr>
        <w:t xml:space="preserve">Journal of the American Statistical Association</w:t>
      </w:r>
      <w:r>
        <w:t xml:space="preserve"> </w:t>
      </w:r>
      <w:r>
        <w:t xml:space="preserve">32 (200): 675-701.</w:t>
      </w:r>
      <w:r>
        <w:t xml:space="preserve"> </w:t>
      </w:r>
      <w:hyperlink ns5:id="rId278">
        <w:r>
          <w:rPr>
            <w:rStyle w:val="Hipervnculo"/>
          </w:rPr>
          <w:t xml:space="preserve">https://doi.org/10.1080/01621459.1937.10503522</w:t>
        </w:r>
      </w:hyperlink>
      <w:r>
        <w:t xml:space="preserve">.</w:t>
      </w:r>
    </w:p>
    <w:bookmarkEnd w:id="279"/>
    <w:bookmarkStart w:id="281" w:name="ref-gafur2024"/>
    <w:p>
      <w:pPr>
        <w:pStyle w:val="Bibliography"/>
        <w:spacing w:line="360" w:lineRule="auto"/>
        <w:jc w:val="both"/>
      </w:pPr>
      <w:r>
        <w:t xml:space="preserve">Gafur, Jamil, Steve Goddard, y William Lai. 2024.</w:t>
      </w:r>
      <w:r>
        <w:t xml:space="preserve"> </w:t>
      </w:r>
      <w:r>
        <w:t xml:space="preserve">«Adversarial Robustness and Explainability of Machine Learning Models»</w:t>
      </w:r>
      <w:r>
        <w:t xml:space="preserve">.</w:t>
      </w:r>
      <w:r>
        <w:t xml:space="preserve"> </w:t>
      </w:r>
      <w:r>
        <w:rPr>
          <w:i/>
          <w:iCs/>
        </w:rPr>
        <w:t xml:space="preserve">Practice and Experience in Advanced Research Computing 2024: Human Powered Computing</w:t>
      </w:r>
      <w:r>
        <w:t xml:space="preserve">, 1-7.</w:t>
      </w:r>
      <w:r>
        <w:t xml:space="preserve"> </w:t>
      </w:r>
      <w:hyperlink ns5:id="rId280">
        <w:r>
          <w:rPr>
            <w:rStyle w:val="Hipervnculo"/>
          </w:rPr>
          <w:t xml:space="preserve">https://doi.org/10.1145/3626203.3670522</w:t>
        </w:r>
      </w:hyperlink>
      <w:r>
        <w:t xml:space="preserve">.</w:t>
      </w:r>
    </w:p>
    <w:bookmarkEnd w:id="281"/>
    <w:bookmarkStart w:id="283"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w:t>
      </w:r>
      <w:r>
        <w:t xml:space="preserve"> </w:t>
      </w:r>
      <w:r>
        <w:rPr>
          <w:i/>
          <w:iCs/>
        </w:rPr>
        <w:t xml:space="preserve">2022 IEEE 9th International Conference on Data Science and Advanced Analytics (DSAA), 80–89</w:t>
      </w:r>
      <w:r>
        <w:t xml:space="preserve">, advance online publication.</w:t>
      </w:r>
      <w:r>
        <w:t xml:space="preserve"> </w:t>
      </w:r>
      <w:hyperlink ns5:id="rId282">
        <w:r>
          <w:rPr>
            <w:rStyle w:val="Hipervnculo"/>
          </w:rPr>
          <w:t xml:space="preserve">https://doi.org/10.1109/dsaa.2018.00018</w:t>
        </w:r>
      </w:hyperlink>
      <w:r>
        <w:t xml:space="preserve">.</w:t>
      </w:r>
    </w:p>
    <w:bookmarkEnd w:id="283"/>
    <w:bookmarkStart w:id="285" w:name="ref-goldstein2014"/>
    <w:p>
      <w:pPr>
        <w:pStyle w:val="Bibliography"/>
        <w:spacing w:line="360" w:lineRule="auto"/>
        <w:jc w:val="both"/>
      </w:pPr>
      <w:r>
        <w:t xml:space="preserve">Goldstein, Kapelner, A. 2014.</w:t>
      </w:r>
      <w:r>
        <w:t xml:space="preserve"> </w:t>
      </w:r>
      <w:r>
        <w:t xml:space="preserve">«Peeking inside the black box: visualizing statistical learning with plots of individual conditional expectation»</w:t>
      </w:r>
      <w:r>
        <w:t xml:space="preserve">.</w:t>
      </w:r>
      <w:r>
        <w:t xml:space="preserve"> </w:t>
      </w:r>
      <w:r>
        <w:rPr>
          <w:i/>
          <w:iCs/>
        </w:rPr>
        <w:t xml:space="preserve">Journal of Computational and Graphical Statistics</w:t>
      </w:r>
      <w:r>
        <w:t xml:space="preserve"> </w:t>
      </w:r>
      <w:r>
        <w:t xml:space="preserve">24 (1): 44-65.</w:t>
      </w:r>
      <w:r>
        <w:t xml:space="preserve"> </w:t>
      </w:r>
      <w:hyperlink ns5:id="rId284">
        <w:r>
          <w:rPr>
            <w:rStyle w:val="Hipervnculo"/>
          </w:rPr>
          <w:t xml:space="preserve">https://doi.org/10.1080/10618600.2014.907095</w:t>
        </w:r>
      </w:hyperlink>
      <w:r>
        <w:t xml:space="preserve">.</w:t>
      </w:r>
    </w:p>
    <w:bookmarkEnd w:id="285"/>
    <w:bookmarkStart w:id="287" w:name="ref-gomez2024"/>
    <w:p>
      <w:pPr>
        <w:pStyle w:val="Bibliography"/>
        <w:spacing w:line="360" w:lineRule="auto"/>
        <w:jc w:val="both"/>
      </w:pPr>
      <w:r>
        <w:t xml:space="preserve">Gomez, Manuel J., Álvaro Armada Sánchez, Mariano Albaladejo-González, Félix J. García Clemente, y José A. Ruipérez-Valiente. 2024.</w:t>
      </w:r>
      <w:r>
        <w:t xml:space="preserve"> </w:t>
      </w:r>
      <w:r>
        <w:t xml:space="preserve">«Utilizing Explainable AI to Enhance Real-time Student Performance Prediction in Educational Serious Games»</w:t>
      </w:r>
      <w:r>
        <w:t xml:space="preserve">.</w:t>
      </w:r>
      <w:r>
        <w:t xml:space="preserve"> </w:t>
      </w:r>
      <w:r>
        <w:rPr>
          <w:i/>
          <w:iCs/>
        </w:rPr>
        <w:t xml:space="preserve">Proceedings of the 39th ACM/SIGAPP Symposium on Applied Computing</w:t>
      </w:r>
      <w:r>
        <w:t xml:space="preserve">, 93-94.</w:t>
      </w:r>
      <w:r>
        <w:t xml:space="preserve"> </w:t>
      </w:r>
      <w:hyperlink ns5:id="rId286">
        <w:r>
          <w:rPr>
            <w:rStyle w:val="Hipervnculo"/>
          </w:rPr>
          <w:t xml:space="preserve">https://doi.org/10.1145/3605098.3636109</w:t>
        </w:r>
      </w:hyperlink>
      <w:r>
        <w:t xml:space="preserve">.</w:t>
      </w:r>
    </w:p>
    <w:bookmarkEnd w:id="287"/>
    <w:bookmarkStart w:id="289" w:name="ref-guidotti2018"/>
    <w:p>
      <w:pPr>
        <w:pStyle w:val="Bibliography"/>
        <w:spacing w:line="360" w:lineRule="auto"/>
        <w:jc w:val="both"/>
      </w:pPr>
      <w:r>
        <w:t xml:space="preserve">Guidotti, Riccardo, Anna Monreale, Salvatore Ruggieri, Franco Turini, Fosca Giannotti, y Dino Pedreschi. 2018.</w:t>
      </w:r>
      <w:r>
        <w:t xml:space="preserve"> </w:t>
      </w:r>
      <w:r>
        <w:t xml:space="preserve">«A Survey of Methods for Explaining Black Box Models»</w:t>
      </w:r>
      <w:r>
        <w:t xml:space="preserve">.</w:t>
      </w:r>
      <w:r>
        <w:t xml:space="preserve"> </w:t>
      </w:r>
      <w:r>
        <w:rPr>
          <w:i/>
          <w:iCs/>
        </w:rPr>
        <w:t xml:space="preserve">ACM Computing Surveys</w:t>
      </w:r>
      <w:r>
        <w:t xml:space="preserve"> </w:t>
      </w:r>
      <w:r>
        <w:t xml:space="preserve">51 (5): 1-42.</w:t>
      </w:r>
      <w:r>
        <w:t xml:space="preserve"> </w:t>
      </w:r>
      <w:hyperlink ns5:id="rId288">
        <w:r>
          <w:rPr>
            <w:rStyle w:val="Hipervnculo"/>
          </w:rPr>
          <w:t xml:space="preserve">https://doi.org/10.1145/3236009</w:t>
        </w:r>
      </w:hyperlink>
      <w:r>
        <w:t xml:space="preserve">.</w:t>
      </w:r>
    </w:p>
    <w:bookmarkEnd w:id="289"/>
    <w:bookmarkStart w:id="291" w:name="ref-hase2020"/>
    <w:p>
      <w:pPr>
        <w:pStyle w:val="Bibliography"/>
        <w:spacing w:line="360" w:lineRule="auto"/>
        <w:jc w:val="both"/>
      </w:pPr>
      <w:r>
        <w:t xml:space="preserve">Hase, Peter, y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90">
        <w:r>
          <w:rPr>
            <w:rStyle w:val="Hipervnculo"/>
          </w:rPr>
          <w:t xml:space="preserve">https://doi.org/10.18653/v1/2020.acl-main.491</w:t>
        </w:r>
      </w:hyperlink>
      <w:r>
        <w:t xml:space="preserve">.</w:t>
      </w:r>
    </w:p>
    <w:bookmarkEnd w:id="291"/>
    <w:bookmarkStart w:id="293"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w:t>
      </w:r>
      <w:r>
        <w:t xml:space="preserve"> </w:t>
      </w:r>
      <w:r>
        <w:rPr>
          <w:i/>
          <w:iCs/>
        </w:rPr>
        <w:t xml:space="preserve">Cognitive Computation</w:t>
      </w:r>
      <w:r>
        <w:t xml:space="preserve"> </w:t>
      </w:r>
      <w:r>
        <w:t xml:space="preserve">16 (1): 45-74.</w:t>
      </w:r>
      <w:r>
        <w:t xml:space="preserve"> </w:t>
      </w:r>
      <w:hyperlink ns5:id="rId292">
        <w:r>
          <w:rPr>
            <w:rStyle w:val="Hipervnculo"/>
          </w:rPr>
          <w:t xml:space="preserve">https://doi.org/10.1007/s12559-023-10179-8</w:t>
        </w:r>
      </w:hyperlink>
      <w:r>
        <w:t xml:space="preserve">.</w:t>
      </w:r>
    </w:p>
    <w:bookmarkEnd w:id="293"/>
    <w:bookmarkStart w:id="294"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w:t>
      </w:r>
      <w:r>
        <w:t xml:space="preserve"> </w:t>
      </w:r>
      <w:r>
        <w:rPr>
          <w:i/>
          <w:iCs/>
        </w:rPr>
        <w:t xml:space="preserve">Journal of Machine Learning Research</w:t>
      </w:r>
      <w:r>
        <w:t xml:space="preserve"> </w:t>
      </w:r>
      <w:r>
        <w:t xml:space="preserve">24 (34): 1-11.</w:t>
      </w:r>
    </w:p>
    <w:bookmarkEnd w:id="294"/>
    <w:bookmarkStart w:id="295" w:name="ref-hess2023"/>
    <w:p>
      <w:pPr>
        <w:pStyle w:val="Bibliography"/>
        <w:spacing w:line="360" w:lineRule="auto"/>
        <w:jc w:val="both"/>
      </w:pPr>
      <w:r>
        <w:t xml:space="preserve">Hess, Samuel, y Gregory Ditzler. 2023.</w:t>
      </w:r>
      <w:r>
        <w:t xml:space="preserve"> </w:t>
      </w:r>
      <w:r>
        <w:t xml:space="preserve">«ProtoShotXAI: Using Prototypical Few-Shot Architecture for Explainable AI»</w:t>
      </w:r>
      <w:r>
        <w:t xml:space="preserve">.</w:t>
      </w:r>
      <w:r>
        <w:t xml:space="preserve"> </w:t>
      </w:r>
      <w:r>
        <w:rPr>
          <w:i/>
          <w:iCs/>
        </w:rPr>
        <w:t xml:space="preserve">Journal of Machine Learning Research</w:t>
      </w:r>
      <w:r>
        <w:t xml:space="preserve"> </w:t>
      </w:r>
      <w:r>
        <w:t xml:space="preserve">24: 1-49.</w:t>
      </w:r>
    </w:p>
    <w:bookmarkEnd w:id="295"/>
    <w:bookmarkStart w:id="297" w:name="ref-hoffman2023"/>
    <w:p>
      <w:pPr>
        <w:pStyle w:val="Bibliography"/>
        <w:spacing w:line="360" w:lineRule="auto"/>
        <w:jc w:val="both"/>
      </w:pPr>
      <w:r>
        <w:t xml:space="preserve">Hoffman, Robert R., Timothy Miller, Gary Klein, Shane T. Mueller, y William J. Clancey. 2023.</w:t>
      </w:r>
      <w:r>
        <w:t xml:space="preserve"> </w:t>
      </w:r>
      <w:r>
        <w:t xml:space="preserve">«Increasing the Value of XAI for Users: A Psychological Perspective»</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96">
        <w:r>
          <w:rPr>
            <w:rStyle w:val="Hipervnculo"/>
          </w:rPr>
          <w:t xml:space="preserve">https://doi.org/10.1007/s13218-023-00806-9</w:t>
        </w:r>
      </w:hyperlink>
      <w:r>
        <w:t xml:space="preserve">.</w:t>
      </w:r>
    </w:p>
    <w:bookmarkEnd w:id="297"/>
    <w:bookmarkStart w:id="299" w:name="ref-holzinger2022"/>
    <w:p>
      <w:pPr>
        <w:pStyle w:val="Bibliography"/>
        <w:spacing w:line="360" w:lineRule="auto"/>
        <w:jc w:val="both"/>
      </w:pPr>
      <w:r>
        <w:t xml:space="preserve">Holzinger, Andreas, Anna Saranti, Christoph Molnar, Przemyslaw Biecek, y Wojciech Samek. 2022.</w:t>
      </w:r>
      <w:r>
        <w:t xml:space="preserve"> </w:t>
      </w:r>
      <w:r>
        <w:rPr>
          <w:i/>
          <w:iCs/>
        </w:rPr>
        <w:t xml:space="preserve">Explainable AI Methods - A Brief Overview</w:t>
      </w:r>
      <w:r>
        <w:t xml:space="preserve">. Springer International Publishing.</w:t>
      </w:r>
      <w:r>
        <w:t xml:space="preserve"> </w:t>
      </w:r>
      <w:hyperlink ns5:id="rId298">
        <w:r>
          <w:rPr>
            <w:rStyle w:val="Hipervnculo"/>
          </w:rPr>
          <w:t xml:space="preserve">https://doi.org/10.1007/978-3-031-04083-2_2</w:t>
        </w:r>
      </w:hyperlink>
      <w:r>
        <w:t xml:space="preserve">.</w:t>
      </w:r>
    </w:p>
    <w:bookmarkEnd w:id="299"/>
    <w:bookmarkStart w:id="301" w:name="ref-hosseini2025"/>
    <w:p>
      <w:pPr>
        <w:pStyle w:val="Bibliography"/>
        <w:spacing w:line="360" w:lineRule="auto"/>
        <w:jc w:val="both"/>
      </w:pPr>
      <w:r>
        <w:t xml:space="preserve">Hosseini, Soodeh, y Hossein Seilani. 2025.</w:t>
      </w:r>
      <w:r>
        <w:t xml:space="preserve"> </w:t>
      </w:r>
      <w:r>
        <w:t xml:space="preserve">«The role of agentic AI in shaping a smart future: A systematic review»</w:t>
      </w:r>
      <w:r>
        <w:t xml:space="preserve">.</w:t>
      </w:r>
      <w:r>
        <w:t xml:space="preserve"> </w:t>
      </w:r>
      <w:r>
        <w:rPr>
          <w:i/>
          <w:iCs/>
        </w:rPr>
        <w:t xml:space="preserve">Array</w:t>
      </w:r>
      <w:r>
        <w:t xml:space="preserve"> </w:t>
      </w:r>
      <w:r>
        <w:t xml:space="preserve">26: 100399.</w:t>
      </w:r>
      <w:r>
        <w:t xml:space="preserve"> </w:t>
      </w:r>
      <w:hyperlink ns5:id="rId300">
        <w:r>
          <w:rPr>
            <w:rStyle w:val="Hipervnculo"/>
          </w:rPr>
          <w:t xml:space="preserve">https://doi.org/10.1016/j.array.2025.100399</w:t>
        </w:r>
      </w:hyperlink>
      <w:r>
        <w:t xml:space="preserve">.</w:t>
      </w:r>
    </w:p>
    <w:bookmarkEnd w:id="301"/>
    <w:bookmarkStart w:id="303"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w:t>
      </w:r>
      <w:r>
        <w:t xml:space="preserve"> </w:t>
      </w:r>
      <w:r>
        <w:rPr>
          <w:i/>
          <w:iCs/>
        </w:rPr>
        <w:t xml:space="preserve">Science</w:t>
      </w:r>
      <w:r>
        <w:t xml:space="preserve"> </w:t>
      </w:r>
      <w:r>
        <w:t xml:space="preserve">359 (6377): 725-26.</w:t>
      </w:r>
      <w:r>
        <w:t xml:space="preserve"> </w:t>
      </w:r>
      <w:hyperlink ns5:id="rId302">
        <w:r>
          <w:rPr>
            <w:rStyle w:val="Hipervnculo"/>
          </w:rPr>
          <w:t xml:space="preserve">https://doi.org/10.1126/science.359.6377.725</w:t>
        </w:r>
      </w:hyperlink>
      <w:r>
        <w:t xml:space="preserve">.</w:t>
      </w:r>
    </w:p>
    <w:bookmarkEnd w:id="303"/>
    <w:bookmarkStart w:id="305" w:name="ref-iatrellis2023"/>
    <w:p>
      <w:pPr>
        <w:pStyle w:val="Bibliography"/>
        <w:spacing w:line="360" w:lineRule="auto"/>
        <w:jc w:val="both"/>
      </w:pPr>
      <w:r>
        <w:t xml:space="preserve">Iatrellis, Omiros, Nicholas Samaras, Charalampos Dervenis, y Theodor Panagiotakopoulos. 2023.</w:t>
      </w:r>
      <w:r>
        <w:t xml:space="preserve"> </w:t>
      </w:r>
      <w:r>
        <w:t xml:space="preserve">«KONX: A Dynamic Approach for Explainable AI in Higher Education»</w:t>
      </w:r>
      <w:r>
        <w:t xml:space="preserve">.</w:t>
      </w:r>
      <w:r>
        <w:t xml:space="preserve"> </w:t>
      </w:r>
      <w:r>
        <w:rPr>
          <w:i/>
          <w:iCs/>
        </w:rPr>
        <w:t xml:space="preserve">Proceedings of the 7th International Conference on Algorithms, Computing and Systems</w:t>
      </w:r>
      <w:r>
        <w:t xml:space="preserve">, 118-24.</w:t>
      </w:r>
      <w:r>
        <w:t xml:space="preserve"> </w:t>
      </w:r>
      <w:hyperlink ns5:id="rId304">
        <w:r>
          <w:rPr>
            <w:rStyle w:val="Hipervnculo"/>
          </w:rPr>
          <w:t xml:space="preserve">https://doi.org/10.1145/3631908.3631925</w:t>
        </w:r>
      </w:hyperlink>
      <w:r>
        <w:t xml:space="preserve">.</w:t>
      </w:r>
    </w:p>
    <w:bookmarkEnd w:id="305"/>
    <w:bookmarkStart w:id="307" w:name="ref-ji2022"/>
    <w:p>
      <w:pPr>
        <w:pStyle w:val="Bibliography"/>
        <w:spacing w:line="360" w:lineRule="auto"/>
        <w:jc w:val="both"/>
      </w:pPr>
      <w:r>
        <w:t xml:space="preserve">Ji, Lee, Z. 2022.</w:t>
      </w:r>
      <w:r>
        <w:t xml:space="preserve"> </w:t>
      </w:r>
      <w:r>
        <w:t xml:space="preserve">«Survey of Hallucination in Natural Language Generation»</w:t>
      </w:r>
      <w:r>
        <w:t xml:space="preserve">.</w:t>
      </w:r>
      <w:r>
        <w:t xml:space="preserve"> </w:t>
      </w:r>
      <w:r>
        <w:rPr>
          <w:i/>
          <w:iCs/>
        </w:rPr>
        <w:t xml:space="preserve">ACM Computing Surveys</w:t>
      </w:r>
      <w:r>
        <w:t xml:space="preserve"> </w:t>
      </w:r>
      <w:r>
        <w:t xml:space="preserve">55 (12): 1-38.</w:t>
      </w:r>
      <w:r>
        <w:t xml:space="preserve"> </w:t>
      </w:r>
      <w:hyperlink ns5:id="rId306">
        <w:r>
          <w:rPr>
            <w:rStyle w:val="Hipervnculo"/>
          </w:rPr>
          <w:t xml:space="preserve">https://doi.org/10.1145/3571730</w:t>
        </w:r>
      </w:hyperlink>
      <w:r>
        <w:t xml:space="preserve">.</w:t>
      </w:r>
    </w:p>
    <w:bookmarkEnd w:id="307"/>
    <w:bookmarkStart w:id="308" w:name="ref-kadir2023"/>
    <w:p>
      <w:pPr>
        <w:pStyle w:val="Bibliography"/>
        <w:spacing w:line="360" w:lineRule="auto"/>
        <w:jc w:val="both"/>
      </w:pPr>
      <w:r>
        <w:t xml:space="preserve">Kadir, Md Abdul, Amir Mosavi, y Daniel Sonntag. 2023.</w:t>
      </w:r>
      <w:r>
        <w:t xml:space="preserve"> </w:t>
      </w:r>
      <w:r>
        <w:rPr>
          <w:i/>
          <w:iCs/>
        </w:rPr>
        <w:t xml:space="preserve">Evaluation Metrics for XAI: A Review, Taxonomy, and Practical Applications</w:t>
      </w:r>
      <w:r>
        <w:t xml:space="preserve">. IEEE 27th International Conference on Intelligent Engineering Systems (INES).</w:t>
      </w:r>
    </w:p>
    <w:bookmarkEnd w:id="308"/>
    <w:bookmarkStart w:id="310" w:name="ref-kalasampath2025"/>
    <w:p>
      <w:pPr>
        <w:pStyle w:val="Bibliography"/>
        <w:spacing w:line="360" w:lineRule="auto"/>
        <w:jc w:val="both"/>
      </w:pPr>
      <w:r>
        <w:t xml:space="preserve">Kalasampath, Khushi, K. N. Spoorthi, Sreeparvathy Sajeev, Sahil Sarma Kuppa, Kavya Ajay, y Angulakshmi Maruthamuthu. 2025.</w:t>
      </w:r>
      <w:r>
        <w:t xml:space="preserve"> </w:t>
      </w:r>
      <w:r>
        <w:t xml:space="preserve">«A Literature Review on Applications of Explainable Artificial Intelligence (XAI)»</w:t>
      </w:r>
      <w:r>
        <w:t xml:space="preserve">.</w:t>
      </w:r>
      <w:r>
        <w:t xml:space="preserve"> </w:t>
      </w:r>
      <w:r>
        <w:rPr>
          <w:i/>
          <w:iCs/>
        </w:rPr>
        <w:t xml:space="preserve">IEEE Access</w:t>
      </w:r>
      <w:r>
        <w:t xml:space="preserve"> </w:t>
      </w:r>
      <w:r>
        <w:t xml:space="preserve">13: 41111-40.</w:t>
      </w:r>
      <w:r>
        <w:t xml:space="preserve"> </w:t>
      </w:r>
      <w:hyperlink ns5:id="rId309">
        <w:r>
          <w:rPr>
            <w:rStyle w:val="Hipervnculo"/>
          </w:rPr>
          <w:t xml:space="preserve">https://doi.org/10.1109/access.2025.3546681</w:t>
        </w:r>
      </w:hyperlink>
      <w:r>
        <w:t xml:space="preserve">.</w:t>
      </w:r>
    </w:p>
    <w:bookmarkEnd w:id="310"/>
    <w:bookmarkStart w:id="312" w:name="ref-karimi2022"/>
    <w:p>
      <w:pPr>
        <w:pStyle w:val="Bibliography"/>
        <w:spacing w:line="360" w:lineRule="auto"/>
        <w:jc w:val="both"/>
      </w:pPr>
      <w:r>
        <w:t xml:space="preserve">Karimi, Amir-Hossein, Gilles Barthe, Bernhard Schölkopf, y Isabel Valera. 2022.</w:t>
      </w:r>
      <w:r>
        <w:t xml:space="preserve"> </w:t>
      </w:r>
      <w:r>
        <w:t xml:space="preserve">«A Survey of Algorithmic Recourse: Contrastive Explanations and Consequential Recommendations»</w:t>
      </w:r>
      <w:r>
        <w:t xml:space="preserve">.</w:t>
      </w:r>
      <w:r>
        <w:t xml:space="preserve"> </w:t>
      </w:r>
      <w:r>
        <w:rPr>
          <w:i/>
          <w:iCs/>
        </w:rPr>
        <w:t xml:space="preserve">ACM Computing Surveys</w:t>
      </w:r>
      <w:r>
        <w:t xml:space="preserve"> </w:t>
      </w:r>
      <w:r>
        <w:t xml:space="preserve">55 (5): 1-29.</w:t>
      </w:r>
      <w:r>
        <w:t xml:space="preserve"> </w:t>
      </w:r>
      <w:hyperlink ns5:id="rId311">
        <w:r>
          <w:rPr>
            <w:rStyle w:val="Hipervnculo"/>
          </w:rPr>
          <w:t xml:space="preserve">https://doi.org/10.1145/3527848</w:t>
        </w:r>
      </w:hyperlink>
      <w:r>
        <w:t xml:space="preserve">.</w:t>
      </w:r>
    </w:p>
    <w:bookmarkEnd w:id="312"/>
    <w:bookmarkStart w:id="314" w:name="ref-karmakar2024"/>
    <w:p>
      <w:pPr>
        <w:pStyle w:val="Bibliography"/>
        <w:spacing w:line="360" w:lineRule="auto"/>
        <w:jc w:val="both"/>
      </w:pPr>
      <w:r>
        <w:t xml:space="preserve">Karmakar, Pratik, Mikaël Monet, Pierre Senellart, y Stephane Bressan. 2024.</w:t>
      </w:r>
      <w:r>
        <w:t xml:space="preserve"> </w:t>
      </w:r>
      <w:r>
        <w:t xml:space="preserve">«Expected Shapley-Like Scores of Boolean functions: Complexity and Applications to Probabilistic Databases»</w:t>
      </w:r>
      <w:r>
        <w:t xml:space="preserve">.</w:t>
      </w:r>
      <w:r>
        <w:t xml:space="preserve"> </w:t>
      </w:r>
      <w:r>
        <w:rPr>
          <w:i/>
          <w:iCs/>
        </w:rPr>
        <w:t xml:space="preserve">Proceedings of the ACM on Management of Data</w:t>
      </w:r>
      <w:r>
        <w:t xml:space="preserve"> </w:t>
      </w:r>
      <w:r>
        <w:t xml:space="preserve">2 (2): 1-26.</w:t>
      </w:r>
      <w:r>
        <w:t xml:space="preserve"> </w:t>
      </w:r>
      <w:hyperlink ns5:id="rId313">
        <w:r>
          <w:rPr>
            <w:rStyle w:val="Hipervnculo"/>
          </w:rPr>
          <w:t xml:space="preserve">https://doi.org/10.1145/3651593</w:t>
        </w:r>
      </w:hyperlink>
      <w:r>
        <w:t xml:space="preserve">.</w:t>
      </w:r>
    </w:p>
    <w:bookmarkEnd w:id="314"/>
    <w:bookmarkStart w:id="316" w:name="ref-kaur2020"/>
    <w:p>
      <w:pPr>
        <w:pStyle w:val="Bibliography"/>
        <w:spacing w:line="360" w:lineRule="auto"/>
        <w:jc w:val="both"/>
      </w:pPr>
      <w:r>
        <w:t xml:space="preserve">Kaur, Harmanpreet, Harsha Nori, Samuel Jenkins, Rich Caruana, Hanna Wallach, y Jennifer Wortman Vaughan. 2020.</w:t>
      </w:r>
      <w:r>
        <w:t xml:space="preserve"> </w:t>
      </w:r>
      <w:r>
        <w:t xml:space="preserve">«Interpreting Interpretability: Understanding Data Scientists’ Use of Interpretability Tools for Machine Learning»</w:t>
      </w:r>
      <w:r>
        <w:t xml:space="preserve">.</w:t>
      </w:r>
      <w:r>
        <w:t xml:space="preserve"> </w:t>
      </w:r>
      <w:r>
        <w:rPr>
          <w:i/>
          <w:iCs/>
        </w:rPr>
        <w:t xml:space="preserve">Proceedings of the 2020 CHI Conference on Human Factors in Computing Systems</w:t>
      </w:r>
      <w:r>
        <w:t xml:space="preserve">, 1-14.</w:t>
      </w:r>
      <w:r>
        <w:t xml:space="preserve"> </w:t>
      </w:r>
      <w:hyperlink ns5:id="rId315">
        <w:r>
          <w:rPr>
            <w:rStyle w:val="Hipervnculo"/>
          </w:rPr>
          <w:t xml:space="preserve">https://doi.org/10.1145/3313831.3376219</w:t>
        </w:r>
      </w:hyperlink>
      <w:r>
        <w:t xml:space="preserve">.</w:t>
      </w:r>
    </w:p>
    <w:bookmarkEnd w:id="316"/>
    <w:bookmarkStart w:id="317" w:name="ref-kim2018"/>
    <w:p>
      <w:pPr>
        <w:pStyle w:val="Bibliography"/>
        <w:spacing w:line="360" w:lineRule="auto"/>
        <w:jc w:val="both"/>
      </w:pPr>
      <w:r>
        <w:t xml:space="preserve">Kim, Been, Martin Wattenberg, Justin Gilmer, et al. 2018.</w:t>
      </w:r>
      <w:r>
        <w:t xml:space="preserve"> </w:t>
      </w:r>
      <w:r>
        <w:t xml:space="preserve">«Interpretability Beyond Feature Attribution: Quantitative Testing with Concept Activation Vectors (TCAV)»</w:t>
      </w:r>
      <w:r>
        <w:t xml:space="preserve">.</w:t>
      </w:r>
      <w:r>
        <w:t xml:space="preserve"> </w:t>
      </w:r>
      <w:r>
        <w:rPr>
          <w:i/>
          <w:iCs/>
        </w:rPr>
        <w:t xml:space="preserve">Proceedings of the 35th International Conference on Machine Learning</w:t>
      </w:r>
      <w:r>
        <w:t xml:space="preserve">.</w:t>
      </w:r>
    </w:p>
    <w:bookmarkEnd w:id="317"/>
    <w:bookmarkStart w:id="319" w:name="ref-kim2024"/>
    <w:p>
      <w:pPr>
        <w:pStyle w:val="Bibliography"/>
        <w:spacing w:line="360" w:lineRule="auto"/>
        <w:jc w:val="both"/>
      </w:pPr>
      <w:r>
        <w:t xml:space="preserve">Kim, Sunnie S. Y. 2024.</w:t>
      </w:r>
      <w:r>
        <w:t xml:space="preserve"> </w:t>
      </w:r>
      <w:r>
        <w:t xml:space="preserve">«Establishing Appropriate Trust in AI through Transparency and Explainability»</w:t>
      </w:r>
      <w:r>
        <w:t xml:space="preserve">.</w:t>
      </w:r>
      <w:r>
        <w:t xml:space="preserve"> </w:t>
      </w:r>
      <w:r>
        <w:rPr>
          <w:i/>
          <w:iCs/>
        </w:rPr>
        <w:t xml:space="preserve">Extended Abstracts of the CHI Conference on Human Factors in Computing Systems</w:t>
      </w:r>
      <w:r>
        <w:t xml:space="preserve">, 1-6.</w:t>
      </w:r>
      <w:r>
        <w:t xml:space="preserve"> </w:t>
      </w:r>
      <w:hyperlink ns5:id="rId318">
        <w:r>
          <w:rPr>
            <w:rStyle w:val="Hipervnculo"/>
          </w:rPr>
          <w:t xml:space="preserve">https://doi.org/10.1145/3613905.3638184</w:t>
        </w:r>
      </w:hyperlink>
      <w:r>
        <w:t xml:space="preserve">.</w:t>
      </w:r>
    </w:p>
    <w:bookmarkEnd w:id="319"/>
    <w:bookmarkStart w:id="320" w:name="ref-koh2020"/>
    <w:p>
      <w:pPr>
        <w:pStyle w:val="Bibliography"/>
        <w:spacing w:line="360" w:lineRule="auto"/>
        <w:jc w:val="both"/>
      </w:pPr>
      <w:r>
        <w:t xml:space="preserve">Koh, Pang Wei, Thao Nguyen, Yew Siang Tang, et al. 2020.</w:t>
      </w:r>
      <w:r>
        <w:t xml:space="preserve"> </w:t>
      </w:r>
      <w:r>
        <w:t xml:space="preserve">«Concept Bottleneck Models»</w:t>
      </w:r>
      <w:r>
        <w:t xml:space="preserve">.</w:t>
      </w:r>
      <w:r>
        <w:t xml:space="preserve"> </w:t>
      </w:r>
      <w:r>
        <w:rPr>
          <w:i/>
          <w:iCs/>
        </w:rPr>
        <w:t xml:space="preserve">Proceedings of the 37th International Conference on Machine Learning</w:t>
      </w:r>
      <w:r>
        <w:t xml:space="preserve">.</w:t>
      </w:r>
    </w:p>
    <w:bookmarkEnd w:id="320"/>
    <w:bookmarkStart w:id="322" w:name="ref-kohavi1996"/>
    <w:p>
      <w:pPr>
        <w:pStyle w:val="Bibliography"/>
        <w:spacing w:line="360" w:lineRule="auto"/>
        <w:jc w:val="both"/>
      </w:pPr>
      <w:r>
        <w:t xml:space="preserve">Kohavi, Ron, y Barry Becker. 1996.</w:t>
      </w:r>
      <w:r>
        <w:t xml:space="preserve"> </w:t>
      </w:r>
      <w:r>
        <w:rPr>
          <w:i/>
          <w:iCs/>
        </w:rPr>
        <w:t xml:space="preserve">Adult Data Set</w:t>
      </w:r>
      <w:r>
        <w:t xml:space="preserve">. UCI Machine Learning Repository.</w:t>
      </w:r>
      <w:r>
        <w:t xml:space="preserve"> </w:t>
      </w:r>
      <w:hyperlink ns5:id="rId321">
        <w:r>
          <w:rPr>
            <w:rStyle w:val="Hipervnculo"/>
          </w:rPr>
          <w:t xml:space="preserve">https://archive.ics.uci.edu/dataset/2/adult</w:t>
        </w:r>
      </w:hyperlink>
      <w:r>
        <w:t xml:space="preserve">.</w:t>
      </w:r>
    </w:p>
    <w:bookmarkEnd w:id="322"/>
    <w:bookmarkStart w:id="324" w:name="ref-koo2016"/>
    <w:p>
      <w:pPr>
        <w:pStyle w:val="Bibliography"/>
        <w:spacing w:line="360" w:lineRule="auto"/>
        <w:jc w:val="both"/>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ns5:id="rId323">
        <w:r>
          <w:rPr>
            <w:rStyle w:val="Hipervnculo"/>
          </w:rPr>
          <w:t xml:space="preserve">https://doi.org/10.1016/j.jcm.2016.02.012</w:t>
        </w:r>
      </w:hyperlink>
      <w:r>
        <w:t xml:space="preserve">.</w:t>
      </w:r>
    </w:p>
    <w:bookmarkEnd w:id="324"/>
    <w:bookmarkStart w:id="325" w:name="ref-krippendorff2018"/>
    <w:p>
      <w:pPr>
        <w:pStyle w:val="Bibliography"/>
        <w:spacing w:line="360" w:lineRule="auto"/>
        <w:jc w:val="both"/>
      </w:pPr>
      <w:r>
        <w:t xml:space="preserve">Krippendorff, Klaus. 2018.</w:t>
      </w:r>
      <w:r>
        <w:t xml:space="preserve"> </w:t>
      </w:r>
      <w:r>
        <w:rPr>
          <w:i/>
          <w:iCs/>
        </w:rPr>
        <w:t xml:space="preserve">Content Analysis: An Introduction to Its Methodology</w:t>
      </w:r>
      <w:r>
        <w:t xml:space="preserve">. 4.ª ed. SAGE Publications.</w:t>
      </w:r>
    </w:p>
    <w:bookmarkEnd w:id="325"/>
    <w:bookmarkStart w:id="327" w:name="ref-kumagai2023"/>
    <w:p>
      <w:pPr>
        <w:pStyle w:val="Bibliography"/>
        <w:spacing w:line="360" w:lineRule="auto"/>
        <w:jc w:val="both"/>
      </w:pPr>
      <w:r>
        <w:t xml:space="preserve">Kumagai, Ryo, Shu Takemoto, Yusuke Nozaki, y Masaya Yoshikawa. 2023.</w:t>
      </w:r>
      <w:r>
        <w:t xml:space="preserve"> </w:t>
      </w:r>
      <w:r>
        <w:t xml:space="preserve">«Explainable AI based Adversarial Examples and its Evaluation»</w:t>
      </w:r>
      <w:r>
        <w:t xml:space="preserve">.</w:t>
      </w:r>
      <w:r>
        <w:t xml:space="preserve"> </w:t>
      </w:r>
      <w:r>
        <w:rPr>
          <w:i/>
          <w:iCs/>
        </w:rPr>
        <w:t xml:space="preserve">Proceedings of the 2023 6th International Conference on Electronics, Communications and Control Engineering</w:t>
      </w:r>
      <w:r>
        <w:t xml:space="preserve">, 220-25.</w:t>
      </w:r>
      <w:r>
        <w:t xml:space="preserve"> </w:t>
      </w:r>
      <w:hyperlink ns5:id="rId326">
        <w:r>
          <w:rPr>
            <w:rStyle w:val="Hipervnculo"/>
          </w:rPr>
          <w:t xml:space="preserve">https://doi.org/10.1145/3592307.3592342</w:t>
        </w:r>
      </w:hyperlink>
      <w:r>
        <w:t xml:space="preserve">.</w:t>
      </w:r>
    </w:p>
    <w:bookmarkEnd w:id="327"/>
    <w:bookmarkStart w:id="329"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w:t>
      </w:r>
      <w:r>
        <w:t xml:space="preserve"> </w:t>
      </w:r>
      <w:r>
        <w:rPr>
          <w:i/>
          <w:iCs/>
        </w:rPr>
        <w:t xml:space="preserve">Frontiers in Psychology</w:t>
      </w:r>
      <w:r>
        <w:t xml:space="preserve"> </w:t>
      </w:r>
      <w:r>
        <w:t xml:space="preserve">4: 863.</w:t>
      </w:r>
      <w:r>
        <w:t xml:space="preserve"> </w:t>
      </w:r>
      <w:hyperlink ns5:id="rId328">
        <w:r>
          <w:rPr>
            <w:rStyle w:val="Hipervnculo"/>
          </w:rPr>
          <w:t xml:space="preserve">https://doi.org/10.3389/fpsyg.2013.00863</w:t>
        </w:r>
      </w:hyperlink>
      <w:r>
        <w:t xml:space="preserve">.</w:t>
      </w:r>
    </w:p>
    <w:bookmarkEnd w:id="329"/>
    <w:bookmarkStart w:id="331"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w:t>
      </w:r>
      <w:r>
        <w:t xml:space="preserve"> </w:t>
      </w:r>
      <w:r>
        <w:rPr>
          <w:i/>
          <w:iCs/>
        </w:rPr>
        <w:t xml:space="preserve">Artificial Intelligence</w:t>
      </w:r>
      <w:r>
        <w:t xml:space="preserve"> </w:t>
      </w:r>
      <w:r>
        <w:t xml:space="preserve">296: 103473.</w:t>
      </w:r>
      <w:r>
        <w:t xml:space="preserve"> </w:t>
      </w:r>
      <w:hyperlink ns5:id="rId330">
        <w:r>
          <w:rPr>
            <w:rStyle w:val="Hipervnculo"/>
          </w:rPr>
          <w:t xml:space="preserve">https://doi.org/10.1016/j.artint.2021.103473</w:t>
        </w:r>
      </w:hyperlink>
      <w:r>
        <w:t xml:space="preserve">.</w:t>
      </w:r>
    </w:p>
    <w:bookmarkEnd w:id="331"/>
    <w:bookmarkStart w:id="333" w:name="ref-laugel2019"/>
    <w:p>
      <w:pPr>
        <w:pStyle w:val="Bibliography"/>
        <w:spacing w:line="360" w:lineRule="auto"/>
        <w:jc w:val="both"/>
      </w:pPr>
      <w:r>
        <w:t xml:space="preserve">Laugel, Thibault, Marie-Jeanne Lesot, Christophe Marsala, Xavier Renard, y Marcin Detyniecki. 2019.</w:t>
      </w:r>
      <w:r>
        <w:t xml:space="preserve"> </w:t>
      </w:r>
      <w:r>
        <w:t xml:space="preserve">«The Dangers of Post-hoc Interpretability: Unjustified Counterfactual Explanations»</w:t>
      </w:r>
      <w:r>
        <w:t xml:space="preserve">.</w:t>
      </w:r>
      <w:r>
        <w:t xml:space="preserve"> </w:t>
      </w:r>
      <w:r>
        <w:rPr>
          <w:i/>
          <w:iCs/>
        </w:rPr>
        <w:t xml:space="preserve">Proceedings of the Twenty-Eighth International Joint Conference on Artificial Intelligence</w:t>
      </w:r>
      <w:r>
        <w:t xml:space="preserve">, 2801-7.</w:t>
      </w:r>
      <w:r>
        <w:t xml:space="preserve"> </w:t>
      </w:r>
      <w:hyperlink ns5:id="rId332">
        <w:r>
          <w:rPr>
            <w:rStyle w:val="Hipervnculo"/>
          </w:rPr>
          <w:t xml:space="preserve">https://doi.org/10.24963/ijcai.2019/388</w:t>
        </w:r>
      </w:hyperlink>
      <w:r>
        <w:t xml:space="preserve">.</w:t>
      </w:r>
    </w:p>
    <w:bookmarkEnd w:id="333"/>
    <w:bookmarkStart w:id="334" w:name="ref-li2022"/>
    <w:p>
      <w:pPr>
        <w:pStyle w:val="Bibliography"/>
        <w:spacing w:line="360" w:lineRule="auto"/>
        <w:jc w:val="both"/>
      </w:pPr>
      <w:r>
        <w:t xml:space="preserve">Li, Xuhong, Haoyi Xiong, Xingjian Li, Xuanyu Wu, Zeyu Chen, y Dejing Dou. 2022.</w:t>
      </w:r>
      <w:r>
        <w:t xml:space="preserve"> </w:t>
      </w:r>
      <w:r>
        <w:t xml:space="preserve">«InterpretDL: Explaining Deep Models in PaddlePaddle»</w:t>
      </w:r>
      <w:r>
        <w:t xml:space="preserve">.</w:t>
      </w:r>
      <w:r>
        <w:t xml:space="preserve"> </w:t>
      </w:r>
      <w:r>
        <w:rPr>
          <w:i/>
          <w:iCs/>
        </w:rPr>
        <w:t xml:space="preserve">Journal of Machine Learning Research</w:t>
      </w:r>
      <w:r>
        <w:t xml:space="preserve"> </w:t>
      </w:r>
      <w:r>
        <w:t xml:space="preserve">23: 1-6.</w:t>
      </w:r>
    </w:p>
    <w:bookmarkEnd w:id="334"/>
    <w:bookmarkStart w:id="336"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w:t>
      </w:r>
      <w:r>
        <w:t xml:space="preserve"> </w:t>
      </w:r>
      <w:r>
        <w:rPr>
          <w:i/>
          <w:iCs/>
        </w:rPr>
        <w:t xml:space="preserve">Entropy</w:t>
      </w:r>
      <w:r>
        <w:t xml:space="preserve"> </w:t>
      </w:r>
      <w:r>
        <w:t xml:space="preserve">23 (1): 18.</w:t>
      </w:r>
      <w:r>
        <w:t xml:space="preserve"> </w:t>
      </w:r>
      <w:hyperlink ns5:id="rId335">
        <w:r>
          <w:rPr>
            <w:rStyle w:val="Hipervnculo"/>
          </w:rPr>
          <w:t xml:space="preserve">https://doi.org/10.3390/e23010018</w:t>
        </w:r>
      </w:hyperlink>
      <w:r>
        <w:t xml:space="preserve">.</w:t>
      </w:r>
    </w:p>
    <w:bookmarkEnd w:id="336"/>
    <w:bookmarkStart w:id="338" w:name="ref-lipton2018"/>
    <w:p>
      <w:pPr>
        <w:pStyle w:val="Bibliography"/>
        <w:spacing w:line="360" w:lineRule="auto"/>
        <w:jc w:val="both"/>
      </w:pPr>
      <w:r>
        <w:t xml:space="preserve">Lipton, Z. C. 2018.</w:t>
      </w:r>
      <w:r>
        <w:t xml:space="preserve"> </w:t>
      </w:r>
      <w:r>
        <w:t xml:space="preserve">«The mythos of model interpretability»</w:t>
      </w:r>
      <w:r>
        <w:t xml:space="preserve">.</w:t>
      </w:r>
      <w:r>
        <w:t xml:space="preserve"> </w:t>
      </w:r>
      <w:r>
        <w:rPr>
          <w:i/>
          <w:iCs/>
        </w:rPr>
        <w:t xml:space="preserve">Queue</w:t>
      </w:r>
      <w:r>
        <w:t xml:space="preserve"> </w:t>
      </w:r>
      <w:r>
        <w:t xml:space="preserve">16 (3): 31-57.</w:t>
      </w:r>
      <w:r>
        <w:t xml:space="preserve"> </w:t>
      </w:r>
      <w:hyperlink ns5:id="rId337">
        <w:r>
          <w:rPr>
            <w:rStyle w:val="Hipervnculo"/>
          </w:rPr>
          <w:t xml:space="preserve">https://doi.org/10.1145/3236386.3241340</w:t>
        </w:r>
      </w:hyperlink>
      <w:r>
        <w:t xml:space="preserve">.</w:t>
      </w:r>
    </w:p>
    <w:bookmarkEnd w:id="338"/>
    <w:bookmarkStart w:id="339" w:name="ref-liu2024"/>
    <w:p>
      <w:pPr>
        <w:pStyle w:val="Bibliography"/>
        <w:spacing w:line="360" w:lineRule="auto"/>
        <w:jc w:val="both"/>
      </w:pPr>
      <w:r>
        <w:t xml:space="preserve">Liu, Ziming, Yixuan Wang, Sachin Vaidya, et al. 2024.</w:t>
      </w:r>
      <w:r>
        <w:t xml:space="preserve"> </w:t>
      </w:r>
      <w:r>
        <w:rPr>
          <w:i/>
          <w:iCs/>
        </w:rPr>
        <w:t xml:space="preserve">KAN: Kolmogorov-Arnold Networks</w:t>
      </w:r>
      <w:r>
        <w:t xml:space="preserve">.</w:t>
      </w:r>
    </w:p>
    <w:bookmarkEnd w:id="339"/>
    <w:bookmarkStart w:id="340" w:name="ref-long2019"/>
    <w:p>
      <w:pPr>
        <w:pStyle w:val="Bibliography"/>
        <w:spacing w:line="360" w:lineRule="auto"/>
        <w:jc w:val="both"/>
      </w:pPr>
      <w:r>
        <w:t xml:space="preserve">Long, Bowen, Enjie Liu, Renxi Qiu, y Yanqing Duan. 2019.</w:t>
      </w:r>
      <w:r>
        <w:t xml:space="preserve"> </w:t>
      </w:r>
      <w:r>
        <w:rPr>
          <w:i/>
          <w:iCs/>
        </w:rPr>
        <w:t xml:space="preserve">Explainable AI: The Latest Advancements and New Trends</w:t>
      </w:r>
      <w:r>
        <w:t xml:space="preserve">.</w:t>
      </w:r>
    </w:p>
    <w:bookmarkEnd w:id="340"/>
    <w:bookmarkStart w:id="342" w:name="ref-longo2024"/>
    <w:p>
      <w:pPr>
        <w:pStyle w:val="Bibliography"/>
        <w:spacing w:line="360" w:lineRule="auto"/>
        <w:jc w:val="both"/>
      </w:pPr>
      <w:r>
        <w:t xml:space="preserve">Longo, Luca, Mario Brcic, Federico Cabitza, et al. 2024.</w:t>
      </w:r>
      <w:r>
        <w:t xml:space="preserve"> </w:t>
      </w:r>
      <w:r>
        <w:t xml:space="preserve">«Explainable Artificial Intelligence (XAI) 2.0: A manifesto of open challenges and interdisciplinary research directions»</w:t>
      </w:r>
      <w:r>
        <w:t xml:space="preserve">.</w:t>
      </w:r>
      <w:r>
        <w:t xml:space="preserve"> </w:t>
      </w:r>
      <w:r>
        <w:rPr>
          <w:i/>
          <w:iCs/>
        </w:rPr>
        <w:t xml:space="preserve">Information Fusion</w:t>
      </w:r>
      <w:r>
        <w:t xml:space="preserve"> </w:t>
      </w:r>
      <w:r>
        <w:t xml:space="preserve">106: 102301.</w:t>
      </w:r>
      <w:r>
        <w:t xml:space="preserve"> </w:t>
      </w:r>
      <w:hyperlink ns5:id="rId341">
        <w:r>
          <w:rPr>
            <w:rStyle w:val="Hipervnculo"/>
          </w:rPr>
          <w:t xml:space="preserve">https://doi.org/10.1016/j.inffus.2024.102301</w:t>
        </w:r>
      </w:hyperlink>
      <w:r>
        <w:t xml:space="preserve">.</w:t>
      </w:r>
    </w:p>
    <w:bookmarkEnd w:id="342"/>
    <w:bookmarkStart w:id="344"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w:t>
      </w:r>
      <w:r>
        <w:t xml:space="preserve"> </w:t>
      </w:r>
      <w:r>
        <w:rPr>
          <w:i/>
          <w:iCs/>
        </w:rPr>
        <w:t xml:space="preserve">arXiv (Cornell University)</w:t>
      </w:r>
      <w:r>
        <w:t xml:space="preserve">, advance online publication.</w:t>
      </w:r>
      <w:r>
        <w:t xml:space="preserve"> </w:t>
      </w:r>
      <w:hyperlink ns5:id="rId343">
        <w:r>
          <w:rPr>
            <w:rStyle w:val="Hipervnculo"/>
          </w:rPr>
          <w:t xml:space="preserve">https://doi.org/10.48550/arxiv.1705.07874</w:t>
        </w:r>
      </w:hyperlink>
      <w:r>
        <w:t xml:space="preserve">.</w:t>
      </w:r>
    </w:p>
    <w:bookmarkEnd w:id="344"/>
    <w:bookmarkStart w:id="346"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w:t>
      </w:r>
      <w:r>
        <w:t xml:space="preserve"> </w:t>
      </w:r>
      <w:r>
        <w:rPr>
          <w:i/>
          <w:iCs/>
        </w:rPr>
        <w:t xml:space="preserve">ICIMMI ’23: Proceedings of the 5th International Conference on Information Management &amp; Machine Intelligence Article No.: 85, 1–9</w:t>
      </w:r>
      <w:r>
        <w:t xml:space="preserve">, advance online publication.</w:t>
      </w:r>
      <w:r>
        <w:t xml:space="preserve"> </w:t>
      </w:r>
      <w:hyperlink ns5:id="rId345">
        <w:r>
          <w:rPr>
            <w:rStyle w:val="Hipervnculo"/>
          </w:rPr>
          <w:t xml:space="preserve">https://doi.org/10.1145/3647444.3647912</w:t>
        </w:r>
      </w:hyperlink>
      <w:r>
        <w:t xml:space="preserve">.</w:t>
      </w:r>
    </w:p>
    <w:bookmarkEnd w:id="346"/>
    <w:bookmarkStart w:id="348"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w:t>
      </w:r>
      <w:r>
        <w:t xml:space="preserve"> </w:t>
      </w:r>
      <w:r>
        <w:rPr>
          <w:i/>
          <w:iCs/>
        </w:rPr>
        <w:t xml:space="preserve">Wiley Interdisciplinary Reviews Data Mining and Knowledge Discovery</w:t>
      </w:r>
      <w:r>
        <w:t xml:space="preserve"> </w:t>
      </w:r>
      <w:r>
        <w:t xml:space="preserve">13 (3).</w:t>
      </w:r>
      <w:r>
        <w:t xml:space="preserve"> </w:t>
      </w:r>
      <w:hyperlink ns5:id="rId347">
        <w:r>
          <w:rPr>
            <w:rStyle w:val="Hipervnculo"/>
          </w:rPr>
          <w:t xml:space="preserve">https://doi.org/10.1002/widm.1493</w:t>
        </w:r>
      </w:hyperlink>
      <w:r>
        <w:t xml:space="preserve">.</w:t>
      </w:r>
    </w:p>
    <w:bookmarkEnd w:id="348"/>
    <w:bookmarkStart w:id="350" w:name="ref-marquessilva2024"/>
    <w:p>
      <w:pPr>
        <w:pStyle w:val="Bibliography"/>
        <w:spacing w:line="360" w:lineRule="auto"/>
        <w:jc w:val="both"/>
      </w:pPr>
      <w:r>
        <w:t xml:space="preserve">Marques-Silva, Joao. 2024.</w:t>
      </w:r>
      <w:r>
        <w:t xml:space="preserve"> </w:t>
      </w:r>
      <w:r>
        <w:rPr>
          <w:i/>
          <w:iCs/>
        </w:rPr>
        <w:t xml:space="preserve">Logic-Based Explainability: Past, Present and Future</w:t>
      </w:r>
      <w:r>
        <w:t xml:space="preserve">. Springer Nature Switzerland.</w:t>
      </w:r>
      <w:r>
        <w:t xml:space="preserve"> </w:t>
      </w:r>
      <w:hyperlink ns5:id="rId349">
        <w:r>
          <w:rPr>
            <w:rStyle w:val="Hipervnculo"/>
          </w:rPr>
          <w:t xml:space="preserve">https://doi.org/10.1007/978-3-031-75387-9_12</w:t>
        </w:r>
      </w:hyperlink>
      <w:r>
        <w:t xml:space="preserve">.</w:t>
      </w:r>
    </w:p>
    <w:bookmarkEnd w:id="350"/>
    <w:bookmarkStart w:id="352"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w:t>
      </w:r>
      <w:r>
        <w:t xml:space="preserve"> </w:t>
      </w:r>
      <w:r>
        <w:rPr>
          <w:i/>
          <w:iCs/>
        </w:rPr>
        <w:t xml:space="preserve">Artificial Intelligence</w:t>
      </w:r>
      <w:r>
        <w:t xml:space="preserve"> </w:t>
      </w:r>
      <w:r>
        <w:t xml:space="preserve">267: 1-38.</w:t>
      </w:r>
      <w:r>
        <w:t xml:space="preserve"> </w:t>
      </w:r>
      <w:hyperlink ns5:id="rId351">
        <w:r>
          <w:rPr>
            <w:rStyle w:val="Hipervnculo"/>
          </w:rPr>
          <w:t xml:space="preserve">https://doi.org/10.1016/j.artint.2018.07.007</w:t>
        </w:r>
      </w:hyperlink>
      <w:r>
        <w:t xml:space="preserve">.</w:t>
      </w:r>
    </w:p>
    <w:bookmarkEnd w:id="352"/>
    <w:bookmarkStart w:id="353" w:name="ref-mitchell2022"/>
    <w:p>
      <w:pPr>
        <w:pStyle w:val="Bibliography"/>
        <w:spacing w:line="360" w:lineRule="auto"/>
        <w:jc w:val="both"/>
      </w:pPr>
      <w:r>
        <w:t xml:space="preserve">Mitchell, Rory, Joshua Cooper, Eibe Frank, y Geoffrey Holmes. 2022.</w:t>
      </w:r>
      <w:r>
        <w:t xml:space="preserve"> </w:t>
      </w:r>
      <w:r>
        <w:t xml:space="preserve">«Sampling Permutations for Shapley Value Estimation»</w:t>
      </w:r>
      <w:r>
        <w:t xml:space="preserve">.</w:t>
      </w:r>
      <w:r>
        <w:t xml:space="preserve"> </w:t>
      </w:r>
      <w:r>
        <w:rPr>
          <w:i/>
          <w:iCs/>
        </w:rPr>
        <w:t xml:space="preserve">Journal of Machine Learning Research</w:t>
      </w:r>
      <w:r>
        <w:t xml:space="preserve"> </w:t>
      </w:r>
      <w:r>
        <w:t xml:space="preserve">23: 1-46.</w:t>
      </w:r>
    </w:p>
    <w:bookmarkEnd w:id="353"/>
    <w:bookmarkStart w:id="355" w:name="ref-mittal2023"/>
    <w:p>
      <w:pPr>
        <w:pStyle w:val="Bibliography"/>
        <w:spacing w:line="360" w:lineRule="auto"/>
        <w:jc w:val="both"/>
      </w:pPr>
      <w:r>
        <w:t xml:space="preserve">Mittal, Sangeeta. 2023.</w:t>
      </w:r>
      <w:r>
        <w:t xml:space="preserve"> </w:t>
      </w:r>
      <w:r>
        <w:t xml:space="preserve">«Explaining URL Phishing Detection by Glass Box Models»</w:t>
      </w:r>
      <w:r>
        <w:t xml:space="preserve">.</w:t>
      </w:r>
      <w:r>
        <w:t xml:space="preserve"> </w:t>
      </w:r>
      <w:r>
        <w:rPr>
          <w:i/>
          <w:iCs/>
        </w:rPr>
        <w:t xml:space="preserve">Proceedings of the 2023 Fifteenth International Conference on Contemporary Computing</w:t>
      </w:r>
      <w:r>
        <w:t xml:space="preserve">, 537-44.</w:t>
      </w:r>
      <w:r>
        <w:t xml:space="preserve"> </w:t>
      </w:r>
      <w:hyperlink ns5:id="rId354">
        <w:r>
          <w:rPr>
            <w:rStyle w:val="Hipervnculo"/>
          </w:rPr>
          <w:t xml:space="preserve">https://doi.org/10.1145/3607947.3608059</w:t>
        </w:r>
      </w:hyperlink>
      <w:r>
        <w:t xml:space="preserve">.</w:t>
      </w:r>
    </w:p>
    <w:bookmarkEnd w:id="355"/>
    <w:bookmarkStart w:id="357" w:name="ref-mittelstadt2019"/>
    <w:p>
      <w:pPr>
        <w:pStyle w:val="Bibliography"/>
        <w:spacing w:line="360" w:lineRule="auto"/>
        <w:jc w:val="both"/>
      </w:pPr>
      <w:r>
        <w:t xml:space="preserve">Mittelstadt, Russell, B. 2019.</w:t>
      </w:r>
      <w:r>
        <w:t xml:space="preserve"> </w:t>
      </w:r>
      <w:r>
        <w:t xml:space="preserve">«Explaining Explanations in AI»</w:t>
      </w:r>
      <w:r>
        <w:t xml:space="preserve">.</w:t>
      </w:r>
      <w:r>
        <w:t xml:space="preserve"> </w:t>
      </w:r>
      <w:r>
        <w:rPr>
          <w:i/>
          <w:iCs/>
        </w:rPr>
        <w:t xml:space="preserve">FAT* ’19: Proceedings of the Conference on Fairness, Accountability, and Transparency, 279–288</w:t>
      </w:r>
      <w:r>
        <w:t xml:space="preserve">, advance online publication.</w:t>
      </w:r>
      <w:r>
        <w:t xml:space="preserve"> </w:t>
      </w:r>
      <w:hyperlink ns5:id="rId356">
        <w:r>
          <w:rPr>
            <w:rStyle w:val="Hipervnculo"/>
          </w:rPr>
          <w:t xml:space="preserve">https://doi.org/10.1145/3287560.3287574</w:t>
        </w:r>
      </w:hyperlink>
      <w:r>
        <w:t xml:space="preserve">.</w:t>
      </w:r>
    </w:p>
    <w:bookmarkEnd w:id="357"/>
    <w:bookmarkStart w:id="359" w:name="ref-mohseni2021"/>
    <w:p>
      <w:pPr>
        <w:pStyle w:val="Bibliography"/>
        <w:spacing w:line="360" w:lineRule="auto"/>
        <w:jc w:val="both"/>
      </w:pPr>
      <w:r>
        <w:t xml:space="preserve">Mohseni, Sina, Niloofar Zarei, y Eric D. Ragan. 2021.</w:t>
      </w:r>
      <w:r>
        <w:t xml:space="preserve"> </w:t>
      </w:r>
      <w:r>
        <w:t xml:space="preserve">«A Multidisciplinary Survey and Framework for Design and Evaluation of Explainable AI Systems»</w:t>
      </w:r>
      <w:r>
        <w:t xml:space="preserve">.</w:t>
      </w:r>
      <w:r>
        <w:t xml:space="preserve"> </w:t>
      </w:r>
      <w:r>
        <w:rPr>
          <w:i/>
          <w:iCs/>
        </w:rPr>
        <w:t xml:space="preserve">ACM Transactions on Interactive Intelligent Systems</w:t>
      </w:r>
      <w:r>
        <w:t xml:space="preserve"> </w:t>
      </w:r>
      <w:r>
        <w:t xml:space="preserve">11 (3-4): 1-45.</w:t>
      </w:r>
      <w:r>
        <w:t xml:space="preserve"> </w:t>
      </w:r>
      <w:hyperlink ns5:id="rId358">
        <w:r>
          <w:rPr>
            <w:rStyle w:val="Hipervnculo"/>
          </w:rPr>
          <w:t xml:space="preserve">https://doi.org/10.1145/3387166</w:t>
        </w:r>
      </w:hyperlink>
      <w:r>
        <w:t xml:space="preserve">.</w:t>
      </w:r>
    </w:p>
    <w:bookmarkEnd w:id="359"/>
    <w:bookmarkStart w:id="361" w:name="ref-molnar2020"/>
    <w:p>
      <w:pPr>
        <w:pStyle w:val="Bibliography"/>
        <w:spacing w:line="360" w:lineRule="auto"/>
        <w:jc w:val="both"/>
      </w:pPr>
      <w:r>
        <w:t xml:space="preserve">Molnar, Christoph, Giuseppe Casalicchio, y Bernd Bischl. 2020.</w:t>
      </w:r>
      <w:r>
        <w:t xml:space="preserve"> </w:t>
      </w:r>
      <w:r>
        <w:rPr>
          <w:i/>
          <w:iCs/>
        </w:rPr>
        <w:t xml:space="preserve">Interpretable Machine Learning – A Brief History, State-of-the-Art and Challenges</w:t>
      </w:r>
      <w:r>
        <w:t xml:space="preserve">. Springer International Publishing.</w:t>
      </w:r>
      <w:r>
        <w:t xml:space="preserve"> </w:t>
      </w:r>
      <w:hyperlink ns5:id="rId360">
        <w:r>
          <w:rPr>
            <w:rStyle w:val="Hipervnculo"/>
          </w:rPr>
          <w:t xml:space="preserve">https://doi.org/10.1007/978-3-030-65965-3_28</w:t>
        </w:r>
      </w:hyperlink>
      <w:r>
        <w:t xml:space="preserve">.</w:t>
      </w:r>
    </w:p>
    <w:bookmarkEnd w:id="361"/>
    <w:bookmarkStart w:id="363" w:name="ref-morrison2023"/>
    <w:p>
      <w:pPr>
        <w:pStyle w:val="Bibliography"/>
        <w:spacing w:line="360" w:lineRule="auto"/>
        <w:jc w:val="both"/>
      </w:pPr>
      <w:r>
        <w:t xml:space="preserve">Morrison, Katelyn, Mayank Jain, Jessica Hammer, y Adam Perer. 2023.</w:t>
      </w:r>
      <w:r>
        <w:t xml:space="preserve"> </w:t>
      </w:r>
      <w:r>
        <w:t xml:space="preserve">«Eye into AI: Evaluating the Interpretability of Explainable AI Techniques through a Game with a Purpose»</w:t>
      </w:r>
      <w:r>
        <w:t xml:space="preserve">.</w:t>
      </w:r>
      <w:r>
        <w:t xml:space="preserve"> </w:t>
      </w:r>
      <w:r>
        <w:rPr>
          <w:i/>
          <w:iCs/>
        </w:rPr>
        <w:t xml:space="preserve">Proceedings of the ACM on Human-Computer Interaction</w:t>
      </w:r>
      <w:r>
        <w:t xml:space="preserve"> </w:t>
      </w:r>
      <w:r>
        <w:t xml:space="preserve">7 (CSCW2): 1-22.</w:t>
      </w:r>
      <w:r>
        <w:t xml:space="preserve"> </w:t>
      </w:r>
      <w:hyperlink ns5:id="rId362">
        <w:r>
          <w:rPr>
            <w:rStyle w:val="Hipervnculo"/>
          </w:rPr>
          <w:t xml:space="preserve">https://doi.org/10.1145/3610064</w:t>
        </w:r>
      </w:hyperlink>
      <w:r>
        <w:t xml:space="preserve">.</w:t>
      </w:r>
    </w:p>
    <w:bookmarkEnd w:id="363"/>
    <w:bookmarkStart w:id="365"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w:t>
      </w:r>
      <w:r>
        <w:t xml:space="preserve"> </w:t>
      </w:r>
      <w:r>
        <w:rPr>
          <w:i/>
          <w:iCs/>
        </w:rPr>
        <w:t xml:space="preserve">FAT* ’20: Proceedings of the 2020 Conference on Fairness, Accountability, and Transparency</w:t>
      </w:r>
      <w:r>
        <w:t xml:space="preserve">, advance online publication.</w:t>
      </w:r>
      <w:r>
        <w:t xml:space="preserve"> </w:t>
      </w:r>
      <w:hyperlink ns5:id="rId364">
        <w:r>
          <w:rPr>
            <w:rStyle w:val="Hipervnculo"/>
          </w:rPr>
          <w:t xml:space="preserve">https://doi.org/10.1145/3351095.3372850</w:t>
        </w:r>
      </w:hyperlink>
      <w:r>
        <w:t xml:space="preserve">.</w:t>
      </w:r>
    </w:p>
    <w:bookmarkEnd w:id="365"/>
    <w:bookmarkStart w:id="367" w:name="ref-muntasir2024"/>
    <w:p>
      <w:pPr>
        <w:pStyle w:val="Bibliography"/>
        <w:spacing w:line="360" w:lineRule="auto"/>
        <w:jc w:val="both"/>
      </w:pPr>
      <w:r>
        <w:t xml:space="preserve">Muntasir, Fahim, y Jannatun Noor. 2024.</w:t>
      </w:r>
      <w:r>
        <w:t xml:space="preserve"> </w:t>
      </w:r>
      <w:r>
        <w:t xml:space="preserve">«Explainable AI Discloses Gender Bias in Sexism Detection Algorithm»</w:t>
      </w:r>
      <w:r>
        <w:t xml:space="preserve">.</w:t>
      </w:r>
      <w:r>
        <w:t xml:space="preserve"> </w:t>
      </w:r>
      <w:r>
        <w:rPr>
          <w:i/>
          <w:iCs/>
        </w:rPr>
        <w:t xml:space="preserve">Proceedings of the 11th International Conference on Networking, Systems, and Security</w:t>
      </w:r>
      <w:r>
        <w:t xml:space="preserve">, 120-27.</w:t>
      </w:r>
      <w:r>
        <w:t xml:space="preserve"> </w:t>
      </w:r>
      <w:hyperlink ns5:id="rId366">
        <w:r>
          <w:rPr>
            <w:rStyle w:val="Hipervnculo"/>
          </w:rPr>
          <w:t xml:space="preserve">https://doi.org/10.1145/3704522.3704524</w:t>
        </w:r>
      </w:hyperlink>
      <w:r>
        <w:t xml:space="preserve">.</w:t>
      </w:r>
    </w:p>
    <w:bookmarkEnd w:id="367"/>
    <w:bookmarkStart w:id="369"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w:t>
      </w:r>
      <w:r>
        <w:t xml:space="preserve"> </w:t>
      </w:r>
      <w:r>
        <w:rPr>
          <w:i/>
          <w:iCs/>
        </w:rPr>
        <w:t xml:space="preserve">Proceedings of the National Academy of Sciences</w:t>
      </w:r>
      <w:r>
        <w:t xml:space="preserve"> </w:t>
      </w:r>
      <w:r>
        <w:t xml:space="preserve">116 (44): 22071-80.</w:t>
      </w:r>
      <w:r>
        <w:t xml:space="preserve"> </w:t>
      </w:r>
      <w:hyperlink ns5:id="rId368">
        <w:r>
          <w:rPr>
            <w:rStyle w:val="Hipervnculo"/>
          </w:rPr>
          <w:t xml:space="preserve">https://doi.org/10.1073/pnas.1900654116</w:t>
        </w:r>
      </w:hyperlink>
      <w:r>
        <w:t xml:space="preserve">.</w:t>
      </w:r>
    </w:p>
    <w:bookmarkEnd w:id="369"/>
    <w:bookmarkStart w:id="371" w:name="ref-nannini2024"/>
    <w:p>
      <w:pPr>
        <w:pStyle w:val="Bibliography"/>
        <w:spacing w:line="360" w:lineRule="auto"/>
        <w:jc w:val="both"/>
      </w:pPr>
      <w:r>
        <w:t xml:space="preserve">Nannini, Luca, Marta Marchiori Manerba, y Isacco Beretta. 2024.</w:t>
      </w:r>
      <w:r>
        <w:t xml:space="preserve"> </w:t>
      </w:r>
      <w:r>
        <w:t xml:space="preserve">«Mapping the landscape of ethical considerations in explainable AI research»</w:t>
      </w:r>
      <w:r>
        <w:t xml:space="preserve">.</w:t>
      </w:r>
      <w:r>
        <w:t xml:space="preserve"> </w:t>
      </w:r>
      <w:r>
        <w:rPr>
          <w:i/>
          <w:iCs/>
        </w:rPr>
        <w:t xml:space="preserve">Ethics and Information Technology</w:t>
      </w:r>
      <w:r>
        <w:t xml:space="preserve"> </w:t>
      </w:r>
      <w:r>
        <w:t xml:space="preserve">26 (3).</w:t>
      </w:r>
      <w:r>
        <w:t xml:space="preserve"> </w:t>
      </w:r>
      <w:hyperlink ns5:id="rId370">
        <w:r>
          <w:rPr>
            <w:rStyle w:val="Hipervnculo"/>
          </w:rPr>
          <w:t xml:space="preserve">https://doi.org/10.1007/s10676-024-09773-7</w:t>
        </w:r>
      </w:hyperlink>
      <w:r>
        <w:t xml:space="preserve">.</w:t>
      </w:r>
    </w:p>
    <w:bookmarkEnd w:id="371"/>
    <w:bookmarkStart w:id="373"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w:t>
      </w:r>
      <w:r>
        <w:t xml:space="preserve"> </w:t>
      </w:r>
      <w:r>
        <w:rPr>
          <w:i/>
          <w:iCs/>
        </w:rPr>
        <w:t xml:space="preserve">ACM Computing Surveys</w:t>
      </w:r>
      <w:r>
        <w:t xml:space="preserve"> </w:t>
      </w:r>
      <w:r>
        <w:t xml:space="preserve">55 (13s): 1-42.</w:t>
      </w:r>
      <w:r>
        <w:t xml:space="preserve"> </w:t>
      </w:r>
      <w:hyperlink ns5:id="rId372">
        <w:r>
          <w:rPr>
            <w:rStyle w:val="Hipervnculo"/>
          </w:rPr>
          <w:t xml:space="preserve">https://doi.org/10.1145/3583558</w:t>
        </w:r>
      </w:hyperlink>
      <w:r>
        <w:t xml:space="preserve">.</w:t>
      </w:r>
    </w:p>
    <w:bookmarkEnd w:id="373"/>
    <w:bookmarkStart w:id="375" w:name="ref-nemenyi1963"/>
    <w:p>
      <w:pPr>
        <w:pStyle w:val="Bibliography"/>
        <w:spacing w:line="360" w:lineRule="auto"/>
        <w:jc w:val="both"/>
      </w:pPr>
      <w:r>
        <w:t xml:space="preserve">Nemenyi, Peter Bjorn. 1963.</w:t>
      </w:r>
      <w:r>
        <w:t xml:space="preserve"> </w:t>
      </w:r>
      <w:r>
        <w:t xml:space="preserve">«Distribution-free Multiple Comparisons»</w:t>
      </w:r>
      <w:r>
        <w:t xml:space="preserve">. Tesis doctoral, Princeton University.</w:t>
      </w:r>
      <w:r>
        <w:t xml:space="preserve"> </w:t>
      </w:r>
      <w:hyperlink ns5:id="rId374">
        <w:r>
          <w:rPr>
            <w:rStyle w:val="Hipervnculo"/>
          </w:rPr>
          <w:t xml:space="preserve">https://catalog.princeton.edu/catalog/2081365</w:t>
        </w:r>
      </w:hyperlink>
      <w:r>
        <w:t xml:space="preserve">.</w:t>
      </w:r>
    </w:p>
    <w:bookmarkEnd w:id="375"/>
    <w:bookmarkStart w:id="377" w:name="ref-ngueajio2025"/>
    <w:p>
      <w:pPr>
        <w:pStyle w:val="Bibliography"/>
        <w:spacing w:line="360" w:lineRule="auto"/>
        <w:jc w:val="both"/>
      </w:pPr>
      <w:r>
        <w:t xml:space="preserve">Ngueajio, Mikel K., Saurav Aryal, Marcellin Atemkeng, Gloria Washington, y Danda Rawat. 2025.</w:t>
      </w:r>
      <w:r>
        <w:t xml:space="preserve"> </w:t>
      </w:r>
      <w:r>
        <w:t xml:space="preserve">«Decoding Fake News and Hate Speech: A Survey of Explainable AI Techniques»</w:t>
      </w:r>
      <w:r>
        <w:t xml:space="preserve">.</w:t>
      </w:r>
      <w:r>
        <w:t xml:space="preserve"> </w:t>
      </w:r>
      <w:r>
        <w:rPr>
          <w:i/>
          <w:iCs/>
        </w:rPr>
        <w:t xml:space="preserve">ACM Computing Surveys</w:t>
      </w:r>
      <w:r>
        <w:t xml:space="preserve"> </w:t>
      </w:r>
      <w:r>
        <w:t xml:space="preserve">57 (7): 1-37.</w:t>
      </w:r>
      <w:r>
        <w:t xml:space="preserve"> </w:t>
      </w:r>
      <w:hyperlink ns5:id="rId376">
        <w:r>
          <w:rPr>
            <w:rStyle w:val="Hipervnculo"/>
          </w:rPr>
          <w:t xml:space="preserve">https://doi.org/10.1145/3711123</w:t>
        </w:r>
      </w:hyperlink>
      <w:r>
        <w:t xml:space="preserve">.</w:t>
      </w:r>
    </w:p>
    <w:bookmarkEnd w:id="377"/>
    <w:bookmarkStart w:id="378" w:name="ref-nguyen2019"/>
    <w:p>
      <w:pPr>
        <w:pStyle w:val="Bibliography"/>
        <w:spacing w:line="360" w:lineRule="auto"/>
        <w:jc w:val="both"/>
      </w:pPr>
      <w:r>
        <w:t xml:space="preserve">Nguyen, An-phi, y Maria Rodriguez Martinez. 2019.</w:t>
      </w:r>
      <w:r>
        <w:t xml:space="preserve"> </w:t>
      </w:r>
      <w:r>
        <w:rPr>
          <w:i/>
          <w:iCs/>
        </w:rPr>
        <w:t xml:space="preserve">MonoNet: Towards Interpretable Models by Learning Monotonic Features</w:t>
      </w:r>
      <w:r>
        <w:t xml:space="preserve">.</w:t>
      </w:r>
    </w:p>
    <w:bookmarkEnd w:id="378"/>
    <w:bookmarkStart w:id="380" w:name="ref-nimmo2024"/>
    <w:p>
      <w:pPr>
        <w:pStyle w:val="Bibliography"/>
        <w:spacing w:line="360" w:lineRule="auto"/>
        <w:jc w:val="both"/>
      </w:pPr>
      <w:r>
        <w:t xml:space="preserve">Nimmo, Robert, Marios Constantinides, Ke Zhou, Daniele Quercia, y Simone Stumpf. 2024.</w:t>
      </w:r>
      <w:r>
        <w:t xml:space="preserve"> </w:t>
      </w:r>
      <w:r>
        <w:t xml:space="preserve">«User Characteristics in Explainable AI: The Rabbit Hole of Personalization?»</w:t>
      </w:r>
      <w:r>
        <w:t xml:space="preserve"> </w:t>
      </w:r>
      <w:r>
        <w:rPr>
          <w:i/>
          <w:iCs/>
        </w:rPr>
        <w:t xml:space="preserve">Proceedings of the CHI Conference on Human Factors in Computing Systems</w:t>
      </w:r>
      <w:r>
        <w:t xml:space="preserve">, 1-13.</w:t>
      </w:r>
      <w:r>
        <w:t xml:space="preserve"> </w:t>
      </w:r>
      <w:hyperlink ns5:id="rId379">
        <w:r>
          <w:rPr>
            <w:rStyle w:val="Hipervnculo"/>
          </w:rPr>
          <w:t xml:space="preserve">https://doi.org/10.1145/3613904.3642352</w:t>
        </w:r>
      </w:hyperlink>
      <w:r>
        <w:t xml:space="preserve">.</w:t>
      </w:r>
    </w:p>
    <w:bookmarkEnd w:id="380"/>
    <w:bookmarkStart w:id="381" w:name="ref-nizam2023"/>
    <w:p>
      <w:pPr>
        <w:pStyle w:val="Bibliography"/>
        <w:spacing w:line="360" w:lineRule="auto"/>
        <w:jc w:val="both"/>
      </w:pPr>
      <w:r>
        <w:t xml:space="preserve">Nizam, T., y S. Zafar. 2023.</w:t>
      </w:r>
      <w:r>
        <w:t xml:space="preserve"> </w:t>
      </w:r>
      <w:r>
        <w:t xml:space="preserve">«Towards a Standardised Evaluation Approach for Diverse XAI Methods»</w:t>
      </w:r>
      <w:r>
        <w:t xml:space="preserve">.</w:t>
      </w:r>
      <w:r>
        <w:t xml:space="preserve"> </w:t>
      </w:r>
      <w:r>
        <w:rPr>
          <w:i/>
          <w:iCs/>
        </w:rPr>
        <w:t xml:space="preserve">Explainable Artificial Intelligence (XAI): Conception, Visualization and Assessment</w:t>
      </w:r>
      <w:r>
        <w:t xml:space="preserve">.</w:t>
      </w:r>
    </w:p>
    <w:bookmarkEnd w:id="381"/>
    <w:bookmarkStart w:id="383"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w:t>
      </w:r>
      <w:r>
        <w:t xml:space="preserve"> </w:t>
      </w:r>
      <w:r>
        <w:rPr>
          <w:i/>
          <w:iCs/>
        </w:rPr>
        <w:t xml:space="preserve">Nature Communications</w:t>
      </w:r>
      <w:r>
        <w:t xml:space="preserve"> </w:t>
      </w:r>
      <w:r>
        <w:t xml:space="preserve">13 (1).</w:t>
      </w:r>
      <w:r>
        <w:t xml:space="preserve"> </w:t>
      </w:r>
      <w:hyperlink ns5:id="rId382">
        <w:r>
          <w:rPr>
            <w:rStyle w:val="Hipervnculo"/>
          </w:rPr>
          <w:t xml:space="preserve">https://doi.org/10.1038/s41467-022-33417-3</w:t>
        </w:r>
      </w:hyperlink>
      <w:r>
        <w:t xml:space="preserve">.</w:t>
      </w:r>
    </w:p>
    <w:bookmarkEnd w:id="383"/>
    <w:bookmarkStart w:id="384" w:name="ref-olsen2022"/>
    <w:p>
      <w:pPr>
        <w:pStyle w:val="Bibliography"/>
        <w:spacing w:line="360" w:lineRule="auto"/>
        <w:jc w:val="both"/>
      </w:pPr>
      <w:r>
        <w:t xml:space="preserve">Olsen, Lars Henry Berge, Ingrid Kristine Glad, Martin Jullum, y Kjersti Aas. 2022.</w:t>
      </w:r>
      <w:r>
        <w:t xml:space="preserve"> </w:t>
      </w:r>
      <w:r>
        <w:t xml:space="preserve">«Using Shapley Values and Variational Autoencoders to Explain Predictive Models with Dependent Mixed Features»</w:t>
      </w:r>
      <w:r>
        <w:t xml:space="preserve">.</w:t>
      </w:r>
      <w:r>
        <w:t xml:space="preserve"> </w:t>
      </w:r>
      <w:r>
        <w:rPr>
          <w:i/>
          <w:iCs/>
        </w:rPr>
        <w:t xml:space="preserve">Journal of Machine Learning Research</w:t>
      </w:r>
      <w:r>
        <w:t xml:space="preserve"> </w:t>
      </w:r>
      <w:r>
        <w:t xml:space="preserve">23: 1-51.</w:t>
      </w:r>
    </w:p>
    <w:bookmarkEnd w:id="384"/>
    <w:bookmarkStart w:id="386"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w:t>
      </w:r>
      <w:r>
        <w:t xml:space="preserve"> </w:t>
      </w:r>
      <w:r>
        <w:rPr>
          <w:i/>
          <w:iCs/>
        </w:rPr>
        <w:t xml:space="preserve">Neurocomputing</w:t>
      </w:r>
      <w:r>
        <w:t xml:space="preserve"> </w:t>
      </w:r>
      <w:r>
        <w:t xml:space="preserve">602 (128282).</w:t>
      </w:r>
      <w:r>
        <w:t xml:space="preserve"> </w:t>
      </w:r>
      <w:hyperlink ns5:id="rId385">
        <w:r>
          <w:rPr>
            <w:rStyle w:val="Hipervnculo"/>
          </w:rPr>
          <w:t xml:space="preserve">https://doi.org/10.1016/j.neucom.2024.128282</w:t>
        </w:r>
      </w:hyperlink>
      <w:r>
        <w:t xml:space="preserve">.</w:t>
      </w:r>
    </w:p>
    <w:bookmarkEnd w:id="386"/>
    <w:bookmarkStart w:id="388" w:name="ref-peters2024"/>
    <w:p>
      <w:pPr>
        <w:pStyle w:val="Bibliography"/>
        <w:spacing w:line="360" w:lineRule="auto"/>
        <w:jc w:val="both"/>
      </w:pPr>
      <w:r>
        <w:t xml:space="preserve">Peters, Uwe, y Mary Carman. 2024.</w:t>
      </w:r>
      <w:r>
        <w:t xml:space="preserve"> </w:t>
      </w:r>
      <w:r>
        <w:t xml:space="preserve">«Cultural Bias in Explainable AI Research: A Systematic Analysis»</w:t>
      </w:r>
      <w:r>
        <w:t xml:space="preserve">.</w:t>
      </w:r>
      <w:r>
        <w:t xml:space="preserve"> </w:t>
      </w:r>
      <w:r>
        <w:rPr>
          <w:i/>
          <w:iCs/>
        </w:rPr>
        <w:t xml:space="preserve">Journal of Artificial Intelligence Research</w:t>
      </w:r>
      <w:r>
        <w:t xml:space="preserve"> </w:t>
      </w:r>
      <w:r>
        <w:t xml:space="preserve">79: 971-1000.</w:t>
      </w:r>
      <w:r>
        <w:t xml:space="preserve"> </w:t>
      </w:r>
      <w:hyperlink ns5:id="rId387">
        <w:r>
          <w:rPr>
            <w:rStyle w:val="Hipervnculo"/>
          </w:rPr>
          <w:t xml:space="preserve">https://doi.org/10.1613/jair.1.14888</w:t>
        </w:r>
      </w:hyperlink>
      <w:r>
        <w:t xml:space="preserve">.</w:t>
      </w:r>
    </w:p>
    <w:bookmarkEnd w:id="388"/>
    <w:bookmarkStart w:id="390" w:name="ref-porfirio2024"/>
    <w:p>
      <w:pPr>
        <w:pStyle w:val="Bibliography"/>
        <w:spacing w:line="360" w:lineRule="auto"/>
        <w:jc w:val="both"/>
      </w:pPr>
      <w:r>
        <w:t xml:space="preserve">Porfírio, Rui Pedro. 2024.</w:t>
      </w:r>
      <w:r>
        <w:t xml:space="preserve"> </w:t>
      </w:r>
      <w:r>
        <w:t xml:space="preserve">«Studying the Impact of Explainable AI in Digital Agriculture Solutions»</w:t>
      </w:r>
      <w:r>
        <w:t xml:space="preserve">.</w:t>
      </w:r>
      <w:r>
        <w:t xml:space="preserve"> </w:t>
      </w:r>
      <w:r>
        <w:rPr>
          <w:i/>
          <w:iCs/>
        </w:rPr>
        <w:t xml:space="preserve">Companion Publication of the 2024 Conference on Computer-Supported Cooperative Work and Social Computing</w:t>
      </w:r>
      <w:r>
        <w:t xml:space="preserve">, 43-46.</w:t>
      </w:r>
      <w:r>
        <w:t xml:space="preserve"> </w:t>
      </w:r>
      <w:hyperlink ns5:id="rId389">
        <w:r>
          <w:rPr>
            <w:rStyle w:val="Hipervnculo"/>
          </w:rPr>
          <w:t xml:space="preserve">https://doi.org/10.1145/3678884.3682046</w:t>
        </w:r>
      </w:hyperlink>
      <w:r>
        <w:t xml:space="preserve">.</w:t>
      </w:r>
    </w:p>
    <w:bookmarkEnd w:id="390"/>
    <w:bookmarkStart w:id="392" w:name="ref-poyiadzi2020"/>
    <w:p>
      <w:pPr>
        <w:pStyle w:val="Bibliography"/>
        <w:spacing w:line="360" w:lineRule="auto"/>
        <w:jc w:val="both"/>
      </w:pPr>
      <w:r>
        <w:t xml:space="preserve">Poyiadzi, Rafael, Kacper Sokol, Raul Santos-Rodriguez, Tijl De Bie, y Peter Flach. 2020.</w:t>
      </w:r>
      <w:r>
        <w:t xml:space="preserve"> </w:t>
      </w:r>
      <w:r>
        <w:t xml:space="preserve">«FACE: Feasible and Actionable Counterfactual Explanations»</w:t>
      </w:r>
      <w:r>
        <w:t xml:space="preserve">.</w:t>
      </w:r>
      <w:r>
        <w:t xml:space="preserve"> </w:t>
      </w:r>
      <w:r>
        <w:rPr>
          <w:i/>
          <w:iCs/>
        </w:rPr>
        <w:t xml:space="preserve">Proceedings of the AAAI/ACM Conference on AI, Ethics, and Society</w:t>
      </w:r>
      <w:r>
        <w:t xml:space="preserve">, 344-50.</w:t>
      </w:r>
      <w:r>
        <w:t xml:space="preserve"> </w:t>
      </w:r>
      <w:hyperlink ns5:id="rId391">
        <w:r>
          <w:rPr>
            <w:rStyle w:val="Hipervnculo"/>
          </w:rPr>
          <w:t xml:space="preserve">https://doi.org/10.1145/3375627.3375850</w:t>
        </w:r>
      </w:hyperlink>
      <w:r>
        <w:t xml:space="preserve">.</w:t>
      </w:r>
    </w:p>
    <w:bookmarkEnd w:id="392"/>
    <w:bookmarkStart w:id="393" w:name="ref-proszewska2025"/>
    <w:p>
      <w:pPr>
        <w:pStyle w:val="Bibliography"/>
        <w:spacing w:line="360" w:lineRule="auto"/>
        <w:jc w:val="both"/>
      </w:pPr>
      <w:r>
        <w:t xml:space="preserve">Proszewska, Magdalena, Tomasz Danel, y Dawid Rymarczyk. 2025.</w:t>
      </w:r>
      <w:r>
        <w:t xml:space="preserve"> </w:t>
      </w:r>
      <w:r>
        <w:rPr>
          <w:i/>
          <w:iCs/>
        </w:rPr>
        <w:t xml:space="preserve">B-XAIC Dataset: Benchmarking Explainable AI for Graph Neural Networks Using Chemical Data</w:t>
      </w:r>
      <w:r>
        <w:t xml:space="preserve">.</w:t>
      </w:r>
    </w:p>
    <w:bookmarkEnd w:id="393"/>
    <w:bookmarkStart w:id="394" w:name="ref-ramachandram2025"/>
    <w:p>
      <w:pPr>
        <w:pStyle w:val="Bibliography"/>
        <w:spacing w:line="360" w:lineRule="auto"/>
        <w:jc w:val="both"/>
      </w:pPr>
      <w:r>
        <w:t xml:space="preserve">Ramachandram, Dhanesh, Himanshu Joshi, Judy Zhu, Dhari Gandhi, Lucas Hartman, y Ananya Raval. 2025.</w:t>
      </w:r>
      <w:r>
        <w:t xml:space="preserve"> </w:t>
      </w:r>
      <w:r>
        <w:rPr>
          <w:i/>
          <w:iCs/>
        </w:rPr>
        <w:t xml:space="preserve">Transparent AI: The Case for Interpretability and Explainability</w:t>
      </w:r>
      <w:r>
        <w:t xml:space="preserve">. Vector Institute for Artificial Intelligence.</w:t>
      </w:r>
    </w:p>
    <w:bookmarkEnd w:id="394"/>
    <w:bookmarkStart w:id="396" w:name="ref-reif2025"/>
    <w:p>
      <w:pPr>
        <w:pStyle w:val="Bibliography"/>
        <w:spacing w:line="360" w:lineRule="auto"/>
        <w:jc w:val="both"/>
      </w:pPr>
      <w:r>
        <w:t xml:space="preserve">Reif, Jessica A., Richard P. Larrick, y Jack B. Soll. 2025.</w:t>
      </w:r>
      <w:r>
        <w:t xml:space="preserve"> </w:t>
      </w:r>
      <w:r>
        <w:t xml:space="preserve">«Evidence of a social evaluation penalty for using AI»</w:t>
      </w:r>
      <w:r>
        <w:t xml:space="preserve">.</w:t>
      </w:r>
      <w:r>
        <w:t xml:space="preserve"> </w:t>
      </w:r>
      <w:r>
        <w:rPr>
          <w:i/>
          <w:iCs/>
        </w:rPr>
        <w:t xml:space="preserve">Proceedings of the National Academy of Sciences</w:t>
      </w:r>
      <w:r>
        <w:t xml:space="preserve"> </w:t>
      </w:r>
      <w:r>
        <w:t xml:space="preserve">122 (19).</w:t>
      </w:r>
      <w:r>
        <w:t xml:space="preserve"> </w:t>
      </w:r>
      <w:hyperlink ns5:id="rId395">
        <w:r>
          <w:rPr>
            <w:rStyle w:val="Hipervnculo"/>
          </w:rPr>
          <w:t xml:space="preserve">https://doi.org/10.1073/pnas.2426766122</w:t>
        </w:r>
      </w:hyperlink>
      <w:r>
        <w:t xml:space="preserve">.</w:t>
      </w:r>
    </w:p>
    <w:bookmarkEnd w:id="396"/>
    <w:bookmarkStart w:id="398"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w:t>
      </w:r>
      <w:r>
        <w:t xml:space="preserve"> </w:t>
      </w:r>
      <w:r>
        <w:rPr>
          <w:i/>
          <w:iCs/>
        </w:rPr>
        <w:t xml:space="preserve">arXiv preprint arXiv:1602.04938</w:t>
      </w:r>
      <w:r>
        <w:t xml:space="preserve">, advance online publication.</w:t>
      </w:r>
      <w:r>
        <w:t xml:space="preserve"> </w:t>
      </w:r>
      <w:hyperlink ns5:id="rId397">
        <w:r>
          <w:rPr>
            <w:rStyle w:val="Hipervnculo"/>
          </w:rPr>
          <w:t xml:space="preserve">https://doi.org/10.1145/2939672.2939778</w:t>
        </w:r>
      </w:hyperlink>
      <w:r>
        <w:t xml:space="preserve">.</w:t>
      </w:r>
    </w:p>
    <w:bookmarkEnd w:id="398"/>
    <w:bookmarkStart w:id="400"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w:t>
      </w:r>
      <w:r>
        <w:t xml:space="preserve"> </w:t>
      </w:r>
      <w:r>
        <w:rPr>
          <w:i/>
          <w:iCs/>
        </w:rPr>
        <w:t xml:space="preserve">Proceedings of the AAAI Conference on Artificial Intelligence</w:t>
      </w:r>
      <w:r>
        <w:t xml:space="preserve"> </w:t>
      </w:r>
      <w:r>
        <w:t xml:space="preserve">32 (1).</w:t>
      </w:r>
      <w:r>
        <w:t xml:space="preserve"> </w:t>
      </w:r>
      <w:hyperlink ns5:id="rId399">
        <w:r>
          <w:rPr>
            <w:rStyle w:val="Hipervnculo"/>
          </w:rPr>
          <w:t xml:space="preserve">https://doi.org/10.1609/aaai.v32i1.11491</w:t>
        </w:r>
      </w:hyperlink>
      <w:r>
        <w:t xml:space="preserve">.</w:t>
      </w:r>
    </w:p>
    <w:bookmarkEnd w:id="400"/>
    <w:bookmarkStart w:id="402" w:name="ref-rodriguez2024"/>
    <w:p>
      <w:pPr>
        <w:pStyle w:val="Bibliography"/>
        <w:spacing w:line="360" w:lineRule="auto"/>
        <w:jc w:val="both"/>
      </w:pPr>
      <w:r>
        <w:t xml:space="preserve">Rodriguez, Sebastian, y John Thangarajah. 2024.</w:t>
      </w:r>
      <w:r>
        <w:t xml:space="preserve"> </w:t>
      </w:r>
      <w:r>
        <w:t xml:space="preserve">«Explainable Agents (XAg) by Design»</w:t>
      </w:r>
      <w:r>
        <w:t xml:space="preserve">.</w:t>
      </w:r>
      <w:r>
        <w:t xml:space="preserve"> </w:t>
      </w:r>
      <w:r>
        <w:rPr>
          <w:i/>
          <w:iCs/>
        </w:rPr>
        <w:t xml:space="preserve">International Joint Conference on Autonomous Agents and Multiagent Systems</w:t>
      </w:r>
      <w:r>
        <w:t xml:space="preserve">, 2712-16.</w:t>
      </w:r>
      <w:r>
        <w:t xml:space="preserve"> </w:t>
      </w:r>
      <w:hyperlink ns5:id="rId401">
        <w:r>
          <w:rPr>
            <w:rStyle w:val="Hipervnculo"/>
          </w:rPr>
          <w:t xml:space="preserve">https://doi.org/10.65109/vllw9552</w:t>
        </w:r>
      </w:hyperlink>
      <w:r>
        <w:t xml:space="preserve">.</w:t>
      </w:r>
    </w:p>
    <w:bookmarkEnd w:id="402"/>
    <w:bookmarkStart w:id="404"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w:t>
      </w:r>
      <w:r>
        <w:t xml:space="preserve"> </w:t>
      </w:r>
      <w:r>
        <w:rPr>
          <w:i/>
          <w:iCs/>
        </w:rPr>
        <w:t xml:space="preserve">IEEE Transactions on Pattern Analysis and Machine Intelligence</w:t>
      </w:r>
      <w:r>
        <w:t xml:space="preserve"> </w:t>
      </w:r>
      <w:r>
        <w:t xml:space="preserve">46 (4): 2104-22.</w:t>
      </w:r>
      <w:r>
        <w:t xml:space="preserve"> </w:t>
      </w:r>
      <w:hyperlink ns5:id="rId403">
        <w:r>
          <w:rPr>
            <w:rStyle w:val="Hipervnculo"/>
          </w:rPr>
          <w:t xml:space="preserve">https://doi.org/10.1109/TPAMI.2023.3331846</w:t>
        </w:r>
      </w:hyperlink>
      <w:r>
        <w:t xml:space="preserve">.</w:t>
      </w:r>
    </w:p>
    <w:bookmarkEnd w:id="404"/>
    <w:bookmarkStart w:id="406"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w:t>
      </w:r>
      <w:r>
        <w:t xml:space="preserve"> </w:t>
      </w:r>
      <w:r>
        <w:rPr>
          <w:i/>
          <w:iCs/>
        </w:rPr>
        <w:t xml:space="preserve">Statistics Surveys</w:t>
      </w:r>
      <w:r>
        <w:t xml:space="preserve"> </w:t>
      </w:r>
      <w:r>
        <w:t xml:space="preserve">16 (none).</w:t>
      </w:r>
      <w:r>
        <w:t xml:space="preserve"> </w:t>
      </w:r>
      <w:hyperlink ns5:id="rId405">
        <w:r>
          <w:rPr>
            <w:rStyle w:val="Hipervnculo"/>
          </w:rPr>
          <w:t xml:space="preserve">https://doi.org/10.1214/21-ss133</w:t>
        </w:r>
      </w:hyperlink>
      <w:r>
        <w:t xml:space="preserve">.</w:t>
      </w:r>
    </w:p>
    <w:bookmarkEnd w:id="406"/>
    <w:bookmarkStart w:id="408" w:name="ref-rudin2019"/>
    <w:p>
      <w:pPr>
        <w:pStyle w:val="Bibliography"/>
        <w:spacing w:line="360" w:lineRule="auto"/>
        <w:jc w:val="both"/>
      </w:pPr>
      <w:r>
        <w:t xml:space="preserve">Rudin, Cynthia. 2019.</w:t>
      </w:r>
      <w:r>
        <w:t xml:space="preserve"> </w:t>
      </w:r>
      <w:r>
        <w:t xml:space="preserve">«Stop explaining black box machine learning models for high stakes decisions and use interpretable models instead»</w:t>
      </w:r>
      <w:r>
        <w:t xml:space="preserve">.</w:t>
      </w:r>
      <w:r>
        <w:t xml:space="preserve"> </w:t>
      </w:r>
      <w:r>
        <w:rPr>
          <w:i/>
          <w:iCs/>
        </w:rPr>
        <w:t xml:space="preserve">Nature Machine Intelligence</w:t>
      </w:r>
      <w:r>
        <w:t xml:space="preserve"> </w:t>
      </w:r>
      <w:r>
        <w:t xml:space="preserve">1 (5): 206-15.</w:t>
      </w:r>
      <w:r>
        <w:t xml:space="preserve"> </w:t>
      </w:r>
      <w:hyperlink ns5:id="rId407">
        <w:r>
          <w:rPr>
            <w:rStyle w:val="Hipervnculo"/>
          </w:rPr>
          <w:t xml:space="preserve">https://doi.org/10.1038/s42256-019-0048-x</w:t>
        </w:r>
      </w:hyperlink>
      <w:r>
        <w:t xml:space="preserve">.</w:t>
      </w:r>
    </w:p>
    <w:bookmarkEnd w:id="408"/>
    <w:bookmarkStart w:id="410"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w:t>
      </w:r>
      <w:r>
        <w:t xml:space="preserve"> </w:t>
      </w:r>
      <w:r>
        <w:rPr>
          <w:i/>
          <w:iCs/>
        </w:rPr>
        <w:t xml:space="preserve">Applied Sciences</w:t>
      </w:r>
      <w:r>
        <w:t xml:space="preserve"> </w:t>
      </w:r>
      <w:r>
        <w:t xml:space="preserve">14 (19): 8884.</w:t>
      </w:r>
      <w:r>
        <w:t xml:space="preserve"> </w:t>
      </w:r>
      <w:hyperlink ns5:id="rId409">
        <w:r>
          <w:rPr>
            <w:rStyle w:val="Hipervnculo"/>
          </w:rPr>
          <w:t xml:space="preserve">https://doi.org/10.3390/app14198884</w:t>
        </w:r>
      </w:hyperlink>
      <w:r>
        <w:t xml:space="preserve">.</w:t>
      </w:r>
    </w:p>
    <w:bookmarkEnd w:id="410"/>
    <w:bookmarkStart w:id="412" w:name="ref-saeed2023"/>
    <w:p>
      <w:pPr>
        <w:pStyle w:val="Bibliography"/>
        <w:spacing w:line="360" w:lineRule="auto"/>
        <w:jc w:val="both"/>
      </w:pPr>
      <w:r>
        <w:t xml:space="preserve">Saeed, &amp; Omlin, W. 2023.</w:t>
      </w:r>
      <w:r>
        <w:t xml:space="preserve"> </w:t>
      </w:r>
      <w:r>
        <w:t xml:space="preserve">«Explainable AI (XAI): A systematic meta-survey of current challenges and future opportunities»</w:t>
      </w:r>
      <w:r>
        <w:t xml:space="preserve">.</w:t>
      </w:r>
      <w:r>
        <w:t xml:space="preserve"> </w:t>
      </w:r>
      <w:r>
        <w:rPr>
          <w:i/>
          <w:iCs/>
        </w:rPr>
        <w:t xml:space="preserve">Knowledge-Based Systems</w:t>
      </w:r>
      <w:r>
        <w:t xml:space="preserve"> </w:t>
      </w:r>
      <w:r>
        <w:t xml:space="preserve">263: 110273.</w:t>
      </w:r>
      <w:r>
        <w:t xml:space="preserve"> </w:t>
      </w:r>
      <w:hyperlink ns5:id="rId411">
        <w:r>
          <w:rPr>
            <w:rStyle w:val="Hipervnculo"/>
          </w:rPr>
          <w:t xml:space="preserve">https://doi.org/10.1016/j.knosys.2023.110273</w:t>
        </w:r>
      </w:hyperlink>
      <w:r>
        <w:t xml:space="preserve">.</w:t>
      </w:r>
    </w:p>
    <w:bookmarkEnd w:id="412"/>
    <w:bookmarkStart w:id="414"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w:t>
      </w:r>
      <w:r>
        <w:t xml:space="preserve"> </w:t>
      </w:r>
      <w:r>
        <w:rPr>
          <w:i/>
          <w:iCs/>
        </w:rPr>
        <w:t xml:space="preserve">In Lecture notes in computer science</w:t>
      </w:r>
      <w:r>
        <w:t xml:space="preserve">, advance online publication.</w:t>
      </w:r>
      <w:r>
        <w:t xml:space="preserve"> </w:t>
      </w:r>
      <w:hyperlink ns5:id="rId413">
        <w:r>
          <w:rPr>
            <w:rStyle w:val="Hipervnculo"/>
          </w:rPr>
          <w:t xml:space="preserve">https://doi.org/10.1007/978-3-030-28954-6</w:t>
        </w:r>
      </w:hyperlink>
      <w:r>
        <w:t xml:space="preserve">.</w:t>
      </w:r>
    </w:p>
    <w:bookmarkEnd w:id="414"/>
    <w:bookmarkStart w:id="416" w:name="ref-saqib2024"/>
    <w:p>
      <w:pPr>
        <w:pStyle w:val="Bibliography"/>
        <w:spacing w:line="360" w:lineRule="auto"/>
        <w:jc w:val="both"/>
      </w:pPr>
      <w:r>
        <w:t xml:space="preserve">Saqib, Mohd, Samaneh Mahdavifar, Benjamin C. M. Fung, y Philippe Charland. 2024.</w:t>
      </w:r>
      <w:r>
        <w:t xml:space="preserve"> </w:t>
      </w:r>
      <w:r>
        <w:t xml:space="preserve">«A Comprehensive Analysis of Explainable AI for Malware Hunting»</w:t>
      </w:r>
      <w:r>
        <w:t xml:space="preserve">.</w:t>
      </w:r>
      <w:r>
        <w:t xml:space="preserve"> </w:t>
      </w:r>
      <w:r>
        <w:rPr>
          <w:i/>
          <w:iCs/>
        </w:rPr>
        <w:t xml:space="preserve">ACM Computing Surveys</w:t>
      </w:r>
      <w:r>
        <w:t xml:space="preserve"> </w:t>
      </w:r>
      <w:r>
        <w:t xml:space="preserve">56 (12): 1-40.</w:t>
      </w:r>
      <w:r>
        <w:t xml:space="preserve"> </w:t>
      </w:r>
      <w:hyperlink ns5:id="rId415">
        <w:r>
          <w:rPr>
            <w:rStyle w:val="Hipervnculo"/>
          </w:rPr>
          <w:t xml:space="preserve">https://doi.org/10.1145/3677374</w:t>
        </w:r>
      </w:hyperlink>
      <w:r>
        <w:t xml:space="preserve">.</w:t>
      </w:r>
    </w:p>
    <w:bookmarkEnd w:id="416"/>
    <w:bookmarkStart w:id="418"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w:t>
      </w:r>
      <w:r>
        <w:t xml:space="preserve"> </w:t>
      </w:r>
      <w:r>
        <w:rPr>
          <w:i/>
          <w:iCs/>
        </w:rPr>
        <w:t xml:space="preserve">Data Mining and Knowledge Discovery</w:t>
      </w:r>
      <w:r>
        <w:t xml:space="preserve"> </w:t>
      </w:r>
      <w:r>
        <w:t xml:space="preserve">38 (5): 3043-101.</w:t>
      </w:r>
      <w:r>
        <w:t xml:space="preserve"> </w:t>
      </w:r>
      <w:hyperlink ns5:id="rId417">
        <w:r>
          <w:rPr>
            <w:rStyle w:val="Hipervnculo"/>
          </w:rPr>
          <w:t xml:space="preserve">https://doi.org/10.1007/s10618-022-00867-8</w:t>
        </w:r>
      </w:hyperlink>
      <w:r>
        <w:t xml:space="preserve">.</w:t>
      </w:r>
    </w:p>
    <w:bookmarkEnd w:id="418"/>
    <w:bookmarkStart w:id="420" w:name="ref-shapley1952"/>
    <w:p>
      <w:pPr>
        <w:pStyle w:val="Bibliography"/>
        <w:spacing w:line="360" w:lineRule="auto"/>
        <w:jc w:val="both"/>
      </w:pPr>
      <w:r>
        <w:t xml:space="preserve">Shapley, Lloyd S. 1952.</w:t>
      </w:r>
      <w:r>
        <w:t xml:space="preserve"> </w:t>
      </w:r>
      <w:r>
        <w:rPr>
          <w:i/>
          <w:iCs/>
        </w:rPr>
        <w:t xml:space="preserve">A Value for N-Person Games</w:t>
      </w:r>
      <w:r>
        <w:t xml:space="preserve">. P-295. RAND Corporation.</w:t>
      </w:r>
      <w:r>
        <w:t xml:space="preserve"> </w:t>
      </w:r>
      <w:hyperlink ns5:id="rId419">
        <w:r>
          <w:rPr>
            <w:rStyle w:val="Hipervnculo"/>
          </w:rPr>
          <w:t xml:space="preserve">https://www.rand.org/pubs/papers/P0295.html</w:t>
        </w:r>
      </w:hyperlink>
      <w:r>
        <w:t xml:space="preserve">.</w:t>
      </w:r>
    </w:p>
    <w:bookmarkEnd w:id="420"/>
    <w:bookmarkStart w:id="422" w:name="ref-sithakoul2024"/>
    <w:p>
      <w:pPr>
        <w:pStyle w:val="Bibliography"/>
        <w:spacing w:line="360" w:lineRule="auto"/>
        <w:jc w:val="both"/>
      </w:pPr>
      <w:r>
        <w:t xml:space="preserve">Sithakoul, Samuel, Sara Meftah, y Clément Feutry. 2024.</w:t>
      </w:r>
      <w:r>
        <w:t xml:space="preserve"> </w:t>
      </w:r>
      <w:r>
        <w:rPr>
          <w:i/>
          <w:iCs/>
        </w:rPr>
        <w:t xml:space="preserve">BEExAI: Benchmark to Evaluate Explainable AI</w:t>
      </w:r>
      <w:r>
        <w:t xml:space="preserve">. Springer Nature Switzerland.</w:t>
      </w:r>
      <w:r>
        <w:t xml:space="preserve"> </w:t>
      </w:r>
      <w:hyperlink ns5:id="rId421">
        <w:r>
          <w:rPr>
            <w:rStyle w:val="Hipervnculo"/>
          </w:rPr>
          <w:t xml:space="preserve">https://doi.org/10.1007/978-3-031-63787-2_23</w:t>
        </w:r>
      </w:hyperlink>
      <w:r>
        <w:t xml:space="preserve">.</w:t>
      </w:r>
    </w:p>
    <w:bookmarkEnd w:id="422"/>
    <w:bookmarkStart w:id="424" w:name="ref-slack2020"/>
    <w:p>
      <w:pPr>
        <w:pStyle w:val="Bibliography"/>
        <w:spacing w:line="360" w:lineRule="auto"/>
        <w:jc w:val="both"/>
      </w:pPr>
      <w:r>
        <w:t xml:space="preserve">Slack, Dylan, Sophie Hilgard, Emily Jia, Sameer Singh, y Himabindu Lakkaraju. 2020.</w:t>
      </w:r>
      <w:r>
        <w:t xml:space="preserve"> </w:t>
      </w:r>
      <w:r>
        <w:t xml:space="preserve">«Fooling LIME and SHAP: Adversarial Attacks on Post Hoc Explanation Methods»</w:t>
      </w:r>
      <w:r>
        <w:t xml:space="preserve">.</w:t>
      </w:r>
      <w:r>
        <w:t xml:space="preserve"> </w:t>
      </w:r>
      <w:r>
        <w:rPr>
          <w:i/>
          <w:iCs/>
        </w:rPr>
        <w:t xml:space="preserve">Proceedings of the AAAI/ACM Conference on AI, Ethics, and Society</w:t>
      </w:r>
      <w:r>
        <w:t xml:space="preserve">, 180-86.</w:t>
      </w:r>
      <w:r>
        <w:t xml:space="preserve"> </w:t>
      </w:r>
      <w:hyperlink ns5:id="rId423">
        <w:r>
          <w:rPr>
            <w:rStyle w:val="Hipervnculo"/>
          </w:rPr>
          <w:t xml:space="preserve">https://doi.org/10.1145/3375627.3375830</w:t>
        </w:r>
      </w:hyperlink>
      <w:r>
        <w:t xml:space="preserve">.</w:t>
      </w:r>
    </w:p>
    <w:bookmarkEnd w:id="424"/>
    <w:bookmarkStart w:id="426" w:name="ref-sokol2020"/>
    <w:p>
      <w:pPr>
        <w:pStyle w:val="Bibliography"/>
        <w:spacing w:line="360" w:lineRule="auto"/>
        <w:jc w:val="both"/>
      </w:pPr>
      <w:r>
        <w:t xml:space="preserve">Sokol, Kacper, y Peter Flach. 2020.</w:t>
      </w:r>
      <w:r>
        <w:t xml:space="preserve"> </w:t>
      </w:r>
      <w:r>
        <w:t xml:space="preserve">«One Explanation Does Not Fit All: The Promise of Interactive Explanations for Machine Learning Transparency»</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425">
        <w:r>
          <w:rPr>
            <w:rStyle w:val="Hipervnculo"/>
          </w:rPr>
          <w:t xml:space="preserve">https://doi.org/10.1007/s13218-020-00637-y</w:t>
        </w:r>
      </w:hyperlink>
      <w:r>
        <w:t xml:space="preserve">.</w:t>
      </w:r>
    </w:p>
    <w:bookmarkEnd w:id="426"/>
    <w:bookmarkStart w:id="428" w:name="ref-tan2023"/>
    <w:p>
      <w:pPr>
        <w:pStyle w:val="Bibliography"/>
        <w:spacing w:line="360" w:lineRule="auto"/>
        <w:jc w:val="both"/>
      </w:pPr>
      <w:r>
        <w:t xml:space="preserve">Tan, Juntao, y Yongfeng Zhang. 2023.</w:t>
      </w:r>
      <w:r>
        <w:t xml:space="preserve"> </w:t>
      </w:r>
      <w:r>
        <w:t xml:space="preserve">«ExplainableFold: Understanding AlphaFold Prediction with Explainable AI»</w:t>
      </w:r>
      <w:r>
        <w:t xml:space="preserve">.</w:t>
      </w:r>
      <w:r>
        <w:t xml:space="preserve"> </w:t>
      </w:r>
      <w:r>
        <w:rPr>
          <w:i/>
          <w:iCs/>
        </w:rPr>
        <w:t xml:space="preserve">Proceedings of the 29th ACM SIGKDD Conference on Knowledge Discovery and Data Mining</w:t>
      </w:r>
      <w:r>
        <w:t xml:space="preserve">, 2166-76.</w:t>
      </w:r>
      <w:r>
        <w:t xml:space="preserve"> </w:t>
      </w:r>
      <w:hyperlink ns5:id="rId427">
        <w:r>
          <w:rPr>
            <w:rStyle w:val="Hipervnculo"/>
          </w:rPr>
          <w:t xml:space="preserve">https://doi.org/10.1145/3580305.3599337</w:t>
        </w:r>
      </w:hyperlink>
      <w:r>
        <w:t xml:space="preserve">.</w:t>
      </w:r>
    </w:p>
    <w:bookmarkEnd w:id="428"/>
    <w:bookmarkStart w:id="430" w:name="ref-tjoa2020"/>
    <w:p>
      <w:pPr>
        <w:pStyle w:val="Bibliography"/>
        <w:spacing w:line="360" w:lineRule="auto"/>
        <w:jc w:val="both"/>
      </w:pPr>
      <w:r>
        <w:t xml:space="preserve">Tjoa, Erico, y Cuntai Guan. 2021.</w:t>
      </w:r>
      <w:r>
        <w:t xml:space="preserve"> </w:t>
      </w:r>
      <w:r>
        <w:t xml:space="preserve">«A Survey on Explainable Artificial Intelligence (XAI): Toward Medical XAI»</w:t>
      </w:r>
      <w:r>
        <w:t xml:space="preserve">.</w:t>
      </w:r>
      <w:r>
        <w:t xml:space="preserve"> </w:t>
      </w:r>
      <w:r>
        <w:rPr>
          <w:i/>
          <w:iCs/>
        </w:rPr>
        <w:t xml:space="preserve">IEEE Transactions on Neural Networks and Learning Systems</w:t>
      </w:r>
      <w:r>
        <w:t xml:space="preserve"> </w:t>
      </w:r>
      <w:r>
        <w:t xml:space="preserve">32 (11): 4793-813.</w:t>
      </w:r>
      <w:r>
        <w:t xml:space="preserve"> </w:t>
      </w:r>
      <w:hyperlink ns5:id="rId429">
        <w:r>
          <w:rPr>
            <w:rStyle w:val="Hipervnculo"/>
          </w:rPr>
          <w:t xml:space="preserve">https://doi.org/10.1109/TNNLS.2020.3027314</w:t>
        </w:r>
      </w:hyperlink>
      <w:r>
        <w:t xml:space="preserve">.</w:t>
      </w:r>
    </w:p>
    <w:bookmarkEnd w:id="430"/>
    <w:bookmarkStart w:id="432" w:name="ref-tomsett2020"/>
    <w:p>
      <w:pPr>
        <w:pStyle w:val="Bibliography"/>
        <w:spacing w:line="360" w:lineRule="auto"/>
        <w:jc w:val="both"/>
      </w:pPr>
      <w:r>
        <w:t xml:space="preserve">Tomsett, Richard, Dan Harborne, Supriyo Chakraborty, Prudhvi Gurram, y Alun Preece. 2020.</w:t>
      </w:r>
      <w:r>
        <w:t xml:space="preserve"> </w:t>
      </w:r>
      <w:r>
        <w:t xml:space="preserve">«Sanity Checks for Saliency Metrics»</w:t>
      </w:r>
      <w:r>
        <w:t xml:space="preserve">.</w:t>
      </w:r>
      <w:r>
        <w:t xml:space="preserve"> </w:t>
      </w:r>
      <w:r>
        <w:rPr>
          <w:i/>
          <w:iCs/>
        </w:rPr>
        <w:t xml:space="preserve">Proceedings of the AAAI Conference on Artificial Intelligence</w:t>
      </w:r>
      <w:r>
        <w:t xml:space="preserve"> </w:t>
      </w:r>
      <w:r>
        <w:t xml:space="preserve">34 (04): 6021-29.</w:t>
      </w:r>
      <w:r>
        <w:t xml:space="preserve"> </w:t>
      </w:r>
      <w:hyperlink ns5:id="rId431">
        <w:r>
          <w:rPr>
            <w:rStyle w:val="Hipervnculo"/>
          </w:rPr>
          <w:t xml:space="preserve">https://doi.org/10.1609/aaai.v34i04.6064</w:t>
        </w:r>
      </w:hyperlink>
      <w:r>
        <w:t xml:space="preserve">.</w:t>
      </w:r>
    </w:p>
    <w:bookmarkEnd w:id="432"/>
    <w:bookmarkStart w:id="434"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w:t>
      </w:r>
      <w:r>
        <w:t xml:space="preserve"> </w:t>
      </w:r>
      <w:r>
        <w:rPr>
          <w:i/>
          <w:iCs/>
        </w:rPr>
        <w:t xml:space="preserve">In CRC Press eBooks</w:t>
      </w:r>
      <w:r>
        <w:t xml:space="preserve">, advance online publication.</w:t>
      </w:r>
      <w:r>
        <w:t xml:space="preserve"> </w:t>
      </w:r>
      <w:hyperlink ns5:id="rId433">
        <w:r>
          <w:rPr>
            <w:rStyle w:val="Hipervnculo"/>
          </w:rPr>
          <w:t xml:space="preserve">https://doi.org/10.1201/9781003442509</w:t>
        </w:r>
      </w:hyperlink>
      <w:r>
        <w:t xml:space="preserve">.</w:t>
      </w:r>
    </w:p>
    <w:bookmarkEnd w:id="434"/>
    <w:bookmarkStart w:id="435" w:name="ref-tsai2023"/>
    <w:p>
      <w:pPr>
        <w:pStyle w:val="Bibliography"/>
        <w:spacing w:line="360" w:lineRule="auto"/>
        <w:jc w:val="both"/>
      </w:pPr>
      <w:r>
        <w:t xml:space="preserve">Tsai, Che-Ping, Chih-Kuan Yeh, y Pradeep Ravikumar. 2023.</w:t>
      </w:r>
      <w:r>
        <w:t xml:space="preserve"> </w:t>
      </w:r>
      <w:r>
        <w:t xml:space="preserve">«Faith-Shap: The Faithful Shapley Interaction Index»</w:t>
      </w:r>
      <w:r>
        <w:t xml:space="preserve">.</w:t>
      </w:r>
      <w:r>
        <w:t xml:space="preserve"> </w:t>
      </w:r>
      <w:r>
        <w:rPr>
          <w:i/>
          <w:iCs/>
        </w:rPr>
        <w:t xml:space="preserve">Journal of Machine Learning Research</w:t>
      </w:r>
      <w:r>
        <w:t xml:space="preserve"> </w:t>
      </w:r>
      <w:r>
        <w:t xml:space="preserve">24: 1-42.</w:t>
      </w:r>
    </w:p>
    <w:bookmarkEnd w:id="435"/>
    <w:bookmarkStart w:id="437" w:name="ref-tsigos2024"/>
    <w:p>
      <w:pPr>
        <w:pStyle w:val="Bibliography"/>
        <w:spacing w:line="360" w:lineRule="auto"/>
        <w:jc w:val="both"/>
      </w:pPr>
      <w:r>
        <w:t xml:space="preserve">Tsigos, Konstantinos, Evlampios Apostolidis, Spyridon Baxevanakis, Symeon Papadopoulos, y Vasileios Mezaris. 2024.</w:t>
      </w:r>
      <w:r>
        <w:t xml:space="preserve"> </w:t>
      </w:r>
      <w:r>
        <w:t xml:space="preserve">«Towards Quantitative Evaluation of Explainable AI Methods for Deepfake Detection»</w:t>
      </w:r>
      <w:r>
        <w:t xml:space="preserve">.</w:t>
      </w:r>
      <w:r>
        <w:t xml:space="preserve"> </w:t>
      </w:r>
      <w:r>
        <w:rPr>
          <w:i/>
          <w:iCs/>
        </w:rPr>
        <w:t xml:space="preserve">3rd ACM International Workshop on Multimedia AI against Disinformation</w:t>
      </w:r>
      <w:r>
        <w:t xml:space="preserve">, 37-45.</w:t>
      </w:r>
      <w:r>
        <w:t xml:space="preserve"> </w:t>
      </w:r>
      <w:hyperlink ns5:id="rId436">
        <w:r>
          <w:rPr>
            <w:rStyle w:val="Hipervnculo"/>
          </w:rPr>
          <w:t xml:space="preserve">https://doi.org/10.1145/3643491.3660292</w:t>
        </w:r>
      </w:hyperlink>
      <w:r>
        <w:t xml:space="preserve">.</w:t>
      </w:r>
    </w:p>
    <w:bookmarkEnd w:id="437"/>
    <w:bookmarkStart w:id="439" w:name="ref-ullah2024"/>
    <w:p>
      <w:pPr>
        <w:pStyle w:val="Bibliography"/>
        <w:spacing w:line="360" w:lineRule="auto"/>
        <w:jc w:val="both"/>
      </w:pPr>
      <w:r>
        <w:t xml:space="preserve">Ullah, Naeem, Javed Ali Khan, Ivanoe De Falco, y Giovanna Sannino. 2024.</w:t>
      </w:r>
      <w:r>
        <w:t xml:space="preserve"> </w:t>
      </w:r>
      <w:r>
        <w:t xml:space="preserve">«Explainable Artificial Intelligence: Importance, Use Domains, Stages, Output Shapes, and Challenges»</w:t>
      </w:r>
      <w:r>
        <w:t xml:space="preserve">.</w:t>
      </w:r>
      <w:r>
        <w:t xml:space="preserve"> </w:t>
      </w:r>
      <w:r>
        <w:rPr>
          <w:i/>
          <w:iCs/>
        </w:rPr>
        <w:t xml:space="preserve">ACM Computing Surveys</w:t>
      </w:r>
      <w:r>
        <w:t xml:space="preserve"> </w:t>
      </w:r>
      <w:r>
        <w:t xml:space="preserve">57 (4): 1-36.</w:t>
      </w:r>
      <w:r>
        <w:t xml:space="preserve"> </w:t>
      </w:r>
      <w:hyperlink ns5:id="rId438">
        <w:r>
          <w:rPr>
            <w:rStyle w:val="Hipervnculo"/>
          </w:rPr>
          <w:t xml:space="preserve">https://doi.org/10.1145/3705724</w:t>
        </w:r>
      </w:hyperlink>
      <w:r>
        <w:t xml:space="preserve">.</w:t>
      </w:r>
    </w:p>
    <w:bookmarkEnd w:id="439"/>
    <w:bookmarkStart w:id="441" w:name="ref-vainiopekka2023"/>
    <w:p>
      <w:pPr>
        <w:pStyle w:val="Bibliography"/>
        <w:spacing w:line="360" w:lineRule="auto"/>
        <w:jc w:val="both"/>
      </w:pPr>
      <w:r>
        <w:t xml:space="preserve">Vainio-Pekka, Heidi, Mamia Ori-Otse Agbese, Marianna Jantunen, et al. 2023.</w:t>
      </w:r>
      <w:r>
        <w:t xml:space="preserve"> </w:t>
      </w:r>
      <w:r>
        <w:t xml:space="preserve">«The Role of Explainable AI in the Research Field of AI Ethics»</w:t>
      </w:r>
      <w:r>
        <w:t xml:space="preserve">.</w:t>
      </w:r>
      <w:r>
        <w:t xml:space="preserve"> </w:t>
      </w:r>
      <w:r>
        <w:rPr>
          <w:i/>
          <w:iCs/>
        </w:rPr>
        <w:t xml:space="preserve">ACM Transactions on Interactive Intelligent Systems</w:t>
      </w:r>
      <w:r>
        <w:t xml:space="preserve"> </w:t>
      </w:r>
      <w:r>
        <w:t xml:space="preserve">13 (4): 1-39.</w:t>
      </w:r>
      <w:r>
        <w:t xml:space="preserve"> </w:t>
      </w:r>
      <w:hyperlink ns5:id="rId440">
        <w:r>
          <w:rPr>
            <w:rStyle w:val="Hipervnculo"/>
          </w:rPr>
          <w:t xml:space="preserve">https://doi.org/10.1145/3599974</w:t>
        </w:r>
      </w:hyperlink>
      <w:r>
        <w:t xml:space="preserve">.</w:t>
      </w:r>
    </w:p>
    <w:bookmarkEnd w:id="441"/>
    <w:bookmarkStart w:id="443" w:name="ref-vandenbroeck2022"/>
    <w:p>
      <w:pPr>
        <w:pStyle w:val="Bibliography"/>
        <w:spacing w:line="360" w:lineRule="auto"/>
        <w:jc w:val="both"/>
      </w:pPr>
      <w:r>
        <w:t xml:space="preserve">Van den Broeck, Guy, Anton Lykov, Maximilian Schleich, y Dan Suciu. 2022.</w:t>
      </w:r>
      <w:r>
        <w:t xml:space="preserve"> </w:t>
      </w:r>
      <w:r>
        <w:t xml:space="preserve">«On the Tractability of SHAP Explanations»</w:t>
      </w:r>
      <w:r>
        <w:t xml:space="preserve">.</w:t>
      </w:r>
      <w:r>
        <w:t xml:space="preserve"> </w:t>
      </w:r>
      <w:r>
        <w:rPr>
          <w:i/>
          <w:iCs/>
        </w:rPr>
        <w:t xml:space="preserve">Journal of Artificial Intelligence Research</w:t>
      </w:r>
      <w:r>
        <w:t xml:space="preserve"> </w:t>
      </w:r>
      <w:r>
        <w:t xml:space="preserve">74: 851-86.</w:t>
      </w:r>
      <w:r>
        <w:t xml:space="preserve"> </w:t>
      </w:r>
      <w:hyperlink ns5:id="rId442">
        <w:r>
          <w:rPr>
            <w:rStyle w:val="Hipervnculo"/>
          </w:rPr>
          <w:t xml:space="preserve">https://doi.org/10.1613/jair.1.13283</w:t>
        </w:r>
      </w:hyperlink>
      <w:r>
        <w:t xml:space="preserve">.</w:t>
      </w:r>
    </w:p>
    <w:bookmarkEnd w:id="443"/>
    <w:bookmarkStart w:id="445" w:name="ref-voigt2017"/>
    <w:p>
      <w:pPr>
        <w:pStyle w:val="Bibliography"/>
        <w:spacing w:line="360" w:lineRule="auto"/>
        <w:jc w:val="both"/>
      </w:pPr>
      <w:r>
        <w:t xml:space="preserve">Voigt, Paul, y Axel von dem Bussche. 2017.</w:t>
      </w:r>
      <w:r>
        <w:t xml:space="preserve"> </w:t>
      </w:r>
      <w:r>
        <w:rPr>
          <w:i/>
          <w:iCs/>
        </w:rPr>
        <w:t xml:space="preserve">The EU General Data Protection Regulation (GDPR): A Practical Guide</w:t>
      </w:r>
      <w:r>
        <w:t xml:space="preserve">. Springer.</w:t>
      </w:r>
      <w:r>
        <w:t xml:space="preserve"> </w:t>
      </w:r>
      <w:hyperlink ns5:id="rId444">
        <w:r>
          <w:rPr>
            <w:rStyle w:val="Hipervnculo"/>
          </w:rPr>
          <w:t xml:space="preserve">https://doi.org/10.1007/978-3-319-57959-7</w:t>
        </w:r>
      </w:hyperlink>
      <w:r>
        <w:t xml:space="preserve">.</w:t>
      </w:r>
    </w:p>
    <w:bookmarkEnd w:id="445"/>
    <w:bookmarkStart w:id="447"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w:t>
      </w:r>
      <w:r>
        <w:t xml:space="preserve"> </w:t>
      </w:r>
      <w:r>
        <w:rPr>
          <w:i/>
          <w:iCs/>
        </w:rPr>
        <w:t xml:space="preserve">SSRN Electronic Journal</w:t>
      </w:r>
      <w:r>
        <w:t xml:space="preserve">, advance online publication.</w:t>
      </w:r>
      <w:r>
        <w:t xml:space="preserve"> </w:t>
      </w:r>
      <w:hyperlink ns5:id="rId446">
        <w:r>
          <w:rPr>
            <w:rStyle w:val="Hipervnculo"/>
          </w:rPr>
          <w:t xml:space="preserve">https://doi.org/10.2139/ssrn.3063289</w:t>
        </w:r>
      </w:hyperlink>
      <w:r>
        <w:t xml:space="preserve">.</w:t>
      </w:r>
    </w:p>
    <w:bookmarkEnd w:id="447"/>
    <w:bookmarkStart w:id="448" w:name="ref-wang2025"/>
    <w:p>
      <w:pPr>
        <w:pStyle w:val="Bibliography"/>
        <w:spacing w:line="360" w:lineRule="auto"/>
        <w:jc w:val="both"/>
      </w:pPr>
      <w:r>
        <w:t xml:space="preserve">Wang, Zhanliang, y Kai Wang. 2025.</w:t>
      </w:r>
      <w:r>
        <w:t xml:space="preserve"> </w:t>
      </w:r>
      <w:r>
        <w:rPr>
          <w:i/>
          <w:iCs/>
        </w:rPr>
        <w:t xml:space="preserve">MultiSHAP: A Shapley-Based Framework for Explaining Cross-Modal Interactions in Multimodal AI Models</w:t>
      </w:r>
      <w:r>
        <w:t xml:space="preserve">.</w:t>
      </w:r>
    </w:p>
    <w:bookmarkEnd w:id="448"/>
    <w:bookmarkStart w:id="450" w:name="ref-wilcoxon1945"/>
    <w:p>
      <w:pPr>
        <w:pStyle w:val="Bibliography"/>
        <w:spacing w:line="360" w:lineRule="auto"/>
        <w:jc w:val="both"/>
      </w:pPr>
      <w:r>
        <w:t xml:space="preserve">Wilcoxon, Frank. 1945.</w:t>
      </w:r>
      <w:r>
        <w:t xml:space="preserve"> </w:t>
      </w:r>
      <w:r>
        <w:t xml:space="preserve">«Individual Comparisons by Ranking Methods»</w:t>
      </w:r>
      <w:r>
        <w:t xml:space="preserve">.</w:t>
      </w:r>
      <w:r>
        <w:t xml:space="preserve"> </w:t>
      </w:r>
      <w:r>
        <w:rPr>
          <w:i/>
          <w:iCs/>
        </w:rPr>
        <w:t xml:space="preserve">Biometrics Bulletin</w:t>
      </w:r>
      <w:r>
        <w:t xml:space="preserve"> </w:t>
      </w:r>
      <w:r>
        <w:t xml:space="preserve">1 (6): 80-83.</w:t>
      </w:r>
      <w:r>
        <w:t xml:space="preserve"> </w:t>
      </w:r>
      <w:hyperlink ns5:id="rId449">
        <w:r>
          <w:rPr>
            <w:rStyle w:val="Hipervnculo"/>
          </w:rPr>
          <w:t xml:space="preserve">https://doi.org/10.2307/3001968</w:t>
        </w:r>
      </w:hyperlink>
      <w:r>
        <w:t xml:space="preserve">.</w:t>
      </w:r>
    </w:p>
    <w:bookmarkEnd w:id="450"/>
    <w:bookmarkStart w:id="452"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w:t>
      </w:r>
      <w:r>
        <w:t xml:space="preserve"> </w:t>
      </w:r>
      <w:r>
        <w:rPr>
          <w:i/>
          <w:iCs/>
        </w:rPr>
        <w:t xml:space="preserve">ICLR 2025 Proceedings</w:t>
      </w:r>
      <w:r>
        <w:t xml:space="preserve">.</w:t>
      </w:r>
      <w:r>
        <w:t xml:space="preserve"> </w:t>
      </w:r>
      <w:hyperlink ns5:id="rId451">
        <w:r>
          <w:rPr>
            <w:rStyle w:val="Hipervnculo"/>
          </w:rPr>
          <w:t xml:space="preserve">https://trustai4s-lab.github.io/ffidelity</w:t>
        </w:r>
      </w:hyperlink>
      <w:r>
        <w:t xml:space="preserve">.</w:t>
      </w:r>
    </w:p>
    <w:bookmarkEnd w:id="452"/>
    <w:bookmarkEnd w:id="453"/>
    <w:bookmarkEnd w:id="454"/>
    <w:bookmarkStart w:id="478" w:name="apéndices"/>
    <w:p>
      <w:pPr>
        <w:pStyle w:val="Ttulo1"/>
        <w:spacing w:line="360" w:lineRule="auto"/>
        <w:jc w:val="both"/>
      </w:pPr>
      <w:r>
        <w:t xml:space="preserve">Apéndices</w:t>
      </w:r>
    </w:p>
    <w:bookmarkStart w:id="456"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tblLayout w:type="fixed"/>
        <w:tblLook w:firstRow="0" w:lastRow="0" w:firstColumn="0" w:lastColumn="0" w:noHBand="0" w:noVBand="0" w:val="0000"/>
      </w:tblPr>
      <w:tblGrid>
        <w:gridCol w:w="7920"/>
      </w:tblGrid>
      <w:tr>
        <w:tc>
          <w:tcPr/>
          <w:bookmarkStart w:id="455" w:name="tbl-appendix-dataset-schema"/>
          <w:p>
            <w:pPr>
              <w:jc w:val="both"/>
              <w:spacing w:line="360" w:lineRule="auto"/>
            </w:pPr>
            <w:pPr>
              <w:jc w:val="left"/>
              <w:spacing w:before="200"/>
              <w:pStyle w:val="ImageCaption"/>
            </w:pPr>
            <w:r>
              <w:t xml:space="preserve">Tabla 6.5: Esquema resumido del conjunto Adult y transformaciones de preprocesamiento.</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Grupo</w:t>
                  </w:r>
                </w:p>
              </w:tc>
              <w:tc>
                <w:tcPr/>
                <w:p>
                  <w:pPr>
                    <w:pStyle w:val="Compact"/>
                    <w:jc w:val="both"/>
                    <w:jc w:val="center"/>
                    <w:spacing w:line="360" w:lineRule="auto"/>
                  </w:pPr>
                  <w:r>
                    <w:t xml:space="preserve">Características</w:t>
                  </w:r>
                </w:p>
              </w:tc>
              <w:tc>
                <w:tcPr/>
                <w:p>
                  <w:pPr>
                    <w:pStyle w:val="Compact"/>
                    <w:jc w:val="both"/>
                    <w:jc w:val="center"/>
                    <w:spacing w:line="360" w:lineRule="auto"/>
                  </w:pPr>
                  <w: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455"/>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456"/>
    <w:bookmarkStart w:id="458"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tblLayout w:type="fixed"/>
        <w:tblLook w:firstRow="0" w:lastRow="0" w:firstColumn="0" w:lastColumn="0" w:noHBand="0" w:noVBand="0" w:val="0000"/>
      </w:tblPr>
      <w:tblGrid>
        <w:gridCol w:w="7920"/>
      </w:tblGrid>
      <w:tr>
        <w:tc>
          <w:tcPr/>
          <w:bookmarkStart w:id="457" w:name="tbl-appendix-models"/>
          <w:p>
            <w:pPr>
              <w:jc w:val="both"/>
              <w:spacing w:line="360" w:lineRule="auto"/>
            </w:pPr>
            <w:pPr>
              <w:jc w:val="left"/>
              <w:spacing w:before="200"/>
              <w:pStyle w:val="ImageCaption"/>
            </w:pPr>
            <w:r>
              <w:t xml:space="preserve">Tabla 6.6: Modelos predictivos, justificación y ubicación de artefactos.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Rol metodológico</w:t>
                  </w:r>
                </w:p>
              </w:tc>
              <w:tc>
                <w:tcPr/>
                <w:p>
                  <w:pPr>
                    <w:pStyle w:val="Compact"/>
                    <w:jc w:val="both"/>
                    <w:jc w:val="center"/>
                    <w:spacing w:line="360" w:lineRule="auto"/>
                  </w:pPr>
                  <w:r>
                    <w:t xml:space="preserve">Artefacto principal</w:t>
                  </w:r>
                </w:p>
              </w:tc>
              <w:tc>
                <w:tcPr/>
                <w:p>
                  <w:pPr>
                    <w:pStyle w:val="Compact"/>
                    <w:jc w:val="both"/>
                    <w:jc w:val="center"/>
                    <w:spacing w:line="360" w:lineRule="auto"/>
                  </w:pPr>
                  <w: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457"/>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458"/>
    <w:bookmarkStart w:id="465"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tblLayout w:type="fixed"/>
        <w:tblLook w:firstRow="0" w:lastRow="0" w:firstColumn="0" w:lastColumn="0" w:noHBand="0" w:noVBand="0" w:val="0000"/>
      </w:tblPr>
      <w:tblGrid>
        <w:gridCol w:w="7920"/>
      </w:tblGrid>
      <w:tr>
        <w:tc>
          <w:tcPr/>
          <w:bookmarkStart w:id="459" w:name="tbl-appendix-explainers"/>
          <w:p>
            <w:pPr>
              <w:jc w:val="both"/>
              <w:spacing w:line="360" w:lineRule="auto"/>
            </w:pPr>
            <w:pPr>
              <w:jc w:val="left"/>
              <w:spacing w:before="200"/>
              <w:pStyle w:val="ImageCaption"/>
            </w:pPr>
            <w:r>
              <w:t xml:space="preserve">Tabla 6.7: Configuración de explicadores y caveats operativos.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Explicador</w:t>
                  </w:r>
                </w:p>
              </w:tc>
              <w:tc>
                <w:tcPr/>
                <w:p>
                  <w:pPr>
                    <w:pStyle w:val="Compact"/>
                    <w:jc w:val="both"/>
                    <w:jc w:val="center"/>
                    <w:spacing w:line="360" w:lineRule="auto"/>
                  </w:pPr>
                  <w:r>
                    <w:t xml:space="preserve">Configuración efectiva</w:t>
                  </w:r>
                </w:p>
              </w:tc>
              <w:tc>
                <w:tcPr/>
                <w:p>
                  <w:pPr>
                    <w:pStyle w:val="Compact"/>
                    <w:jc w:val="both"/>
                    <w:jc w:val="center"/>
                    <w:spacing w:line="360" w:lineRule="auto"/>
                  </w:pPr>
                  <w:r>
                    <w:t xml:space="preserve">Implementación</w:t>
                  </w:r>
                </w:p>
              </w:tc>
              <w:tc>
                <w:tcPr/>
                <w:p>
                  <w:pPr>
                    <w:pStyle w:val="Compact"/>
                    <w:jc w:val="both"/>
                    <w:jc w:val="center"/>
                    <w:spacing w:line="360" w:lineRule="auto"/>
                  </w:pPr>
                  <w: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459"/>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464"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tblLayout w:type="fixed"/>
        <w:tblLook w:firstRow="0" w:lastRow="0" w:firstColumn="0" w:lastColumn="0" w:noHBand="0" w:noVBand="0" w:val="0000"/>
      </w:tblPr>
      <w:tblGrid>
        <w:gridCol w:w="7920"/>
      </w:tblGrid>
      <w:tr>
        <w:tc>
          <w:tcPr/>
          <w:bookmarkStart w:id="460" w:name="tbl-appendix-lime-sensitivity"/>
          <w:p>
            <w:pPr>
              <w:jc w:val="both"/>
              <w:spacing w:line="360" w:lineRule="auto"/>
            </w:pPr>
            <w:pPr>
              <w:jc w:val="left"/>
              <w:spacing w:before="200"/>
              <w:pStyle w:val="ImageCaption"/>
            </w:pPr>
            <w:r>
              <w:t xml:space="preserve">Tabla 6.8: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rStyle w:val="VerbatimChar"/>
                    </w:rPr>
                    <w:t xml:space="preserve">num_samples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460"/>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Tabla 6.11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tblLayout w:type="fixed"/>
        <w:tblLook w:firstRow="0" w:lastRow="0" w:firstColumn="0" w:lastColumn="0" w:noHBand="0" w:noVBand="0" w:val="0000"/>
      </w:tblPr>
      <w:tblGrid>
        <w:gridCol w:w="7920"/>
      </w:tblGrid>
      <w:tr>
        <w:tc>
          <w:tcPr/>
          <w:bookmarkStart w:id="461" w:name="tbl-appendix-shap-sensitivity"/>
          <w:p>
            <w:pPr>
              <w:jc w:val="both"/>
              <w:spacing w:line="360" w:lineRule="auto"/>
            </w:pPr>
            <w:pPr>
              <w:jc w:val="left"/>
              <w:spacing w:before="200"/>
              <w:pStyle w:val="ImageCaption"/>
            </w:pPr>
            <w:r>
              <w:t xml:space="preserve">Tabla 6.9: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Referencia (</w:t>
                  </w:r>
                  <ns1:oMath>
                    <ns1:r>
                      <ns1:t>k</ns1:t>
                    </ns1:r>
                  </ns1:oMath>
                  <w:r>
                    <w:t xml:space="preserve">)</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461"/>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tblLayout w:type="fixed"/>
        <w:tblLook w:firstRow="0" w:lastRow="0" w:firstColumn="0" w:lastColumn="0" w:noHBand="0" w:noVBand="0" w:val="0000"/>
      </w:tblPr>
      <w:tblGrid>
        <w:gridCol w:w="7920"/>
      </w:tblGrid>
      <w:tr>
        <w:tc>
          <w:tcPr/>
          <w:bookmarkStart w:id="462" w:name="tbl-appendix-anchors-sensitivity"/>
          <w:p>
            <w:pPr>
              <w:jc w:val="both"/>
              <w:spacing w:line="360" w:lineRule="auto"/>
            </w:pPr>
            <w:pPr>
              <w:jc w:val="left"/>
              <w:spacing w:before="200"/>
              <w:pStyle w:val="ImageCaption"/>
            </w:pPr>
            <w:r>
              <w:t xml:space="preserve">Tabla 6.10: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Tabla 3.5</w:t>
              </w:r>
            </w:hyperlink>
            <w:r>
              <w:t xml:space="preserve">—, mientras que la fidelidad y el coste corresponden a la</w:t>
            </w:r>
            <w:r>
              <w:t xml:space="preserve"> </w:t>
            </w:r>
            <w:r>
              <w:t xml:space="preserve">condición de sondeo RF, semilla 42.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t xml:space="preserve">Cobertura del diseño completo (75 celdas)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462"/>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0" w:lastRow="0" w:firstColumn="0" w:lastColumn="0" w:noHBand="0" w:noVBand="0" w:val="0000"/>
      </w:tblPr>
      <w:tblGrid>
        <w:gridCol w:w="7920"/>
      </w:tblGrid>
      <w:tr>
        <w:tc>
          <w:tcPr/>
          <w:bookmarkStart w:id="463" w:name="tbl-appendix-lime-kw-sensitivity"/>
          <w:p>
            <w:pPr>
              <w:jc w:val="both"/>
              <w:spacing w:line="360" w:lineRule="auto"/>
            </w:pPr>
            <w:pPr>
              <w:jc w:val="left"/>
              <w:spacing w:before="200"/>
              <w:pStyle w:val="ImageCaption"/>
            </w:pPr>
            <w:r>
              <w:t xml:space="preserve">Tabla 6.11: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rStyle w:val="VerbatimChar"/>
                    </w:rPr>
                    <w:t xml:space="preserve">kernel_width</w:t>
                  </w:r>
                </w:p>
              </w:tc>
              <w:tc>
                <w:tcPr/>
                <w:p>
                  <w:pPr>
                    <w:pStyle w:val="Compact"/>
                    <w:jc w:val="both"/>
                    <w:jc w:val="center"/>
                    <w:spacing w:line="360" w:lineRule="auto"/>
                  </w:pPr>
                  <w:r>
                    <w:t xml:space="preserve">Instancias válidas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463"/>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464"/>
    <w:bookmarkEnd w:id="465"/>
    <w:bookmarkStart w:id="473"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tblLayout w:type="fixed"/>
        <w:tblLook w:firstRow="0" w:lastRow="0" w:firstColumn="0" w:lastColumn="0" w:noHBand="0" w:noVBand="0" w:val="0000"/>
      </w:tblPr>
      <w:tblGrid>
        <w:gridCol w:w="7920"/>
      </w:tblGrid>
      <w:tr>
        <w:tc>
          <w:tcPr/>
          <w:bookmarkStart w:id="466" w:name="tbl-appendix-stat-outputs"/>
          <w:p>
            <w:pPr>
              <w:jc w:val="both"/>
              <w:spacing w:line="360" w:lineRule="auto"/>
            </w:pPr>
            <w:pPr>
              <w:jc w:val="left"/>
              <w:spacing w:before="200"/>
              <w:pStyle w:val="ImageCaption"/>
            </w:pPr>
            <w:r>
              <w:t xml:space="preserve">Tabla 6.12: Salidas estadísticas principales y uso en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466"/>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468" w:name="Xe3909ed8b3f47a476ee07b1fbdd59a863fdc536"/>
    <w:p>
      <w:pPr>
        <w:pStyle w:val="Ttulo3"/>
        <w:spacing w:line="360" w:lineRule="auto"/>
        <w:jc w:val="both"/>
      </w:pPr>
      <w:r>
        <w:t xml:space="preserve">D.1 Resultados completos de la prueba de Friedman</w:t>
      </w:r>
    </w:p>
    <w:tbl>
      <w:tblPr>
        <w:tblStyle w:val="Table"/>
        <w:tblW w:type="pct" w:w="5000"/>
        <w:tblLayout w:type="fixed"/>
        <w:tblLook w:firstRow="0" w:lastRow="0" w:firstColumn="0" w:lastColumn="0" w:noHBand="0" w:noVBand="0" w:val="0000"/>
      </w:tblPr>
      <w:tblGrid>
        <w:gridCol w:w="7920"/>
      </w:tblGrid>
      <w:tr>
        <w:tc>
          <w:tcPr/>
          <w:bookmarkStart w:id="467" w:name="tbl-appendix-friedman-full"/>
          <w:p>
            <w:pPr>
              <w:jc w:val="both"/>
              <w:spacing w:line="360" w:lineRule="auto"/>
            </w:pPr>
            <w:pPr>
              <w:jc w:val="left"/>
              <w:spacing w:before="200"/>
              <w:pStyle w:val="ImageCaption"/>
            </w:pPr>
            <w:r>
              <w:t xml:space="preserve">Tabla 6.13: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Valores</w:t>
            </w:r>
            <w:r>
              <w:t xml:space="preserve"> </w:t>
            </w:r>
            <ns1:oMath>
              <ns1:r>
                <ns1:t>p</ns1:t>
              </ns1:r>
            </ns1:oMath>
            <w:r>
              <w:t xml:space="preserve"> </w:t>
            </w:r>
            <w:r>
              <w:t xml:space="preserve">crudos y ajustados extraídos de</w:t>
            </w:r>
            <w:r>
              <w:t xml:space="preserve"> </w:t>
            </w:r>
            <w:r>
              <w:rPr>
                <w:rStyle w:val="VerbatimChar"/>
              </w:rPr>
              <w:t xml:space="preserve">outputs/analysis/paper_a_exp2_stats/friedman_results.csv</w:t>
            </w:r>
            <w:r>
              <w:t xml:space="preserve">.</w:t>
            </w:r>
            <w:r>
              <w:t xml:space="preserve"> </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r>
                      <ns1:t>n</ns1:t>
                    </ns1:r>
                  </ns1:oMath>
                  <w:r>
                    <w:t xml:space="preserve"> </w:t>
                  </w:r>
                  <w:r>
                    <w:t xml:space="preserve">bloques</w:t>
                  </w:r>
                </w:p>
              </w:tc>
              <w:tc>
                <w:tcPr/>
                <w:p>
                  <w:pPr>
                    <w:pStyle w:val="Compact"/>
                    <w:jc w:val="both"/>
                    <w:jc w:val="center"/>
                    <w:spacing w:line="360" w:lineRule="auto"/>
                  </w:pPr>
                  <ns1:oMath>
                    <ns1:r>
                      <ns1:t>k</ns1:t>
                    </ns1:r>
                  </ns1:oMath>
                  <w:r>
                    <w:t xml:space="preserve"> </w:t>
                  </w:r>
                  <w: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t xml:space="preserve"> </w:t>
                  </w:r>
                  <w: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Kendall</w:t>
                  </w:r>
                  <w:r>
                    <w:t xml:space="preserve"> </w:t>
                  </w:r>
                  <ns1:oMath>
                    <ns1:r>
                      <ns1:t>W</ns1:t>
                    </ns1:r>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3.78</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7.65</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467"/>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 familia inferencial completa del test omnibus</w:t>
      </w:r>
      <w:r>
        <w:t xml:space="preserve"> </w:t>
      </w:r>
      <w:r>
        <w:t xml:space="preserve">—las cinco métricas primarias evaluadas mediante Friedman, conforme al plan</w:t>
      </w:r>
      <w:r>
        <w:t xml:space="preserve"> </w:t>
      </w:r>
      <w:r>
        <w:t xml:space="preserve">declarado en la</w:t>
      </w:r>
      <w:r>
        <w:t xml:space="preserve"> </w:t>
      </w:r>
      <w:hyperlink w:anchor="tbl-stat-plan">
        <w:r>
          <w:rPr>
            <w:rStyle w:val="Hipervnculo"/>
          </w:rPr>
          <w:t xml:space="preserve">Tabla 3.6</w:t>
        </w:r>
      </w:hyperlink>
      <w:r>
        <w:t xml:space="preserve"> </w:t>
      </w:r>
      <w:r>
        <w:t xml:space="preserve">del Capítulo 3— y no únicamente sobre H1 y H2. El</w:t>
      </w:r>
      <w:r>
        <w:t xml:space="preserve"> </w:t>
      </w:r>
      <w:r>
        <w:t xml:space="preserve">factor de ajuste correspondiente a cada métrica depende, por tanto, de su</w:t>
      </w:r>
      <w:r>
        <w:t xml:space="preserve"> </w:t>
      </w:r>
      <w:r>
        <w:t xml:space="preserve">posición en el orden creciente de los cinco valores</w:t>
      </w:r>
      <w:r>
        <w:t xml:space="preserve"> </w:t>
      </w:r>
      <ns1:oMath>
        <ns1:r>
          <ns1:t>p</ns1:t>
        </ns1:r>
      </ns1:oMath>
      <w:r>
        <w:t xml:space="preserve">: la fidelidad, con el</w:t>
      </w:r>
      <w:r>
        <w:t xml:space="preserve"> </w:t>
      </w:r>
      <ns1:oMath>
        <ns1:r>
          <ns1:t>p</ns1:t>
        </ns1:r>
      </ns1:oMath>
      <w:r>
        <w:t xml:space="preserve"> </w:t>
      </w:r>
      <w:r>
        <w:t xml:space="preserve">crudo menor, recibe el factor</w:t>
      </w:r>
      <w:r>
        <w:t xml:space="preserve"> </w:t>
      </w:r>
      <ns1:oMath>
        <ns1:r>
          <ns1:t>m</ns1:t>
        </ns1:r>
        <ns1:r>
          <ns1:rPr>
            <ns1:sty ns1:val="p"/>
          </ns1:rPr>
          <ns1:t>=</ns1:t>
        </ns1:r>
        <ns1:r>
          <ns1:t>4</ns1:t>
        </ns1:r>
      </ns1:oMath>
      <w:r>
        <w:t xml:space="preserve"> </w:t>
      </w:r>
      <w:r>
        <w:t xml:space="preserve">(</w:t>
      </w:r>
      <ns1:oMath>
        <ns1:r>
          <ns1:t>3.78</ns1:t>
        </ns1:r>
        <ns1:r>
          <ns1:rPr>
            <ns1:sty ns1:val="p"/>
          </ns1:rPr>
          <ns1:t>×</ns1:t>
        </ns1:r>
        <ns1:sSup>
          <ns1:e>
            <ns1:r>
              <ns1:t>10</ns1:t>
            </ns1:r>
          </ns1:e>
          <ns1:sup>
            <ns1:r>
              <ns1:rPr>
                <ns1:sty ns1:val="p"/>
              </ns1:rPr>
              <ns1:t>−</ns1:t>
            </ns1:r>
            <ns1:r>
              <ns1:t>9</ns1:t>
            </ns1:r>
          </ns1:sup>
        </ns1:sSup>
        <ns1:r>
          <ns1:rPr>
            <ns1:sty ns1:val="p"/>
          </ns1:rPr>
          <ns1:t>×</ns1:t>
        </ns1:r>
        <ns1:r>
          <ns1:t>4</ns1:t>
        </ns1:r>
        <ns1:r>
          <ns1:rPr>
            <ns1:sty ns1:val="p"/>
          </ns1:rPr>
          <ns1:t>=</ns1:t>
        </ns1:r>
        <ns1:r>
          <ns1:t>1.51</ns1:t>
        </ns1:r>
        <ns1:r>
          <ns1:rPr>
            <ns1:sty ns1:val="p"/>
          </ns1:rPr>
          <ns1:t>×</ns1:t>
        </ns1:r>
        <ns1:sSup>
          <ns1:e>
            <ns1:r>
              <ns1:t>10</ns1:t>
            </ns1:r>
          </ns1:e>
          <ns1:sup>
            <ns1:r>
              <ns1:rPr>
                <ns1:sty ns1:val="p"/>
              </ns1:rPr>
              <ns1:t>−</ns1:t>
            </ns1:r>
            <ns1:r>
              <ns1:t>8</ns1:t>
            </ns1:r>
          </ns1:sup>
        </ns1:sSup>
      </ns1:oMath>
      <w:r>
        <w:t xml:space="preserve">) y la estabilidad, la siguiente en orden, el factor</w:t>
      </w:r>
      <w:r>
        <w:t xml:space="preserve"> </w:t>
      </w:r>
      <ns1:oMath>
        <ns1:r>
          <ns1:t>m</ns1:t>
        </ns1:r>
        <ns1:r>
          <ns1:rPr>
            <ns1:sty ns1:val="p"/>
          </ns1:rPr>
          <ns1:t>=</ns1:t>
        </ns1:r>
        <ns1:r>
          <ns1:t>3</ns1:t>
        </ns1:r>
      </ns1:oMath>
      <w:r>
        <w:t xml:space="preserve"> </w:t>
      </w:r>
      <w:r>
        <w:t xml:space="preserve">(</w:t>
      </w:r>
      <ns1:oMath>
        <ns1:r>
          <ns1:t>7.65</ns1:t>
        </ns1:r>
        <ns1:r>
          <ns1:rPr>
            <ns1:sty ns1:val="p"/>
          </ns1:rPr>
          <ns1:t>×</ns1:t>
        </ns1:r>
        <ns1:sSup>
          <ns1:e>
            <ns1:r>
              <ns1:t>10</ns1:t>
            </ns1:r>
          </ns1:e>
          <ns1:sup>
            <ns1:r>
              <ns1:rPr>
                <ns1:sty ns1:val="p"/>
              </ns1:rPr>
              <ns1:t>−</ns1:t>
            </ns1:r>
            <ns1:r>
              <ns1:t>9</ns1:t>
            </ns1:r>
          </ns1:sup>
        </ns1:sSup>
        <ns1:r>
          <ns1:rPr>
            <ns1:sty ns1:val="p"/>
          </ns1:rPr>
          <ns1:t>×</ns1:t>
        </ns1:r>
        <ns1:r>
          <ns1:t>3</ns1:t>
        </ns1:r>
        <ns1:r>
          <ns1:rPr>
            <ns1:sty ns1:val="p"/>
          </ns1:rPr>
          <ns1:t>=</ns1:t>
        </ns1:r>
        <ns1:r>
          <ns1:t>2.29</ns1:t>
        </ns1:r>
        <ns1:r>
          <ns1:rPr>
            <ns1:sty ns1:val="p"/>
          </ns1:rPr>
          <ns1:t>×</ns1:t>
        </ns1:r>
        <ns1:sSup>
          <ns1:e>
            <ns1:r>
              <ns1:t>10</ns1:t>
            </ns1:r>
          </ns1:e>
          <ns1:sup>
            <ns1:r>
              <ns1:rPr>
                <ns1:sty ns1:val="p"/>
              </ns1:rPr>
              <ns1:t>−</ns1:t>
            </ns1:r>
            <ns1:r>
              <ns1:t>8</ns1:t>
            </ns1:r>
          </ns1:sup>
        </ns1:sSup>
      </ns1:oMath>
      <w:r>
        <w:t xml:space="preserve">). Ambas hipótesis permanecen</w:t>
      </w:r>
      <w:r>
        <w:t xml:space="preserve"> </w:t>
      </w:r>
      <w:r>
        <w:t xml:space="preserve">significativas tras la corrección con varios órdenes de magnitud de margen.</w:t>
      </w:r>
    </w:p>
    <w:bookmarkEnd w:id="468"/>
    <w:bookmarkStart w:id="470"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tblLayout w:type="fixed"/>
        <w:tblLook w:firstRow="0" w:lastRow="0" w:firstColumn="0" w:lastColumn="0" w:noHBand="0" w:noVBand="0" w:val="0000"/>
      </w:tblPr>
      <w:tblGrid>
        <w:gridCol w:w="7920"/>
      </w:tblGrid>
      <w:tr>
        <w:tc>
          <w:tcPr/>
          <w:bookmarkStart w:id="469" w:name="tbl-appendix-nemenyi-full"/>
          <w:p>
            <w:pPr>
              <w:jc w:val="both"/>
              <w:spacing w:line="360" w:lineRule="auto"/>
            </w:pPr>
            <w:pPr>
              <w:jc w:val="left"/>
              <w:spacing w:before="200"/>
              <w:pStyle w:val="ImageCaption"/>
            </w:pPr>
            <w:r>
              <w:t xml:space="preserve">Tabla 6.14: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(fidelidad)</w:t>
                  </w:r>
                </w:p>
              </w:tc>
              <w:tc>
                <w:tcPr/>
                <w:p>
                  <w:pPr>
                    <w:pStyle w:val="Compact"/>
                    <w:jc w:val="both"/>
                    <w:jc w:val="center"/>
                    <w:spacing w:line="360" w:lineRule="auto"/>
                  </w:pPr>
                  <w: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(estabilidad)</w:t>
                  </w:r>
                </w:p>
              </w:tc>
              <w:tc>
                <w:tcPr/>
                <w:p>
                  <w:pPr>
                    <w:pStyle w:val="Compact"/>
                    <w:jc w:val="both"/>
                    <w:jc w:val="center"/>
                    <w:spacing w:line="360" w:lineRule="auto"/>
                  </w:pPr>
                  <w: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469"/>
          <w:p>
            <w:pPr>
              <w:spacing w:line="360" w:lineRule="auto"/>
              <w:jc w:val="both"/>
            </w:pPr>
          </w:p>
        </w:tc>
      </w:tr>
    </w:tbl>
    <w:bookmarkEnd w:id="470"/>
    <w:bookmarkStart w:id="472"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tblLayout w:type="fixed"/>
        <w:tblLook w:firstRow="0" w:lastRow="0" w:firstColumn="0" w:lastColumn="0" w:noHBand="0" w:noVBand="0" w:val="0000"/>
      </w:tblPr>
      <w:tblGrid>
        <w:gridCol w:w="7920"/>
      </w:tblGrid>
      <w:tr>
        <w:tc>
          <w:tcPr/>
          <w:bookmarkStart w:id="471" w:name="tbl-appendix-wilcoxon-full"/>
          <w:p>
            <w:pPr>
              <w:jc w:val="both"/>
              <w:spacing w:line="360" w:lineRule="auto"/>
            </w:pPr>
            <w:pPr>
              <w:jc w:val="left"/>
              <w:spacing w:before="200"/>
              <w:pStyle w:val="ImageCaption"/>
            </w:pPr>
            <w:r>
              <w:t xml:space="preserve">Tabla 6.15: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acc>
                      <ns1:accPr>
                        <ns1:chr ns1:val="‾"/>
                      </ns1:accPr>
                      <ns1:e>
                        <ns1:r>
                          <ns1:t>d</ns1:t>
                        </ns1:r>
                      </ns1:e>
                    </ns1:acc>
                  </ns1:oMath>
                  <w:r>
                    <w:t xml:space="preserve"> </w:t>
                  </w:r>
                  <w:r>
                    <w:t xml:space="preserve">(SHAP</w:t>
                  </w:r>
                  <ns1:oMath>
                    <ns1:r>
                      <ns1:rPr>
                        <ns1:sty ns1:val="p"/>
                      </ns1:rPr>
                      <ns1:t>−</ns1:t>
                    </ns1:r>
                  </ns1:oMath>
                  <w: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t xml:space="preserve"> </w:t>
                  </w:r>
                  <w: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471"/>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Tabla 4.6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Tabla 4.6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472"/>
    <w:bookmarkEnd w:id="473"/>
    <w:bookmarkStart w:id="475"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tblLayout w:type="fixed"/>
        <w:tblLook w:firstRow="0" w:lastRow="0" w:firstColumn="0" w:lastColumn="0" w:noHBand="0" w:noVBand="0" w:val="0000"/>
      </w:tblPr>
      <w:tblGrid>
        <w:gridCol w:w="7920"/>
      </w:tblGrid>
      <w:tr>
        <w:tc>
          <w:tcPr/>
          <w:bookmarkStart w:id="474" w:name="tbl-appendix-environment"/>
          <w:p>
            <w:pPr>
              <w:jc w:val="both"/>
              <w:spacing w:line="360" w:lineRule="auto"/>
            </w:pPr>
            <w:pPr>
              <w:jc w:val="left"/>
              <w:spacing w:before="200"/>
              <w:pStyle w:val="ImageCaption"/>
            </w:pPr>
            <w:r>
              <w:t xml:space="preserve">Tabla 6.16: Archivos de entorno y reproducción.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474"/>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475"/>
    <w:bookmarkStart w:id="477"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§sec-exp4-diseno, Capítulo 3; resultados en</w:t>
      </w:r>
      <w:r>
        <w:t xml:space="preserve"> </w:t>
      </w:r>
      <w:r>
        <w:t xml:space="preserve">§sec-exp4-fiabilidad,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5.3</w:t>
        </w:r>
      </w:hyperlink>
      <w:r>
        <w:t xml:space="preserve"> </w:t>
      </w:r>
      <w:r>
        <w:t xml:space="preserve">del</w:t>
      </w:r>
      <w:r>
        <w:t xml:space="preserve"> </w:t>
      </w:r>
      <w:r>
        <w:t xml:space="preserve">Capítulo 5.</w:t>
      </w:r>
    </w:p>
    <w:tbl>
      <w:tblPr>
        <w:tblStyle w:val="Table"/>
        <w:tblW w:type="pct" w:w="5000"/>
        <w:tblLayout w:type="fixed"/>
        <w:tblLook w:firstRow="0" w:lastRow="0" w:firstColumn="0" w:lastColumn="0" w:noHBand="0" w:noVBand="0" w:val="0000"/>
      </w:tblPr>
      <w:tblGrid>
        <w:gridCol w:w="7920"/>
      </w:tblGrid>
      <w:tr>
        <w:tc>
          <w:tcPr/>
          <w:bookmarkStart w:id="476" w:name="tbl-appendix-llm"/>
          <w:p>
            <w:pPr>
              <w:jc w:val="both"/>
              <w:spacing w:line="360" w:lineRule="auto"/>
            </w:pPr>
            <w:pPr>
              <w:jc w:val="left"/>
              <w:spacing w:before="200"/>
              <w:pStyle w:val="ImageCaption"/>
            </w:pPr>
            <w:r>
              <w:t xml:space="preserve">Tabla 6.17: Artefactos de EXP4 y trazabilidad a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Artefacto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bl>
          <w:bookmarkEnd w:id="476"/>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§sec-exp4-fiabilidad y §sec-futuro).</w:t>
      </w:r>
    </w:p>
    <w:bookmarkEnd w:id="477"/>
    <w:bookmarkEnd w:id="478"/>
    <w:sectPr w:rsidR="004A1446" w:rsidSect="0070096E">
      <w:headerReference ns5:id="rId9" w:type="even"/>
      <w:headerReference ns5:id="rId10" w:type="default"/>
      <w:pgSz w:h="15840" w:w="12240"/>
      <w:pgMar w:bottom="1440" w:footer="720" w:gutter="0" w:header="720" w:left="1440" w:right="1440" w:top="1728"/>
      <w:pgNumType w:fmt="decimal"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
    </w:rPr>
  </w:style>
  <w:style w:customStyle="1" w:styleId="Ttulo4Car" w:type="character">
    <w:name w:val="Título 4 Car"/>
    <w:basedOn w:val="Fuentedeprrafopredeter"/>
    <w:link w:val="Ttulo4"/>
    <w:uiPriority w:val="9"/>
    <w:rsid w:val="00AE0CE0"/>
    <w:rPr>
      <w:rFonts w:cstheme="majorBidi" w:eastAsiaTheme="majorEastAsia"/>
      <w:b/>
      <w:iCs/>
      <w:lang w:val="es"/>
    </w:rPr>
  </w:style>
  <w:style w:customStyle="1" w:styleId="Ttulo5Car" w:type="character">
    <w:name w:val="Título 5 Car"/>
    <w:basedOn w:val="Fuentedeprrafopredeter"/>
    <w:link w:val="Ttulo5"/>
    <w:uiPriority w:val="9"/>
    <w:rsid w:val="004323BF"/>
    <w:rPr>
      <w:rFonts w:cstheme="majorBidi" w:eastAsiaTheme="majorEastAsia"/>
      <w:b/>
      <w:i/>
      <w:lang w:val="es"/>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6" Target="media/rId146.png" /><Relationship Type="http://schemas.openxmlformats.org/officeDocument/2006/relationships/image" Id="rId142" Target="media/rId142.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50" Target="media/rId150.png" /><Relationship Type="http://schemas.openxmlformats.org/officeDocument/2006/relationships/image" Id="rId130" Target="media/rId130.png" /><Relationship Type="http://schemas.openxmlformats.org/officeDocument/2006/relationships/image" Id="rId154" Target="media/rId154.png" /><Relationship Type="http://schemas.openxmlformats.org/officeDocument/2006/relationships/hyperlink" Id="rId259" Target="http://archive.ics.uci.edu/ml" TargetMode="External" /><Relationship Type="http://schemas.openxmlformats.org/officeDocument/2006/relationships/hyperlink" Id="rId321" Target="https://archive.ics.uci.edu/dataset/2/adult" TargetMode="External" /><Relationship Type="http://schemas.openxmlformats.org/officeDocument/2006/relationships/hyperlink" Id="rId213" Target="https://arxiv.org/abs/1806.08049" TargetMode="External" /><Relationship Type="http://schemas.openxmlformats.org/officeDocument/2006/relationships/hyperlink" Id="rId374" Target="https://catalog.princeton.edu/catalog/2081365" TargetMode="External" /><Relationship Type="http://schemas.openxmlformats.org/officeDocument/2006/relationships/hyperlink" Id="rId217" Target="https://doi.org/10.1002/widm.1424" TargetMode="External" /><Relationship Type="http://schemas.openxmlformats.org/officeDocument/2006/relationships/hyperlink" Id="rId347" Target="https://doi.org/10.1002/widm.1493" TargetMode="External" /><Relationship Type="http://schemas.openxmlformats.org/officeDocument/2006/relationships/hyperlink" Id="rId413" Target="https://doi.org/10.1007/978-3-030-28954-6" TargetMode="External" /><Relationship Type="http://schemas.openxmlformats.org/officeDocument/2006/relationships/hyperlink" Id="rId360" Target="https://doi.org/10.1007/978-3-030-65965-3_28" TargetMode="External" /><Relationship Type="http://schemas.openxmlformats.org/officeDocument/2006/relationships/hyperlink" Id="rId298" Target="https://doi.org/10.1007/978-3-031-04083-2_2" TargetMode="External" /><Relationship Type="http://schemas.openxmlformats.org/officeDocument/2006/relationships/hyperlink" Id="rId421" Target="https://doi.org/10.1007/978-3-031-63787-2_23" TargetMode="External" /><Relationship Type="http://schemas.openxmlformats.org/officeDocument/2006/relationships/hyperlink" Id="rId349" Target="https://doi.org/10.1007/978-3-031-75387-9_12" TargetMode="External" /><Relationship Type="http://schemas.openxmlformats.org/officeDocument/2006/relationships/hyperlink" Id="rId207" Target="https://doi.org/10.1007/978-3-032-06744-9_14" TargetMode="External" /><Relationship Type="http://schemas.openxmlformats.org/officeDocument/2006/relationships/hyperlink" Id="rId444" Target="https://doi.org/10.1007/978-3-319-57959-7" TargetMode="External" /><Relationship Type="http://schemas.openxmlformats.org/officeDocument/2006/relationships/hyperlink" Id="rId417" Target="https://doi.org/10.1007/s10618-022-00867-8" TargetMode="External" /><Relationship Type="http://schemas.openxmlformats.org/officeDocument/2006/relationships/hyperlink" Id="rId370" Target="https://doi.org/10.1007/s10676-024-09773-7" TargetMode="External" /><Relationship Type="http://schemas.openxmlformats.org/officeDocument/2006/relationships/hyperlink" Id="rId272" Target="https://doi.org/10.1007/s11023-018-9482-5" TargetMode="External" /><Relationship Type="http://schemas.openxmlformats.org/officeDocument/2006/relationships/hyperlink" Id="rId292" Target="https://doi.org/10.1007/s12559-023-10179-8" TargetMode="External" /><Relationship Type="http://schemas.openxmlformats.org/officeDocument/2006/relationships/hyperlink" Id="rId425" Target="https://doi.org/10.1007/s13218-020-00637-y" TargetMode="External" /><Relationship Type="http://schemas.openxmlformats.org/officeDocument/2006/relationships/hyperlink" Id="rId296" Target="https://doi.org/10.1007/s13218-023-00806-9" TargetMode="External" /><Relationship Type="http://schemas.openxmlformats.org/officeDocument/2006/relationships/hyperlink" Id="rId300" Target="https://doi.org/10.1016/j.array.2025.100399" TargetMode="External" /><Relationship Type="http://schemas.openxmlformats.org/officeDocument/2006/relationships/hyperlink" Id="rId351" Target="https://doi.org/10.1016/j.artint.2018.07.007" TargetMode="External" /><Relationship Type="http://schemas.openxmlformats.org/officeDocument/2006/relationships/hyperlink" Id="rId330" Target="https://doi.org/10.1016/j.artint.2021.103473" TargetMode="External" /><Relationship Type="http://schemas.openxmlformats.org/officeDocument/2006/relationships/hyperlink" Id="rId221" Target="https://doi.org/10.1016/j.inffus.2019.12.012" TargetMode="External" /><Relationship Type="http://schemas.openxmlformats.org/officeDocument/2006/relationships/hyperlink" Id="rId205" Target="https://doi.org/10.1016/j.inffus.2023.101805" TargetMode="External" /><Relationship Type="http://schemas.openxmlformats.org/officeDocument/2006/relationships/hyperlink" Id="rId341" Target="https://doi.org/10.1016/j.inffus.2024.102301" TargetMode="External" /><Relationship Type="http://schemas.openxmlformats.org/officeDocument/2006/relationships/hyperlink" Id="rId323" Target="https://doi.org/10.1016/j.jcm.2016.02.012" TargetMode="External" /><Relationship Type="http://schemas.openxmlformats.org/officeDocument/2006/relationships/hyperlink" Id="rId411" Target="https://doi.org/10.1016/j.knosys.2023.110273" TargetMode="External" /><Relationship Type="http://schemas.openxmlformats.org/officeDocument/2006/relationships/hyperlink" Id="rId385" Target="https://doi.org/10.1016/j.neucom.2024.128282" TargetMode="External" /><Relationship Type="http://schemas.openxmlformats.org/officeDocument/2006/relationships/hyperlink" Id="rId237" Target="https://doi.org/10.1023/a:1010933404324" TargetMode="External" /><Relationship Type="http://schemas.openxmlformats.org/officeDocument/2006/relationships/hyperlink" Id="rId382" Target="https://doi.org/10.1038/s41467-022-33417-3" TargetMode="External" /><Relationship Type="http://schemas.openxmlformats.org/officeDocument/2006/relationships/hyperlink" Id="rId202" Target="https://doi.org/10.1038/s41597-023-01974-x" TargetMode="External" /><Relationship Type="http://schemas.openxmlformats.org/officeDocument/2006/relationships/hyperlink" Id="rId407" Target="https://doi.org/10.1038/s42256-019-0048-x" TargetMode="External" /><Relationship Type="http://schemas.openxmlformats.org/officeDocument/2006/relationships/hyperlink" Id="rId368" Target="https://doi.org/10.1073/pnas.1900654116" TargetMode="External" /><Relationship Type="http://schemas.openxmlformats.org/officeDocument/2006/relationships/hyperlink" Id="rId395" Target="https://doi.org/10.1073/pnas.2426766122" TargetMode="External" /><Relationship Type="http://schemas.openxmlformats.org/officeDocument/2006/relationships/hyperlink" Id="rId278" Target="https://doi.org/10.1080/01621459.1937.10503522" TargetMode="External" /><Relationship Type="http://schemas.openxmlformats.org/officeDocument/2006/relationships/hyperlink" Id="rId284" Target="https://doi.org/10.1080/10618600.2014.907095" TargetMode="External" /><Relationship Type="http://schemas.openxmlformats.org/officeDocument/2006/relationships/hyperlink" Id="rId194" Target="https://doi.org/10.1109/INES59045.2023.1030000" TargetMode="External" /><Relationship Type="http://schemas.openxmlformats.org/officeDocument/2006/relationships/hyperlink" Id="rId429" Target="https://doi.org/10.1109/TNNLS.2020.3027314" TargetMode="External" /><Relationship Type="http://schemas.openxmlformats.org/officeDocument/2006/relationships/hyperlink" Id="rId403" Target="https://doi.org/10.1109/TPAMI.2023.3331846" TargetMode="External" /><Relationship Type="http://schemas.openxmlformats.org/officeDocument/2006/relationships/hyperlink" Id="rId198" Target="https://doi.org/10.1109/access.2018.2870052" TargetMode="External" /><Relationship Type="http://schemas.openxmlformats.org/officeDocument/2006/relationships/hyperlink" Id="rId309" Target="https://doi.org/10.1109/access.2025.3546681" TargetMode="External" /><Relationship Type="http://schemas.openxmlformats.org/officeDocument/2006/relationships/hyperlink" Id="rId282" Target="https://doi.org/10.1109/dsaa.2018.00018" TargetMode="External" /><Relationship Type="http://schemas.openxmlformats.org/officeDocument/2006/relationships/hyperlink" Id="rId219" Target="https://doi.org/10.1111/rssb.12377" TargetMode="External" /><Relationship Type="http://schemas.openxmlformats.org/officeDocument/2006/relationships/hyperlink" Id="rId302" Target="https://doi.org/10.1126/science.359.6377.725" TargetMode="External" /><Relationship Type="http://schemas.openxmlformats.org/officeDocument/2006/relationships/hyperlink" Id="rId397" Target="https://doi.org/10.1145/2939672.2939778" TargetMode="External" /><Relationship Type="http://schemas.openxmlformats.org/officeDocument/2006/relationships/hyperlink" Id="rId192" Target="https://doi.org/10.1145/3173574.3174156" TargetMode="External" /><Relationship Type="http://schemas.openxmlformats.org/officeDocument/2006/relationships/hyperlink" Id="rId288" Target="https://doi.org/10.1145/3236009" TargetMode="External" /><Relationship Type="http://schemas.openxmlformats.org/officeDocument/2006/relationships/hyperlink" Id="rId337" Target="https://doi.org/10.1145/3236386.3241340" TargetMode="External" /><Relationship Type="http://schemas.openxmlformats.org/officeDocument/2006/relationships/hyperlink" Id="rId356" Target="https://doi.org/10.1145/3287560.3287574" TargetMode="External" /><Relationship Type="http://schemas.openxmlformats.org/officeDocument/2006/relationships/hyperlink" Id="rId315" Target="https://doi.org/10.1145/3313831.3376219" TargetMode="External" /><Relationship Type="http://schemas.openxmlformats.org/officeDocument/2006/relationships/hyperlink" Id="rId364" Target="https://doi.org/10.1145/3351095.3372850" TargetMode="External" /><Relationship Type="http://schemas.openxmlformats.org/officeDocument/2006/relationships/hyperlink" Id="rId423" Target="https://doi.org/10.1145/3375627.3375830" TargetMode="External" /><Relationship Type="http://schemas.openxmlformats.org/officeDocument/2006/relationships/hyperlink" Id="rId391" Target="https://doi.org/10.1145/3375627.3375850" TargetMode="External" /><Relationship Type="http://schemas.openxmlformats.org/officeDocument/2006/relationships/hyperlink" Id="rId358" Target="https://doi.org/10.1145/3387166" TargetMode="External" /><Relationship Type="http://schemas.openxmlformats.org/officeDocument/2006/relationships/hyperlink" Id="rId311" Target="https://doi.org/10.1145/3527848" TargetMode="External" /><Relationship Type="http://schemas.openxmlformats.org/officeDocument/2006/relationships/hyperlink" Id="rId200" Target="https://doi.org/10.1145/3533381" TargetMode="External" /><Relationship Type="http://schemas.openxmlformats.org/officeDocument/2006/relationships/hyperlink" Id="rId265" Target="https://doi.org/10.1145/3544549.3573832" TargetMode="External" /><Relationship Type="http://schemas.openxmlformats.org/officeDocument/2006/relationships/hyperlink" Id="rId261" Target="https://doi.org/10.1145/3561048" TargetMode="External" /><Relationship Type="http://schemas.openxmlformats.org/officeDocument/2006/relationships/hyperlink" Id="rId306" Target="https://doi.org/10.1145/3571730" TargetMode="External" /><Relationship Type="http://schemas.openxmlformats.org/officeDocument/2006/relationships/hyperlink" Id="rId269" Target="https://doi.org/10.1145/3573900.3591114" TargetMode="External" /><Relationship Type="http://schemas.openxmlformats.org/officeDocument/2006/relationships/hyperlink" Id="rId427" Target="https://doi.org/10.1145/3580305.3599337" TargetMode="External" /><Relationship Type="http://schemas.openxmlformats.org/officeDocument/2006/relationships/hyperlink" Id="rId372" Target="https://doi.org/10.1145/3583558" TargetMode="External" /><Relationship Type="http://schemas.openxmlformats.org/officeDocument/2006/relationships/hyperlink" Id="rId326" Target="https://doi.org/10.1145/3592307.3592342" TargetMode="External" /><Relationship Type="http://schemas.openxmlformats.org/officeDocument/2006/relationships/hyperlink" Id="rId440" Target="https://doi.org/10.1145/3599974" TargetMode="External" /><Relationship Type="http://schemas.openxmlformats.org/officeDocument/2006/relationships/hyperlink" Id="rId286" Target="https://doi.org/10.1145/3605098.3636109" TargetMode="External" /><Relationship Type="http://schemas.openxmlformats.org/officeDocument/2006/relationships/hyperlink" Id="rId354" Target="https://doi.org/10.1145/3607947.3608059" TargetMode="External" /><Relationship Type="http://schemas.openxmlformats.org/officeDocument/2006/relationships/hyperlink" Id="rId362" Target="https://doi.org/10.1145/3610064" TargetMode="External" /><Relationship Type="http://schemas.openxmlformats.org/officeDocument/2006/relationships/hyperlink" Id="rId379" Target="https://doi.org/10.1145/3613904.3642352" TargetMode="External" /><Relationship Type="http://schemas.openxmlformats.org/officeDocument/2006/relationships/hyperlink" Id="rId318" Target="https://doi.org/10.1145/3613905.3638184" TargetMode="External" /><Relationship Type="http://schemas.openxmlformats.org/officeDocument/2006/relationships/hyperlink" Id="rId280" Target="https://doi.org/10.1145/3626203.3670522" TargetMode="External" /><Relationship Type="http://schemas.openxmlformats.org/officeDocument/2006/relationships/hyperlink" Id="rId233" Target="https://doi.org/10.1145/3631700.3664911" TargetMode="External" /><Relationship Type="http://schemas.openxmlformats.org/officeDocument/2006/relationships/hyperlink" Id="rId304" Target="https://doi.org/10.1145/3631908.3631925" TargetMode="External" /><Relationship Type="http://schemas.openxmlformats.org/officeDocument/2006/relationships/hyperlink" Id="rId251" Target="https://doi.org/10.1145/3638380.3638426" TargetMode="External" /><Relationship Type="http://schemas.openxmlformats.org/officeDocument/2006/relationships/hyperlink" Id="rId436" Target="https://doi.org/10.1145/3643491.3660292" TargetMode="External" /><Relationship Type="http://schemas.openxmlformats.org/officeDocument/2006/relationships/hyperlink" Id="rId231" Target="https://doi.org/10.1145/3643834.3660722" TargetMode="External" /><Relationship Type="http://schemas.openxmlformats.org/officeDocument/2006/relationships/hyperlink" Id="rId345" Target="https://doi.org/10.1145/3647444.3647912" TargetMode="External" /><Relationship Type="http://schemas.openxmlformats.org/officeDocument/2006/relationships/hyperlink" Id="rId223" Target="https://doi.org/10.1145/3649144" TargetMode="External" /><Relationship Type="http://schemas.openxmlformats.org/officeDocument/2006/relationships/hyperlink" Id="rId313" Target="https://doi.org/10.1145/3651593" TargetMode="External" /><Relationship Type="http://schemas.openxmlformats.org/officeDocument/2006/relationships/hyperlink" Id="rId229" Target="https://doi.org/10.1145/3670685" TargetMode="External" /><Relationship Type="http://schemas.openxmlformats.org/officeDocument/2006/relationships/hyperlink" Id="rId239" Target="https://doi.org/10.1145/3672359.3672363" TargetMode="External" /><Relationship Type="http://schemas.openxmlformats.org/officeDocument/2006/relationships/hyperlink" Id="rId415" Target="https://doi.org/10.1145/3677374" TargetMode="External" /><Relationship Type="http://schemas.openxmlformats.org/officeDocument/2006/relationships/hyperlink" Id="rId389" Target="https://doi.org/10.1145/3678884.3682046" TargetMode="External" /><Relationship Type="http://schemas.openxmlformats.org/officeDocument/2006/relationships/hyperlink" Id="rId263" Target="https://doi.org/10.1145/3686169.3686185" TargetMode="External" /><Relationship Type="http://schemas.openxmlformats.org/officeDocument/2006/relationships/hyperlink" Id="rId253" Target="https://doi.org/10.1145/3702038.3702093" TargetMode="External" /><Relationship Type="http://schemas.openxmlformats.org/officeDocument/2006/relationships/hyperlink" Id="rId366" Target="https://doi.org/10.1145/3704522.3704524" TargetMode="External" /><Relationship Type="http://schemas.openxmlformats.org/officeDocument/2006/relationships/hyperlink" Id="rId438" Target="https://doi.org/10.1145/3705724" TargetMode="External" /><Relationship Type="http://schemas.openxmlformats.org/officeDocument/2006/relationships/hyperlink" Id="rId376" Target="https://doi.org/10.1145/3711123" TargetMode="External" /><Relationship Type="http://schemas.openxmlformats.org/officeDocument/2006/relationships/hyperlink" Id="rId243" Target="https://doi.org/10.1145/3737445" TargetMode="External" /><Relationship Type="http://schemas.openxmlformats.org/officeDocument/2006/relationships/hyperlink" Id="rId209" Target="https://doi.org/10.1146/annurev-statistics-040120-030919" TargetMode="External" /><Relationship Type="http://schemas.openxmlformats.org/officeDocument/2006/relationships/hyperlink" Id="rId249" Target="https://doi.org/10.1177/001316446002000104" TargetMode="External" /><Relationship Type="http://schemas.openxmlformats.org/officeDocument/2006/relationships/hyperlink" Id="rId433" Target="https://doi.org/10.1201/9781003442509" TargetMode="External" /><Relationship Type="http://schemas.openxmlformats.org/officeDocument/2006/relationships/hyperlink" Id="rId274" Target="https://doi.org/10.1214/07-aoas148" TargetMode="External" /><Relationship Type="http://schemas.openxmlformats.org/officeDocument/2006/relationships/hyperlink" Id="rId405" Target="https://doi.org/10.1214/21-ss133" TargetMode="External" /><Relationship Type="http://schemas.openxmlformats.org/officeDocument/2006/relationships/hyperlink" Id="rId276" Target="https://doi.org/10.1214/aos/1013203451" TargetMode="External" /><Relationship Type="http://schemas.openxmlformats.org/officeDocument/2006/relationships/hyperlink" Id="rId399" Target="https://doi.org/10.1609/aaai.v32i1.11491" TargetMode="External" /><Relationship Type="http://schemas.openxmlformats.org/officeDocument/2006/relationships/hyperlink" Id="rId431" Target="https://doi.org/10.1609/aaai.v34i04.6064" TargetMode="External" /><Relationship Type="http://schemas.openxmlformats.org/officeDocument/2006/relationships/hyperlink" Id="rId215" Target="https://doi.org/10.1609/aimag.v35i4.2513" TargetMode="External" /><Relationship Type="http://schemas.openxmlformats.org/officeDocument/2006/relationships/hyperlink" Id="rId442" Target="https://doi.org/10.1613/jair.1.13283" TargetMode="External" /><Relationship Type="http://schemas.openxmlformats.org/officeDocument/2006/relationships/hyperlink" Id="rId387" Target="https://doi.org/10.1613/jair.1.14888" TargetMode="External" /><Relationship Type="http://schemas.openxmlformats.org/officeDocument/2006/relationships/hyperlink" Id="rId290" Target="https://doi.org/10.18653/v1/2020.acl-main.491" TargetMode="External" /><Relationship Type="http://schemas.openxmlformats.org/officeDocument/2006/relationships/hyperlink" Id="rId225" Target="https://doi.org/10.18653/v1/2020.blackboxnlp-1.14" TargetMode="External" /><Relationship Type="http://schemas.openxmlformats.org/officeDocument/2006/relationships/hyperlink" Id="rId241" Target="https://doi.org/10.18653/v1/2023.emnlp-main.792" TargetMode="External" /><Relationship Type="http://schemas.openxmlformats.org/officeDocument/2006/relationships/hyperlink" Id="rId446" Target="https://doi.org/10.2139/ssrn.3063289" TargetMode="External" /><Relationship Type="http://schemas.openxmlformats.org/officeDocument/2006/relationships/hyperlink" Id="rId196" Target="https://doi.org/10.2139/ssrn.4710037" TargetMode="External" /><Relationship Type="http://schemas.openxmlformats.org/officeDocument/2006/relationships/hyperlink" Id="rId247" Target="https://doi.org/10.2139/ssrn.5040613" TargetMode="External" /><Relationship Type="http://schemas.openxmlformats.org/officeDocument/2006/relationships/hyperlink" Id="rId267" Target="https://doi.org/10.2139/ssrn.6847479" TargetMode="External" /><Relationship Type="http://schemas.openxmlformats.org/officeDocument/2006/relationships/hyperlink" Id="rId449" Target="https://doi.org/10.2307/3001968" TargetMode="External" /><Relationship Type="http://schemas.openxmlformats.org/officeDocument/2006/relationships/hyperlink" Id="rId332" Target="https://doi.org/10.24963/ijcai.2019/388" TargetMode="External" /><Relationship Type="http://schemas.openxmlformats.org/officeDocument/2006/relationships/hyperlink" Id="rId227" Target="https://doi.org/10.3389/fdata.2021.688969" TargetMode="External" /><Relationship Type="http://schemas.openxmlformats.org/officeDocument/2006/relationships/hyperlink" Id="rId328" Target="https://doi.org/10.3389/fpsyg.2013.00863" TargetMode="External" /><Relationship Type="http://schemas.openxmlformats.org/officeDocument/2006/relationships/hyperlink" Id="rId409" Target="https://doi.org/10.3390/app14198884" TargetMode="External" /><Relationship Type="http://schemas.openxmlformats.org/officeDocument/2006/relationships/hyperlink" Id="rId335" Target="https://doi.org/10.3390/e23010018" TargetMode="External" /><Relationship Type="http://schemas.openxmlformats.org/officeDocument/2006/relationships/hyperlink" Id="rId235" Target="https://doi.org/10.3390/electronics13112198" TargetMode="External" /><Relationship Type="http://schemas.openxmlformats.org/officeDocument/2006/relationships/hyperlink" Id="rId245" Target="https://doi.org/10.3390/electronics8080832" TargetMode="External" /><Relationship Type="http://schemas.openxmlformats.org/officeDocument/2006/relationships/hyperlink" Id="rId211" Target="https://doi.org/10.3390/technologies13030093" TargetMode="External" /><Relationship Type="http://schemas.openxmlformats.org/officeDocument/2006/relationships/hyperlink" Id="rId257" Target="https://doi.org/10.48550/arxiv.1702.08608" TargetMode="External" /><Relationship Type="http://schemas.openxmlformats.org/officeDocument/2006/relationships/hyperlink" Id="rId343" Target="https://doi.org/10.48550/arxiv.1705.07874" TargetMode="External" /><Relationship Type="http://schemas.openxmlformats.org/officeDocument/2006/relationships/hyperlink" Id="rId401" Target="https://doi.org/10.65109/vllw9552" TargetMode="External" /><Relationship Type="http://schemas.openxmlformats.org/officeDocument/2006/relationships/hyperlink" Id="rId451" Target="https://trustai4s-lab.github.io/ffidelity" TargetMode="External" /><Relationship Type="http://schemas.openxmlformats.org/officeDocument/2006/relationships/hyperlink" Id="rId255" Target="https://www.jmlr.org/papers/v7/demsar06a.html" TargetMode="External" /><Relationship Type="http://schemas.openxmlformats.org/officeDocument/2006/relationships/hyperlink" Id="rId419" Target="https://www.rand.org/pubs/papers/P0295.html" TargetMode="External" /></Relationships>
</file>

<file path=word/_rels/footnotes.xml.rels><?xml version="1.0" encoding="UTF-8"?><Relationships xmlns="http://schemas.openxmlformats.org/package/2006/relationships"><Relationship Type="http://schemas.openxmlformats.org/officeDocument/2006/relationships/hyperlink" Id="rId259" Target="http://archive.ics.uci.edu/ml" TargetMode="External" /><Relationship Type="http://schemas.openxmlformats.org/officeDocument/2006/relationships/hyperlink" Id="rId321" Target="https://archive.ics.uci.edu/dataset/2/adult" TargetMode="External" /><Relationship Type="http://schemas.openxmlformats.org/officeDocument/2006/relationships/hyperlink" Id="rId213" Target="https://arxiv.org/abs/1806.08049" TargetMode="External" /><Relationship Type="http://schemas.openxmlformats.org/officeDocument/2006/relationships/hyperlink" Id="rId374" Target="https://catalog.princeton.edu/catalog/2081365" TargetMode="External" /><Relationship Type="http://schemas.openxmlformats.org/officeDocument/2006/relationships/hyperlink" Id="rId217" Target="https://doi.org/10.1002/widm.1424" TargetMode="External" /><Relationship Type="http://schemas.openxmlformats.org/officeDocument/2006/relationships/hyperlink" Id="rId347" Target="https://doi.org/10.1002/widm.1493" TargetMode="External" /><Relationship Type="http://schemas.openxmlformats.org/officeDocument/2006/relationships/hyperlink" Id="rId413" Target="https://doi.org/10.1007/978-3-030-28954-6" TargetMode="External" /><Relationship Type="http://schemas.openxmlformats.org/officeDocument/2006/relationships/hyperlink" Id="rId360" Target="https://doi.org/10.1007/978-3-030-65965-3_28" TargetMode="External" /><Relationship Type="http://schemas.openxmlformats.org/officeDocument/2006/relationships/hyperlink" Id="rId298" Target="https://doi.org/10.1007/978-3-031-04083-2_2" TargetMode="External" /><Relationship Type="http://schemas.openxmlformats.org/officeDocument/2006/relationships/hyperlink" Id="rId421" Target="https://doi.org/10.1007/978-3-031-63787-2_23" TargetMode="External" /><Relationship Type="http://schemas.openxmlformats.org/officeDocument/2006/relationships/hyperlink" Id="rId349" Target="https://doi.org/10.1007/978-3-031-75387-9_12" TargetMode="External" /><Relationship Type="http://schemas.openxmlformats.org/officeDocument/2006/relationships/hyperlink" Id="rId207" Target="https://doi.org/10.1007/978-3-032-06744-9_14" TargetMode="External" /><Relationship Type="http://schemas.openxmlformats.org/officeDocument/2006/relationships/hyperlink" Id="rId444" Target="https://doi.org/10.1007/978-3-319-57959-7" TargetMode="External" /><Relationship Type="http://schemas.openxmlformats.org/officeDocument/2006/relationships/hyperlink" Id="rId417" Target="https://doi.org/10.1007/s10618-022-00867-8" TargetMode="External" /><Relationship Type="http://schemas.openxmlformats.org/officeDocument/2006/relationships/hyperlink" Id="rId370" Target="https://doi.org/10.1007/s10676-024-09773-7" TargetMode="External" /><Relationship Type="http://schemas.openxmlformats.org/officeDocument/2006/relationships/hyperlink" Id="rId272" Target="https://doi.org/10.1007/s11023-018-9482-5" TargetMode="External" /><Relationship Type="http://schemas.openxmlformats.org/officeDocument/2006/relationships/hyperlink" Id="rId292" Target="https://doi.org/10.1007/s12559-023-10179-8" TargetMode="External" /><Relationship Type="http://schemas.openxmlformats.org/officeDocument/2006/relationships/hyperlink" Id="rId425" Target="https://doi.org/10.1007/s13218-020-00637-y" TargetMode="External" /><Relationship Type="http://schemas.openxmlformats.org/officeDocument/2006/relationships/hyperlink" Id="rId296" Target="https://doi.org/10.1007/s13218-023-00806-9" TargetMode="External" /><Relationship Type="http://schemas.openxmlformats.org/officeDocument/2006/relationships/hyperlink" Id="rId300" Target="https://doi.org/10.1016/j.array.2025.100399" TargetMode="External" /><Relationship Type="http://schemas.openxmlformats.org/officeDocument/2006/relationships/hyperlink" Id="rId351" Target="https://doi.org/10.1016/j.artint.2018.07.007" TargetMode="External" /><Relationship Type="http://schemas.openxmlformats.org/officeDocument/2006/relationships/hyperlink" Id="rId330" Target="https://doi.org/10.1016/j.artint.2021.103473" TargetMode="External" /><Relationship Type="http://schemas.openxmlformats.org/officeDocument/2006/relationships/hyperlink" Id="rId221" Target="https://doi.org/10.1016/j.inffus.2019.12.012" TargetMode="External" /><Relationship Type="http://schemas.openxmlformats.org/officeDocument/2006/relationships/hyperlink" Id="rId205" Target="https://doi.org/10.1016/j.inffus.2023.101805" TargetMode="External" /><Relationship Type="http://schemas.openxmlformats.org/officeDocument/2006/relationships/hyperlink" Id="rId341" Target="https://doi.org/10.1016/j.inffus.2024.102301" TargetMode="External" /><Relationship Type="http://schemas.openxmlformats.org/officeDocument/2006/relationships/hyperlink" Id="rId323" Target="https://doi.org/10.1016/j.jcm.2016.02.012" TargetMode="External" /><Relationship Type="http://schemas.openxmlformats.org/officeDocument/2006/relationships/hyperlink" Id="rId411" Target="https://doi.org/10.1016/j.knosys.2023.110273" TargetMode="External" /><Relationship Type="http://schemas.openxmlformats.org/officeDocument/2006/relationships/hyperlink" Id="rId385" Target="https://doi.org/10.1016/j.neucom.2024.128282" TargetMode="External" /><Relationship Type="http://schemas.openxmlformats.org/officeDocument/2006/relationships/hyperlink" Id="rId237" Target="https://doi.org/10.1023/a:1010933404324" TargetMode="External" /><Relationship Type="http://schemas.openxmlformats.org/officeDocument/2006/relationships/hyperlink" Id="rId382" Target="https://doi.org/10.1038/s41467-022-33417-3" TargetMode="External" /><Relationship Type="http://schemas.openxmlformats.org/officeDocument/2006/relationships/hyperlink" Id="rId202" Target="https://doi.org/10.1038/s41597-023-01974-x" TargetMode="External" /><Relationship Type="http://schemas.openxmlformats.org/officeDocument/2006/relationships/hyperlink" Id="rId407" Target="https://doi.org/10.1038/s42256-019-0048-x" TargetMode="External" /><Relationship Type="http://schemas.openxmlformats.org/officeDocument/2006/relationships/hyperlink" Id="rId368" Target="https://doi.org/10.1073/pnas.1900654116" TargetMode="External" /><Relationship Type="http://schemas.openxmlformats.org/officeDocument/2006/relationships/hyperlink" Id="rId395" Target="https://doi.org/10.1073/pnas.2426766122" TargetMode="External" /><Relationship Type="http://schemas.openxmlformats.org/officeDocument/2006/relationships/hyperlink" Id="rId278" Target="https://doi.org/10.1080/01621459.1937.10503522" TargetMode="External" /><Relationship Type="http://schemas.openxmlformats.org/officeDocument/2006/relationships/hyperlink" Id="rId284" Target="https://doi.org/10.1080/10618600.2014.907095" TargetMode="External" /><Relationship Type="http://schemas.openxmlformats.org/officeDocument/2006/relationships/hyperlink" Id="rId194" Target="https://doi.org/10.1109/INES59045.2023.1030000" TargetMode="External" /><Relationship Type="http://schemas.openxmlformats.org/officeDocument/2006/relationships/hyperlink" Id="rId429" Target="https://doi.org/10.1109/TNNLS.2020.3027314" TargetMode="External" /><Relationship Type="http://schemas.openxmlformats.org/officeDocument/2006/relationships/hyperlink" Id="rId403" Target="https://doi.org/10.1109/TPAMI.2023.3331846" TargetMode="External" /><Relationship Type="http://schemas.openxmlformats.org/officeDocument/2006/relationships/hyperlink" Id="rId198" Target="https://doi.org/10.1109/access.2018.2870052" TargetMode="External" /><Relationship Type="http://schemas.openxmlformats.org/officeDocument/2006/relationships/hyperlink" Id="rId309" Target="https://doi.org/10.1109/access.2025.3546681" TargetMode="External" /><Relationship Type="http://schemas.openxmlformats.org/officeDocument/2006/relationships/hyperlink" Id="rId282" Target="https://doi.org/10.1109/dsaa.2018.00018" TargetMode="External" /><Relationship Type="http://schemas.openxmlformats.org/officeDocument/2006/relationships/hyperlink" Id="rId219" Target="https://doi.org/10.1111/rssb.12377" TargetMode="External" /><Relationship Type="http://schemas.openxmlformats.org/officeDocument/2006/relationships/hyperlink" Id="rId302" Target="https://doi.org/10.1126/science.359.6377.725" TargetMode="External" /><Relationship Type="http://schemas.openxmlformats.org/officeDocument/2006/relationships/hyperlink" Id="rId397" Target="https://doi.org/10.1145/2939672.2939778" TargetMode="External" /><Relationship Type="http://schemas.openxmlformats.org/officeDocument/2006/relationships/hyperlink" Id="rId192" Target="https://doi.org/10.1145/3173574.3174156" TargetMode="External" /><Relationship Type="http://schemas.openxmlformats.org/officeDocument/2006/relationships/hyperlink" Id="rId288" Target="https://doi.org/10.1145/3236009" TargetMode="External" /><Relationship Type="http://schemas.openxmlformats.org/officeDocument/2006/relationships/hyperlink" Id="rId337" Target="https://doi.org/10.1145/3236386.3241340" TargetMode="External" /><Relationship Type="http://schemas.openxmlformats.org/officeDocument/2006/relationships/hyperlink" Id="rId356" Target="https://doi.org/10.1145/3287560.3287574" TargetMode="External" /><Relationship Type="http://schemas.openxmlformats.org/officeDocument/2006/relationships/hyperlink" Id="rId315" Target="https://doi.org/10.1145/3313831.3376219" TargetMode="External" /><Relationship Type="http://schemas.openxmlformats.org/officeDocument/2006/relationships/hyperlink" Id="rId364" Target="https://doi.org/10.1145/3351095.3372850" TargetMode="External" /><Relationship Type="http://schemas.openxmlformats.org/officeDocument/2006/relationships/hyperlink" Id="rId423" Target="https://doi.org/10.1145/3375627.3375830" TargetMode="External" /><Relationship Type="http://schemas.openxmlformats.org/officeDocument/2006/relationships/hyperlink" Id="rId391" Target="https://doi.org/10.1145/3375627.3375850" TargetMode="External" /><Relationship Type="http://schemas.openxmlformats.org/officeDocument/2006/relationships/hyperlink" Id="rId358" Target="https://doi.org/10.1145/3387166" TargetMode="External" /><Relationship Type="http://schemas.openxmlformats.org/officeDocument/2006/relationships/hyperlink" Id="rId311" Target="https://doi.org/10.1145/3527848" TargetMode="External" /><Relationship Type="http://schemas.openxmlformats.org/officeDocument/2006/relationships/hyperlink" Id="rId200" Target="https://doi.org/10.1145/3533381" TargetMode="External" /><Relationship Type="http://schemas.openxmlformats.org/officeDocument/2006/relationships/hyperlink" Id="rId265" Target="https://doi.org/10.1145/3544549.3573832" TargetMode="External" /><Relationship Type="http://schemas.openxmlformats.org/officeDocument/2006/relationships/hyperlink" Id="rId261" Target="https://doi.org/10.1145/3561048" TargetMode="External" /><Relationship Type="http://schemas.openxmlformats.org/officeDocument/2006/relationships/hyperlink" Id="rId306" Target="https://doi.org/10.1145/3571730" TargetMode="External" /><Relationship Type="http://schemas.openxmlformats.org/officeDocument/2006/relationships/hyperlink" Id="rId269" Target="https://doi.org/10.1145/3573900.3591114" TargetMode="External" /><Relationship Type="http://schemas.openxmlformats.org/officeDocument/2006/relationships/hyperlink" Id="rId427" Target="https://doi.org/10.1145/3580305.3599337" TargetMode="External" /><Relationship Type="http://schemas.openxmlformats.org/officeDocument/2006/relationships/hyperlink" Id="rId372" Target="https://doi.org/10.1145/3583558" TargetMode="External" /><Relationship Type="http://schemas.openxmlformats.org/officeDocument/2006/relationships/hyperlink" Id="rId326" Target="https://doi.org/10.1145/3592307.3592342" TargetMode="External" /><Relationship Type="http://schemas.openxmlformats.org/officeDocument/2006/relationships/hyperlink" Id="rId440" Target="https://doi.org/10.1145/3599974" TargetMode="External" /><Relationship Type="http://schemas.openxmlformats.org/officeDocument/2006/relationships/hyperlink" Id="rId286" Target="https://doi.org/10.1145/3605098.3636109" TargetMode="External" /><Relationship Type="http://schemas.openxmlformats.org/officeDocument/2006/relationships/hyperlink" Id="rId354" Target="https://doi.org/10.1145/3607947.3608059" TargetMode="External" /><Relationship Type="http://schemas.openxmlformats.org/officeDocument/2006/relationships/hyperlink" Id="rId362" Target="https://doi.org/10.1145/3610064" TargetMode="External" /><Relationship Type="http://schemas.openxmlformats.org/officeDocument/2006/relationships/hyperlink" Id="rId379" Target="https://doi.org/10.1145/3613904.3642352" TargetMode="External" /><Relationship Type="http://schemas.openxmlformats.org/officeDocument/2006/relationships/hyperlink" Id="rId318" Target="https://doi.org/10.1145/3613905.3638184" TargetMode="External" /><Relationship Type="http://schemas.openxmlformats.org/officeDocument/2006/relationships/hyperlink" Id="rId280" Target="https://doi.org/10.1145/3626203.3670522" TargetMode="External" /><Relationship Type="http://schemas.openxmlformats.org/officeDocument/2006/relationships/hyperlink" Id="rId233" Target="https://doi.org/10.1145/3631700.3664911" TargetMode="External" /><Relationship Type="http://schemas.openxmlformats.org/officeDocument/2006/relationships/hyperlink" Id="rId304" Target="https://doi.org/10.1145/3631908.3631925" TargetMode="External" /><Relationship Type="http://schemas.openxmlformats.org/officeDocument/2006/relationships/hyperlink" Id="rId251" Target="https://doi.org/10.1145/3638380.3638426" TargetMode="External" /><Relationship Type="http://schemas.openxmlformats.org/officeDocument/2006/relationships/hyperlink" Id="rId436" Target="https://doi.org/10.1145/3643491.3660292" TargetMode="External" /><Relationship Type="http://schemas.openxmlformats.org/officeDocument/2006/relationships/hyperlink" Id="rId231" Target="https://doi.org/10.1145/3643834.3660722" TargetMode="External" /><Relationship Type="http://schemas.openxmlformats.org/officeDocument/2006/relationships/hyperlink" Id="rId345" Target="https://doi.org/10.1145/3647444.3647912" TargetMode="External" /><Relationship Type="http://schemas.openxmlformats.org/officeDocument/2006/relationships/hyperlink" Id="rId223" Target="https://doi.org/10.1145/3649144" TargetMode="External" /><Relationship Type="http://schemas.openxmlformats.org/officeDocument/2006/relationships/hyperlink" Id="rId313" Target="https://doi.org/10.1145/3651593" TargetMode="External" /><Relationship Type="http://schemas.openxmlformats.org/officeDocument/2006/relationships/hyperlink" Id="rId229" Target="https://doi.org/10.1145/3670685" TargetMode="External" /><Relationship Type="http://schemas.openxmlformats.org/officeDocument/2006/relationships/hyperlink" Id="rId239" Target="https://doi.org/10.1145/3672359.3672363" TargetMode="External" /><Relationship Type="http://schemas.openxmlformats.org/officeDocument/2006/relationships/hyperlink" Id="rId415" Target="https://doi.org/10.1145/3677374" TargetMode="External" /><Relationship Type="http://schemas.openxmlformats.org/officeDocument/2006/relationships/hyperlink" Id="rId389" Target="https://doi.org/10.1145/3678884.3682046" TargetMode="External" /><Relationship Type="http://schemas.openxmlformats.org/officeDocument/2006/relationships/hyperlink" Id="rId263" Target="https://doi.org/10.1145/3686169.3686185" TargetMode="External" /><Relationship Type="http://schemas.openxmlformats.org/officeDocument/2006/relationships/hyperlink" Id="rId253" Target="https://doi.org/10.1145/3702038.3702093" TargetMode="External" /><Relationship Type="http://schemas.openxmlformats.org/officeDocument/2006/relationships/hyperlink" Id="rId366" Target="https://doi.org/10.1145/3704522.3704524" TargetMode="External" /><Relationship Type="http://schemas.openxmlformats.org/officeDocument/2006/relationships/hyperlink" Id="rId438" Target="https://doi.org/10.1145/3705724" TargetMode="External" /><Relationship Type="http://schemas.openxmlformats.org/officeDocument/2006/relationships/hyperlink" Id="rId376" Target="https://doi.org/10.1145/3711123" TargetMode="External" /><Relationship Type="http://schemas.openxmlformats.org/officeDocument/2006/relationships/hyperlink" Id="rId243" Target="https://doi.org/10.1145/3737445" TargetMode="External" /><Relationship Type="http://schemas.openxmlformats.org/officeDocument/2006/relationships/hyperlink" Id="rId209" Target="https://doi.org/10.1146/annurev-statistics-040120-030919" TargetMode="External" /><Relationship Type="http://schemas.openxmlformats.org/officeDocument/2006/relationships/hyperlink" Id="rId249" Target="https://doi.org/10.1177/001316446002000104" TargetMode="External" /><Relationship Type="http://schemas.openxmlformats.org/officeDocument/2006/relationships/hyperlink" Id="rId433" Target="https://doi.org/10.1201/9781003442509" TargetMode="External" /><Relationship Type="http://schemas.openxmlformats.org/officeDocument/2006/relationships/hyperlink" Id="rId274" Target="https://doi.org/10.1214/07-aoas148" TargetMode="External" /><Relationship Type="http://schemas.openxmlformats.org/officeDocument/2006/relationships/hyperlink" Id="rId405" Target="https://doi.org/10.1214/21-ss133" TargetMode="External" /><Relationship Type="http://schemas.openxmlformats.org/officeDocument/2006/relationships/hyperlink" Id="rId276" Target="https://doi.org/10.1214/aos/1013203451" TargetMode="External" /><Relationship Type="http://schemas.openxmlformats.org/officeDocument/2006/relationships/hyperlink" Id="rId399" Target="https://doi.org/10.1609/aaai.v32i1.11491" TargetMode="External" /><Relationship Type="http://schemas.openxmlformats.org/officeDocument/2006/relationships/hyperlink" Id="rId431" Target="https://doi.org/10.1609/aaai.v34i04.6064" TargetMode="External" /><Relationship Type="http://schemas.openxmlformats.org/officeDocument/2006/relationships/hyperlink" Id="rId215" Target="https://doi.org/10.1609/aimag.v35i4.2513" TargetMode="External" /><Relationship Type="http://schemas.openxmlformats.org/officeDocument/2006/relationships/hyperlink" Id="rId442" Target="https://doi.org/10.1613/jair.1.13283" TargetMode="External" /><Relationship Type="http://schemas.openxmlformats.org/officeDocument/2006/relationships/hyperlink" Id="rId387" Target="https://doi.org/10.1613/jair.1.14888" TargetMode="External" /><Relationship Type="http://schemas.openxmlformats.org/officeDocument/2006/relationships/hyperlink" Id="rId290" Target="https://doi.org/10.18653/v1/2020.acl-main.491" TargetMode="External" /><Relationship Type="http://schemas.openxmlformats.org/officeDocument/2006/relationships/hyperlink" Id="rId225" Target="https://doi.org/10.18653/v1/2020.blackboxnlp-1.14" TargetMode="External" /><Relationship Type="http://schemas.openxmlformats.org/officeDocument/2006/relationships/hyperlink" Id="rId241" Target="https://doi.org/10.18653/v1/2023.emnlp-main.792" TargetMode="External" /><Relationship Type="http://schemas.openxmlformats.org/officeDocument/2006/relationships/hyperlink" Id="rId446" Target="https://doi.org/10.2139/ssrn.3063289" TargetMode="External" /><Relationship Type="http://schemas.openxmlformats.org/officeDocument/2006/relationships/hyperlink" Id="rId196" Target="https://doi.org/10.2139/ssrn.4710037" TargetMode="External" /><Relationship Type="http://schemas.openxmlformats.org/officeDocument/2006/relationships/hyperlink" Id="rId247" Target="https://doi.org/10.2139/ssrn.5040613" TargetMode="External" /><Relationship Type="http://schemas.openxmlformats.org/officeDocument/2006/relationships/hyperlink" Id="rId267" Target="https://doi.org/10.2139/ssrn.6847479" TargetMode="External" /><Relationship Type="http://schemas.openxmlformats.org/officeDocument/2006/relationships/hyperlink" Id="rId449" Target="https://doi.org/10.2307/3001968" TargetMode="External" /><Relationship Type="http://schemas.openxmlformats.org/officeDocument/2006/relationships/hyperlink" Id="rId332" Target="https://doi.org/10.24963/ijcai.2019/388" TargetMode="External" /><Relationship Type="http://schemas.openxmlformats.org/officeDocument/2006/relationships/hyperlink" Id="rId227" Target="https://doi.org/10.3389/fdata.2021.688969" TargetMode="External" /><Relationship Type="http://schemas.openxmlformats.org/officeDocument/2006/relationships/hyperlink" Id="rId328" Target="https://doi.org/10.3389/fpsyg.2013.00863" TargetMode="External" /><Relationship Type="http://schemas.openxmlformats.org/officeDocument/2006/relationships/hyperlink" Id="rId409" Target="https://doi.org/10.3390/app14198884" TargetMode="External" /><Relationship Type="http://schemas.openxmlformats.org/officeDocument/2006/relationships/hyperlink" Id="rId335" Target="https://doi.org/10.3390/e23010018" TargetMode="External" /><Relationship Type="http://schemas.openxmlformats.org/officeDocument/2006/relationships/hyperlink" Id="rId235" Target="https://doi.org/10.3390/electronics13112198" TargetMode="External" /><Relationship Type="http://schemas.openxmlformats.org/officeDocument/2006/relationships/hyperlink" Id="rId245" Target="https://doi.org/10.3390/electronics8080832" TargetMode="External" /><Relationship Type="http://schemas.openxmlformats.org/officeDocument/2006/relationships/hyperlink" Id="rId211" Target="https://doi.org/10.3390/technologies13030093" TargetMode="External" /><Relationship Type="http://schemas.openxmlformats.org/officeDocument/2006/relationships/hyperlink" Id="rId257" Target="https://doi.org/10.48550/arxiv.1702.08608" TargetMode="External" /><Relationship Type="http://schemas.openxmlformats.org/officeDocument/2006/relationships/hyperlink" Id="rId343" Target="https://doi.org/10.48550/arxiv.1705.07874" TargetMode="External" /><Relationship Type="http://schemas.openxmlformats.org/officeDocument/2006/relationships/hyperlink" Id="rId401" Target="https://doi.org/10.65109/vllw9552" TargetMode="External" /><Relationship Type="http://schemas.openxmlformats.org/officeDocument/2006/relationships/hyperlink" Id="rId451" Target="https://trustai4s-lab.github.io/ffidelity" TargetMode="External" /><Relationship Type="http://schemas.openxmlformats.org/officeDocument/2006/relationships/hyperlink" Id="rId255" Target="https://www.jmlr.org/papers/v7/demsar06a.html" TargetMode="External" /><Relationship Type="http://schemas.openxmlformats.org/officeDocument/2006/relationships/hyperlink" Id="rId419" Target="https://www.rand.org/pubs/papers/P0295.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Agnóstica para la Interpretabilidad de Modelos de Inteligencia Artificial de Caja Negra</dc:title>
  <dc:creator>J. Herrera</dc:creator>
  <dc:language>es</dc:language>
  <cp:keywords/>
  <dcterms:created xsi:type="dcterms:W3CDTF">2026-08-31T00:12:38Z</dcterms:created>
  <dcterms:modified xsi:type="dcterms:W3CDTF">2026-08-31T00:12:38Z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Tabla de contenidos</vt:lpwstr>
  </property>
</Properties>
</file>