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por lo que su uso queda acotado a un papel exploratorio y de calibración instrumental.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which confines such judges to an exploratory, instrument-calibration role.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evaluar empíricamente un marco de evaluación multinivel y</w:t>
      </w:r>
      <w:r>
        <w:t xml:space="preserve"> </w:t>
      </w:r>
      <w:r>
        <w:t xml:space="preserve">reproducible para métodos de explicabilidad agnósticos al modelo —articulado en</w:t>
      </w:r>
      <w:r>
        <w:t xml:space="preserve"> </w:t>
      </w:r>
      <w:r>
        <w:t xml:space="preserve">un protocolo de operación (FOM-7), un benchmark cuantitativo multi-métrico y una</w:t>
      </w:r>
      <w:r>
        <w:t xml:space="preserve"> </w:t>
      </w:r>
      <w:r>
        <w:t xml:space="preserve">taxonomía estructurada del espacio de métricas—, con el fin de establecer</w:t>
      </w:r>
      <w:r>
        <w:t xml:space="preserve"> </w:t>
      </w:r>
      <w:r>
        <w:t xml:space="preserve">criterios técnicamente fundamentados para la selección y comparación de métodos</w:t>
      </w:r>
      <w:r>
        <w:t xml:space="preserve"> </w:t>
      </w:r>
      <w:r>
        <w:t xml:space="preserve">XAI en contextos de datos tabulares, delimitando explícitamente el alcance de</w:t>
      </w:r>
      <w:r>
        <w:t xml:space="preserve"> </w:t>
      </w:r>
      <w:r>
        <w:t xml:space="preserve">validez de la evidencia obtenida.</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4"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6"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99"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6"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8"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jc w:val="center"/>
        <w:tblLayout w:type="fixed"/>
        <w:tblLook w:firstRow="0" w:lastRow="0" w:firstColumn="0" w:lastColumn="0" w:noHBand="0" w:noVBand="0" w:val="0000"/>
      </w:tblPr>
      <w:tblGrid>
        <w:gridCol w:w="7920"/>
      </w:tblGrid>
      <w:tr>
        <w:tc>
          <w:tcPr/>
          <w:bookmarkStart w:id="10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1"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4"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8"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8"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3" w:name="fig-estabilidad-coste"/>
          <w:p>
            <w:pPr>
              <w:pStyle w:val="Compact"/>
              <w:jc w:val="center"/>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7" w:name="fig-correlacion-metricas"/>
          <w:p>
            <w:pPr>
              <w:pStyle w:val="Compact"/>
              <w:jc w:val="center"/>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1" w:name="fig-cobertura-exp2"/>
          <w:p>
            <w:pPr>
              <w:pStyle w:val="Compact"/>
              <w:jc w:val="center"/>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5" w:name="fig-cd-diagram"/>
          <w:p>
            <w:pPr>
              <w:pStyle w:val="Compact"/>
              <w:jc w:val="center"/>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9" w:name="fig-boxplots-metricas"/>
          <w:p>
            <w:pPr>
              <w:pStyle w:val="Compact"/>
              <w:jc w:val="center"/>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3" w:name="fig-diferencias-pareadas"/>
          <w:p>
            <w:pPr>
              <w:pStyle w:val="Compact"/>
              <w:jc w:val="center"/>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7" w:name="fig-radar-metodos"/>
          <w:p>
            <w:pPr>
              <w:pStyle w:val="Compact"/>
              <w:jc w:val="center"/>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7"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69"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3" w:name="tbl-exp4-icc"/>
          <w:p>
            <w:pPr>
              <w:pStyle w:val="ImageCaption"/>
              <w:spacing w:before="200" w:line="360" w:lineRule="auto"/>
              <w:jc w:val="center"/>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Capítulo 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6"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7"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3"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0.196</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6"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55"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57"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59"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0"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1"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2"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3"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67"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69"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1"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4"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jc w:val="center"/>
        <w:tblLayout w:type="fixed"/>
        <w:tblLook w:firstRow="0" w:lastRow="0" w:firstColumn="0" w:lastColumn="0" w:noHBand="0" w:noVBand="0" w:val="0000"/>
      </w:tblPr>
      <w:tblGrid>
        <w:gridCol w:w="7920"/>
      </w:tblGrid>
      <w:tr>
        <w:tc>
          <w:tcPr/>
          <w:bookmarkStart w:id="476"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2026-09-03T02:15:29Z</dcterms:created>
  <dcterms:modified xsi:type="dcterms:W3CDTF">2026-09-03T02:15:29Z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